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44" w:lineRule="exact"/>
        <w:rPr>
          <w:sz w:val="24"/>
          <w:szCs w:val="24"/>
          <w:color w:val="auto"/>
        </w:rPr>
      </w:pPr>
    </w:p>
    <w:p>
      <w:pPr>
        <w:ind w:left="1460" w:hanging="239"/>
        <w:spacing w:after="0"/>
        <w:tabs>
          <w:tab w:leader="none" w:pos="1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quarterly period ended March 31, 2017</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OR</w:t>
      </w:r>
    </w:p>
    <w:p>
      <w:pPr>
        <w:spacing w:after="0" w:line="246" w:lineRule="exact"/>
        <w:rPr>
          <w:sz w:val="24"/>
          <w:szCs w:val="24"/>
          <w:color w:val="auto"/>
        </w:rPr>
      </w:pPr>
    </w:p>
    <w:p>
      <w:pPr>
        <w:ind w:left="1460" w:hanging="239"/>
        <w:spacing w:after="0"/>
        <w:tabs>
          <w:tab w:leader="none" w:pos="14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2" w:lineRule="exact"/>
        <w:rPr>
          <w:sz w:val="24"/>
          <w:szCs w:val="24"/>
          <w:color w:val="auto"/>
        </w:rPr>
      </w:pPr>
    </w:p>
    <w:p>
      <w:pPr>
        <w:ind w:left="4240"/>
        <w:spacing w:after="0"/>
        <w:tabs>
          <w:tab w:leader="none" w:pos="6480" w:val="left"/>
        </w:tabs>
        <w:rPr>
          <w:sz w:val="20"/>
          <w:szCs w:val="20"/>
          <w:color w:val="auto"/>
        </w:rPr>
      </w:pPr>
      <w:r>
        <w:rPr>
          <w:rFonts w:ascii="Times New Roman" w:cs="Times New Roman" w:eastAsia="Times New Roman" w:hAnsi="Times New Roman"/>
          <w:sz w:val="17"/>
          <w:szCs w:val="17"/>
          <w:color w:val="auto"/>
        </w:rPr>
        <w:t>For the transition period</w:t>
      </w:r>
      <w:r>
        <w:rPr>
          <w:sz w:val="20"/>
          <w:szCs w:val="20"/>
          <w:color w:val="auto"/>
        </w:rPr>
        <w:tab/>
      </w:r>
      <w:r>
        <w:rPr>
          <w:rFonts w:ascii="Times New Roman" w:cs="Times New Roman" w:eastAsia="Times New Roman" w:hAnsi="Times New Roman"/>
          <w:sz w:val="17"/>
          <w:szCs w:val="17"/>
          <w:color w:val="auto"/>
        </w:rPr>
        <w:t>to</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Commission File Number 333-187970</w:t>
      </w:r>
    </w:p>
    <w:p>
      <w:pPr>
        <w:spacing w:after="0" w:line="2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CC HOLDINGS GS V LLC</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88" w:lineRule="exact"/>
        <w:rPr>
          <w:sz w:val="24"/>
          <w:szCs w:val="24"/>
          <w:color w:val="auto"/>
        </w:rPr>
      </w:pPr>
    </w:p>
    <w:tbl>
      <w:tblPr>
        <w:tblLayout w:type="fixed"/>
        <w:tblInd w:w="2720" w:type="dxa"/>
        <w:tblCellMar>
          <w:top w:w="0" w:type="dxa"/>
          <w:left w:w="0" w:type="dxa"/>
          <w:bottom w:w="0" w:type="dxa"/>
          <w:right w:w="0" w:type="dxa"/>
        </w:tblCellMar>
      </w:tblPr>
      <w:tr>
        <w:trPr>
          <w:trHeight w:val="226"/>
        </w:trPr>
        <w:tc>
          <w:tcPr>
            <w:tcW w:w="3200" w:type="dxa"/>
            <w:vAlign w:val="bottom"/>
          </w:tcPr>
          <w:p>
            <w:pPr>
              <w:jc w:val="center"/>
              <w:ind w:right="135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400" w:type="dxa"/>
            <w:vAlign w:val="bottom"/>
          </w:tcPr>
          <w:p>
            <w:pPr>
              <w:jc w:val="center"/>
              <w:ind w:left="1330"/>
              <w:spacing w:after="0"/>
              <w:rPr>
                <w:sz w:val="20"/>
                <w:szCs w:val="20"/>
                <w:color w:val="auto"/>
              </w:rPr>
            </w:pPr>
            <w:r>
              <w:rPr>
                <w:rFonts w:ascii="Times New Roman" w:cs="Times New Roman" w:eastAsia="Times New Roman" w:hAnsi="Times New Roman"/>
                <w:sz w:val="17"/>
                <w:szCs w:val="17"/>
                <w:b w:val="1"/>
                <w:bCs w:val="1"/>
                <w:color w:val="auto"/>
              </w:rPr>
              <w:t>20-4300339</w:t>
            </w:r>
          </w:p>
        </w:tc>
      </w:tr>
      <w:tr>
        <w:trPr>
          <w:trHeight w:val="171"/>
        </w:trPr>
        <w:tc>
          <w:tcPr>
            <w:tcW w:w="3200" w:type="dxa"/>
            <w:vAlign w:val="bottom"/>
          </w:tcPr>
          <w:p>
            <w:pPr>
              <w:jc w:val="center"/>
              <w:ind w:right="1370"/>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2400" w:type="dxa"/>
            <w:vAlign w:val="bottom"/>
          </w:tcPr>
          <w:p>
            <w:pPr>
              <w:jc w:val="center"/>
              <w:ind w:left="1330"/>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200" w:type="dxa"/>
            <w:vAlign w:val="bottom"/>
          </w:tcPr>
          <w:p>
            <w:pPr>
              <w:jc w:val="center"/>
              <w:ind w:right="1350"/>
              <w:spacing w:after="0"/>
              <w:rPr>
                <w:sz w:val="20"/>
                <w:szCs w:val="20"/>
                <w:color w:val="auto"/>
              </w:rPr>
            </w:pPr>
            <w:r>
              <w:rPr>
                <w:rFonts w:ascii="Times New Roman" w:cs="Times New Roman" w:eastAsia="Times New Roman" w:hAnsi="Times New Roman"/>
                <w:sz w:val="13"/>
                <w:szCs w:val="13"/>
                <w:b w:val="1"/>
                <w:bCs w:val="1"/>
                <w:color w:val="auto"/>
                <w:w w:val="96"/>
              </w:rPr>
              <w:t>of incorporation or organization)</w:t>
            </w:r>
          </w:p>
        </w:tc>
        <w:tc>
          <w:tcPr>
            <w:tcW w:w="2400" w:type="dxa"/>
            <w:vAlign w:val="bottom"/>
          </w:tcPr>
          <w:p>
            <w:pPr>
              <w:jc w:val="center"/>
              <w:ind w:left="1330"/>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bl>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1220 Augusta Drive, Suite 600, Houston, Texas 77057-2261</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(Address of principal executives office) (Zip Code)</w:t>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(713) 570-3000</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19" w:lineRule="exact"/>
        <w:rPr>
          <w:sz w:val="24"/>
          <w:szCs w:val="24"/>
          <w:color w:val="auto"/>
        </w:rPr>
      </w:pPr>
    </w:p>
    <w:p>
      <w:pPr>
        <w:jc w:val="both"/>
        <w:ind w:right="200" w:firstLine="324"/>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2" w:lineRule="exact"/>
        <w:rPr>
          <w:sz w:val="24"/>
          <w:szCs w:val="24"/>
          <w:color w:val="auto"/>
        </w:rPr>
      </w:pPr>
    </w:p>
    <w:p>
      <w:pPr>
        <w:jc w:val="both"/>
        <w:ind w:right="100" w:firstLine="324"/>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2" w:lineRule="exact"/>
        <w:rPr>
          <w:sz w:val="24"/>
          <w:szCs w:val="24"/>
          <w:color w:val="auto"/>
        </w:rPr>
      </w:pPr>
    </w:p>
    <w:p>
      <w:pPr>
        <w:jc w:val="both"/>
        <w:ind w:firstLine="324"/>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2140" w:type="dxa"/>
        <w:tblCellMar>
          <w:top w:w="0" w:type="dxa"/>
          <w:left w:w="0" w:type="dxa"/>
          <w:bottom w:w="0" w:type="dxa"/>
          <w:right w:w="0" w:type="dxa"/>
        </w:tblCellMar>
      </w:tblPr>
      <w:tr>
        <w:trPr>
          <w:trHeight w:val="222"/>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w:t>
            </w:r>
          </w:p>
        </w:tc>
        <w:tc>
          <w:tcPr>
            <w:tcW w:w="334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Accelerated filer</w:t>
            </w:r>
          </w:p>
        </w:tc>
        <w:tc>
          <w:tcPr>
            <w:tcW w:w="48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93"/>
              </w:rPr>
              <w:t>o</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x</w:t>
            </w:r>
          </w:p>
        </w:tc>
        <w:tc>
          <w:tcPr>
            <w:tcW w:w="334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8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93"/>
              </w:rPr>
              <w:t>o</w:t>
            </w:r>
          </w:p>
        </w:tc>
      </w:tr>
      <w:tr>
        <w:trPr>
          <w:trHeight w:val="270"/>
        </w:trPr>
        <w:tc>
          <w:tcPr>
            <w:tcW w:w="17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34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Emerging growth company</w:t>
            </w:r>
          </w:p>
        </w:tc>
        <w:tc>
          <w:tcPr>
            <w:tcW w:w="48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93"/>
              </w:rPr>
              <w:t>o</w:t>
            </w:r>
          </w:p>
        </w:tc>
      </w:tr>
    </w:tbl>
    <w:p>
      <w:pPr>
        <w:spacing w:after="0" w:line="34" w:lineRule="exact"/>
        <w:rPr>
          <w:sz w:val="24"/>
          <w:szCs w:val="24"/>
          <w:color w:val="auto"/>
        </w:rPr>
      </w:pPr>
    </w:p>
    <w:p>
      <w:pPr>
        <w:ind w:left="2140" w:right="2560"/>
        <w:spacing w:after="0" w:line="265"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9" w:lineRule="exact"/>
        <w:rPr>
          <w:sz w:val="24"/>
          <w:szCs w:val="24"/>
          <w:color w:val="auto"/>
        </w:rPr>
      </w:pPr>
    </w:p>
    <w:p>
      <w:pPr>
        <w:ind w:left="340"/>
        <w:spacing w:after="0"/>
        <w:tabs>
          <w:tab w:leader="none" w:pos="7520" w:val="left"/>
          <w:tab w:leader="none" w:pos="812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Yes o</w:t>
        <w:tab/>
        <w:t>No x</w:t>
      </w:r>
    </w:p>
    <w:p>
      <w:pPr>
        <w:spacing w:after="0" w:line="16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color w:val="auto"/>
        </w:rPr>
        <w:t>As of March 31, 2017, the only member of the registrant is a wholly-owned indirect subsidiary of Crown Castle International Corp.</w:t>
      </w:r>
    </w:p>
    <w:p>
      <w:pPr>
        <w:spacing w:after="0" w:line="169" w:lineRule="exact"/>
        <w:rPr>
          <w:sz w:val="24"/>
          <w:szCs w:val="24"/>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The registrant is a wholly-owned indirect subsidiary of Crown Castle International Corp. and meets the conditions set forth in General Instruction (H)(1)(a) and (b) of Form 10-Q, and is therefore filing this form with the reduced disclosure format.</w:t>
      </w:r>
    </w:p>
    <w:p>
      <w:pPr>
        <w:sectPr>
          <w:pgSz w:w="11900" w:h="16838" w:orient="portrait"/>
          <w:cols w:equalWidth="0" w:num="1">
            <w:col w:w="11420"/>
          </w:cols>
          <w:pgMar w:left="240" w:top="1186"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29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8"/>
              </w:rPr>
              <w:t>PART I—FINANCIAL INFORMATION</w:t>
            </w:r>
          </w:p>
        </w:tc>
        <w:tc>
          <w:tcPr>
            <w:tcW w:w="7240" w:type="dxa"/>
            <w:vAlign w:val="bottom"/>
            <w:gridSpan w:val="9"/>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2</w:t>
              </w:r>
            </w:hyperlink>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85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140" w:type="dxa"/>
            <w:vAlign w:val="bottom"/>
            <w:gridSpan w:val="3"/>
          </w:tcPr>
          <w:p>
            <w:pPr>
              <w:jc w:val="right"/>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2</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8"/>
              </w:rPr>
              <w:t>CONDENSED CONSOLIDATED BALANCE SHEET</w:t>
            </w:r>
          </w:p>
        </w:tc>
        <w:tc>
          <w:tcPr>
            <w:tcW w:w="4500" w:type="dxa"/>
            <w:vAlign w:val="bottom"/>
            <w:gridSpan w:val="5"/>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2</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8"/>
              </w:rPr>
              <w:t>CONDENSED CONSOLIDATED STATEMENT OF OPERATIONS (Unaudited)</w:t>
            </w:r>
          </w:p>
        </w:tc>
        <w:tc>
          <w:tcPr>
            <w:tcW w:w="2560" w:type="dxa"/>
            <w:vAlign w:val="bottom"/>
            <w:gridSpan w:val="4"/>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3</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CONDENSED CONSOLIDATED STATEMENT OF CASH FLOWS (Unaudited)</w:t>
            </w:r>
          </w:p>
        </w:tc>
        <w:tc>
          <w:tcPr>
            <w:tcW w:w="1140" w:type="dxa"/>
            <w:vAlign w:val="bottom"/>
            <w:gridSpan w:val="3"/>
          </w:tcPr>
          <w:p>
            <w:pPr>
              <w:jc w:val="right"/>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94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CONDENSED CONSOLIDATED STATEMENT OF CHANGES IN MEMBER'S EQUITY (Unaudited)</w:t>
            </w:r>
          </w:p>
        </w:tc>
        <w:tc>
          <w:tcPr>
            <w:tcW w:w="1140" w:type="dxa"/>
            <w:vAlign w:val="bottom"/>
            <w:gridSpan w:val="3"/>
          </w:tcPr>
          <w:p>
            <w:pPr>
              <w:jc w:val="right"/>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5</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STATEMENTS—Unaudited</w:t>
            </w:r>
          </w:p>
        </w:tc>
        <w:tc>
          <w:tcPr>
            <w:tcW w:w="940" w:type="dxa"/>
            <w:vAlign w:val="bottom"/>
            <w:gridSpan w:val="2"/>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920" w:type="dxa"/>
            <w:vAlign w:val="bottom"/>
            <w:gridSpan w:val="3"/>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774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w:t>
            </w: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6"/>
              </w:rPr>
              <w:t>OPERATIONS</w:t>
            </w:r>
          </w:p>
        </w:tc>
        <w:tc>
          <w:tcPr>
            <w:tcW w:w="7400" w:type="dxa"/>
            <w:vAlign w:val="bottom"/>
            <w:gridSpan w:val="11"/>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Times New Roman" w:cs="Times New Roman" w:eastAsia="Times New Roman" w:hAnsi="Times New Roman"/>
                <w:sz w:val="18"/>
                <w:szCs w:val="18"/>
                <w:color w:val="0000FF"/>
                <w:w w:val="88"/>
              </w:rPr>
            </w:pPr>
            <w:hyperlink w:anchor="page10">
              <w:r>
                <w:rPr>
                  <w:rFonts w:ascii="Times New Roman" w:cs="Times New Roman" w:eastAsia="Times New Roman" w:hAnsi="Times New Roman"/>
                  <w:sz w:val="18"/>
                  <w:szCs w:val="18"/>
                  <w:color w:val="0000FF"/>
                  <w:w w:val="88"/>
                </w:rPr>
                <w:t>9</w:t>
              </w:r>
            </w:hyperlink>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26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CONTROLS AND PROCEDURES</w:t>
            </w:r>
          </w:p>
        </w:tc>
        <w:tc>
          <w:tcPr>
            <w:tcW w:w="5900" w:type="dxa"/>
            <w:vAlign w:val="bottom"/>
            <w:gridSpan w:val="6"/>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FF"/>
              </w:rPr>
            </w:pPr>
            <w:hyperlink w:anchor="page14">
              <w:r>
                <w:rPr>
                  <w:rFonts w:ascii="Times New Roman" w:cs="Times New Roman" w:eastAsia="Times New Roman" w:hAnsi="Times New Roman"/>
                  <w:sz w:val="18"/>
                  <w:szCs w:val="18"/>
                  <w:color w:val="0000FF"/>
                </w:rPr>
                <w:t>13</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26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7"/>
              </w:rPr>
              <w:t>PART II—OTHER INFORMATION</w:t>
            </w:r>
          </w:p>
        </w:tc>
        <w:tc>
          <w:tcPr>
            <w:tcW w:w="7560" w:type="dxa"/>
            <w:vAlign w:val="bottom"/>
            <w:gridSpan w:val="12"/>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FF"/>
              </w:rPr>
            </w:pPr>
            <w:hyperlink w:anchor="page15">
              <w:r>
                <w:rPr>
                  <w:rFonts w:ascii="Times New Roman" w:cs="Times New Roman" w:eastAsia="Times New Roman" w:hAnsi="Times New Roman"/>
                  <w:sz w:val="18"/>
                  <w:szCs w:val="18"/>
                  <w:color w:val="0000FF"/>
                </w:rPr>
                <w:t>14</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85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6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6"/>
              </w:rPr>
              <w:t>RISK FACTORS</w:t>
            </w:r>
          </w:p>
        </w:tc>
        <w:tc>
          <w:tcPr>
            <w:tcW w:w="620" w:type="dxa"/>
            <w:vAlign w:val="bottom"/>
            <w:gridSpan w:val="2"/>
          </w:tcPr>
          <w:p>
            <w:pPr>
              <w:spacing w:after="0"/>
              <w:rPr>
                <w:sz w:val="21"/>
                <w:szCs w:val="21"/>
                <w:color w:val="auto"/>
              </w:rPr>
            </w:pPr>
          </w:p>
        </w:tc>
        <w:tc>
          <w:tcPr>
            <w:tcW w:w="6640" w:type="dxa"/>
            <w:vAlign w:val="bottom"/>
            <w:gridSpan w:val="8"/>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726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EXHIBITS</w:t>
            </w:r>
          </w:p>
        </w:tc>
        <w:tc>
          <w:tcPr>
            <w:tcW w:w="420" w:type="dxa"/>
            <w:vAlign w:val="bottom"/>
            <w:gridSpan w:val="3"/>
          </w:tcPr>
          <w:p>
            <w:pPr>
              <w:spacing w:after="0"/>
              <w:rPr>
                <w:sz w:val="21"/>
                <w:szCs w:val="21"/>
                <w:color w:val="auto"/>
              </w:rPr>
            </w:pPr>
          </w:p>
        </w:tc>
        <w:tc>
          <w:tcPr>
            <w:tcW w:w="7260" w:type="dxa"/>
            <w:vAlign w:val="bottom"/>
            <w:gridSpan w:val="10"/>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w w:val="96"/>
              </w:rPr>
              <w:t>SIGNATURES</w:t>
            </w:r>
          </w:p>
        </w:tc>
        <w:tc>
          <w:tcPr>
            <w:tcW w:w="62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15</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EXHIBIT INDEX</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16</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Language Regarding Forward-Looking Statements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 any variation thereof, and similar expressions are intended to identify forward-looking statements. Such statements include plans, projections and estimates contained in </w:t>
      </w:r>
      <w:r>
        <w:rPr>
          <w:rFonts w:ascii="Times New Roman" w:cs="Times New Roman" w:eastAsia="Times New Roman" w:hAnsi="Times New Roman"/>
          <w:sz w:val="18"/>
          <w:szCs w:val="18"/>
          <w:i w:val="1"/>
          <w:iCs w:val="1"/>
          <w:color w:val="auto"/>
        </w:rPr>
        <w:t xml:space="preserve">"Part I—Item 2. Management's Discussion and Analysis of Financial Condition and Results of Operations" </w:t>
      </w:r>
      <w:r>
        <w:rPr>
          <w:rFonts w:ascii="Times New Roman" w:cs="Times New Roman" w:eastAsia="Times New Roman" w:hAnsi="Times New Roman"/>
          <w:sz w:val="18"/>
          <w:szCs w:val="18"/>
          <w:color w:val="auto"/>
        </w:rPr>
        <w:t>("MD&amp;A") herein. Such forward-looking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 (1) expectations regarding anticipated growth in the wireless industry, carriers' investments in their networks, tenant additions, customer consolidation or ownership changes, or demand for our sites, (2) expectations regarding non-renewals of tenant leases (including the impact of our customers' decommissioning of the former Leap Wireless, MetroPCS and Clearwire networks (collectively, the "Acquired Networks")), (3) availability and adequacy of cash flows and liquidity for, or plans regarding, future discretionary investments including: capital expenditure limitations created as a result of being a wholly-owned indirect subsidiary of Crown Castle International Corp. ("CCIC" or "Crown Castle") and reliance on strategic decisions made by CCIC management that enable such discretionary investments, (4) potential benefits of our discretionary investments, (5) anticipated changes in our financial results, including future revenues, margins, and operating cash flows, (6) expectations regarding our capital structure and the credit markets, our availability and cost of capital, or our ability to service our debt and comply with debt covenants, (7) expectations for sustaining capital expenditures, and (8) expectations related to CCIC's ability to remain qualified as a real estate investment trust ("REIT") and the advantages, benefits or impact of, or opportunities created by the inclusion of our assets and operations in CCIC's REIT.</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Such forward-looking statements should, therefore, be considered in light of various risks, uncertainties and assumptions, including prevailing market conditions, risk factors described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of our Annual Report on Form 10-K for the fiscal year ended December 31, 2016 ("2016 Form 10-K") and other factors. Should one or more of these risks or uncertainties materialize, or should underlying assumptions prove incorrect, actual results may vary materially from those expected. As used herein, the term "including," and any variation thereof, means "including without limitation." The use of the word "or" herein is not exclusive.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1.</w:t>
            </w:r>
          </w:p>
        </w:tc>
        <w:tc>
          <w:tcPr>
            <w:tcW w:w="81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2"/>
        </w:trPr>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80" w:type="dxa"/>
            <w:vAlign w:val="bottom"/>
          </w:tcPr>
          <w:p>
            <w:pPr>
              <w:jc w:val="center"/>
              <w:ind w:left="1796"/>
              <w:spacing w:after="0"/>
              <w:rPr>
                <w:sz w:val="20"/>
                <w:szCs w:val="20"/>
                <w:color w:val="auto"/>
              </w:rPr>
            </w:pPr>
            <w:r>
              <w:rPr>
                <w:rFonts w:ascii="Times New Roman" w:cs="Times New Roman" w:eastAsia="Times New Roman" w:hAnsi="Times New Roman"/>
                <w:sz w:val="18"/>
                <w:szCs w:val="18"/>
                <w:b w:val="1"/>
                <w:bCs w:val="1"/>
                <w:color w:val="auto"/>
                <w:w w:val="99"/>
              </w:rPr>
              <w:t>CC HOLDINGS GS V LLC</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180" w:type="dxa"/>
            <w:vAlign w:val="bottom"/>
          </w:tcPr>
          <w:p>
            <w:pPr>
              <w:jc w:val="center"/>
              <w:ind w:left="1816"/>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180" w:type="dxa"/>
            <w:vAlign w:val="bottom"/>
          </w:tcPr>
          <w:p>
            <w:pPr>
              <w:jc w:val="center"/>
              <w:ind w:left="1816"/>
              <w:spacing w:after="0"/>
              <w:rPr>
                <w:sz w:val="20"/>
                <w:szCs w:val="20"/>
                <w:color w:val="auto"/>
              </w:rPr>
            </w:pPr>
            <w:r>
              <w:rPr>
                <w:rFonts w:ascii="Times New Roman" w:cs="Times New Roman" w:eastAsia="Times New Roman" w:hAnsi="Times New Roman"/>
                <w:sz w:val="18"/>
                <w:szCs w:val="18"/>
                <w:b w:val="1"/>
                <w:bCs w:val="1"/>
                <w:color w:val="auto"/>
                <w:w w:val="99"/>
              </w:rPr>
              <w:t>(In thousands of dollars)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9"/>
        </w:trPr>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180" w:type="dxa"/>
            <w:vAlign w:val="bottom"/>
          </w:tcPr>
          <w:p>
            <w:pPr>
              <w:ind w:left="35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22,756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19,550</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Receivables,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3,527</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21,354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24,051</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site rental receivables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22,974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20,313</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68,936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67,441</w:t>
            </w:r>
          </w:p>
        </w:tc>
        <w:tc>
          <w:tcPr>
            <w:tcW w:w="0" w:type="dxa"/>
            <w:vAlign w:val="bottom"/>
          </w:tcPr>
          <w:p>
            <w:pPr>
              <w:spacing w:after="0"/>
              <w:rPr>
                <w:sz w:val="1"/>
                <w:szCs w:val="1"/>
                <w:color w:val="auto"/>
              </w:rPr>
            </w:pPr>
          </w:p>
        </w:tc>
      </w:tr>
      <w:tr>
        <w:trPr>
          <w:trHeight w:val="33"/>
        </w:trPr>
        <w:tc>
          <w:tcPr>
            <w:tcW w:w="8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site rental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342,758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346,507</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$851,344 and $828,670, respectively</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1,076,224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1,088,883</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1,338,730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1,338,730</w:t>
            </w:r>
          </w:p>
        </w:tc>
        <w:tc>
          <w:tcPr>
            <w:tcW w:w="0" w:type="dxa"/>
            <w:vAlign w:val="bottom"/>
          </w:tcPr>
          <w:p>
            <w:pPr>
              <w:spacing w:after="0"/>
              <w:rPr>
                <w:sz w:val="1"/>
                <w:szCs w:val="1"/>
                <w:color w:val="auto"/>
              </w:rPr>
            </w:pPr>
          </w:p>
        </w:tc>
      </w:tr>
      <w:tr>
        <w:trPr>
          <w:trHeight w:val="237"/>
        </w:trPr>
        <w:tc>
          <w:tcPr>
            <w:tcW w:w="88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1,009,117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1,038,007</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prepaid rent and other assets, net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36,216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35,490</w:t>
            </w: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3,871,981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3,915,058</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180" w:type="dxa"/>
            <w:vAlign w:val="bottom"/>
          </w:tcPr>
          <w:p>
            <w:pPr>
              <w:ind w:left="27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Accrued expenses and payables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15,408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13,243</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17,748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8,126</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Deferred revenues</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10,994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11,930</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44,150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33,299</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Debt</w:t>
            </w:r>
          </w:p>
        </w:tc>
        <w:tc>
          <w:tcPr>
            <w:tcW w:w="8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991,625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991,279</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ground lease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104,560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102,519</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Above-market leases and other liabilities</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48,906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48,716</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1,189,241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1,175,813</w:t>
            </w:r>
          </w:p>
        </w:tc>
        <w:tc>
          <w:tcPr>
            <w:tcW w:w="0" w:type="dxa"/>
            <w:vAlign w:val="bottom"/>
          </w:tcPr>
          <w:p>
            <w:pPr>
              <w:spacing w:after="0"/>
              <w:rPr>
                <w:sz w:val="1"/>
                <w:szCs w:val="1"/>
                <w:color w:val="auto"/>
              </w:rPr>
            </w:pPr>
          </w:p>
        </w:tc>
      </w:tr>
      <w:tr>
        <w:trPr>
          <w:trHeight w:val="217"/>
        </w:trPr>
        <w:tc>
          <w:tcPr>
            <w:tcW w:w="88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Member's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Member's equity</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2,682,740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2,739,245</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Accumulated earnings (deficit)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2,682,740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2,739,245</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3,871,981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3,915,058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576" w:right="319" w:bottom="1440" w:gutter="0" w:footer="0" w:header="0"/>
        </w:sectPr>
      </w:pPr>
    </w:p>
    <w:bookmarkStart w:id="3" w:name="page4"/>
    <w:bookmarkEnd w:id="3"/>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 (Unaudited)</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0" w:lineRule="exact"/>
        <w:rPr>
          <w:sz w:val="20"/>
          <w:szCs w:val="20"/>
          <w:color w:val="auto"/>
        </w:rPr>
      </w:pPr>
    </w:p>
    <w:p>
      <w:pPr>
        <w:spacing w:after="0" w:line="27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5436870</wp:posOffset>
            </wp:positionH>
            <wp:positionV relativeFrom="paragraph">
              <wp:posOffset>24765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9" w:lineRule="exact"/>
        <w:rPr>
          <w:sz w:val="20"/>
          <w:szCs w:val="20"/>
          <w:color w:val="auto"/>
        </w:rPr>
      </w:pPr>
    </w:p>
    <w:p>
      <w:pPr>
        <w:ind w:left="9112"/>
        <w:spacing w:after="0"/>
        <w:tabs>
          <w:tab w:leader="none" w:pos="10572"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16" w:lineRule="exact"/>
        <w:rPr>
          <w:sz w:val="20"/>
          <w:szCs w:val="20"/>
          <w:color w:val="auto"/>
        </w:rPr>
      </w:pPr>
    </w:p>
    <w:p>
      <w:pPr>
        <w:ind w:left="32"/>
        <w:spacing w:after="0"/>
        <w:tabs>
          <w:tab w:leader="none" w:pos="8572" w:val="left"/>
          <w:tab w:leader="none" w:pos="9292" w:val="left"/>
          <w:tab w:leader="none" w:pos="10072" w:val="left"/>
          <w:tab w:leader="none" w:pos="10752" w:val="left"/>
        </w:tabs>
        <w:rPr>
          <w:sz w:val="20"/>
          <w:szCs w:val="20"/>
          <w:color w:val="auto"/>
        </w:rPr>
      </w:pPr>
      <w:r>
        <w:rPr>
          <w:rFonts w:ascii="Times New Roman" w:cs="Times New Roman" w:eastAsia="Times New Roman" w:hAnsi="Times New Roman"/>
          <w:sz w:val="16"/>
          <w:szCs w:val="16"/>
          <w:color w:val="auto"/>
        </w:rPr>
        <w:t>Site rental revenues</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153,081</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154,074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6"/>
          <w:szCs w:val="16"/>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12"/>
          </w:cols>
          <w:pgMar w:left="248" w:top="576" w:right="239" w:bottom="1440" w:gutter="0" w:footer="0" w:header="0"/>
        </w:sectPr>
      </w:pPr>
    </w:p>
    <w:p>
      <w:pPr>
        <w:spacing w:after="0" w:line="86"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6"/>
          <w:szCs w:val="16"/>
          <w:color w:val="auto"/>
        </w:rPr>
        <w:t>Site rental cost of operations—third parties</w:t>
      </w:r>
      <w:r>
        <w:rPr>
          <w:rFonts w:ascii="Times New Roman" w:cs="Times New Roman" w:eastAsia="Times New Roman" w:hAnsi="Times New Roman"/>
          <w:sz w:val="21"/>
          <w:szCs w:val="21"/>
          <w:color w:val="auto"/>
          <w:vertAlign w:val="superscript"/>
        </w:rPr>
        <w:t>(a)</w:t>
      </w:r>
    </w:p>
    <w:p>
      <w:pPr>
        <w:spacing w:after="0" w:line="41"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6"/>
          <w:szCs w:val="16"/>
          <w:color w:val="auto"/>
        </w:rPr>
        <w:t>Site rental cost of operations—related parties</w:t>
      </w:r>
      <w:r>
        <w:rPr>
          <w:rFonts w:ascii="Times New Roman" w:cs="Times New Roman" w:eastAsia="Times New Roman" w:hAnsi="Times New Roman"/>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6"/>
          <w:szCs w:val="16"/>
          <w:color w:val="auto"/>
        </w:rPr>
        <w:t>Site rental cost of operations—total</w:t>
      </w:r>
      <w:r>
        <w:rPr>
          <w:rFonts w:ascii="Times New Roman" w:cs="Times New Roman" w:eastAsia="Times New Roman" w:hAnsi="Times New Roman"/>
          <w:sz w:val="21"/>
          <w:szCs w:val="21"/>
          <w:color w:val="auto"/>
          <w:vertAlign w:val="superscript"/>
        </w:rPr>
        <w:t>(a)</w:t>
      </w:r>
    </w:p>
    <w:p>
      <w:pPr>
        <w:spacing w:after="0" w:line="31"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6"/>
          <w:szCs w:val="16"/>
          <w:color w:val="auto"/>
        </w:rPr>
        <w:t>Management fee—related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1"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6"/>
          <w:szCs w:val="16"/>
          <w:color w:val="auto"/>
        </w:rPr>
        <w:t>Asset write-down charges</w:t>
      </w:r>
    </w:p>
    <w:p>
      <w:pPr>
        <w:spacing w:after="0" w:line="86"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6"/>
          <w:szCs w:val="16"/>
          <w:color w:val="auto"/>
        </w:rPr>
        <w:t>Depreciation, amortization and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12"/>
        <w:spacing w:after="0"/>
        <w:rPr>
          <w:sz w:val="20"/>
          <w:szCs w:val="20"/>
          <w:color w:val="auto"/>
        </w:rPr>
      </w:pPr>
      <w:r>
        <w:rPr>
          <w:rFonts w:ascii="Times New Roman" w:cs="Times New Roman" w:eastAsia="Times New Roman" w:hAnsi="Times New Roman"/>
          <w:sz w:val="16"/>
          <w:szCs w:val="16"/>
          <w:color w:val="auto"/>
        </w:rPr>
        <w:t>Total operating expenses</w:t>
      </w:r>
    </w:p>
    <w:p>
      <w:pPr>
        <w:spacing w:after="0" w:line="86"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6"/>
          <w:szCs w:val="16"/>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w:t>
      </w:r>
    </w:p>
    <w:p>
      <w:pPr>
        <w:spacing w:after="0" w:line="86"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6"/>
          <w:szCs w:val="16"/>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6"/>
          <w:szCs w:val="16"/>
          <w:color w:val="auto"/>
        </w:rPr>
        <w:t>Income (loss) before income taxes</w:t>
      </w:r>
    </w:p>
    <w:p>
      <w:pPr>
        <w:spacing w:after="0" w:line="86"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6"/>
          <w:szCs w:val="16"/>
          <w:color w:val="auto"/>
        </w:rPr>
        <w:t>Benefit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6"/>
          <w:szCs w:val="16"/>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158115</wp:posOffset>
            </wp:positionV>
            <wp:extent cx="91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37,813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36,578</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8,940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8,247</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46,753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44,825</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11,607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11,268</w:t>
            </w:r>
          </w:p>
        </w:tc>
      </w:tr>
      <w:tr>
        <w:trPr>
          <w:trHeight w:val="270"/>
        </w:trPr>
        <w:tc>
          <w:tcPr>
            <w:tcW w:w="4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883</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52,629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52,358</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110,989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109,334</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42,092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44,740</w:t>
            </w:r>
          </w:p>
        </w:tc>
      </w:tr>
      <w:tr>
        <w:trPr>
          <w:trHeight w:val="270"/>
        </w:trPr>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(13,306)</w:t>
            </w:r>
          </w:p>
        </w:tc>
      </w:tr>
      <w:tr>
        <w:trPr>
          <w:trHeight w:val="270"/>
        </w:trPr>
        <w:tc>
          <w:tcPr>
            <w:tcW w:w="4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33,154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31,427</w:t>
            </w:r>
          </w:p>
        </w:tc>
      </w:tr>
      <w:tr>
        <w:trPr>
          <w:trHeight w:val="270"/>
        </w:trPr>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33,066</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31,341</w:t>
            </w:r>
          </w:p>
        </w:tc>
      </w:tr>
      <w:tr>
        <w:trPr>
          <w:trHeight w:val="33"/>
        </w:trPr>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ectPr>
          <w:pgSz w:w="11900" w:h="16838" w:orient="portrait"/>
          <w:cols w:equalWidth="0" w:num="2">
            <w:col w:w="7852" w:space="720"/>
            <w:col w:w="2840"/>
          </w:cols>
          <w:pgMar w:left="248" w:top="576" w:right="239" w:bottom="1440" w:gutter="0" w:footer="0" w:header="0"/>
          <w:type w:val="continuous"/>
        </w:sectPr>
      </w:pPr>
    </w:p>
    <w:p>
      <w:pPr>
        <w:ind w:left="332" w:hanging="332"/>
        <w:spacing w:after="0"/>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 and certain indirect costs included in the management fee.</w:t>
      </w:r>
    </w:p>
    <w:p>
      <w:pPr>
        <w:spacing w:after="0" w:line="22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12"/>
          </w:cols>
          <w:pgMar w:left="248" w:top="576" w:right="2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33,066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31,341</w:t>
            </w: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52,629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52,358</w:t>
            </w: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707</w:t>
            </w:r>
          </w:p>
        </w:tc>
      </w:tr>
      <w:tr>
        <w:trPr>
          <w:trHeight w:val="237"/>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Asset write-down charges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883</w:t>
            </w: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Increase (decrease) in accrued interest</w:t>
            </w: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12,599</w:t>
            </w: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Increase (decrease) in 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Increase (decrease) in deferred revenues, deferred ground lease payable and other liabilities</w:t>
            </w: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3,213</w:t>
            </w: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Decrease (increase) in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Decrease (increase) in other current assets, deferred site rental receivable, long-term prepaid rent, and other assets</w:t>
            </w:r>
          </w:p>
        </w:tc>
        <w:tc>
          <w:tcPr>
            <w:tcW w:w="2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(4,157)</w:t>
            </w: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104,963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95,934</w:t>
            </w:r>
          </w:p>
        </w:tc>
      </w:tr>
      <w:tr>
        <w:trPr>
          <w:trHeight w:val="231"/>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(13,214)</w:t>
            </w:r>
          </w:p>
        </w:tc>
      </w:tr>
      <w:tr>
        <w:trPr>
          <w:trHeight w:val="217"/>
        </w:trPr>
        <w:tc>
          <w:tcPr>
            <w:tcW w:w="88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(13,214)</w:t>
            </w: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(64,889)</w:t>
            </w: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(64,889)</w:t>
            </w:r>
          </w:p>
        </w:tc>
      </w:tr>
      <w:tr>
        <w:trPr>
          <w:trHeight w:val="217"/>
        </w:trPr>
        <w:tc>
          <w:tcPr>
            <w:tcW w:w="88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3,206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17,831</w:t>
            </w:r>
          </w:p>
        </w:tc>
      </w:tr>
      <w:tr>
        <w:trPr>
          <w:trHeight w:val="33"/>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20,401</w:t>
            </w:r>
          </w:p>
        </w:tc>
      </w:tr>
      <w:tr>
        <w:trPr>
          <w:trHeight w:val="244"/>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22,756</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38,232</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2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1040" w:type="dxa"/>
            <w:vAlign w:val="bottom"/>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60" w:type="dxa"/>
            <w:vAlign w:val="bottom"/>
            <w:tcBorders>
              <w:bottom w:val="single" w:sz="8" w:color="CCEEFF"/>
            </w:tcBorders>
            <w:shd w:val="clear" w:color="auto" w:fill="CCEEFF"/>
          </w:tcPr>
          <w:p>
            <w:pPr>
              <w:jc w:val="center"/>
              <w:ind w:right="5079"/>
              <w:spacing w:after="0"/>
              <w:rPr>
                <w:sz w:val="20"/>
                <w:szCs w:val="20"/>
                <w:color w:val="auto"/>
              </w:rPr>
            </w:pPr>
            <w:r>
              <w:rPr>
                <w:rFonts w:ascii="Times New Roman" w:cs="Times New Roman" w:eastAsia="Times New Roman" w:hAnsi="Times New Roman"/>
                <w:sz w:val="16"/>
                <w:szCs w:val="16"/>
                <w:color w:val="auto"/>
              </w:rPr>
              <w:t>Balance, January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2,739,245</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2,739,245</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 (note 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(89,571)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jc w:val="center"/>
              <w:ind w:right="5059"/>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33,066</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33,066</w:t>
            </w:r>
          </w:p>
        </w:tc>
        <w:tc>
          <w:tcPr>
            <w:tcW w:w="0" w:type="dxa"/>
            <w:vAlign w:val="bottom"/>
          </w:tcPr>
          <w:p>
            <w:pPr>
              <w:spacing w:after="0"/>
              <w:rPr>
                <w:sz w:val="1"/>
                <w:szCs w:val="1"/>
                <w:color w:val="auto"/>
              </w:rPr>
            </w:pPr>
          </w:p>
        </w:tc>
      </w:tr>
      <w:tr>
        <w:trPr>
          <w:trHeight w:val="244"/>
        </w:trPr>
        <w:tc>
          <w:tcPr>
            <w:tcW w:w="6860" w:type="dxa"/>
            <w:vAlign w:val="bottom"/>
          </w:tcPr>
          <w:p>
            <w:pPr>
              <w:jc w:val="center"/>
              <w:ind w:right="5079"/>
              <w:spacing w:after="0"/>
              <w:rPr>
                <w:sz w:val="20"/>
                <w:szCs w:val="20"/>
                <w:color w:val="auto"/>
              </w:rPr>
            </w:pPr>
            <w:r>
              <w:rPr>
                <w:rFonts w:ascii="Times New Roman" w:cs="Times New Roman" w:eastAsia="Times New Roman" w:hAnsi="Times New Roman"/>
                <w:sz w:val="16"/>
                <w:szCs w:val="16"/>
                <w:color w:val="auto"/>
              </w:rPr>
              <w:t>Balance, March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2,682,740</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2,682,740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24"/>
                <w:szCs w:val="24"/>
                <w:color w:val="auto"/>
              </w:rPr>
            </w:pPr>
          </w:p>
        </w:tc>
        <w:tc>
          <w:tcPr>
            <w:tcW w:w="1040" w:type="dxa"/>
            <w:vAlign w:val="bottom"/>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5"/>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60" w:type="dxa"/>
            <w:vAlign w:val="bottom"/>
            <w:tcBorders>
              <w:top w:val="single" w:sz="8" w:color="CCEEFF"/>
              <w:bottom w:val="single" w:sz="8" w:color="CCEEFF"/>
            </w:tcBorders>
            <w:shd w:val="clear" w:color="auto" w:fill="CCEEFF"/>
          </w:tcPr>
          <w:p>
            <w:pPr>
              <w:jc w:val="center"/>
              <w:ind w:right="5079"/>
              <w:spacing w:after="0"/>
              <w:rPr>
                <w:sz w:val="20"/>
                <w:szCs w:val="20"/>
                <w:color w:val="auto"/>
              </w:rPr>
            </w:pPr>
            <w:r>
              <w:rPr>
                <w:rFonts w:ascii="Times New Roman" w:cs="Times New Roman" w:eastAsia="Times New Roman" w:hAnsi="Times New Roman"/>
                <w:sz w:val="16"/>
                <w:szCs w:val="16"/>
                <w:color w:val="auto"/>
              </w:rPr>
              <w:t>Balance, January 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2,327,938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76,410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2,404,348</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Distributions to member (note 4)</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(64,889)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(64,889)</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jc w:val="center"/>
              <w:ind w:right="5059"/>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31,341</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31,341</w:t>
            </w:r>
          </w:p>
        </w:tc>
        <w:tc>
          <w:tcPr>
            <w:tcW w:w="0" w:type="dxa"/>
            <w:vAlign w:val="bottom"/>
          </w:tcPr>
          <w:p>
            <w:pPr>
              <w:spacing w:after="0"/>
              <w:rPr>
                <w:sz w:val="1"/>
                <w:szCs w:val="1"/>
                <w:color w:val="auto"/>
              </w:rPr>
            </w:pPr>
          </w:p>
        </w:tc>
      </w:tr>
      <w:tr>
        <w:trPr>
          <w:trHeight w:val="244"/>
        </w:trPr>
        <w:tc>
          <w:tcPr>
            <w:tcW w:w="6860" w:type="dxa"/>
            <w:vAlign w:val="bottom"/>
          </w:tcPr>
          <w:p>
            <w:pPr>
              <w:jc w:val="center"/>
              <w:ind w:right="5079"/>
              <w:spacing w:after="0"/>
              <w:rPr>
                <w:sz w:val="20"/>
                <w:szCs w:val="20"/>
                <w:color w:val="auto"/>
              </w:rPr>
            </w:pPr>
            <w:r>
              <w:rPr>
                <w:rFonts w:ascii="Times New Roman" w:cs="Times New Roman" w:eastAsia="Times New Roman" w:hAnsi="Times New Roman"/>
                <w:sz w:val="16"/>
                <w:szCs w:val="16"/>
                <w:color w:val="auto"/>
              </w:rPr>
              <w:t>Balance, March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2,327,938</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42,862</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2,370,800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0" w:hanging="412"/>
        <w:spacing w:after="0"/>
        <w:tabs>
          <w:tab w:leader="none" w:pos="4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consolidated financial position, results of operations, and cash flows of CC Holdings GS V LLC ("CCL") and its consolidated wholly-owned subsidiaries (collectively, the "Company"). The Company is a wholly-owned subsidiary of Global Signal Operating Partnership, L.P. ("GSOP"), which is an indirect subsidiary of Crown Castle International Corp., a Delaware corporation ("CCIC" or "Crown Castle").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information contained in the following notes to the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2016, and related notes thereto, included in the 2016 Form 10-K filed by the Company with the SEC.</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organized specifically to own, lease and manage sites that are geographically dispersed across the United States ("U.S."). The Company's core business is providing access, including space or capacity, to its sites via long-term contracts in various forms, including licenses, subleases and lease agreements. Management services related to the Company's sites are performed by Crown Castle USA, Inc. ("CCUSA"), an affiliate of the Company, under the Management Agreement, as the Company has no employees.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Approximately 68% of the Company's sites are leased or subleased or operated and managed for an initial period of 32 years (through May 2037) under master lease or other agreements with Sprint ("Sprint Sites"). CCIC, through its subsidiaries (including the Company) has the option to purchase in 2037 all (but not less than all) of the Sprint Sites from Sprint for approximately $2.3 billion. CCIC has no obligation to exercise the purchase option.</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CCIC operates as a real estate investment trust ("REIT") for U.S. federal income tax purposes. For U.S. federal income tax purposes, the Company's assets and operations are part of the CCIC REIT. See note 5.</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however, they include all adjustments (consisting only of normal recurring adjustments) which, in the opinion of management, are necessary to fairly state the consolidated financial position of the Company as of March 31, 2017, and the consolidated results of operations and the consolidated cash flows for the three months ended March 31, 2017 and 2016. The year-end condensed consolidated balance sheet data was derived from audited financial statements, but does not include all disclosures required by generally accepted accounting principles in the U.S. ("GAAP"). The results of operations for the interim periods presented are not necessarily indicative of the results to be expected for the entire year.</w:t>
      </w:r>
    </w:p>
    <w:p>
      <w:pPr>
        <w:spacing w:after="0" w:line="1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use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these estimates.</w:t>
      </w:r>
    </w:p>
    <w:p>
      <w:pPr>
        <w:spacing w:after="0" w:line="334" w:lineRule="exact"/>
        <w:rPr>
          <w:sz w:val="20"/>
          <w:szCs w:val="20"/>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used in the preparation of the Company's condensed consolidated financial statements are disclosed in the 2016 Form 10-K.</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new accounting pronouncements were adopted during the three months ended March 31, 2017.</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3"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No new accounting pronouncements issued but not yet adopted during the three months ended March 31, 2017 are expected to have a material impact on the Company's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31"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45"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7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outstanding balance of the 2012 Secured Notes as of both March 31, 2017 and December 31, 2016 was $1.0 billion comprised of 3.849% secured notes ("3.849% Secured Notes) due April 2023. The 2012 Secured Notes originally consisted of (1) the previously outstanding $500 million aggregate principal amount of 2.381% secured notes ("2.381% Secured Notes") due December 2017 and (2) $1.0 billion aggregate principal amount of 3.849% Secured Notes due April 2023. In September 2016, CCIC repaid in full the previously outstanding 2.381% Secured Notes.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 and Amortization of Deferred Financing Costs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interest expense and amortization of deferred financing costs are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on debt obligations</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9,623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12,599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707</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13,306</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 Further, in connection with its role as Manager, CCUSA may make certain modifications to the Company's sites.</w:t>
      </w:r>
    </w:p>
    <w:p>
      <w:pPr>
        <w:spacing w:after="0" w:line="13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addition, CCUSA may perform installation services on the Company's towers, for which the Company is not a party to any agreement and for which no operating results are reflected herein.</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part of the CCIC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lease agreement for the land that existed prior to an affiliate acquiring rights to such land. As of March 31, 2017, there was approximately 27% of the Company's sites where the land under the tower is controlled by an affiliate. Also, the Company receives rent revenue from affiliates for land controlled by the Company that affiliates have towers on.</w:t>
      </w:r>
    </w:p>
    <w:p>
      <w:pPr>
        <w:spacing w:after="0" w:line="13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2017 and 2016, the Company recorded equity distributions of $89.6 million and $64.9 million, respectively, reflecting distributions to its member and ultimately other subsidiaries of CCIC. Cash on hand above the amount that is required by the Management Agreement has been, and is expected to continue to be, distributed to the Company's parent company. As of March 31, 2017 and 2016, the Company has no material related party assets or liabilities on its consolidated balance sheet.</w:t>
      </w:r>
    </w:p>
    <w:p>
      <w:pPr>
        <w:spacing w:after="0" w:line="338"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Effective January 1, 2014, CCIC commenced operating as a REIT for U.S. federal income tax purposes. As a REIT, CCIC is generally entitled to a deduction for dividends that it pays and therefore is not subject to U.S. federal corporate income tax on its net taxable income that is currently distributed to its stockholders. For U.S. federal income tax purposes, the Company's assets and operations are part of the CCIC REIT.</w:t>
      </w:r>
    </w:p>
    <w:p>
      <w:pPr>
        <w:spacing w:after="0" w:line="12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2017 and 2016, the Company's effective tax rate differed from the federal statutory rate predominately due to (1) CCIC's dividends paid deduction, and (2) state taxes.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31"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45"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cash and cash equivalents approximates the carrying value. The Company determines the fair value of its debt securities based on indicative quotes (that are non-binding quotes) from brokers that require judgment to interpret market information, including implied credit spreads for similar borrowings on recent trades or bid/ask prices or quotes from active markets if applicable. There were no changes since December 31, 2016 in the Company's valuation techniques used to measure fair values. The estimated fair values of the Company's financial instruments, along with the carrying amounts of the related assets and liabilities, are as follows:</w:t>
      </w:r>
    </w:p>
    <w:p>
      <w:pPr>
        <w:spacing w:after="0" w:line="353"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in Fair</w:t>
            </w: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149"/>
        </w:trPr>
        <w:tc>
          <w:tcPr>
            <w:tcW w:w="530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880" w:type="dxa"/>
            <w:vAlign w:val="bottom"/>
          </w:tcPr>
          <w:p>
            <w:pPr>
              <w:jc w:val="right"/>
              <w:ind w:right="34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49"/>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22,756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22,756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19,550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19,550</w:t>
            </w:r>
          </w:p>
        </w:tc>
      </w:tr>
      <w:tr>
        <w:trPr>
          <w:trHeight w:val="33"/>
        </w:trPr>
        <w:tc>
          <w:tcPr>
            <w:tcW w:w="5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991,625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1,025,400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991,279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1,013,300</w:t>
            </w:r>
          </w:p>
        </w:tc>
      </w:tr>
    </w:tbl>
    <w:p>
      <w:pPr>
        <w:spacing w:after="0" w:line="389"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In addition, CCIC, through its subsidiaries (including the Company) has the option to purchase in 2037 all (but not less than all) of the Sprint Sites, which represent approximately 68% of the Company's sites. CCIC has no obligation to exercise the purchase option.</w:t>
      </w:r>
    </w:p>
    <w:p>
      <w:pPr>
        <w:spacing w:after="0" w:line="342"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Guarantor Subsidiaries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CCL has no independent assets or operations. The 2012 Secured Notes are guaranteed by all subsidiaries of CCL, each of which is a 100% wholly-owned subsidiary of CCL, other than Crown Castle GS III Corp., which is a co-issuer of the 2012 Secured Notes and a 100% wholly-owned finance subsidiary. Such guarantees are full and unconditional and joint and several. Subject to the provisions of the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a subsidiary of CCL,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Indenture, or (4) upon the discharge of the Indenture in accordance with its terms.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31" w:right="239" w:bottom="1440" w:gutter="0" w:footer="0" w:header="0"/>
        </w:sectPr>
      </w:pPr>
    </w:p>
    <w:bookmarkStart w:id="9" w:name="page10"/>
    <w:bookmarkEnd w:id="9"/>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231F20"/>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the response to Part I, Item 1 of this report and the the consolidated financial statements of the Company including the related notes and </w:t>
      </w:r>
      <w:r>
        <w:rPr>
          <w:rFonts w:ascii="Times New Roman" w:cs="Times New Roman" w:eastAsia="Times New Roman" w:hAnsi="Times New Roman"/>
          <w:sz w:val="18"/>
          <w:szCs w:val="18"/>
          <w:i w:val="1"/>
          <w:iCs w:val="1"/>
          <w:color w:val="auto"/>
        </w:rPr>
        <w:t>"Item 7."Management's Discussion and Analysis of Financial Condition and Results of Operations"</w:t>
      </w:r>
      <w:r>
        <w:rPr>
          <w:rFonts w:ascii="Times New Roman" w:cs="Times New Roman" w:eastAsia="Times New Roman" w:hAnsi="Times New Roman"/>
          <w:sz w:val="18"/>
          <w:szCs w:val="18"/>
          <w:color w:val="auto"/>
        </w:rPr>
        <w:t xml:space="preserve"> ("MD&amp;A") included in our 2016 Form 10-K. Capitalized terms used but not defined in this Form 10-Q have the same meaning given to them in our 2016 Form 10-K. Unless this Quarterly Report on Form 10-Q indicates otherwise or the context requires, the terms "we," "our," "our company," "the company," or "us" as used herein refer to CC Holdings GS V LLC and its subsidiaries.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General Overview</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own, lease or manage sites that are geographically dispersed throughout the United States. The vast majority of our site rental revenues is of a recurring nature and has been contracted for in a prior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Fundamentals and Results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are certain highlights of our business fundamentals and results as of and for the three months ended March 31, 2017.</w:t>
      </w:r>
    </w:p>
    <w:p>
      <w:pPr>
        <w:spacing w:after="0" w:line="27" w:lineRule="exact"/>
        <w:rPr>
          <w:sz w:val="20"/>
          <w:szCs w:val="20"/>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resulting from wireless network expansion and new entrants</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wireless carriers will continue their focus on improving network quality and expanding capacity by adding additional antennas or other equipment on our wireless infrastructure.</w:t>
      </w:r>
    </w:p>
    <w:p>
      <w:pPr>
        <w:jc w:val="both"/>
        <w:ind w:left="1220" w:hanging="402"/>
        <w:spacing w:after="0" w:line="250" w:lineRule="auto"/>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existing and potential new customer demand for our towers will result from (1) new technologies, (2) increased usage of wireless applications (including mobile entertainment, mobile internet usage, and machine-to-machine applications), (3) adoption of other emerging and embedded wireless devices (including laptops, tablets, and other devices), (4) increasing smartphone penetration, (5) wireless carrier focus on expanding both network quality and capacity, or (6) the availability of additional spectrum.</w:t>
      </w:r>
    </w:p>
    <w:p>
      <w:pPr>
        <w:spacing w:after="0" w:line="1"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towers can accommodate additional tenancy, either as currently constructed or with appropriate modifications to the structure (which may include extensions or structural reinforcement).</w:t>
      </w:r>
    </w:p>
    <w:p>
      <w:pPr>
        <w:ind w:left="1220" w:hanging="402"/>
        <w:spacing w:after="0"/>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wireless carriers continue to invest in their networks.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structure</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CCIC operates as a REIT for U.S. federal income tax purposes. For U.S. federal income tax purposes, our assets and operations are part of the CCIC REIT.</w:t>
      </w:r>
    </w:p>
    <w:p>
      <w:pPr>
        <w:ind w:left="1220" w:hanging="402"/>
        <w:spacing w:after="0" w:line="250" w:lineRule="auto"/>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(other than Crown Castle GS III Corp.) were organized specifically to own, lease, and manage certain shared wireless infrastructure, such as towers or other structures, and have no employees.</w:t>
      </w:r>
    </w:p>
    <w:p>
      <w:pPr>
        <w:ind w:left="1220" w:hanging="402"/>
        <w:spacing w:after="0" w:line="250" w:lineRule="auto"/>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rental revenues under long-term tenant leases with contractual escalations</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terms of five to 15 years with multiple renewal periods at the option of the tenant of five to ten years each.</w:t>
      </w:r>
    </w:p>
    <w:p>
      <w:pPr>
        <w:spacing w:after="0" w:line="9" w:lineRule="exact"/>
        <w:rPr>
          <w:rFonts w:ascii="Times New Roman" w:cs="Times New Roman" w:eastAsia="Times New Roman" w:hAnsi="Times New Roman"/>
          <w:sz w:val="18"/>
          <w:szCs w:val="18"/>
          <w:color w:val="auto"/>
        </w:rPr>
      </w:pPr>
    </w:p>
    <w:p>
      <w:pPr>
        <w:jc w:val="both"/>
        <w:ind w:left="1220" w:right="20" w:hanging="402"/>
        <w:spacing w:after="0" w:line="250" w:lineRule="auto"/>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remaining term (calculated by weighting the remaining term for each lease by the related site rental revenue) of approximately six years, exclusive of renewals at the tenants' option, currently representing approximately $3.8 billion of expected future cash inflows.</w:t>
      </w:r>
    </w:p>
    <w:p>
      <w:pPr>
        <w:spacing w:after="0" w:line="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predominately from large wireless carriers</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88% of our site rental revenues were derived from Sprint, AT&amp;T, T-Mobile and Verizon Wireless.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land interests under our wireless infrastructure are under long-term control</w:t>
      </w:r>
    </w:p>
    <w:p>
      <w:pPr>
        <w:spacing w:after="0" w:line="9" w:lineRule="exact"/>
        <w:rPr>
          <w:rFonts w:ascii="Times New Roman" w:cs="Times New Roman" w:eastAsia="Times New Roman" w:hAnsi="Times New Roman"/>
          <w:sz w:val="18"/>
          <w:szCs w:val="18"/>
          <w:color w:val="auto"/>
        </w:rPr>
      </w:pPr>
    </w:p>
    <w:p>
      <w:pPr>
        <w:jc w:val="both"/>
        <w:ind w:left="1220" w:hanging="402"/>
        <w:spacing w:after="0" w:line="250" w:lineRule="auto"/>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90% of our site rental gross margin and more than 50% of our site rental gross margin is derived from sites that we own or control for greater than 10 and 20 years, respectively. The aforementioned amounts include sites that reside on land interests that are owned, including fee interests and perpetual easements, which represent in excess of one-seventh of our site rental gross margin.</w:t>
      </w:r>
    </w:p>
    <w:p>
      <w:pPr>
        <w:spacing w:after="0" w:line="1" w:lineRule="exact"/>
        <w:rPr>
          <w:rFonts w:ascii="Times New Roman" w:cs="Times New Roman" w:eastAsia="Times New Roman" w:hAnsi="Times New Roman"/>
          <w:sz w:val="18"/>
          <w:szCs w:val="18"/>
          <w:color w:val="auto"/>
        </w:rPr>
      </w:pPr>
    </w:p>
    <w:p>
      <w:pPr>
        <w:jc w:val="both"/>
        <w:ind w:left="1220" w:hanging="402"/>
        <w:spacing w:after="0" w:line="250" w:lineRule="auto"/>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19% of our site rental cost of operations represents ground lease payments to affiliates of ours.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fixed tower operating costs</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costs tend to escalate at approximately the rate of inflation and are not typically influenced by tenant additions or non-renewals.</w:t>
      </w: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 sustaining capital expenditure requirements</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Sustaining capital expenditures represented approximately 1% of net revenues.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60" w:right="239" w:bottom="1440" w:gutter="0" w:footer="0" w:header="0"/>
        </w:sectPr>
      </w:pPr>
    </w:p>
    <w:bookmarkStart w:id="10" w:name="page11"/>
    <w:bookmarkEnd w:id="10"/>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rate debt with no short-term maturities</w:t>
      </w:r>
    </w:p>
    <w:p>
      <w:pPr>
        <w:spacing w:after="0" w:line="27" w:lineRule="exact"/>
        <w:rPr>
          <w:rFonts w:ascii="Times New Roman" w:cs="Times New Roman" w:eastAsia="Times New Roman" w:hAnsi="Times New Roman"/>
          <w:sz w:val="18"/>
          <w:szCs w:val="18"/>
          <w:color w:val="auto"/>
        </w:rPr>
      </w:pPr>
    </w:p>
    <w:p>
      <w:pPr>
        <w:ind w:left="1220" w:right="20" w:hanging="402"/>
        <w:spacing w:after="0" w:line="250" w:lineRule="auto"/>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consists of $1.0 billion aggregate principal amount of 3.849% secured notes due 2023. See note 3 to our condensed consolidated financial statements.</w:t>
      </w: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cash flows from operations</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cash provided by operating activities was $105.0 million. See </w:t>
      </w:r>
      <w:r>
        <w:rPr>
          <w:rFonts w:ascii="Times New Roman" w:cs="Times New Roman" w:eastAsia="Times New Roman" w:hAnsi="Times New Roman"/>
          <w:sz w:val="18"/>
          <w:szCs w:val="18"/>
          <w:i w:val="1"/>
          <w:iCs w:val="1"/>
          <w:color w:val="auto"/>
        </w:rPr>
        <w:t>"Item 2. MD&amp;A—Liquidity and Capital Resources."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Outlook Highlights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are certain highlights of our outlook that impact our business fundamentals described above.</w:t>
      </w:r>
    </w:p>
    <w:p>
      <w:pPr>
        <w:spacing w:after="0" w:line="27" w:lineRule="exact"/>
        <w:rPr>
          <w:sz w:val="20"/>
          <w:szCs w:val="20"/>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demand for tenant leasing to continue during 2017.</w:t>
      </w:r>
    </w:p>
    <w:p>
      <w:pPr>
        <w:spacing w:after="0" w:line="9" w:lineRule="exact"/>
        <w:rPr>
          <w:rFonts w:ascii="Times New Roman" w:cs="Times New Roman" w:eastAsia="Times New Roman" w:hAnsi="Times New Roman"/>
          <w:sz w:val="18"/>
          <w:szCs w:val="18"/>
          <w:color w:val="auto"/>
        </w:rPr>
      </w:pPr>
    </w:p>
    <w:p>
      <w:pPr>
        <w:ind w:left="1220" w:hanging="807"/>
        <w:spacing w:after="0" w:line="261"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2017, we also expect that the impact from tenant leasing will be offset by non-renewals of tenant leases, primarily from our customers' decommissioning of the Acquired Networks, at least in part.</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of our results of operations should be read in conjunction with our condensed consolidated financial statements and our 2016 Form 10-K. The following discussion of our results of operations is based on our consolidated financial statements prepared in accordance with GAAP which requires us to make estimates and judgments that affect the reported amounts. See </w:t>
      </w:r>
      <w:r>
        <w:rPr>
          <w:rFonts w:ascii="Times New Roman" w:cs="Times New Roman" w:eastAsia="Times New Roman" w:hAnsi="Times New Roman"/>
          <w:sz w:val="18"/>
          <w:szCs w:val="18"/>
          <w:i w:val="1"/>
          <w:iCs w:val="1"/>
          <w:color w:val="auto"/>
        </w:rPr>
        <w:t>"Item 2. MD&amp;A—Accounting and Reporting Matters—Critical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and Estimates" </w:t>
      </w:r>
      <w:r>
        <w:rPr>
          <w:rFonts w:ascii="Times New Roman" w:cs="Times New Roman" w:eastAsia="Times New Roman" w:hAnsi="Times New Roman"/>
          <w:sz w:val="18"/>
          <w:szCs w:val="18"/>
          <w:color w:val="auto"/>
        </w:rPr>
        <w:t>herein and note 2 to our 2016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Consolidated Results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information is derived from our historical consolidated statements of operations for the periods indicated.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120" w:type="dxa"/>
            <w:vAlign w:val="bottom"/>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8"/>
                <w:szCs w:val="8"/>
                <w:b w:val="1"/>
                <w:bCs w:val="1"/>
                <w:color w:val="auto"/>
              </w:rPr>
              <w:t>(b)</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40" w:type="dxa"/>
            <w:vAlign w:val="bottom"/>
            <w:gridSpan w:val="4"/>
            <w:shd w:val="clear" w:color="auto" w:fill="CCEEFF"/>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Site rental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153,081</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154,074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of operations</w:t>
            </w:r>
            <w:r>
              <w:rPr>
                <w:rFonts w:ascii="Times New Roman" w:cs="Times New Roman" w:eastAsia="Times New Roman" w:hAnsi="Times New Roman"/>
                <w:sz w:val="21"/>
                <w:szCs w:val="21"/>
                <w:color w:val="auto"/>
                <w:vertAlign w:val="superscript"/>
              </w:rPr>
              <w:t>(a)(b)</w:t>
            </w: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46,753</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44,825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Management fee</w:t>
            </w:r>
            <w:r>
              <w:rPr>
                <w:rFonts w:ascii="Times New Roman" w:cs="Times New Roman" w:eastAsia="Times New Roman" w:hAnsi="Times New Roman"/>
                <w:sz w:val="21"/>
                <w:szCs w:val="21"/>
                <w:color w:val="auto"/>
                <w:vertAlign w:val="superscript"/>
              </w:rPr>
              <w:t>(b)</w:t>
            </w:r>
          </w:p>
        </w:tc>
        <w:tc>
          <w:tcPr>
            <w:tcW w:w="180" w:type="dxa"/>
            <w:vAlign w:val="bottom"/>
          </w:tcPr>
          <w:p>
            <w:pPr>
              <w:spacing w:after="0"/>
              <w:rPr>
                <w:sz w:val="23"/>
                <w:szCs w:val="23"/>
                <w:color w:val="auto"/>
              </w:rPr>
            </w:pP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11,607</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11,268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write-down charges</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883</w:t>
            </w:r>
          </w:p>
        </w:tc>
        <w:tc>
          <w:tcPr>
            <w:tcW w:w="1340" w:type="dxa"/>
            <w:vAlign w:val="bottom"/>
            <w:tcBorders>
              <w:bottom w:val="single" w:sz="8" w:color="CCEEFF"/>
            </w:tcBorders>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80" w:type="dxa"/>
            <w:vAlign w:val="bottom"/>
          </w:tcPr>
          <w:p>
            <w:pPr>
              <w:spacing w:after="0"/>
              <w:rPr>
                <w:sz w:val="20"/>
                <w:szCs w:val="20"/>
                <w:color w:val="auto"/>
              </w:rPr>
            </w:pP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52,629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52,358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110,989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109,334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42,092</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44,740</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(9,969)</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Pr>
          <w:p>
            <w:pPr>
              <w:spacing w:after="0"/>
              <w:rPr>
                <w:sz w:val="20"/>
                <w:szCs w:val="20"/>
                <w:color w:val="auto"/>
              </w:rPr>
            </w:pP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1,031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33,154</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31,427</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33,066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31,341</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2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not meaningful</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 and certain indirect costs included in the management fee.</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related parties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64" w:right="239" w:bottom="1440" w:gutter="0" w:footer="0" w:header="0"/>
        </w:sectPr>
      </w:pPr>
    </w:p>
    <w:bookmarkStart w:id="11" w:name="page12"/>
    <w:bookmarkEnd w:id="11"/>
    <w:p>
      <w:pPr>
        <w:ind w:left="420"/>
        <w:spacing w:after="0"/>
        <w:rPr>
          <w:sz w:val="20"/>
          <w:szCs w:val="20"/>
          <w:color w:val="auto"/>
        </w:rPr>
      </w:pPr>
      <w:r>
        <w:rPr>
          <w:rFonts w:ascii="Times New Roman" w:cs="Times New Roman" w:eastAsia="Times New Roman" w:hAnsi="Times New Roman"/>
          <w:sz w:val="18"/>
          <w:szCs w:val="18"/>
          <w:i w:val="1"/>
          <w:iCs w:val="1"/>
          <w:color w:val="auto"/>
        </w:rPr>
        <w:t>First Quarter 2017 and 2016</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Site rental revenues for the three months ended March 31, 2017 decreased by $1.0 million, or 1%, from the same period in the prior year. This decrease in site rental revenues was impacted by the following items, inclusive of straight-line accounting, in no particular order: tenant additions across our entire portfolio, renewals or extensions of tenant leases, escalations and non-renewals of tenant leases. Tenant additions were influenced by our customers' ongoing efforts to improve network quality and capacity. See also </w:t>
      </w:r>
      <w:r>
        <w:rPr>
          <w:rFonts w:ascii="Times New Roman" w:cs="Times New Roman" w:eastAsia="Times New Roman" w:hAnsi="Times New Roman"/>
          <w:sz w:val="18"/>
          <w:szCs w:val="18"/>
          <w:i w:val="1"/>
          <w:iCs w:val="1"/>
          <w:color w:val="auto"/>
        </w:rPr>
        <w:t>"Item 2. MD&amp;A—General Overview"</w:t>
      </w:r>
      <w:r>
        <w:rPr>
          <w:rFonts w:ascii="Times New Roman" w:cs="Times New Roman" w:eastAsia="Times New Roman" w:hAnsi="Times New Roman"/>
          <w:sz w:val="18"/>
          <w:szCs w:val="18"/>
          <w:color w:val="auto"/>
        </w:rPr>
        <w:t xml:space="preserve"> and the 2016 Form 10-K for further discussion regarding our customers' decommissioning of the Acquired Networks.</w:t>
      </w:r>
    </w:p>
    <w:p>
      <w:pPr>
        <w:spacing w:after="0" w:line="13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Site rental gross margins for the three months ended March 31, 2017 decreased by $2.9 million, or 3%, from the same period in the prior year. The decrease in the site rental gross margins was related to the previously mentioned 1% decrease in site rental revenues and the relatively fixed costs to operate our sites.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management fee for the three months ended March 31, 2017 increased by $0.3 million, or 3%, from the three months ended March 31, 2016, but remained approximately 7.5% of total net revenues. The management fee is equal to 7.5% of our Operating Revenues as defined in the Management Agreement.</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and amortization of deferred financing costs for the three months ended March 31, 2017 decreased $3.3 million, or 25%, from the same period in the prior year. This decrease was related to the corresponding decrease in our outstanding indebtedness.</w:t>
      </w:r>
    </w:p>
    <w:p>
      <w:pPr>
        <w:spacing w:after="0" w:line="10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Net income for the three months ended March 31, 2017 was $33.1 million, consistent with net income of $31.3 million for the three months ended March 31, 2016.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Our core business generates revenues under long-term leases (See</w:t>
      </w:r>
      <w:r>
        <w:rPr>
          <w:rFonts w:ascii="Times New Roman" w:cs="Times New Roman" w:eastAsia="Times New Roman" w:hAnsi="Times New Roman"/>
          <w:sz w:val="18"/>
          <w:szCs w:val="18"/>
          <w:i w:val="1"/>
          <w:iCs w:val="1"/>
          <w:color w:val="auto"/>
        </w:rPr>
        <w:t xml:space="preserve"> "Item 2. MD&amp;A—General Overview")</w:t>
      </w:r>
      <w:r>
        <w:rPr>
          <w:rFonts w:ascii="Times New Roman" w:cs="Times New Roman" w:eastAsia="Times New Roman" w:hAnsi="Times New Roman"/>
          <w:sz w:val="18"/>
          <w:szCs w:val="18"/>
          <w:color w:val="auto"/>
        </w:rPr>
        <w:t>, predominantly from the largest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wireless carriers. Historically, our net cash provided by operating activities has exceeded our capital expenditures. For the foreseeable future, we expect to generate net cash provided by operating activities (exclusive of movements in working capital) that exceed our capital expenditures. We seek to allocate the net cash generated from our business in a manner that we believe drives value for our member and ultimately CCIC.</w:t>
      </w:r>
    </w:p>
    <w:p>
      <w:pPr>
        <w:spacing w:after="0" w:line="12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a cash management perspective, we currently distribute cash on hand above amounts required pursuant to the Management Agreement to our indirect parent, CCIC. If any future event would occur that would leave us with a deficiency in our operating cash flow, while not required, CCIC may contribute cash back to us.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CCIC operates as a REIT for U.S. federal income tax purposes. For U.S. federal income tax purposes, our assets and operations are part of the CCIC REIT. We expect to continue to pay minimal cash income taxes as a result of CCIC's REIT status and NOLs.</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Liquidity Position. </w:t>
      </w:r>
      <w:r>
        <w:rPr>
          <w:rFonts w:ascii="Times New Roman" w:cs="Times New Roman" w:eastAsia="Times New Roman" w:hAnsi="Times New Roman"/>
          <w:sz w:val="18"/>
          <w:szCs w:val="18"/>
          <w:color w:val="auto"/>
        </w:rPr>
        <w:t>The following is a summary of our capitalization and liquidity position as of March 31, 2017:</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March 31, 2017</w:t>
            </w:r>
          </w:p>
        </w:tc>
      </w:tr>
      <w:tr>
        <w:trPr>
          <w:trHeight w:val="250"/>
        </w:trPr>
        <w:tc>
          <w:tcPr>
            <w:tcW w:w="9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42"/>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22,756</w:t>
            </w:r>
          </w:p>
        </w:tc>
      </w:tr>
      <w:tr>
        <w:trPr>
          <w:trHeight w:val="224"/>
        </w:trPr>
        <w:tc>
          <w:tcPr>
            <w:tcW w:w="9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240" w:type="dxa"/>
            <w:vAlign w:val="bottom"/>
          </w:tcPr>
          <w:p>
            <w:pPr>
              <w:spacing w:after="0"/>
              <w:rPr>
                <w:sz w:val="19"/>
                <w:szCs w:val="19"/>
                <w:color w:val="auto"/>
              </w:rPr>
            </w:pPr>
          </w:p>
        </w:tc>
        <w:tc>
          <w:tcPr>
            <w:tcW w:w="20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991,625</w:t>
            </w:r>
          </w:p>
        </w:tc>
      </w:tr>
      <w:tr>
        <w:trPr>
          <w:trHeight w:val="33"/>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4"/>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member's equity</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2,682,740</w:t>
            </w:r>
          </w:p>
        </w:tc>
      </w:tr>
      <w:tr>
        <w:trPr>
          <w:trHeight w:val="33"/>
        </w:trPr>
        <w:tc>
          <w:tcPr>
            <w:tcW w:w="9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net cash provided by operating activities should be sufficient to cover our expected capital expenditures.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debt maturities.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3 to our condensed consolidated financial statements for additional information regarding our debt.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24" w:right="239" w:bottom="1440" w:gutter="0" w:footer="0" w:header="0"/>
        </w:sectPr>
      </w:pPr>
    </w:p>
    <w:bookmarkStart w:id="12" w:name="page13"/>
    <w:bookmarkEnd w:id="12"/>
    <w:p>
      <w:pPr>
        <w:ind w:left="420"/>
        <w:spacing w:after="0"/>
        <w:rPr>
          <w:sz w:val="20"/>
          <w:szCs w:val="20"/>
          <w:color w:val="auto"/>
        </w:rPr>
      </w:pPr>
      <w:r>
        <w:rPr>
          <w:rFonts w:ascii="Times New Roman" w:cs="Times New Roman" w:eastAsia="Times New Roman" w:hAnsi="Times New Roman"/>
          <w:sz w:val="18"/>
          <w:szCs w:val="18"/>
          <w:i w:val="1"/>
          <w:iCs w:val="1"/>
          <w:color w:val="auto"/>
        </w:rPr>
        <w:t>Summary Cash Flow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cash provided by (used for):</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Operating activities</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Investing activities</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Financing activities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2306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1"/>
        </w:trPr>
        <w:tc>
          <w:tcPr>
            <w:tcW w:w="280" w:type="dxa"/>
            <w:vAlign w:val="bottom"/>
          </w:tcPr>
          <w:p>
            <w:pPr>
              <w:spacing w:after="0"/>
              <w:rPr>
                <w:sz w:val="16"/>
                <w:szCs w:val="16"/>
                <w:color w:val="auto"/>
              </w:rPr>
            </w:pPr>
          </w:p>
        </w:tc>
        <w:tc>
          <w:tcPr>
            <w:tcW w:w="2440" w:type="dxa"/>
            <w:vAlign w:val="bottom"/>
            <w:gridSpan w:val="6"/>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920" w:type="dxa"/>
            <w:vAlign w:val="bottom"/>
          </w:tcPr>
          <w:p>
            <w:pPr>
              <w:spacing w:after="0"/>
              <w:rPr>
                <w:sz w:val="16"/>
                <w:szCs w:val="16"/>
                <w:color w:val="auto"/>
              </w:rPr>
            </w:pPr>
          </w:p>
        </w:tc>
      </w:tr>
      <w:tr>
        <w:trPr>
          <w:trHeight w:val="517"/>
        </w:trPr>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104,963</w:t>
            </w:r>
          </w:p>
        </w:tc>
        <w:tc>
          <w:tcPr>
            <w:tcW w:w="12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95,934</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9,029</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1,028</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(24,682)</w:t>
            </w:r>
          </w:p>
        </w:tc>
      </w:tr>
      <w:tr>
        <w:trPr>
          <w:trHeight w:val="33"/>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3,206</w:t>
            </w:r>
          </w:p>
        </w:tc>
        <w:tc>
          <w:tcPr>
            <w:tcW w:w="12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17,831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(14,625)</w:t>
            </w:r>
          </w:p>
        </w:tc>
      </w:tr>
      <w:tr>
        <w:trPr>
          <w:trHeight w:val="33"/>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-882650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-4921885</wp:posOffset>
            </wp:positionH>
            <wp:positionV relativeFrom="paragraph">
              <wp:posOffset>-539750</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-4921885</wp:posOffset>
            </wp:positionH>
            <wp:positionV relativeFrom="paragraph">
              <wp:posOffset>-196850</wp:posOffset>
            </wp:positionV>
            <wp:extent cx="722947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7040" w:space="720"/>
            <w:col w:w="3660"/>
          </w:cols>
          <w:pgMar w:left="240" w:top="524" w:right="2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net cash provided by operating activities for the first three months of 2017 of $9.0 million, or 9%, from the first three months of 2016, was due primarily to growth in cash revenues, including cash escalations that are subject to straight-line accounting and a benefit from other changes in working capital.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capital expenditures include the following:</w:t>
      </w:r>
    </w:p>
    <w:p>
      <w:pPr>
        <w:spacing w:after="0" w:line="63" w:lineRule="exact"/>
        <w:rPr>
          <w:sz w:val="20"/>
          <w:szCs w:val="20"/>
          <w:color w:val="auto"/>
        </w:rPr>
      </w:pPr>
    </w:p>
    <w:p>
      <w:pPr>
        <w:jc w:val="both"/>
        <w:ind w:left="1140" w:hanging="241"/>
        <w:spacing w:after="0" w:line="257"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improvement capital expenditures consist of improvements to existing sites to accommodate new leasing and typically vary based on, among other factors: (1) the type of site, (2) the scope, volume, and mix of work performed on the site, (3) existing capacity prior to installation, or (4) changes in structural engineering regulations and standards. Our decisions regarding capital expenditures are influenced by</w:t>
      </w:r>
    </w:p>
    <w:p>
      <w:pPr>
        <w:spacing w:after="0" w:line="1" w:lineRule="exact"/>
        <w:rPr>
          <w:rFonts w:ascii="Times New Roman" w:cs="Times New Roman" w:eastAsia="Times New Roman" w:hAnsi="Times New Roman"/>
          <w:sz w:val="18"/>
          <w:szCs w:val="18"/>
          <w:color w:val="auto"/>
        </w:rPr>
      </w:pPr>
    </w:p>
    <w:p>
      <w:pPr>
        <w:ind w:left="1140" w:firstLine="2"/>
        <w:spacing w:after="0" w:line="261" w:lineRule="auto"/>
        <w:tabs>
          <w:tab w:leader="none" w:pos="141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potential to enhance CCIC's long-term stockholder value, (2) CCIC's availability and cost of capital and (3) CCIC's expected returns on alternative uses of cash, such as payments of dividends and investments.</w:t>
      </w:r>
    </w:p>
    <w:p>
      <w:pPr>
        <w:spacing w:after="0" w:line="17"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Sustaining capital expenditures consist of maintenance on our sites that enable our customers' ongoing quiet enjoyment of the site.</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Capital expenditures for the three months ended March 31, 2017 and 2016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7"/>
          </w:tcPr>
          <w:p>
            <w:pPr>
              <w:jc w:val="center"/>
              <w:ind w:left="56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60" w:type="dxa"/>
            <w:vAlign w:val="bottom"/>
            <w:tcBorders>
              <w:bottom w:val="single" w:sz="8" w:color="auto"/>
            </w:tcBorders>
          </w:tcPr>
          <w:p>
            <w:pPr>
              <w:spacing w:after="0"/>
              <w:rPr>
                <w:sz w:val="16"/>
                <w:szCs w:val="16"/>
                <w:color w:val="auto"/>
              </w:rPr>
            </w:pPr>
          </w:p>
        </w:tc>
      </w:tr>
      <w:tr>
        <w:trPr>
          <w:trHeight w:val="264"/>
        </w:trPr>
        <w:tc>
          <w:tcPr>
            <w:tcW w:w="7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1"/>
        </w:trPr>
        <w:tc>
          <w:tcPr>
            <w:tcW w:w="7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7"/>
        </w:trPr>
        <w:tc>
          <w:tcPr>
            <w:tcW w:w="7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Site improvements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5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11,342</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33"/>
        </w:trPr>
        <w:tc>
          <w:tcPr>
            <w:tcW w:w="7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Sustaining</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7"/>
        </w:trPr>
        <w:tc>
          <w:tcPr>
            <w:tcW w:w="7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13,214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w:t>
            </w:r>
          </w:p>
        </w:tc>
      </w:tr>
      <w:tr>
        <w:trPr>
          <w:trHeight w:val="33"/>
        </w:trPr>
        <w:tc>
          <w:tcPr>
            <w:tcW w:w="7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net cash flows used for financing activities in the three months ended March 31, 2017 and 2016 includes the impact from our continued practice of distributing excess cash to our member and ultimately other subsidiaries of CCIC. See note 4 to our condensed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Secured Notes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See our 2016 Form 10-K for a discussion of the 2012 Secured Notes, debt restrictions, and disclosures about market risk. There are no financial maintenance covenants in the 2012 Secured Notes. We are currently not restricted in our ability to incur additional indebtedness or distribute cash to affiliates or issue dividends to our parent.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24" w:right="2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Accounting and Reporting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2017 are not intended to be a comprehensive list of our accounting policies and estimates.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 Our critical accounting policies and estimates as of December 31, 2016 are described in </w:t>
      </w:r>
      <w:r>
        <w:rPr>
          <w:rFonts w:ascii="Times New Roman" w:cs="Times New Roman" w:eastAsia="Times New Roman" w:hAnsi="Times New Roman"/>
          <w:sz w:val="18"/>
          <w:szCs w:val="18"/>
          <w:i w:val="1"/>
          <w:iCs w:val="1"/>
          <w:color w:val="auto"/>
        </w:rPr>
        <w:t>"Item 7. MD&amp;A—Accounting and Reporting Matters"</w:t>
      </w:r>
      <w:r>
        <w:rPr>
          <w:rFonts w:ascii="Times New Roman" w:cs="Times New Roman" w:eastAsia="Times New Roman" w:hAnsi="Times New Roman"/>
          <w:sz w:val="18"/>
          <w:szCs w:val="18"/>
          <w:color w:val="auto"/>
        </w:rPr>
        <w:t xml:space="preserve"> and in note 2 in our 2016 Form 10-K. The critical accounting policies and estimates for the first three months of 2017 have not changed from the critical accounting policies for the year ended December 31, 2016.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Recently Adopted Accounting Pronouncements. </w:t>
      </w:r>
      <w:r>
        <w:rPr>
          <w:rFonts w:ascii="Times New Roman" w:cs="Times New Roman" w:eastAsia="Times New Roman" w:hAnsi="Times New Roman"/>
          <w:sz w:val="18"/>
          <w:szCs w:val="18"/>
          <w:color w:val="auto"/>
        </w:rPr>
        <w:t>See note 2 to our condensed consolidated financial statements.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Recent Accounting Pronouncements Not Yet Adopted. </w:t>
      </w:r>
      <w:r>
        <w:rPr>
          <w:rFonts w:ascii="Times New Roman" w:cs="Times New Roman" w:eastAsia="Times New Roman" w:hAnsi="Times New Roman"/>
          <w:sz w:val="18"/>
          <w:szCs w:val="18"/>
          <w:color w:val="auto"/>
        </w:rPr>
        <w:t>See note 2 to our condensed consolidated financial statements.</w:t>
      </w:r>
    </w:p>
    <w:p>
      <w:pPr>
        <w:spacing w:after="0" w:line="3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conducted an evaluation, under the supervision and with the participation of the Company's management, including the Company's Chief Executive Officer and Chief Financial Officer, of the effectiveness of the Company's disclosure controls and procedures as of the end of the period covered by this report. Based on this evaluation, the Chief Executive Officer and Chief Financial Officer concluded that the Company's disclosure controls and procedures were effective in alerting them in a timely manner to material information relating to the Company required to be included in the Company's periodic reports under the Securities Exchange Act of 1934, as amended.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fiscal quarter covered by this report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76"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See the disclosure in note 7 to our condensed consolidated financial statements set forth in Part I, Item 1 of this Quarterly Report on Form 10-Q, which disclosure is hereby incorporated herein by reference.</w:t>
      </w:r>
    </w:p>
    <w:p>
      <w:pPr>
        <w:spacing w:after="0" w:line="3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There are no material changes to the risk factors discussed in </w:t>
      </w:r>
      <w:r>
        <w:rPr>
          <w:rFonts w:ascii="Times New Roman" w:cs="Times New Roman" w:eastAsia="Times New Roman" w:hAnsi="Times New Roman"/>
          <w:sz w:val="18"/>
          <w:szCs w:val="18"/>
          <w:i w:val="1"/>
          <w:iCs w:val="1"/>
          <w:color w:val="auto"/>
        </w:rPr>
        <w:t>"Item 1A—Risk Factors"</w:t>
      </w:r>
      <w:r>
        <w:rPr>
          <w:rFonts w:ascii="Times New Roman" w:cs="Times New Roman" w:eastAsia="Times New Roman" w:hAnsi="Times New Roman"/>
          <w:sz w:val="18"/>
          <w:szCs w:val="18"/>
          <w:color w:val="auto"/>
        </w:rPr>
        <w:t xml:space="preserve"> in our 2016 Form 10-K.</w:t>
      </w:r>
    </w:p>
    <w:p>
      <w:pPr>
        <w:spacing w:after="0" w:line="3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list of exhibits set forth in the accompanying Exhibit Index is incorporated by reference into this Item 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6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CC HOLDINGS GS V LLC</w:t>
      </w:r>
    </w:p>
    <w:p>
      <w:pPr>
        <w:spacing w:after="0" w:line="333" w:lineRule="exact"/>
        <w:rPr>
          <w:sz w:val="20"/>
          <w:szCs w:val="20"/>
          <w:color w:val="auto"/>
        </w:rPr>
      </w:pPr>
    </w:p>
    <w:p>
      <w:pPr>
        <w:ind w:left="1240"/>
        <w:spacing w:after="0"/>
        <w:tabs>
          <w:tab w:leader="none" w:pos="5900" w:val="left"/>
          <w:tab w:leader="none" w:pos="7400" w:val="left"/>
        </w:tabs>
        <w:rPr>
          <w:sz w:val="20"/>
          <w:szCs w:val="20"/>
          <w:color w:val="auto"/>
        </w:rPr>
      </w:pPr>
      <w:r>
        <w:rPr>
          <w:rFonts w:ascii="Times New Roman" w:cs="Times New Roman" w:eastAsia="Times New Roman" w:hAnsi="Times New Roman"/>
          <w:sz w:val="18"/>
          <w:szCs w:val="18"/>
          <w:color w:val="auto"/>
        </w:rPr>
        <w:t>Date: May 4,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2504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50"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Daniel K. Schlanger</w:t>
      </w:r>
    </w:p>
    <w:p>
      <w:pPr>
        <w:spacing w:after="0" w:line="42"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Senior Vice President</w:t>
      </w:r>
    </w:p>
    <w:p>
      <w:pPr>
        <w:spacing w:after="0" w:line="42"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and Chief Financial Officer</w:t>
      </w:r>
    </w:p>
    <w:p>
      <w:pPr>
        <w:spacing w:after="0" w:line="42"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18" w:lineRule="exact"/>
        <w:rPr>
          <w:sz w:val="20"/>
          <w:szCs w:val="20"/>
          <w:color w:val="auto"/>
        </w:rPr>
      </w:pPr>
    </w:p>
    <w:p>
      <w:pPr>
        <w:ind w:left="1240"/>
        <w:spacing w:after="0"/>
        <w:tabs>
          <w:tab w:leader="none" w:pos="5900" w:val="left"/>
          <w:tab w:leader="none" w:pos="7500" w:val="left"/>
        </w:tabs>
        <w:rPr>
          <w:sz w:val="20"/>
          <w:szCs w:val="20"/>
          <w:color w:val="auto"/>
        </w:rPr>
      </w:pPr>
      <w:r>
        <w:rPr>
          <w:rFonts w:ascii="Times New Roman" w:cs="Times New Roman" w:eastAsia="Times New Roman" w:hAnsi="Times New Roman"/>
          <w:sz w:val="18"/>
          <w:szCs w:val="18"/>
          <w:color w:val="auto"/>
        </w:rPr>
        <w:t>Date: May 4,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2504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50"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Robert S. Collins</w:t>
      </w:r>
    </w:p>
    <w:p>
      <w:pPr>
        <w:spacing w:after="0" w:line="42"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Vice President and Controller</w:t>
      </w:r>
    </w:p>
    <w:p>
      <w:pPr>
        <w:spacing w:after="0" w:line="42"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60" w:right="239" w:bottom="1440" w:gutter="0" w:footer="0" w:header="0"/>
        </w:sectPr>
      </w:pPr>
    </w:p>
    <w:bookmarkStart w:id="16" w:name="page17"/>
    <w:bookmarkEnd w:id="16"/>
    <w:tbl>
      <w:tblPr>
        <w:tblLayout w:type="fixed"/>
        <w:tblInd w:w="4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898"/>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26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340" w:type="dxa"/>
            <w:vAlign w:val="bottom"/>
            <w:gridSpan w:val="5"/>
          </w:tcPr>
          <w:p>
            <w:pPr>
              <w:spacing w:after="0"/>
              <w:rPr>
                <w:sz w:val="24"/>
                <w:szCs w:val="24"/>
                <w:color w:val="auto"/>
              </w:rPr>
            </w:pPr>
          </w:p>
        </w:tc>
      </w:tr>
      <w:tr>
        <w:trPr>
          <w:trHeight w:val="372"/>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Pr>
          <w:p>
            <w:pPr>
              <w:spacing w:after="0"/>
              <w:rPr>
                <w:sz w:val="24"/>
                <w:szCs w:val="24"/>
                <w:color w:val="auto"/>
              </w:rPr>
            </w:pPr>
          </w:p>
        </w:tc>
        <w:tc>
          <w:tcPr>
            <w:tcW w:w="47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Certificate of Formation, as amended, of CC Holdings GS V LLC</w:t>
              </w:r>
            </w:hyperlink>
          </w:p>
        </w:tc>
        <w:tc>
          <w:tcPr>
            <w:tcW w:w="4180" w:type="dxa"/>
            <w:vAlign w:val="bottom"/>
            <w:gridSpan w:val="4"/>
          </w:tcPr>
          <w:p>
            <w:pPr>
              <w:spacing w:after="0"/>
              <w:rPr>
                <w:sz w:val="24"/>
                <w:szCs w:val="24"/>
                <w:color w:val="auto"/>
              </w:rPr>
            </w:pPr>
          </w:p>
        </w:tc>
      </w:tr>
      <w:tr>
        <w:trPr>
          <w:trHeight w:val="372"/>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spacing w:after="0"/>
              <w:rPr>
                <w:sz w:val="24"/>
                <w:szCs w:val="24"/>
                <w:color w:val="auto"/>
              </w:rPr>
            </w:pPr>
          </w:p>
        </w:tc>
        <w:tc>
          <w:tcPr>
            <w:tcW w:w="71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Second Amended and Restated Limited Liability Company Agreement of CC Holdings GS V LLC</w:t>
              </w:r>
            </w:hyperlink>
          </w:p>
        </w:tc>
        <w:tc>
          <w:tcPr>
            <w:tcW w:w="1800" w:type="dxa"/>
            <w:vAlign w:val="bottom"/>
          </w:tcPr>
          <w:p>
            <w:pPr>
              <w:spacing w:after="0"/>
              <w:rPr>
                <w:sz w:val="24"/>
                <w:szCs w:val="24"/>
                <w:color w:val="auto"/>
              </w:rPr>
            </w:pPr>
          </w:p>
        </w:tc>
      </w:tr>
      <w:tr>
        <w:trPr>
          <w:trHeight w:val="372"/>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720" w:type="dxa"/>
            <w:vAlign w:val="bottom"/>
          </w:tcPr>
          <w:p>
            <w:pPr>
              <w:spacing w:after="0"/>
              <w:rPr>
                <w:sz w:val="24"/>
                <w:szCs w:val="24"/>
                <w:color w:val="auto"/>
              </w:rPr>
            </w:pPr>
          </w:p>
        </w:tc>
        <w:tc>
          <w:tcPr>
            <w:tcW w:w="8940" w:type="dxa"/>
            <w:vAlign w:val="bottom"/>
            <w:gridSpan w:val="8"/>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Certification of Chief Executive Officer pursuant to Section 302 of Sarbanes-Oxley Act of 2002</w:t>
              </w:r>
            </w:hyperlink>
          </w:p>
        </w:tc>
      </w:tr>
      <w:tr>
        <w:trPr>
          <w:trHeight w:val="372"/>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tcPr>
          <w:p>
            <w:pPr>
              <w:spacing w:after="0"/>
              <w:rPr>
                <w:sz w:val="24"/>
                <w:szCs w:val="24"/>
                <w:color w:val="auto"/>
              </w:rPr>
            </w:pPr>
          </w:p>
        </w:tc>
        <w:tc>
          <w:tcPr>
            <w:tcW w:w="68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Certification of Chief Financial Officer pursuant to Section 302 of Sarbanes-Oxley Act of 2002</w:t>
              </w:r>
            </w:hyperlink>
          </w:p>
        </w:tc>
        <w:tc>
          <w:tcPr>
            <w:tcW w:w="40" w:type="dxa"/>
            <w:vAlign w:val="bottom"/>
            <w:tcBorders>
              <w:top w:val="single" w:sz="8" w:color="0000EE"/>
            </w:tcBorders>
          </w:tcPr>
          <w:p>
            <w:pPr>
              <w:spacing w:after="0"/>
              <w:rPr>
                <w:sz w:val="24"/>
                <w:szCs w:val="24"/>
                <w:color w:val="auto"/>
              </w:rPr>
            </w:pPr>
          </w:p>
        </w:tc>
        <w:tc>
          <w:tcPr>
            <w:tcW w:w="2020" w:type="dxa"/>
            <w:vAlign w:val="bottom"/>
            <w:gridSpan w:val="2"/>
          </w:tcPr>
          <w:p>
            <w:pPr>
              <w:spacing w:after="0"/>
              <w:rPr>
                <w:sz w:val="24"/>
                <w:szCs w:val="24"/>
                <w:color w:val="auto"/>
              </w:rPr>
            </w:pPr>
          </w:p>
        </w:tc>
      </w:tr>
      <w:tr>
        <w:trPr>
          <w:trHeight w:val="372"/>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720" w:type="dxa"/>
            <w:vAlign w:val="bottom"/>
          </w:tcPr>
          <w:p>
            <w:pPr>
              <w:spacing w:after="0"/>
              <w:rPr>
                <w:sz w:val="24"/>
                <w:szCs w:val="24"/>
                <w:color w:val="auto"/>
              </w:rPr>
            </w:pPr>
          </w:p>
        </w:tc>
        <w:tc>
          <w:tcPr>
            <w:tcW w:w="89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Certification of Chief Executive Officer and Chief Financial Officer pursuant to Section 906 of Sarbanes-Oxley Act of 2002</w:t>
              </w:r>
            </w:hyperlink>
          </w:p>
        </w:tc>
      </w:tr>
      <w:tr>
        <w:trPr>
          <w:trHeight w:val="412"/>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101.INS</w:t>
            </w:r>
          </w:p>
        </w:tc>
        <w:tc>
          <w:tcPr>
            <w:tcW w:w="8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101.SCH</w:t>
            </w:r>
          </w:p>
        </w:tc>
        <w:tc>
          <w:tcPr>
            <w:tcW w:w="8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101.DEF</w:t>
            </w:r>
          </w:p>
        </w:tc>
        <w:tc>
          <w:tcPr>
            <w:tcW w:w="8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101.CAL</w:t>
            </w:r>
          </w:p>
        </w:tc>
        <w:tc>
          <w:tcPr>
            <w:tcW w:w="8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101.LAB</w:t>
            </w:r>
          </w:p>
        </w:tc>
        <w:tc>
          <w:tcPr>
            <w:tcW w:w="8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101.PRE</w:t>
            </w:r>
          </w:p>
        </w:tc>
        <w:tc>
          <w:tcPr>
            <w:tcW w:w="8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7"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Incorporated by reference to the exhibit previously filed by the Registrant on Form S-4 (Registration No. 333-187970) on April 17, 2013.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80"/>
          </w:cols>
          <w:pgMar w:left="240" w:top="513" w:right="10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CC Holdings GS V LLC (“registrant”);</w:t>
      </w:r>
    </w:p>
    <w:p>
      <w:pPr>
        <w:spacing w:after="0" w:line="171" w:lineRule="exact"/>
        <w:rPr>
          <w:rFonts w:ascii="Times New Roman" w:cs="Times New Roman" w:eastAsia="Times New Roman" w:hAnsi="Times New Roman"/>
          <w:sz w:val="18"/>
          <w:szCs w:val="18"/>
          <w:color w:val="auto"/>
        </w:rPr>
      </w:pPr>
    </w:p>
    <w:p>
      <w:pPr>
        <w:jc w:val="both"/>
        <w:ind w:left="660" w:right="2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0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2017</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29756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Jay A. Brown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340"/>
          </w:cols>
          <w:pgMar w:left="240" w:top="576"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CC Holdings GS V LLC (“registrant”);</w:t>
      </w:r>
    </w:p>
    <w:p>
      <w:pPr>
        <w:spacing w:after="0" w:line="171" w:lineRule="exact"/>
        <w:rPr>
          <w:rFonts w:ascii="Times New Roman" w:cs="Times New Roman" w:eastAsia="Times New Roman" w:hAnsi="Times New Roman"/>
          <w:sz w:val="18"/>
          <w:szCs w:val="18"/>
          <w:color w:val="auto"/>
        </w:rPr>
      </w:pPr>
    </w:p>
    <w:p>
      <w:pPr>
        <w:jc w:val="both"/>
        <w:ind w:left="660" w:right="22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0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2017</w:t>
      </w:r>
    </w:p>
    <w:p>
      <w:pPr>
        <w:spacing w:after="0" w:line="200" w:lineRule="exact"/>
        <w:rPr>
          <w:sz w:val="20"/>
          <w:szCs w:val="20"/>
          <w:color w:val="auto"/>
        </w:rPr>
      </w:pPr>
    </w:p>
    <w:p>
      <w:pPr>
        <w:spacing w:after="0" w:line="34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34290</wp:posOffset>
            </wp:positionV>
            <wp:extent cx="30956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Daniel K. Schlanger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340"/>
          </w:cols>
          <w:pgMar w:left="240" w:top="576"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CC Holdings GS V LLC, a Delaware Corporation (“Company”), for the period ending March 31, 2017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76"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March 31, 2017 (the last date of the period covered by the Report).</w:t>
      </w:r>
    </w:p>
    <w:p>
      <w:pPr>
        <w:spacing w:after="0" w:line="27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696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Jay A. Brown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May 4, 2017</w:t>
      </w:r>
    </w:p>
    <w:p>
      <w:pPr>
        <w:spacing w:after="0" w:line="33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696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Daniel K. Schlanger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4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May 4, 2017</w:t>
      </w:r>
    </w:p>
    <w:p>
      <w:pPr>
        <w:spacing w:after="0" w:line="19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340"/>
      </w:cols>
      <w:pgMar w:left="240" w:top="57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1."/>
      <w:numFmt w:val="decimal"/>
      <w:start w:val="5"/>
    </w:lvl>
  </w:abstractNum>
  <w:abstractNum w:abstractNumId="8">
    <w:nsid w:val="1BEFD79F"/>
    <w:multiLevelType w:val="hybridMultilevel"/>
    <w:lvl w:ilvl="0">
      <w:lvlJc w:val="left"/>
      <w:lvlText w:val="%1."/>
      <w:numFmt w:val="decimal"/>
      <w:start w:val="6"/>
    </w:lvl>
  </w:abstractNum>
  <w:abstractNum w:abstractNumId="9">
    <w:nsid w:val="41A7C4C9"/>
    <w:multiLevelType w:val="hybridMultilevel"/>
    <w:lvl w:ilvl="0">
      <w:lvlJc w:val="left"/>
      <w:lvlText w:val="%1."/>
      <w:numFmt w:val="decimal"/>
      <w:start w:val="7"/>
    </w:lvl>
  </w:abstractNum>
  <w:abstractNum w:abstractNumId="10">
    <w:nsid w:val="6B68079A"/>
    <w:multiLevelType w:val="hybridMultilevel"/>
    <w:lvl w:ilvl="0">
      <w:lvlJc w:val="left"/>
      <w:lvlText w:val="%1."/>
      <w:numFmt w:val="decimal"/>
      <w:start w:val="8"/>
    </w:lvl>
  </w:abstractNum>
  <w:abstractNum w:abstractNumId="11">
    <w:nsid w:val="4E6AFB66"/>
    <w:multiLevelType w:val="hybridMultilevel"/>
    <w:lvl w:ilvl="0">
      <w:lvlJc w:val="left"/>
      <w:lvlText w:val="•"/>
      <w:numFmt w:val="bullet"/>
      <w:start w:val="1"/>
    </w:lvl>
    <w:lvl w:ilvl="1">
      <w:lvlJc w:val="left"/>
      <w:lvlText w:val="◦"/>
      <w:numFmt w:val="bullet"/>
      <w:start w:val="1"/>
    </w:lvl>
  </w:abstractNum>
  <w:abstractNum w:abstractNumId="12">
    <w:nsid w:val="25E45D32"/>
    <w:multiLevelType w:val="hybridMultilevel"/>
    <w:lvl w:ilvl="0">
      <w:lvlJc w:val="left"/>
      <w:lvlText w:val="•"/>
      <w:numFmt w:val="bullet"/>
      <w:start w:val="1"/>
    </w:lvl>
    <w:lvl w:ilvl="1">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lvl w:ilvl="1">
      <w:lvlJc w:val="left"/>
      <w:lvlText w:val="(%2)"/>
      <w:numFmt w:val="decimal"/>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26" Type="http://schemas.openxmlformats.org/officeDocument/2006/relationships/hyperlink" Target="http://www.sec.gov/Archives/edgar/data/1574211/000119312513158983/d519395dex31.htm" TargetMode="External"/><Relationship Id="rId27" Type="http://schemas.openxmlformats.org/officeDocument/2006/relationships/hyperlink" Target="http://www.sec.gov/Archives/edgar/data/1574211/000119312513158983/d5193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2019-12-29T05:38:49Z</dcterms:created>
  <dcterms:modified xsi:type="dcterms:W3CDTF">2019-12-29T05:38:49Z</dcterms:modified>
</cp:coreProperties>
</file>