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46" w:lineRule="exact"/>
        <w:rPr>
          <w:sz w:val="24"/>
          <w:szCs w:val="24"/>
          <w:color w:val="auto"/>
        </w:rPr>
      </w:pPr>
    </w:p>
    <w:p>
      <w:pPr>
        <w:ind w:left="1460" w:hanging="239"/>
        <w:spacing w:after="0"/>
        <w:tabs>
          <w:tab w:leader="none" w:pos="1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quarterly period ended September 30, 2018</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44" w:lineRule="exact"/>
        <w:rPr>
          <w:sz w:val="24"/>
          <w:szCs w:val="24"/>
          <w:color w:val="auto"/>
        </w:rPr>
      </w:pPr>
    </w:p>
    <w:p>
      <w:pPr>
        <w:ind w:left="1460" w:hanging="239"/>
        <w:spacing w:after="0"/>
        <w:tabs>
          <w:tab w:leader="none" w:pos="1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4" w:lineRule="exact"/>
        <w:rPr>
          <w:sz w:val="24"/>
          <w:szCs w:val="24"/>
          <w:color w:val="auto"/>
        </w:rPr>
      </w:pPr>
    </w:p>
    <w:p>
      <w:pPr>
        <w:ind w:left="4240"/>
        <w:spacing w:after="0"/>
        <w:tabs>
          <w:tab w:leader="none" w:pos="6480" w:val="left"/>
        </w:tabs>
        <w:rPr>
          <w:sz w:val="20"/>
          <w:szCs w:val="20"/>
          <w:color w:val="auto"/>
        </w:rPr>
      </w:pPr>
      <w:r>
        <w:rPr>
          <w:rFonts w:ascii="Arial" w:cs="Arial" w:eastAsia="Arial" w:hAnsi="Arial"/>
          <w:sz w:val="17"/>
          <w:szCs w:val="17"/>
          <w:color w:val="auto"/>
        </w:rPr>
        <w:t>For the transition period</w:t>
      </w:r>
      <w:r>
        <w:rPr>
          <w:sz w:val="20"/>
          <w:szCs w:val="20"/>
          <w:color w:val="auto"/>
        </w:rPr>
        <w:tab/>
      </w:r>
      <w:r>
        <w:rPr>
          <w:rFonts w:ascii="Arial" w:cs="Arial" w:eastAsia="Arial" w:hAnsi="Arial"/>
          <w:sz w:val="16"/>
          <w:szCs w:val="16"/>
          <w:color w:val="auto"/>
        </w:rPr>
        <w:t>to</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Number 333-187970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90" w:lineRule="exact"/>
        <w:rPr>
          <w:sz w:val="24"/>
          <w:szCs w:val="24"/>
          <w:color w:val="auto"/>
        </w:rPr>
      </w:pPr>
    </w:p>
    <w:tbl>
      <w:tblPr>
        <w:tblLayout w:type="fixed"/>
        <w:tblInd w:w="2720" w:type="dxa"/>
        <w:tblCellMar>
          <w:top w:w="0" w:type="dxa"/>
          <w:left w:w="0" w:type="dxa"/>
          <w:bottom w:w="0" w:type="dxa"/>
          <w:right w:w="0" w:type="dxa"/>
        </w:tblCellMar>
      </w:tblPr>
      <w:tr>
        <w:trPr>
          <w:trHeight w:val="222"/>
        </w:trPr>
        <w:tc>
          <w:tcPr>
            <w:tcW w:w="3200" w:type="dxa"/>
            <w:vAlign w:val="bottom"/>
          </w:tcPr>
          <w:p>
            <w:pPr>
              <w:jc w:val="center"/>
              <w:ind w:right="1350"/>
              <w:spacing w:after="0"/>
              <w:rPr>
                <w:sz w:val="20"/>
                <w:szCs w:val="20"/>
                <w:color w:val="auto"/>
              </w:rPr>
            </w:pPr>
            <w:r>
              <w:rPr>
                <w:rFonts w:ascii="Arial" w:cs="Arial" w:eastAsia="Arial" w:hAnsi="Arial"/>
                <w:sz w:val="17"/>
                <w:szCs w:val="17"/>
                <w:b w:val="1"/>
                <w:bCs w:val="1"/>
                <w:color w:val="auto"/>
                <w:w w:val="93"/>
              </w:rPr>
              <w:t>Delaware</w:t>
            </w:r>
          </w:p>
        </w:tc>
        <w:tc>
          <w:tcPr>
            <w:tcW w:w="2400" w:type="dxa"/>
            <w:vAlign w:val="bottom"/>
          </w:tcPr>
          <w:p>
            <w:pPr>
              <w:jc w:val="center"/>
              <w:ind w:left="1330"/>
              <w:spacing w:after="0"/>
              <w:rPr>
                <w:sz w:val="20"/>
                <w:szCs w:val="20"/>
                <w:color w:val="auto"/>
              </w:rPr>
            </w:pPr>
            <w:r>
              <w:rPr>
                <w:rFonts w:ascii="Arial" w:cs="Arial" w:eastAsia="Arial" w:hAnsi="Arial"/>
                <w:sz w:val="17"/>
                <w:szCs w:val="17"/>
                <w:b w:val="1"/>
                <w:bCs w:val="1"/>
                <w:color w:val="auto"/>
                <w:w w:val="92"/>
              </w:rPr>
              <w:t>20-4300339</w:t>
            </w:r>
          </w:p>
        </w:tc>
      </w:tr>
      <w:tr>
        <w:trPr>
          <w:trHeight w:val="175"/>
        </w:trPr>
        <w:tc>
          <w:tcPr>
            <w:tcW w:w="3200" w:type="dxa"/>
            <w:vAlign w:val="bottom"/>
          </w:tcPr>
          <w:p>
            <w:pPr>
              <w:jc w:val="center"/>
              <w:ind w:right="1370"/>
              <w:spacing w:after="0"/>
              <w:rPr>
                <w:sz w:val="20"/>
                <w:szCs w:val="20"/>
                <w:color w:val="auto"/>
              </w:rPr>
            </w:pPr>
            <w:r>
              <w:rPr>
                <w:rFonts w:ascii="Arial" w:cs="Arial" w:eastAsia="Arial" w:hAnsi="Arial"/>
                <w:sz w:val="13"/>
                <w:szCs w:val="13"/>
                <w:b w:val="1"/>
                <w:bCs w:val="1"/>
                <w:color w:val="auto"/>
                <w:w w:val="88"/>
              </w:rPr>
              <w:t>(State or other jurisdiction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200" w:type="dxa"/>
            <w:vAlign w:val="bottom"/>
          </w:tcPr>
          <w:p>
            <w:pPr>
              <w:jc w:val="center"/>
              <w:ind w:right="135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1220 Augusta Drive, Suite 600, Houston, Texas 77057-2261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(713) 570-3000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30" w:lineRule="exact"/>
        <w:rPr>
          <w:sz w:val="24"/>
          <w:szCs w:val="24"/>
          <w:color w:val="auto"/>
        </w:rPr>
      </w:pPr>
    </w:p>
    <w:p>
      <w:pPr>
        <w:jc w:val="both"/>
        <w:ind w:right="54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29" w:lineRule="exact"/>
        <w:rPr>
          <w:sz w:val="24"/>
          <w:szCs w:val="24"/>
          <w:color w:val="auto"/>
        </w:rPr>
      </w:pPr>
    </w:p>
    <w:p>
      <w:pPr>
        <w:ind w:right="260" w:firstLine="324"/>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5" w:lineRule="exact"/>
        <w:rPr>
          <w:sz w:val="24"/>
          <w:szCs w:val="24"/>
          <w:color w:val="auto"/>
        </w:rPr>
      </w:pPr>
    </w:p>
    <w:p>
      <w:pPr>
        <w:ind w:right="40"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340" w:type="dxa"/>
            <w:vAlign w:val="bottom"/>
          </w:tcPr>
          <w:p>
            <w:pPr>
              <w:ind w:left="260"/>
              <w:spacing w:after="0"/>
              <w:rPr>
                <w:sz w:val="20"/>
                <w:szCs w:val="20"/>
                <w:color w:val="auto"/>
              </w:rPr>
            </w:pPr>
            <w:r>
              <w:rPr>
                <w:rFonts w:ascii="Arial" w:cs="Arial" w:eastAsia="Arial" w:hAnsi="Arial"/>
                <w:sz w:val="16"/>
                <w:szCs w:val="16"/>
                <w:color w:val="auto"/>
              </w:rPr>
              <w:t>o</w:t>
            </w:r>
          </w:p>
        </w:tc>
        <w:tc>
          <w:tcPr>
            <w:tcW w:w="422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2340" w:type="dxa"/>
            <w:vAlign w:val="bottom"/>
          </w:tcPr>
          <w:p>
            <w:pPr>
              <w:ind w:left="260"/>
              <w:spacing w:after="0"/>
              <w:rPr>
                <w:sz w:val="20"/>
                <w:szCs w:val="20"/>
                <w:color w:val="auto"/>
              </w:rPr>
            </w:pPr>
            <w:r>
              <w:rPr>
                <w:rFonts w:ascii="Arial" w:cs="Arial" w:eastAsia="Arial" w:hAnsi="Arial"/>
                <w:sz w:val="16"/>
                <w:szCs w:val="16"/>
                <w:color w:val="auto"/>
              </w:rPr>
              <w:t>x</w:t>
            </w:r>
          </w:p>
        </w:tc>
        <w:tc>
          <w:tcPr>
            <w:tcW w:w="4220" w:type="dxa"/>
            <w:vAlign w:val="bottom"/>
          </w:tcPr>
          <w:p>
            <w:pPr>
              <w:ind w:left="200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220" w:type="dxa"/>
            <w:vAlign w:val="bottom"/>
          </w:tcPr>
          <w:p>
            <w:pPr>
              <w:ind w:left="200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bl>
    <w:p>
      <w:pPr>
        <w:spacing w:after="0" w:line="50" w:lineRule="exact"/>
        <w:rPr>
          <w:sz w:val="24"/>
          <w:szCs w:val="24"/>
          <w:color w:val="auto"/>
        </w:rPr>
      </w:pPr>
    </w:p>
    <w:p>
      <w:pPr>
        <w:ind w:left="1240" w:right="1860"/>
        <w:spacing w:after="0" w:line="36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9" w:lineRule="exact"/>
        <w:rPr>
          <w:sz w:val="24"/>
          <w:szCs w:val="24"/>
          <w:color w:val="auto"/>
        </w:rPr>
      </w:pPr>
    </w:p>
    <w:p>
      <w:pPr>
        <w:ind w:left="340"/>
        <w:spacing w:after="0"/>
        <w:tabs>
          <w:tab w:leader="none" w:pos="7840" w:val="left"/>
          <w:tab w:leader="none" w:pos="84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6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September 30, 2018, the only member of the registrant is a wholly-owned indirect subsidiary of Crown Castle International Corp.</w:t>
      </w:r>
    </w:p>
    <w:p>
      <w:pPr>
        <w:spacing w:after="0" w:line="167" w:lineRule="exact"/>
        <w:rPr>
          <w:sz w:val="24"/>
          <w:szCs w:val="24"/>
          <w:color w:val="auto"/>
        </w:rPr>
      </w:pPr>
    </w:p>
    <w:p>
      <w:pPr>
        <w:ind w:right="320" w:firstLine="324"/>
        <w:spacing w:after="0" w:line="275" w:lineRule="auto"/>
        <w:rPr>
          <w:sz w:val="20"/>
          <w:szCs w:val="20"/>
          <w:color w:val="auto"/>
        </w:rPr>
      </w:pPr>
      <w:r>
        <w:rPr>
          <w:rFonts w:ascii="Arial" w:cs="Arial" w:eastAsia="Arial" w:hAnsi="Arial"/>
          <w:sz w:val="16"/>
          <w:szCs w:val="16"/>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20"/>
          </w:cols>
          <w:pgMar w:left="240" w:top="11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6"/>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and any variation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 Results of Operations"</w:t>
      </w:r>
      <w:r>
        <w:rPr>
          <w:rFonts w:ascii="Arial" w:cs="Arial" w:eastAsia="Arial" w:hAnsi="Arial"/>
          <w:sz w:val="16"/>
          <w:szCs w:val="16"/>
          <w:color w:val="auto"/>
        </w:rPr>
        <w:t xml:space="preserve"> ("MD&amp;A") herein. Such forward-looking statements include (1) expectations regarding anticipated growth in the wireless industry, carriers' investments in their networks, tenant additions, and demand for data and our communications infrastructure, (2) expectations regarding tenant leasing and non-renewals of tenant contracts (including the impact of our customers' decommissioning of the former Leap Wireless, MetroPCS and Clearwire networks (collectively,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w:t>
      </w:r>
    </w:p>
    <w:p>
      <w:pPr>
        <w:spacing w:after="0" w:line="5" w:lineRule="exact"/>
        <w:rPr>
          <w:sz w:val="20"/>
          <w:szCs w:val="20"/>
          <w:color w:val="auto"/>
        </w:rPr>
      </w:pPr>
    </w:p>
    <w:p>
      <w:pPr>
        <w:jc w:val="both"/>
        <w:ind w:firstLine="8"/>
        <w:spacing w:after="0" w:line="271" w:lineRule="auto"/>
        <w:tabs>
          <w:tab w:leader="none" w:pos="268" w:val="left"/>
        </w:tabs>
        <w:numPr>
          <w:ilvl w:val="0"/>
          <w:numId w:val="3"/>
        </w:numPr>
        <w:rPr>
          <w:rFonts w:ascii="Arial" w:cs="Arial" w:eastAsia="Arial" w:hAnsi="Arial"/>
          <w:sz w:val="17"/>
          <w:szCs w:val="17"/>
          <w:color w:val="auto"/>
        </w:rPr>
      </w:pPr>
      <w:r>
        <w:rPr>
          <w:rFonts w:ascii="Arial" w:cs="Arial" w:eastAsia="Arial" w:hAnsi="Arial"/>
          <w:sz w:val="17"/>
          <w:szCs w:val="17"/>
          <w:color w:val="auto"/>
        </w:rPr>
        <w:t>anticipated changes in our financial results, including future revenues and operating cash flows, (6) expectations regarding our capital structure and the credit markets, net cash, debt maturities, our availability and cost of capital, or our ability to service our debt and comply with debt covenants, (7) expectations for sustaining capital expenditures, (8) expectations related to CCIC's ability to remain qualified as a real estate investment trust ("REIT") and the advantages, benefits or impact of, or opportunities created by the inclusion of our assets and operations in CCIC's REIT and (9) expectations related to the impact of customer consolidation or ownership changes, including the impact of the potential combination of T-Mobile and Sprint.</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2017 ("2017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6"/>
        </w:trPr>
        <w:tc>
          <w:tcPr>
            <w:tcW w:w="1260" w:type="dxa"/>
            <w:vAlign w:val="bottom"/>
          </w:tcPr>
          <w:p>
            <w:pPr>
              <w:spacing w:after="0"/>
              <w:rPr>
                <w:sz w:val="24"/>
                <w:szCs w:val="24"/>
                <w:color w:val="auto"/>
              </w:rPr>
            </w:pPr>
          </w:p>
        </w:tc>
        <w:tc>
          <w:tcPr>
            <w:tcW w:w="6640" w:type="dxa"/>
            <w:vAlign w:val="bottom"/>
          </w:tcPr>
          <w:p>
            <w:pPr>
              <w:jc w:val="center"/>
              <w:ind w:left="2173"/>
              <w:spacing w:after="0"/>
              <w:rPr>
                <w:sz w:val="20"/>
                <w:szCs w:val="20"/>
                <w:color w:val="auto"/>
              </w:rPr>
            </w:pPr>
            <w:r>
              <w:rPr>
                <w:rFonts w:ascii="Arial" w:cs="Arial" w:eastAsia="Arial" w:hAnsi="Arial"/>
                <w:sz w:val="18"/>
                <w:szCs w:val="18"/>
                <w:b w:val="1"/>
                <w:bCs w:val="1"/>
                <w:color w:val="auto"/>
                <w:w w:val="99"/>
              </w:rPr>
              <w:t>CC HOLDINGS GS V LLC</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8480" w:type="dxa"/>
            <w:vAlign w:val="bottom"/>
            <w:gridSpan w:val="4"/>
          </w:tcPr>
          <w:p>
            <w:pPr>
              <w:jc w:val="center"/>
              <w:ind w:left="353"/>
              <w:spacing w:after="0"/>
              <w:rPr>
                <w:sz w:val="20"/>
                <w:szCs w:val="20"/>
                <w:color w:val="auto"/>
              </w:rPr>
            </w:pPr>
            <w:r>
              <w:rPr>
                <w:rFonts w:ascii="Arial" w:cs="Arial" w:eastAsia="Arial" w:hAnsi="Arial"/>
                <w:sz w:val="18"/>
                <w:szCs w:val="18"/>
                <w:b w:val="1"/>
                <w:bCs w:val="1"/>
                <w:color w:val="auto"/>
                <w:w w:val="97"/>
              </w:rPr>
              <w:t>CONDENSED CONSOLIDATED BALANCE SHEET (Unaudited)</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640" w:type="dxa"/>
            <w:vAlign w:val="bottom"/>
          </w:tcPr>
          <w:p>
            <w:pPr>
              <w:jc w:val="center"/>
              <w:ind w:left="2193"/>
              <w:spacing w:after="0"/>
              <w:rPr>
                <w:sz w:val="20"/>
                <w:szCs w:val="20"/>
                <w:color w:val="auto"/>
              </w:rPr>
            </w:pPr>
            <w:r>
              <w:rPr>
                <w:rFonts w:ascii="Arial" w:cs="Arial" w:eastAsia="Arial" w:hAnsi="Arial"/>
                <w:sz w:val="18"/>
                <w:szCs w:val="18"/>
                <w:b w:val="1"/>
                <w:bCs w:val="1"/>
                <w:color w:val="auto"/>
                <w:w w:val="89"/>
              </w:rPr>
              <w:t>(In thousands of dollars)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07"/>
        </w:trPr>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4"/>
                <w:szCs w:val="24"/>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2017</w:t>
            </w:r>
          </w:p>
        </w:tc>
      </w:tr>
      <w:tr>
        <w:trPr>
          <w:trHeight w:val="236"/>
        </w:trPr>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6640" w:type="dxa"/>
            <w:vAlign w:val="bottom"/>
            <w:tcBorders>
              <w:top w:val="single" w:sz="8" w:color="CCEEFF"/>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w w:val="96"/>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30,771</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2,581</w:t>
            </w: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24,300</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25,739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25,105</w:t>
            </w:r>
          </w:p>
        </w:tc>
      </w:tr>
      <w:tr>
        <w:trPr>
          <w:trHeight w:val="33"/>
        </w:trPr>
        <w:tc>
          <w:tcPr>
            <w:tcW w:w="7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82,757</w:t>
            </w:r>
          </w:p>
        </w:tc>
      </w:tr>
      <w:tr>
        <w:trPr>
          <w:trHeight w:val="237"/>
        </w:trPr>
        <w:tc>
          <w:tcPr>
            <w:tcW w:w="7900" w:type="dxa"/>
            <w:vAlign w:val="bottom"/>
            <w:gridSpan w:val="2"/>
          </w:tcPr>
          <w:p>
            <w:pPr>
              <w:spacing w:after="0"/>
              <w:rPr>
                <w:sz w:val="20"/>
                <w:szCs w:val="20"/>
                <w:color w:val="auto"/>
              </w:rPr>
            </w:pPr>
            <w:r>
              <w:rPr>
                <w:rFonts w:ascii="Arial" w:cs="Arial" w:eastAsia="Arial" w:hAnsi="Arial"/>
                <w:sz w:val="16"/>
                <w:szCs w:val="16"/>
                <w:color w:val="auto"/>
              </w:rPr>
              <w:t>Deferred site rental receivables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341,633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333,164</w:t>
            </w: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$989,180 and $919,546,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1,041,157</w:t>
            </w: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Goodwill</w:t>
            </w:r>
          </w:p>
        </w:tc>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1,338,730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1,338,730</w:t>
            </w: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922,526</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39,252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38,154</w:t>
            </w:r>
          </w:p>
        </w:tc>
      </w:tr>
      <w:tr>
        <w:trPr>
          <w:trHeight w:val="33"/>
        </w:trPr>
        <w:tc>
          <w:tcPr>
            <w:tcW w:w="7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3,658,618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3,756,488</w:t>
            </w:r>
          </w:p>
        </w:tc>
      </w:tr>
      <w:tr>
        <w:trPr>
          <w:trHeight w:val="20"/>
        </w:trPr>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w w:val="97"/>
              </w:rPr>
              <w:t>Current liabilities:</w:t>
            </w:r>
          </w:p>
        </w:tc>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 and payables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17,748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8,126</w:t>
            </w: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11,586</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Other accrued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8,835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8,828</w:t>
            </w:r>
          </w:p>
        </w:tc>
      </w:tr>
      <w:tr>
        <w:trPr>
          <w:trHeight w:val="33"/>
        </w:trPr>
        <w:tc>
          <w:tcPr>
            <w:tcW w:w="7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30,341</w:t>
            </w: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Debt</w:t>
            </w:r>
          </w:p>
        </w:tc>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993,701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992,663</w:t>
            </w: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107,673</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49,936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49,340</w:t>
            </w:r>
          </w:p>
        </w:tc>
      </w:tr>
      <w:tr>
        <w:trPr>
          <w:trHeight w:val="33"/>
        </w:trPr>
        <w:tc>
          <w:tcPr>
            <w:tcW w:w="7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1,180,017</w:t>
            </w:r>
          </w:p>
        </w:tc>
      </w:tr>
      <w:tr>
        <w:trPr>
          <w:trHeight w:val="217"/>
        </w:trPr>
        <w:tc>
          <w:tcPr>
            <w:tcW w:w="790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Member's equity:</w:t>
            </w:r>
          </w:p>
        </w:tc>
        <w:tc>
          <w:tcPr>
            <w:tcW w:w="6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Member's equity</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2,462,508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2,576,471</w:t>
            </w: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gridSpan w:val="2"/>
          </w:tcPr>
          <w:p>
            <w:pPr>
              <w:ind w:left="600"/>
              <w:spacing w:after="0"/>
              <w:rPr>
                <w:sz w:val="20"/>
                <w:szCs w:val="20"/>
                <w:color w:val="auto"/>
              </w:rPr>
            </w:pPr>
            <w:r>
              <w:rPr>
                <w:rFonts w:ascii="Arial" w:cs="Arial" w:eastAsia="Arial" w:hAnsi="Arial"/>
                <w:sz w:val="16"/>
                <w:szCs w:val="16"/>
                <w:color w:val="auto"/>
              </w:rPr>
              <w:t>Total member's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2,462,508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2,576,471</w:t>
            </w:r>
          </w:p>
        </w:tc>
      </w:tr>
      <w:tr>
        <w:trPr>
          <w:trHeight w:val="33"/>
        </w:trPr>
        <w:tc>
          <w:tcPr>
            <w:tcW w:w="7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3,658,618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3,756,488</w:t>
            </w:r>
          </w:p>
        </w:tc>
      </w:tr>
      <w:tr>
        <w:trPr>
          <w:trHeight w:val="20"/>
        </w:trPr>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36"/>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165,108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153,732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492,158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460,028</w:t>
            </w:r>
          </w:p>
        </w:tc>
      </w:tr>
      <w:tr>
        <w:trPr>
          <w:trHeight w:val="270"/>
        </w:trPr>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22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37,616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37,504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112,469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113,185</w:t>
            </w:r>
          </w:p>
        </w:tc>
      </w:tr>
      <w:tr>
        <w:trPr>
          <w:trHeight w:val="27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10,163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9,234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30,478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27,275</w:t>
            </w:r>
          </w:p>
        </w:tc>
      </w:tr>
      <w:tr>
        <w:trPr>
          <w:trHeight w:val="250"/>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22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47,779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46,738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142,947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140,460</w:t>
            </w: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Management fee—related party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35,069</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Asset write-down charges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157,765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157,886</w:t>
            </w:r>
          </w:p>
        </w:tc>
      </w:tr>
      <w:tr>
        <w:trPr>
          <w:trHeight w:val="217"/>
        </w:trPr>
        <w:tc>
          <w:tcPr>
            <w:tcW w:w="5620" w:type="dxa"/>
            <w:vAlign w:val="bottom"/>
            <w:gridSpan w:val="3"/>
          </w:tcPr>
          <w:p>
            <w:pPr>
              <w:ind w:left="7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112,319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111,231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337,283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333,415</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154,875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126,613</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(29,906)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42,910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31,812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125,032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96,836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42,817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31,724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124,753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96,572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124,753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96,572</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157,765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157,886</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accrued interest</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9,622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9,622</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3,009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3,788</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w w:val="96"/>
              </w:rPr>
              <w:t>Decrease (increase) in other current assets, deferred site rental receivable, long-term prepaid rent and other assets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5,969</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275,130</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(46,001)</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(52,187)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(46,001)</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(238,716)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(224,160)</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(224,160)</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4,969</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19,550</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24,236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24,519</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2,498,784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2,498,784</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(42,817)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(79,093)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42,817</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42,817</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2,462,508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2,462,508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2,660,691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2,660,691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(31,724)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(80,758)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31,724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31,724</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September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2,611,657</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2,611,657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2,576,471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(113,963)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(124,753)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(238,716)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124,753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124,753</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2,462,508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2,462,508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2,739,245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(127,588)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(96,572)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(224,160)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96,572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96,572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September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2,611,657</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2,611,657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2017, and related notes thereto, included in the 2017 Form 10-K filed by the Company with the SEC.</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customers on its communication infrastructure are referred to herein as "tenants." Management services related to the Company's sites are performed by Crown Castle USA Inc. ("CCUSA"), an affiliate of the Company, under the Management Agreement, as the Company has no employees.</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September 30, 2018, and the consolidated results of operations and the consolidated cash flows for the nine months ended September 30, 2018 and 2017.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those estimates.</w:t>
      </w:r>
    </w:p>
    <w:p>
      <w:pPr>
        <w:spacing w:after="0" w:line="33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significant accounting policies used in the preparation of the Company's condensed consolidated financial statements are disclosed in the 2017 Form 10-K, other than as updated by certain recent accounting pronouncements described below.</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was effective for the Company on January 1, 2018. The Company's site rental revenues are within the scope of lease accounting and were not impacted by this guidance.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This guidance is effective for the Company as of January 1, 2019, and is required to be adopted using a modified retrospective approach, which after certain additional updates in July 2018, allows the Company to apply the new guidance either (1) as of the beginning of the earliest period presented, or (2) as of the effective date (i.e., January 1, 2019), without adjusting the comparative periods. If necessary under the new guidance, a cumulative-effect adjustment is recognized to the opening balance of retained earnings in the period in which the guidance is initially applied.</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will apply the guidance as of the effective date, without adjusting the comparative periods and, if necessary, will recognize a cumulative-effect adjustment to the opening balance of retained earnings. Although early adoption is permitted, the Company will not adopt the new guidance prior to January 1, 2019.</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expects that (1) its lessor and lessee arrangements will continue to be classified as operating leases under the new guidance; (2) this guidance will have a material impact on its condensed consolidated balance sheet due to the addition of right-of-use assets and lease liabilities for lessee arrangements (which primarily consist of ground leases under the Company's towers); and (3) there will not be a material impact to its condensed consolidated statement of operations and condensed consolidated statement of cash flows. CCIC is in the process of updating certain of its existing information technology systems to integrate the new lease guidance requirements.</w:t>
      </w:r>
    </w:p>
    <w:p>
      <w:pPr>
        <w:spacing w:after="0" w:line="34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outstanding balance of the 3.849% Secured Notes due April 2023 as of September 30, 2018 and December 31, 2017 was $994 million and $993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4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28,868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1,038</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29,906</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towers.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under the Company's towers. These affiliates then lease the land to the Company. Under such circumstances, the Company's obligation typically continues with the same or similar economic terms as the contract for the land that existed prior to an affiliate acquiring rights to such land. As of September 30, 2018, approximately 30% of the Company's towers were located on land which was controlled by an affiliate. Also, the Company receives site rental revenue from affiliates for land controlled by the Company on which affiliates have towers and pays ground rent expense to affiliates for land owned by affiliates on which the Company has towers.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September 30, 2018 and 2017, the Company recorded equity distributions of $238.7 million and $224.2 million, respectively, reflecting distributions to its member. Cash on hand above the amount that is required by the Management Agreement has been, and is expected to continue to be, distributed to the Company's parent company. As of September 30, 2018 and 2017, the Company had no material related party assets or liabilities on its condensed consolidated balance sheet.</w:t>
      </w:r>
    </w:p>
    <w:p>
      <w:pPr>
        <w:spacing w:after="0" w:line="34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nine months ended September 30, 2018 and 2017, the Company's effective tax rate differed from the federal statutory rate predominately due to (1) CCIC's REIT status, including the dividends paid deduction and (2) state taxes.</w:t>
      </w:r>
    </w:p>
    <w:p>
      <w:pPr>
        <w:spacing w:after="0" w:line="32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applicable. There were no changes since December 31, 2017 in the Company's valuation techniques used to measure fair values. The estimated fair values of the Company's financial instruments, along with the carrying amounts of the related assets and liabilities, are as follows:</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24,236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24,236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30,771</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993,701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994,300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992,663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1,032,530</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16"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4"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792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03" w:lineRule="exact"/>
        <w:rPr>
          <w:sz w:val="20"/>
          <w:szCs w:val="20"/>
          <w:color w:val="auto"/>
        </w:rPr>
      </w:pPr>
    </w:p>
    <w:p>
      <w:pPr>
        <w:ind w:left="9040"/>
        <w:spacing w:after="0"/>
        <w:tabs>
          <w:tab w:leader="none" w:pos="10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720344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Supplemental disclosure of cash flow information:</w:t>
      </w:r>
    </w:p>
    <w:p>
      <w:pPr>
        <w:spacing w:after="0" w:line="86" w:lineRule="exact"/>
        <w:rPr>
          <w:sz w:val="20"/>
          <w:szCs w:val="20"/>
          <w:color w:val="auto"/>
        </w:rPr>
      </w:pPr>
    </w:p>
    <w:p>
      <w:pPr>
        <w:ind w:left="320"/>
        <w:spacing w:after="0"/>
        <w:tabs>
          <w:tab w:leader="none" w:pos="8580" w:val="left"/>
          <w:tab w:leader="none" w:pos="9360" w:val="left"/>
          <w:tab w:leader="none" w:pos="10040" w:val="left"/>
          <w:tab w:leader="none" w:pos="10820" w:val="left"/>
        </w:tabs>
        <w:rPr>
          <w:sz w:val="20"/>
          <w:szCs w:val="20"/>
          <w:color w:val="auto"/>
        </w:rPr>
      </w:pPr>
      <w:r>
        <w:rPr>
          <w:rFonts w:ascii="Arial" w:cs="Arial" w:eastAsia="Arial" w:hAnsi="Arial"/>
          <w:sz w:val="16"/>
          <w:szCs w:val="16"/>
          <w:color w:val="auto"/>
        </w:rPr>
        <w:t>Interest paid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19,246</w:t>
        <w:tab/>
        <w:t>$</w:t>
      </w:r>
      <w:r>
        <w:rPr>
          <w:sz w:val="20"/>
          <w:szCs w:val="20"/>
          <w:color w:val="auto"/>
        </w:rPr>
        <w:tab/>
      </w:r>
      <w:r>
        <w:rPr>
          <w:rFonts w:ascii="Arial" w:cs="Arial" w:eastAsia="Arial" w:hAnsi="Arial"/>
          <w:sz w:val="14"/>
          <w:szCs w:val="14"/>
          <w:color w:val="auto"/>
        </w:rPr>
        <w:t>19,246</w:t>
      </w:r>
    </w:p>
    <w:p>
      <w:pPr>
        <w:spacing w:after="0" w:line="200" w:lineRule="exact"/>
        <w:rPr>
          <w:sz w:val="20"/>
          <w:szCs w:val="20"/>
          <w:color w:val="auto"/>
        </w:rPr>
      </w:pPr>
    </w:p>
    <w:p>
      <w:pPr>
        <w:spacing w:after="0" w:line="21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("MD&amp;A") included in our 2017 Form 10-K. Capitalized terms used but not defined in this Form 10-Q have the same meaning given to them in our 2017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is subject to long-term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nine months ended September 30, 2018.</w:t>
      </w:r>
    </w:p>
    <w:p>
      <w:pPr>
        <w:spacing w:after="0" w:line="23"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towers.</w:t>
      </w: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existing and potential new customer demand for our towers will result from (1) new technologies, (2) increased usage of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and (6) the availability of additional spectrum.</w:t>
      </w:r>
    </w:p>
    <w:p>
      <w:pPr>
        <w:spacing w:after="0" w:line="1"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right="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communications infrastructure, such as towers or other structures, and have no employees.</w:t>
      </w:r>
    </w:p>
    <w:p>
      <w:pPr>
        <w:ind w:left="1220" w:hanging="402"/>
        <w:spacing w:after="0" w:line="281"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tenants, with contractual escalations and multiple renewal periods at the option of the tenant of five to ten years each.</w:t>
      </w: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contract by the related site rental revenue) of approximately six years, exclusive of renewals at the tenants' option, currently representing approximately $4.3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Majority of land interests under our towers are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by us, including fee interests and perpetual easements.</w:t>
      </w:r>
    </w:p>
    <w:p>
      <w:pPr>
        <w:spacing w:after="0" w:line="1"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Approximately 21%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$284.4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23"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2018.</w:t>
      </w:r>
    </w:p>
    <w:p>
      <w:pPr>
        <w:spacing w:after="0" w:line="9" w:lineRule="exact"/>
        <w:rPr>
          <w:rFonts w:ascii="Arial" w:cs="Arial" w:eastAsia="Arial" w:hAnsi="Arial"/>
          <w:sz w:val="18"/>
          <w:szCs w:val="18"/>
          <w:color w:val="auto"/>
        </w:rPr>
      </w:pPr>
    </w:p>
    <w:p>
      <w:pPr>
        <w:ind w:left="1220" w:hanging="807"/>
        <w:spacing w:after="0" w:line="250"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2018, we also expect that the impact from tenant leasing will be offset by non-renewals of tenant contracts, primarily from our customers' decommissioning of the Acquired Networks, at least in part.</w:t>
      </w:r>
    </w:p>
    <w:p>
      <w:pPr>
        <w:ind w:left="1220" w:hanging="807"/>
        <w:spacing w:after="0" w:line="255"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2019, we expect demand for tenant leasing to continue; however, we anticipate any increase to site rental revenues attributable to new leasing will be offset by expected non-renewals of tenant contracts, including from our customers' continued decommissioning of the Acquired Networks.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2017 Form 10-K. 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Policies and Estimates" </w:t>
      </w:r>
      <w:r>
        <w:rPr>
          <w:rFonts w:ascii="Arial" w:cs="Arial" w:eastAsia="Arial" w:hAnsi="Arial"/>
          <w:sz w:val="18"/>
          <w:szCs w:val="18"/>
          <w:color w:val="auto"/>
        </w:rPr>
        <w:t>herein and note 2 to our 2017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Consolidated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is derived from our historical consolidated statements of operations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20" w:type="dxa"/>
            <w:vAlign w:val="bottom"/>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9"/>
              </w:rPr>
              <w:t>September 30, 2017</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165,108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153,732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18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47,779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46,738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12,207</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11,779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Asset write-down charges</w:t>
            </w: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52,333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52,714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112,319</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111,231</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52,789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42,501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(9,969)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42,910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31,812</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42,817</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31,724</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4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600" w:type="dxa"/>
            <w:vAlign w:val="bottom"/>
          </w:tcPr>
          <w:p>
            <w:pPr>
              <w:jc w:val="right"/>
              <w:ind w:right="200"/>
              <w:spacing w:after="0"/>
              <w:rPr>
                <w:sz w:val="20"/>
                <w:szCs w:val="20"/>
                <w:color w:val="auto"/>
              </w:rPr>
            </w:pPr>
            <w:r>
              <w:rPr>
                <w:rFonts w:ascii="Arial" w:cs="Arial" w:eastAsia="Arial" w:hAnsi="Arial"/>
                <w:sz w:val="14"/>
                <w:szCs w:val="14"/>
                <w:b w:val="1"/>
                <w:bCs w:val="1"/>
                <w:color w:val="auto"/>
                <w:w w:val="99"/>
              </w:rPr>
              <w:t>Nine Months Ended</w:t>
            </w:r>
          </w:p>
        </w:tc>
        <w:tc>
          <w:tcPr>
            <w:tcW w:w="220" w:type="dxa"/>
            <w:vAlign w:val="bottom"/>
          </w:tcPr>
          <w:p>
            <w:pPr>
              <w:spacing w:after="0"/>
              <w:rPr>
                <w:sz w:val="14"/>
                <w:szCs w:val="14"/>
                <w:color w:val="auto"/>
              </w:rPr>
            </w:pPr>
          </w:p>
        </w:tc>
        <w:tc>
          <w:tcPr>
            <w:tcW w:w="1120" w:type="dxa"/>
            <w:vAlign w:val="bottom"/>
          </w:tcPr>
          <w:p>
            <w:pPr>
              <w:jc w:val="right"/>
              <w:ind w:right="26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7"/>
              </w:rPr>
              <w:t>September 30, 2017</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492,158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460,028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2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180" w:type="dxa"/>
            <w:vAlign w:val="bottom"/>
          </w:tcPr>
          <w:p>
            <w:pPr>
              <w:spacing w:after="0"/>
              <w:rPr>
                <w:sz w:val="23"/>
                <w:szCs w:val="23"/>
                <w:color w:val="auto"/>
              </w:rPr>
            </w:pP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142,947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140,460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36,227</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35,069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Asset write-down charges</w:t>
            </w:r>
          </w:p>
        </w:tc>
        <w:tc>
          <w:tcPr>
            <w:tcW w:w="180" w:type="dxa"/>
            <w:vAlign w:val="bottom"/>
          </w:tcPr>
          <w:p>
            <w:pPr>
              <w:spacing w:after="0"/>
              <w:rPr>
                <w:sz w:val="20"/>
                <w:szCs w:val="20"/>
                <w:color w:val="auto"/>
              </w:rPr>
            </w:pP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157,765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157,886</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337,283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333,415</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154,875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126,613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(29,906)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(29,906)</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125,032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96,836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124,753</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96,572</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6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Third Quarter 2018 and 2017</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three months ended September 30, 2018 increased by $11.4 million, or 7%, from the same period in the prior year. This increase in site rental revenues was impacted by the following items, inclusive of straight-line accounting: tenant additions across our entire portfolio, renewals or extensions of tenant contracts, escalations and non-renewals of tenant contracts. Tenant additions were influenced by our customers'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2017 Form 10-K for further discussion regarding our customers' decommissioning of the Acquired Networks.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three months ended September 30, 2018 increased by $10.3 million, or 24%, from the same period in the prior year. The increase in operating income was predominately due to the aforementioned increase in site rental revenues, partially offset by an increase in the cost of operations from the three months ended September 30, 2017.</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September 30, 2018 remained unchanged from the same period in the prior year.</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the three months ended September 30, 2018 was $42.8 million, compared to net income of $31.7 million for the three months ended September 30, 2017. The increase was due primarily to the aforementioned increase in site rental revenues.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Nine Months 2018 and 2017</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nine months ended September 30, 2018 increased by $32.1 million, or 7%, from the same period in the prior year. The increase in site rental revenues was impacted by the following items, inclusive of straight-line accounting: new tenant additions across our entire portfolio, renewals or extensions of tenant leases, escalations and non-renewal of tenant contracts. Tenant additions were influenced by our customers'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2017 Form 10-K for further discussion regarding our customers' decommissioning of the Acquired Networks.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nine months ended September 30, 2018 increased by $28.3 million, or 22%, from the same period in the prior year. The increase in operating income was predominately due to the aforementioned increase in site rental revenues, partially offset by an increase in the cost of operations from the nine months ended September 30, 2017.</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nine months ended September 30, 2018 remained unchanged from the same period in the prior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0" w:right="239" w:bottom="1440" w:gutter="0" w:footer="0" w:header="0"/>
        </w:sectPr>
      </w:pPr>
    </w:p>
    <w:bookmarkStart w:id="13" w:name="page14"/>
    <w:bookmarkEnd w:id="13"/>
    <w:p>
      <w:pPr>
        <w:jc w:val="both"/>
        <w:ind w:firstLine="405"/>
        <w:spacing w:after="0" w:line="277" w:lineRule="auto"/>
        <w:rPr>
          <w:sz w:val="20"/>
          <w:szCs w:val="20"/>
          <w:color w:val="auto"/>
        </w:rPr>
      </w:pPr>
      <w:r>
        <w:rPr>
          <w:rFonts w:ascii="Arial" w:cs="Arial" w:eastAsia="Arial" w:hAnsi="Arial"/>
          <w:sz w:val="18"/>
          <w:szCs w:val="18"/>
          <w:color w:val="auto"/>
        </w:rPr>
        <w:t>Net income for the nine months ended September 30, 2018 was $124.8 million compared to net income of $96.6 million for the nine months ended September 30, 2017. The increase was due primarily to the aforementioned increase in site rental revenues.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core business generates revenues under long-term contracts (See</w:t>
      </w:r>
      <w:r>
        <w:rPr>
          <w:rFonts w:ascii="Arial" w:cs="Arial" w:eastAsia="Arial" w:hAnsi="Arial"/>
          <w:sz w:val="17"/>
          <w:szCs w:val="17"/>
          <w:i w:val="1"/>
          <w:iCs w:val="1"/>
          <w:color w:val="auto"/>
        </w:rPr>
        <w:t xml:space="preserve"> "Item 2. MD&amp;A—General Overview"</w:t>
      </w:r>
      <w:r>
        <w:rPr>
          <w:rFonts w:ascii="Arial" w:cs="Arial" w:eastAsia="Arial" w:hAnsi="Arial"/>
          <w:sz w:val="17"/>
          <w:szCs w:val="17"/>
          <w:color w:val="auto"/>
        </w:rPr>
        <w:t>), predominantly from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U.S. 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September 30, 2018:</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60" w:type="dxa"/>
            <w:vAlign w:val="bottom"/>
          </w:tcPr>
          <w:p>
            <w:pPr>
              <w:jc w:val="right"/>
              <w:ind w:right="60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24,236</w:t>
            </w: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Debt</w:t>
            </w:r>
          </w:p>
        </w:tc>
        <w:tc>
          <w:tcPr>
            <w:tcW w:w="408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993,701</w:t>
            </w:r>
          </w:p>
        </w:tc>
      </w:tr>
      <w:tr>
        <w:trPr>
          <w:trHeight w:val="33"/>
        </w:trPr>
        <w:tc>
          <w:tcPr>
            <w:tcW w:w="5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40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2,462,508</w:t>
            </w:r>
          </w:p>
        </w:tc>
      </w:tr>
      <w:tr>
        <w:trPr>
          <w:trHeight w:val="33"/>
        </w:trPr>
        <w:tc>
          <w:tcPr>
            <w:tcW w:w="54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462"/>
              <w:spacing w:after="0"/>
              <w:rPr>
                <w:sz w:val="20"/>
                <w:szCs w:val="20"/>
                <w:color w:val="auto"/>
              </w:rPr>
            </w:pPr>
            <w:r>
              <w:rPr>
                <w:rFonts w:ascii="Arial" w:cs="Arial" w:eastAsia="Arial" w:hAnsi="Arial"/>
                <w:sz w:val="14"/>
                <w:szCs w:val="14"/>
                <w:b w:val="1"/>
                <w:bCs w:val="1"/>
                <w:color w:val="auto"/>
                <w:w w:val="92"/>
              </w:rPr>
              <w:t>Nine Months Ended September 30,</w:t>
            </w:r>
          </w:p>
        </w:tc>
        <w:tc>
          <w:tcPr>
            <w:tcW w:w="82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284,368</w:t>
            </w:r>
          </w:p>
        </w:tc>
        <w:tc>
          <w:tcPr>
            <w:tcW w:w="12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275,130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9,238</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(6,186)</w:t>
            </w: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(238,716)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(224,160)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(14,556)</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(11,504)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in net cash provided by operating activities for the first nine months of 2018 of $9.2 million, or 3%, from the first nine months of 2017, was due primarily to growth in cash revenues, including cash escalations that are subject to straight-line accounting, offset by a net decrease from changes in working capital. Changes in working capital (including changes in accounts receivables, deferred site rental receivables and prepaid ground leases) contribute to variability in net cash provided by operating activities, largely due to the timing of advanced payments by us and advanced receipts from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Sustaining capital expenditures consist of capital improvements on our sites that enable our customers' ongoing quiet enjoyment of the site.</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nine months ended September 30, 2018 and 2017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463"/>
              <w:spacing w:after="0"/>
              <w:rPr>
                <w:sz w:val="20"/>
                <w:szCs w:val="20"/>
                <w:color w:val="auto"/>
              </w:rPr>
            </w:pPr>
            <w:r>
              <w:rPr>
                <w:rFonts w:ascii="Arial" w:cs="Arial" w:eastAsia="Arial" w:hAnsi="Arial"/>
                <w:sz w:val="14"/>
                <w:szCs w:val="14"/>
                <w:b w:val="1"/>
                <w:bCs w:val="1"/>
                <w:color w:val="auto"/>
                <w:w w:val="92"/>
              </w:rPr>
              <w:t>Nine Months Ended September 30,</w:t>
            </w:r>
          </w:p>
        </w:tc>
        <w:tc>
          <w:tcPr>
            <w:tcW w:w="82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improvements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46,105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40,338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5,767</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6,082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5,663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419</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6,186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net cash flows used for financing activities in the nine months ended September 30, 2018 and 2017 includes the impact from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2017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parent.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2018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2017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in our 2017 Form 10-K. The critical accounting policies and estimates for the first nine months of 2018 have not changed from the critical accounting policies for the year ended December 31,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Item 1A of our 2017 Form 10-K, we have previously included the risk factor captioned “</w:t>
      </w:r>
      <w:r>
        <w:rPr>
          <w:rFonts w:ascii="Arial" w:cs="Arial" w:eastAsia="Arial" w:hAnsi="Arial"/>
          <w:sz w:val="16"/>
          <w:szCs w:val="16"/>
          <w:b w:val="1"/>
          <w:bCs w:val="1"/>
          <w:i w:val="1"/>
          <w:iCs w:val="1"/>
          <w:color w:val="auto"/>
        </w:rPr>
        <w:t>A substantial portion of our revenues is derived from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small number of customers, and the loss, consolidation or financial instability of any of such customers may materially decrease revenues or reduce demand for our communications infrastructure.</w:t>
      </w:r>
      <w:r>
        <w:rPr>
          <w:rFonts w:ascii="Arial" w:cs="Arial" w:eastAsia="Arial" w:hAnsi="Arial"/>
          <w:sz w:val="16"/>
          <w:szCs w:val="16"/>
          <w:color w:val="auto"/>
        </w:rPr>
        <w:t>” Information set forth below is an update to that risk factor. You should carefully consider the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this document and the risk factors contained in our 2017 Form 10-K, as updated by the information contained below.</w:t>
      </w:r>
    </w:p>
    <w:p>
      <w:pPr>
        <w:spacing w:after="0" w:line="1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2018, T-Mobile and Sprint entered into a definitive agreement to merge, subject to regulatory approval and other closing conditions. This potential transaction may result in a decrease or delay in demand for our communications infrastructure, as a result of the anticipated integration of the T-Mobile and Sprint networks and related duplicate or overlapping parts of their networks, which may lead to a reduction in our revenues or cash flows and may trigger a review for impairment of certain long-lived assets.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Certificate of Formation, as amended, of CC Holdings GS V LLC</w:t>
              </w:r>
            </w:hyperlink>
          </w:p>
        </w:tc>
        <w:tc>
          <w:tcPr>
            <w:tcW w:w="4180" w:type="dxa"/>
            <w:vAlign w:val="bottom"/>
            <w:gridSpan w:val="4"/>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FF"/>
            </w:tcBorders>
            <w:gridSpan w:val="7"/>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Second Amended and Restated Limited Liability Company Agreement of CC Holdings GS V LLC</w:t>
              </w:r>
            </w:hyperlink>
          </w:p>
        </w:tc>
        <w:tc>
          <w:tcPr>
            <w:tcW w:w="1800" w:type="dxa"/>
            <w:vAlign w:val="bottom"/>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940" w:type="dxa"/>
            <w:vAlign w:val="bottom"/>
            <w:gridSpan w:val="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Certification of Chief Financial Officer pursuant to Section 302 of Sarbanes-Oxley Act of 2002</w:t>
              </w:r>
            </w:hyperlink>
          </w:p>
        </w:tc>
        <w:tc>
          <w:tcPr>
            <w:tcW w:w="40" w:type="dxa"/>
            <w:vAlign w:val="bottom"/>
            <w:tcBorders>
              <w:top w:val="single" w:sz="8" w:color="0000FF"/>
            </w:tcBorders>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9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Certification of Chief Executive Officer and Chief Financial Officer pursuant to Section 906 of Sarbanes-Oxley Act of 2002</w:t>
              </w:r>
            </w:hyperlink>
          </w:p>
        </w:tc>
      </w:tr>
    </w:tbl>
    <w:p>
      <w:pPr>
        <w:spacing w:after="0" w:line="188" w:lineRule="exact"/>
        <w:rPr>
          <w:sz w:val="20"/>
          <w:szCs w:val="20"/>
          <w:color w:val="auto"/>
        </w:rPr>
      </w:pPr>
    </w:p>
    <w:p>
      <w:pPr>
        <w:ind w:left="500" w:hanging="307"/>
        <w:spacing w:after="0"/>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101.SCH</w:t>
      </w:r>
      <w:r>
        <w:rPr>
          <w:rFonts w:ascii="Arial" w:cs="Arial" w:eastAsia="Arial" w:hAnsi="Arial"/>
          <w:sz w:val="16"/>
          <w:szCs w:val="16"/>
          <w:color w:val="auto"/>
        </w:rPr>
        <w:t>XBRL Taxonomy Extension Schema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101.DEF</w:t>
      </w:r>
      <w:r>
        <w:rPr>
          <w:rFonts w:ascii="Arial" w:cs="Arial" w:eastAsia="Arial" w:hAnsi="Arial"/>
          <w:sz w:val="16"/>
          <w:szCs w:val="16"/>
          <w:color w:val="auto"/>
        </w:rPr>
        <w:t>XBRL Taxonomy Extension Definition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101.CAL</w:t>
      </w:r>
      <w:r>
        <w:rPr>
          <w:rFonts w:ascii="Arial" w:cs="Arial" w:eastAsia="Arial" w:hAnsi="Arial"/>
          <w:sz w:val="16"/>
          <w:szCs w:val="16"/>
          <w:color w:val="auto"/>
        </w:rPr>
        <w:t>XBRL Taxonomy Extension Calculation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101.PRE</w:t>
      </w:r>
      <w:r>
        <w:rPr>
          <w:rFonts w:ascii="Arial" w:cs="Arial" w:eastAsia="Arial" w:hAnsi="Arial"/>
          <w:sz w:val="16"/>
          <w:szCs w:val="16"/>
          <w:color w:val="auto"/>
        </w:rPr>
        <w:t>XBRL Taxonomy Extension Presentation Linkbase Document</w:t>
      </w:r>
    </w:p>
    <w:p>
      <w:pPr>
        <w:spacing w:after="0" w:line="19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-106680</wp:posOffset>
            </wp:positionV>
            <wp:extent cx="91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ind w:left="260" w:hanging="252"/>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50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September 30, 2018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September 30, 2018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November 5, 2018</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November 5, 2018</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5"/>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lvl w:ilvl="1">
      <w:lvlJc w:val="left"/>
      <w:lvlText w:val="(%2)"/>
      <w:numFmt w:val="decimal"/>
      <w:start w:val="1"/>
    </w:lvl>
  </w:abstractNum>
  <w:abstractNum w:abstractNumId="20">
    <w:nsid w:val="2D1D5AE9"/>
    <w:multiLevelType w:val="hybridMultilevel"/>
    <w:lvl w:ilvl="0">
      <w:lvlJc w:val="left"/>
      <w:lvlText w:val="*"/>
      <w:numFmt w:val="bullet"/>
      <w:start w:val="1"/>
    </w:lvl>
    <w:lvl w:ilvl="1">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Archives/edgar/data/1574211/000119312513158983/d519395dex31.htm" TargetMode="External"/><Relationship Id="rId12"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2019-12-28T18:37:51Z</dcterms:created>
  <dcterms:modified xsi:type="dcterms:W3CDTF">2019-12-28T18:37:51Z</dcterms:modified>
</cp:coreProperties>
</file>