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46" w:lineRule="exact"/>
        <w:rPr>
          <w:sz w:val="24"/>
          <w:szCs w:val="24"/>
          <w:color w:val="auto"/>
        </w:rPr>
      </w:pPr>
    </w:p>
    <w:p>
      <w:pPr>
        <w:ind w:left="1460" w:hanging="239"/>
        <w:spacing w:after="0"/>
        <w:tabs>
          <w:tab w:leader="none" w:pos="1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quarterly period ended March 31, 2018</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44" w:lineRule="exact"/>
        <w:rPr>
          <w:sz w:val="24"/>
          <w:szCs w:val="24"/>
          <w:color w:val="auto"/>
        </w:rPr>
      </w:pPr>
    </w:p>
    <w:p>
      <w:pPr>
        <w:ind w:left="1460" w:hanging="239"/>
        <w:spacing w:after="0"/>
        <w:tabs>
          <w:tab w:leader="none" w:pos="1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4" w:lineRule="exact"/>
        <w:rPr>
          <w:sz w:val="24"/>
          <w:szCs w:val="24"/>
          <w:color w:val="auto"/>
        </w:rPr>
      </w:pPr>
    </w:p>
    <w:p>
      <w:pPr>
        <w:ind w:left="4240"/>
        <w:spacing w:after="0"/>
        <w:tabs>
          <w:tab w:leader="none" w:pos="6480" w:val="left"/>
        </w:tabs>
        <w:rPr>
          <w:sz w:val="20"/>
          <w:szCs w:val="20"/>
          <w:color w:val="auto"/>
        </w:rPr>
      </w:pPr>
      <w:r>
        <w:rPr>
          <w:rFonts w:ascii="Arial" w:cs="Arial" w:eastAsia="Arial" w:hAnsi="Arial"/>
          <w:sz w:val="17"/>
          <w:szCs w:val="17"/>
          <w:color w:val="auto"/>
        </w:rPr>
        <w:t>For the transition period</w:t>
      </w:r>
      <w:r>
        <w:rPr>
          <w:sz w:val="20"/>
          <w:szCs w:val="20"/>
          <w:color w:val="auto"/>
        </w:rPr>
        <w:tab/>
      </w:r>
      <w:r>
        <w:rPr>
          <w:rFonts w:ascii="Arial" w:cs="Arial" w:eastAsia="Arial" w:hAnsi="Arial"/>
          <w:sz w:val="16"/>
          <w:szCs w:val="16"/>
          <w:color w:val="auto"/>
        </w:rPr>
        <w:t>to</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Number 333-187970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90" w:lineRule="exact"/>
        <w:rPr>
          <w:sz w:val="24"/>
          <w:szCs w:val="24"/>
          <w:color w:val="auto"/>
        </w:rPr>
      </w:pPr>
    </w:p>
    <w:tbl>
      <w:tblPr>
        <w:tblLayout w:type="fixed"/>
        <w:tblInd w:w="2720" w:type="dxa"/>
        <w:tblCellMar>
          <w:top w:w="0" w:type="dxa"/>
          <w:left w:w="0" w:type="dxa"/>
          <w:bottom w:w="0" w:type="dxa"/>
          <w:right w:w="0" w:type="dxa"/>
        </w:tblCellMar>
      </w:tblPr>
      <w:tr>
        <w:trPr>
          <w:trHeight w:val="222"/>
        </w:trPr>
        <w:tc>
          <w:tcPr>
            <w:tcW w:w="3200" w:type="dxa"/>
            <w:vAlign w:val="bottom"/>
          </w:tcPr>
          <w:p>
            <w:pPr>
              <w:jc w:val="center"/>
              <w:ind w:right="1350"/>
              <w:spacing w:after="0"/>
              <w:rPr>
                <w:sz w:val="20"/>
                <w:szCs w:val="20"/>
                <w:color w:val="auto"/>
              </w:rPr>
            </w:pPr>
            <w:r>
              <w:rPr>
                <w:rFonts w:ascii="Arial" w:cs="Arial" w:eastAsia="Arial" w:hAnsi="Arial"/>
                <w:sz w:val="17"/>
                <w:szCs w:val="17"/>
                <w:b w:val="1"/>
                <w:bCs w:val="1"/>
                <w:color w:val="auto"/>
                <w:w w:val="93"/>
              </w:rPr>
              <w:t>Delaware</w:t>
            </w:r>
          </w:p>
        </w:tc>
        <w:tc>
          <w:tcPr>
            <w:tcW w:w="2400" w:type="dxa"/>
            <w:vAlign w:val="bottom"/>
          </w:tcPr>
          <w:p>
            <w:pPr>
              <w:jc w:val="center"/>
              <w:ind w:left="1330"/>
              <w:spacing w:after="0"/>
              <w:rPr>
                <w:sz w:val="20"/>
                <w:szCs w:val="20"/>
                <w:color w:val="auto"/>
              </w:rPr>
            </w:pPr>
            <w:r>
              <w:rPr>
                <w:rFonts w:ascii="Arial" w:cs="Arial" w:eastAsia="Arial" w:hAnsi="Arial"/>
                <w:sz w:val="17"/>
                <w:szCs w:val="17"/>
                <w:b w:val="1"/>
                <w:bCs w:val="1"/>
                <w:color w:val="auto"/>
                <w:w w:val="92"/>
              </w:rPr>
              <w:t>20-4300339</w:t>
            </w:r>
          </w:p>
        </w:tc>
      </w:tr>
      <w:tr>
        <w:trPr>
          <w:trHeight w:val="175"/>
        </w:trPr>
        <w:tc>
          <w:tcPr>
            <w:tcW w:w="3200" w:type="dxa"/>
            <w:vAlign w:val="bottom"/>
          </w:tcPr>
          <w:p>
            <w:pPr>
              <w:jc w:val="center"/>
              <w:ind w:right="1370"/>
              <w:spacing w:after="0"/>
              <w:rPr>
                <w:sz w:val="20"/>
                <w:szCs w:val="20"/>
                <w:color w:val="auto"/>
              </w:rPr>
            </w:pPr>
            <w:r>
              <w:rPr>
                <w:rFonts w:ascii="Arial" w:cs="Arial" w:eastAsia="Arial" w:hAnsi="Arial"/>
                <w:sz w:val="13"/>
                <w:szCs w:val="13"/>
                <w:b w:val="1"/>
                <w:bCs w:val="1"/>
                <w:color w:val="auto"/>
                <w:w w:val="88"/>
              </w:rPr>
              <w:t>(State or other jurisdiction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200" w:type="dxa"/>
            <w:vAlign w:val="bottom"/>
          </w:tcPr>
          <w:p>
            <w:pPr>
              <w:jc w:val="center"/>
              <w:ind w:right="135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1220 Augusta Drive, Suite 600, Houston, Texas 77057-2261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(713) 570-3000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30" w:lineRule="exact"/>
        <w:rPr>
          <w:sz w:val="24"/>
          <w:szCs w:val="24"/>
          <w:color w:val="auto"/>
        </w:rPr>
      </w:pPr>
    </w:p>
    <w:p>
      <w:pPr>
        <w:jc w:val="both"/>
        <w:ind w:right="54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29" w:lineRule="exact"/>
        <w:rPr>
          <w:sz w:val="24"/>
          <w:szCs w:val="24"/>
          <w:color w:val="auto"/>
        </w:rPr>
      </w:pPr>
    </w:p>
    <w:p>
      <w:pPr>
        <w:ind w:right="400" w:firstLine="32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ind w:right="40"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40" w:type="dxa"/>
            <w:vAlign w:val="bottom"/>
          </w:tcPr>
          <w:p>
            <w:pPr>
              <w:ind w:left="260"/>
              <w:spacing w:after="0"/>
              <w:rPr>
                <w:sz w:val="20"/>
                <w:szCs w:val="20"/>
                <w:color w:val="auto"/>
              </w:rPr>
            </w:pPr>
            <w:r>
              <w:rPr>
                <w:rFonts w:ascii="Arial" w:cs="Arial" w:eastAsia="Arial" w:hAnsi="Arial"/>
                <w:sz w:val="16"/>
                <w:szCs w:val="16"/>
                <w:color w:val="auto"/>
              </w:rPr>
              <w:t>o</w:t>
            </w:r>
          </w:p>
        </w:tc>
        <w:tc>
          <w:tcPr>
            <w:tcW w:w="3500" w:type="dxa"/>
            <w:vAlign w:val="bottom"/>
          </w:tcPr>
          <w:p>
            <w:pPr>
              <w:spacing w:after="0"/>
              <w:rPr>
                <w:sz w:val="17"/>
                <w:szCs w:val="17"/>
                <w:color w:val="auto"/>
              </w:rPr>
            </w:pPr>
          </w:p>
        </w:tc>
        <w:tc>
          <w:tcPr>
            <w:tcW w:w="262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440" w:type="dxa"/>
            <w:vAlign w:val="bottom"/>
          </w:tcPr>
          <w:p>
            <w:pPr>
              <w:ind w:left="260"/>
              <w:spacing w:after="0"/>
              <w:rPr>
                <w:sz w:val="20"/>
                <w:szCs w:val="20"/>
                <w:color w:val="auto"/>
              </w:rPr>
            </w:pPr>
            <w:r>
              <w:rPr>
                <w:rFonts w:ascii="Arial" w:cs="Arial" w:eastAsia="Arial" w:hAnsi="Arial"/>
                <w:sz w:val="16"/>
                <w:szCs w:val="16"/>
                <w:color w:val="auto"/>
              </w:rPr>
              <w:t>x</w:t>
            </w:r>
          </w:p>
        </w:tc>
        <w:tc>
          <w:tcPr>
            <w:tcW w:w="3500" w:type="dxa"/>
            <w:vAlign w:val="bottom"/>
          </w:tcPr>
          <w:p>
            <w:pPr>
              <w:ind w:left="80"/>
              <w:spacing w:after="0"/>
              <w:rPr>
                <w:sz w:val="20"/>
                <w:szCs w:val="20"/>
                <w:color w:val="auto"/>
              </w:rPr>
            </w:pPr>
            <w:r>
              <w:rPr>
                <w:rFonts w:ascii="Arial" w:cs="Arial" w:eastAsia="Arial" w:hAnsi="Arial"/>
                <w:sz w:val="16"/>
                <w:szCs w:val="16"/>
                <w:color w:val="auto"/>
              </w:rPr>
              <w:t>(Do not check if a smaller reporting company)</w:t>
            </w:r>
          </w:p>
        </w:tc>
        <w:tc>
          <w:tcPr>
            <w:tcW w:w="262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620" w:type="dxa"/>
            <w:vAlign w:val="bottom"/>
          </w:tcPr>
          <w:p>
            <w:pPr>
              <w:ind w:left="40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bl>
    <w:p>
      <w:pPr>
        <w:spacing w:after="0" w:line="50" w:lineRule="exact"/>
        <w:rPr>
          <w:sz w:val="24"/>
          <w:szCs w:val="24"/>
          <w:color w:val="auto"/>
        </w:rPr>
      </w:pPr>
    </w:p>
    <w:p>
      <w:pPr>
        <w:ind w:left="1240" w:right="1860"/>
        <w:spacing w:after="0" w:line="36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9" w:lineRule="exact"/>
        <w:rPr>
          <w:sz w:val="24"/>
          <w:szCs w:val="24"/>
          <w:color w:val="auto"/>
        </w:rPr>
      </w:pPr>
    </w:p>
    <w:p>
      <w:pPr>
        <w:ind w:left="340" w:right="2560"/>
        <w:spacing w:after="0" w:line="488" w:lineRule="auto"/>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 No x As of March 31, 2018, the only member of the registrant is a wholly-owned indirect subsidiary of Crown Castle International Corp.</w:t>
      </w:r>
    </w:p>
    <w:p>
      <w:pPr>
        <w:spacing w:after="0" w:line="1" w:lineRule="exact"/>
        <w:rPr>
          <w:sz w:val="24"/>
          <w:szCs w:val="24"/>
          <w:color w:val="auto"/>
        </w:rPr>
      </w:pPr>
    </w:p>
    <w:p>
      <w:pPr>
        <w:ind w:right="320" w:firstLine="324"/>
        <w:spacing w:after="0" w:line="275" w:lineRule="auto"/>
        <w:rPr>
          <w:sz w:val="20"/>
          <w:szCs w:val="20"/>
          <w:color w:val="auto"/>
        </w:rPr>
      </w:pPr>
      <w:r>
        <w:rPr>
          <w:rFonts w:ascii="Arial" w:cs="Arial" w:eastAsia="Arial" w:hAnsi="Arial"/>
          <w:sz w:val="16"/>
          <w:szCs w:val="16"/>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20"/>
          </w:cols>
          <w:pgMar w:left="240" w:top="11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6"/>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and any variation of these words, and similar expressions are intended to identify forward-looking statements. Such statements include plans, projections and estimates contained in </w:t>
      </w:r>
      <w:r>
        <w:rPr>
          <w:rFonts w:ascii="Arial" w:cs="Arial" w:eastAsia="Arial" w:hAnsi="Arial"/>
          <w:sz w:val="17"/>
          <w:szCs w:val="17"/>
          <w:i w:val="1"/>
          <w:iCs w:val="1"/>
          <w:color w:val="auto"/>
        </w:rPr>
        <w:t>"Part I—Item 2. Management's Discussion and Analysis of Financial Condition and Results of Operations"</w:t>
      </w:r>
      <w:r>
        <w:rPr>
          <w:rFonts w:ascii="Arial" w:cs="Arial" w:eastAsia="Arial" w:hAnsi="Arial"/>
          <w:sz w:val="17"/>
          <w:szCs w:val="17"/>
          <w:color w:val="auto"/>
        </w:rPr>
        <w:t xml:space="preserve"> ("MD&amp;A") herein. Such forward-looking statements include (1) expectations regarding anticipated growth in the wireless industry, carriers' investments in their networks, tenant additions, and demand for our communications infrastructure, (2) expectations regarding non-renewals of tenant contracts (including the impact of our customers' decommissioning of the former Leap Wireless, MetroPCS and Clearwire networks (collectively, the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and operating cash flows, (6) expectations regarding our capital structure and the credit markets, our availability and cost of capital, or our ability to service our debt and comply with debt covenants, (7) expectations for sustaining capital expenditures, (8) expectations related to CCIC's ability to remain qualified as a real estate investment trust ("REIT") and the advantages, benefits or impact of, or opportunities created by the inclusion of our assets and operations in CCIC's REIT and (9) expectations related to the impact of customer consolidation or ownership changes, including the impact of the potential combination of T-Mobile and Sprint.</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2017 ("2017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1260" w:type="dxa"/>
            <w:vAlign w:val="bottom"/>
          </w:tcPr>
          <w:p>
            <w:pPr>
              <w:spacing w:after="0"/>
              <w:rPr>
                <w:sz w:val="24"/>
                <w:szCs w:val="24"/>
                <w:color w:val="auto"/>
              </w:rPr>
            </w:pPr>
          </w:p>
        </w:tc>
        <w:tc>
          <w:tcPr>
            <w:tcW w:w="7660" w:type="dxa"/>
            <w:vAlign w:val="bottom"/>
          </w:tcPr>
          <w:p>
            <w:pPr>
              <w:jc w:val="center"/>
              <w:ind w:left="1153"/>
              <w:spacing w:after="0"/>
              <w:rPr>
                <w:sz w:val="20"/>
                <w:szCs w:val="20"/>
                <w:color w:val="auto"/>
              </w:rPr>
            </w:pPr>
            <w:r>
              <w:rPr>
                <w:rFonts w:ascii="Arial" w:cs="Arial" w:eastAsia="Arial" w:hAnsi="Arial"/>
                <w:sz w:val="18"/>
                <w:szCs w:val="18"/>
                <w:b w:val="1"/>
                <w:bCs w:val="1"/>
                <w:color w:val="auto"/>
                <w:w w:val="99"/>
              </w:rPr>
              <w:t>CC HOLDINGS GS V LLC</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660" w:type="dxa"/>
            <w:vAlign w:val="bottom"/>
          </w:tcPr>
          <w:p>
            <w:pPr>
              <w:jc w:val="center"/>
              <w:ind w:left="1173"/>
              <w:spacing w:after="0"/>
              <w:rPr>
                <w:sz w:val="20"/>
                <w:szCs w:val="20"/>
                <w:color w:val="auto"/>
              </w:rPr>
            </w:pPr>
            <w:r>
              <w:rPr>
                <w:rFonts w:ascii="Arial" w:cs="Arial" w:eastAsia="Arial" w:hAnsi="Arial"/>
                <w:sz w:val="18"/>
                <w:szCs w:val="18"/>
                <w:b w:val="1"/>
                <w:bCs w:val="1"/>
                <w:color w:val="auto"/>
                <w:w w:val="97"/>
              </w:rPr>
              <w:t>CONDENSED CONSOLIDATED BALANCE SHEET (Unaudited)</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660" w:type="dxa"/>
            <w:vAlign w:val="bottom"/>
          </w:tcPr>
          <w:p>
            <w:pPr>
              <w:jc w:val="center"/>
              <w:ind w:left="1173"/>
              <w:spacing w:after="0"/>
              <w:rPr>
                <w:sz w:val="20"/>
                <w:szCs w:val="20"/>
                <w:color w:val="auto"/>
              </w:rPr>
            </w:pPr>
            <w:r>
              <w:rPr>
                <w:rFonts w:ascii="Arial" w:cs="Arial" w:eastAsia="Arial" w:hAnsi="Arial"/>
                <w:sz w:val="18"/>
                <w:szCs w:val="18"/>
                <w:b w:val="1"/>
                <w:bCs w:val="1"/>
                <w:color w:val="auto"/>
                <w:w w:val="89"/>
              </w:rPr>
              <w:t>(In thousands of dollars)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2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24"/>
                <w:szCs w:val="2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7660" w:type="dxa"/>
            <w:vAlign w:val="bottom"/>
            <w:tcBorders>
              <w:top w:val="single" w:sz="8" w:color="CCEEFF"/>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24,300</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29,478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25,105</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82,757</w:t>
            </w:r>
          </w:p>
        </w:tc>
        <w:tc>
          <w:tcPr>
            <w:tcW w:w="0" w:type="dxa"/>
            <w:vAlign w:val="bottom"/>
          </w:tcPr>
          <w:p>
            <w:pPr>
              <w:spacing w:after="0"/>
              <w:rPr>
                <w:sz w:val="1"/>
                <w:szCs w:val="1"/>
                <w:color w:val="auto"/>
              </w:rPr>
            </w:pPr>
          </w:p>
        </w:tc>
      </w:tr>
      <w:tr>
        <w:trPr>
          <w:trHeight w:val="237"/>
        </w:trPr>
        <w:tc>
          <w:tcPr>
            <w:tcW w:w="8920" w:type="dxa"/>
            <w:vAlign w:val="bottom"/>
            <w:gridSpan w:val="2"/>
          </w:tcPr>
          <w:p>
            <w:pPr>
              <w:spacing w:after="0"/>
              <w:rPr>
                <w:sz w:val="20"/>
                <w:szCs w:val="20"/>
                <w:color w:val="auto"/>
              </w:rPr>
            </w:pPr>
            <w:r>
              <w:rPr>
                <w:rFonts w:ascii="Arial" w:cs="Arial" w:eastAsia="Arial" w:hAnsi="Arial"/>
                <w:sz w:val="16"/>
                <w:szCs w:val="16"/>
                <w:color w:val="auto"/>
              </w:rPr>
              <w:t>Deferred site rental receivables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331,907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333,164</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$942,972 and $919,546,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1,041,157</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Goodwill</w:t>
            </w:r>
          </w:p>
        </w:tc>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1,338,730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1,338,730</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922,526</w:t>
            </w:r>
          </w:p>
        </w:tc>
        <w:tc>
          <w:tcPr>
            <w:tcW w:w="0" w:type="dxa"/>
            <w:vAlign w:val="bottom"/>
          </w:tcPr>
          <w:p>
            <w:pPr>
              <w:spacing w:after="0"/>
              <w:rPr>
                <w:sz w:val="1"/>
                <w:szCs w:val="1"/>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38,789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38,154</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3,715,390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3,756,488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w w:val="97"/>
              </w:rPr>
              <w:t>Current liabilities:</w:t>
            </w:r>
          </w:p>
        </w:tc>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 and payables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8,126</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11,586</w:t>
            </w: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Other accrued liabilities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30,341</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Debt</w:t>
            </w:r>
          </w:p>
        </w:tc>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993,009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992,663</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107,673</w:t>
            </w:r>
          </w:p>
        </w:tc>
        <w:tc>
          <w:tcPr>
            <w:tcW w:w="0" w:type="dxa"/>
            <w:vAlign w:val="bottom"/>
          </w:tcPr>
          <w:p>
            <w:pPr>
              <w:spacing w:after="0"/>
              <w:rPr>
                <w:sz w:val="1"/>
                <w:szCs w:val="1"/>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49,456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49,340</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1,195,509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1,180,017</w:t>
            </w:r>
          </w:p>
        </w:tc>
        <w:tc>
          <w:tcPr>
            <w:tcW w:w="0" w:type="dxa"/>
            <w:vAlign w:val="bottom"/>
          </w:tcPr>
          <w:p>
            <w:pPr>
              <w:spacing w:after="0"/>
              <w:rPr>
                <w:sz w:val="1"/>
                <w:szCs w:val="1"/>
                <w:color w:val="auto"/>
              </w:rPr>
            </w:pPr>
          </w:p>
        </w:tc>
      </w:tr>
      <w:tr>
        <w:trPr>
          <w:trHeight w:val="217"/>
        </w:trPr>
        <w:tc>
          <w:tcPr>
            <w:tcW w:w="892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Member's equity:</w:t>
            </w:r>
          </w:p>
        </w:tc>
        <w:tc>
          <w:tcPr>
            <w:tcW w:w="7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6"/>
                <w:szCs w:val="16"/>
                <w:color w:val="auto"/>
              </w:rPr>
              <w:t>Member's equity</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2,519,881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33"/>
        </w:trPr>
        <w:tc>
          <w:tcPr>
            <w:tcW w:w="8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920" w:type="dxa"/>
            <w:vAlign w:val="bottom"/>
            <w:gridSpan w:val="2"/>
          </w:tcPr>
          <w:p>
            <w:pPr>
              <w:ind w:left="600"/>
              <w:spacing w:after="0"/>
              <w:rPr>
                <w:sz w:val="20"/>
                <w:szCs w:val="20"/>
                <w:color w:val="auto"/>
              </w:rPr>
            </w:pPr>
            <w:r>
              <w:rPr>
                <w:rFonts w:ascii="Arial" w:cs="Arial" w:eastAsia="Arial" w:hAnsi="Arial"/>
                <w:sz w:val="16"/>
                <w:szCs w:val="16"/>
                <w:color w:val="auto"/>
              </w:rPr>
              <w:t>Total member's equity</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2,519,881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3,715,390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3,756,488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5436870</wp:posOffset>
            </wp:positionH>
            <wp:positionV relativeFrom="paragraph">
              <wp:posOffset>23495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ind w:left="9112"/>
        <w:spacing w:after="0"/>
        <w:tabs>
          <w:tab w:leader="none" w:pos="10572"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8" w:lineRule="exact"/>
        <w:rPr>
          <w:sz w:val="20"/>
          <w:szCs w:val="20"/>
          <w:color w:val="auto"/>
        </w:rPr>
      </w:pPr>
    </w:p>
    <w:p>
      <w:pPr>
        <w:ind w:left="32"/>
        <w:spacing w:after="0"/>
        <w:tabs>
          <w:tab w:leader="none" w:pos="8572" w:val="left"/>
          <w:tab w:leader="none" w:pos="9292" w:val="left"/>
          <w:tab w:leader="none" w:pos="10072" w:val="left"/>
          <w:tab w:leader="none" w:pos="10752" w:val="left"/>
        </w:tabs>
        <w:rPr>
          <w:sz w:val="20"/>
          <w:szCs w:val="20"/>
          <w:color w:val="auto"/>
        </w:rPr>
      </w:pPr>
      <w:r>
        <w:rPr>
          <w:rFonts w:ascii="Arial" w:cs="Arial" w:eastAsia="Arial" w:hAnsi="Arial"/>
          <w:sz w:val="16"/>
          <w:szCs w:val="16"/>
          <w:color w:val="auto"/>
        </w:rPr>
        <w:t>Site rental revenues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162,994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153,081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32"/>
        <w:spacing w:after="0"/>
        <w:rPr>
          <w:sz w:val="20"/>
          <w:szCs w:val="20"/>
          <w:color w:val="auto"/>
        </w:rPr>
      </w:pPr>
      <w:r>
        <w:rPr>
          <w:rFonts w:ascii="Arial" w:cs="Arial" w:eastAsia="Arial" w:hAnsi="Arial"/>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p>
      <w:pPr>
        <w:spacing w:after="0" w:line="86" w:lineRule="exact"/>
        <w:rPr>
          <w:sz w:val="20"/>
          <w:szCs w:val="20"/>
          <w:color w:val="auto"/>
        </w:rPr>
      </w:pPr>
    </w:p>
    <w:p>
      <w:pPr>
        <w:ind w:left="372"/>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p>
      <w:pPr>
        <w:spacing w:after="0" w:line="37" w:lineRule="exact"/>
        <w:rPr>
          <w:sz w:val="20"/>
          <w:szCs w:val="20"/>
          <w:color w:val="auto"/>
        </w:rPr>
      </w:pPr>
    </w:p>
    <w:p>
      <w:pPr>
        <w:ind w:left="372"/>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 w:lineRule="exact"/>
        <w:rPr>
          <w:sz w:val="20"/>
          <w:szCs w:val="20"/>
          <w:color w:val="auto"/>
        </w:rPr>
      </w:pPr>
    </w:p>
    <w:p>
      <w:pPr>
        <w:ind w:left="372"/>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p>
      <w:pPr>
        <w:spacing w:after="0" w:line="31" w:lineRule="exact"/>
        <w:rPr>
          <w:sz w:val="20"/>
          <w:szCs w:val="20"/>
          <w:color w:val="auto"/>
        </w:rPr>
      </w:pPr>
    </w:p>
    <w:p>
      <w:pPr>
        <w:ind w:left="372"/>
        <w:spacing w:after="0"/>
        <w:rPr>
          <w:sz w:val="20"/>
          <w:szCs w:val="20"/>
          <w:color w:val="auto"/>
        </w:rPr>
      </w:pPr>
      <w:r>
        <w:rPr>
          <w:rFonts w:ascii="Arial" w:cs="Arial" w:eastAsia="Arial" w:hAnsi="Arial"/>
          <w:sz w:val="16"/>
          <w:szCs w:val="16"/>
          <w:color w:val="auto"/>
        </w:rPr>
        <w:t>Management fee—related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72"/>
        <w:spacing w:after="0"/>
        <w:rPr>
          <w:sz w:val="20"/>
          <w:szCs w:val="20"/>
          <w:color w:val="auto"/>
        </w:rPr>
      </w:pPr>
      <w:r>
        <w:rPr>
          <w:rFonts w:ascii="Arial" w:cs="Arial" w:eastAsia="Arial" w:hAnsi="Arial"/>
          <w:sz w:val="16"/>
          <w:szCs w:val="16"/>
          <w:color w:val="auto"/>
        </w:rPr>
        <w:t>Asset write-down charges</w:t>
      </w:r>
    </w:p>
    <w:p>
      <w:pPr>
        <w:spacing w:after="0" w:line="86" w:lineRule="exact"/>
        <w:rPr>
          <w:sz w:val="20"/>
          <w:szCs w:val="20"/>
          <w:color w:val="auto"/>
        </w:rPr>
      </w:pPr>
    </w:p>
    <w:p>
      <w:pPr>
        <w:ind w:left="372"/>
        <w:spacing w:after="0"/>
        <w:rPr>
          <w:sz w:val="20"/>
          <w:szCs w:val="20"/>
          <w:color w:val="auto"/>
        </w:rPr>
      </w:pPr>
      <w:r>
        <w:rPr>
          <w:rFonts w:ascii="Arial" w:cs="Arial" w:eastAsia="Arial" w:hAnsi="Arial"/>
          <w:sz w:val="16"/>
          <w:szCs w:val="16"/>
          <w:color w:val="auto"/>
        </w:rPr>
        <w:t>Depreciation, amortization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32"/>
        <w:spacing w:after="0"/>
        <w:rPr>
          <w:sz w:val="20"/>
          <w:szCs w:val="20"/>
          <w:color w:val="auto"/>
        </w:rPr>
      </w:pPr>
      <w:r>
        <w:rPr>
          <w:rFonts w:ascii="Arial" w:cs="Arial" w:eastAsia="Arial" w:hAnsi="Arial"/>
          <w:sz w:val="16"/>
          <w:szCs w:val="16"/>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Arial" w:cs="Arial" w:eastAsia="Arial" w:hAnsi="Arial"/>
          <w:sz w:val="14"/>
          <w:szCs w:val="14"/>
          <w:color w:val="auto"/>
        </w:rPr>
        <w:t>Interest expense and amortization of deferred financing costs</w:t>
      </w:r>
    </w:p>
    <w:p>
      <w:pPr>
        <w:spacing w:after="0" w:line="109" w:lineRule="exact"/>
        <w:rPr>
          <w:sz w:val="20"/>
          <w:szCs w:val="20"/>
          <w:color w:val="auto"/>
        </w:rPr>
      </w:pPr>
    </w:p>
    <w:p>
      <w:pPr>
        <w:ind w:left="32"/>
        <w:spacing w:after="0"/>
        <w:rPr>
          <w:sz w:val="20"/>
          <w:szCs w:val="20"/>
          <w:color w:val="auto"/>
        </w:rPr>
      </w:pPr>
      <w:r>
        <w:rPr>
          <w:rFonts w:ascii="Arial" w:cs="Arial" w:eastAsia="Arial" w:hAnsi="Arial"/>
          <w:sz w:val="16"/>
          <w:szCs w:val="16"/>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Arial" w:cs="Arial" w:eastAsia="Arial" w:hAnsi="Arial"/>
          <w:sz w:val="16"/>
          <w:szCs w:val="16"/>
          <w:color w:val="auto"/>
        </w:rPr>
        <w:t>Income (loss) before income taxes</w:t>
      </w:r>
    </w:p>
    <w:p>
      <w:pPr>
        <w:spacing w:after="0" w:line="86" w:lineRule="exact"/>
        <w:rPr>
          <w:sz w:val="20"/>
          <w:szCs w:val="20"/>
          <w:color w:val="auto"/>
        </w:rPr>
      </w:pPr>
    </w:p>
    <w:p>
      <w:pPr>
        <w:ind w:left="32"/>
        <w:spacing w:after="0"/>
        <w:rPr>
          <w:sz w:val="20"/>
          <w:szCs w:val="20"/>
          <w:color w:val="auto"/>
        </w:rPr>
      </w:pPr>
      <w:r>
        <w:rPr>
          <w:rFonts w:ascii="Arial" w:cs="Arial" w:eastAsia="Arial" w:hAnsi="Arial"/>
          <w:sz w:val="16"/>
          <w:szCs w:val="16"/>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155575</wp:posOffset>
            </wp:positionV>
            <wp:extent cx="91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37,507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37,813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9,606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8,940</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47,113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46,753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11,989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11,607</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52,701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52,629</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112,147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110,989</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50,847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42,092</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(9,969)</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1,031</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40,811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33,154</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40,718</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33,066</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852" w:space="720"/>
            <w:col w:w="2840"/>
          </w:cols>
          <w:pgMar w:left="248" w:top="580" w:right="239" w:bottom="1440" w:gutter="0" w:footer="0" w:header="0"/>
          <w:type w:val="continuous"/>
        </w:sectPr>
      </w:pPr>
    </w:p>
    <w:p>
      <w:pPr>
        <w:ind w:left="332" w:hanging="332"/>
        <w:spacing w:after="0"/>
        <w:tabs>
          <w:tab w:leader="none" w:pos="332" w:val="left"/>
        </w:tabs>
        <w:numPr>
          <w:ilvl w:val="0"/>
          <w:numId w:val="3"/>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 and certain indirect costs included in the management fee.</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40,718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33,066</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52,701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52,629</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accrued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9,622</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(868)</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1,675</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Decrease (increase) in other current assets, deferred site rental receivable, long-term prepaid rent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4,214</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109,846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104,963</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(12,186)</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(12,186)</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(89,571)</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(97,308)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(89,571)</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19,550</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22,756</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jc w:val="center"/>
              <w:ind w:right="5079"/>
              <w:spacing w:after="0"/>
              <w:rPr>
                <w:sz w:val="20"/>
                <w:szCs w:val="20"/>
                <w:color w:val="auto"/>
              </w:rPr>
            </w:pPr>
            <w:r>
              <w:rPr>
                <w:rFonts w:ascii="Arial" w:cs="Arial" w:eastAsia="Arial" w:hAnsi="Arial"/>
                <w:sz w:val="16"/>
                <w:szCs w:val="16"/>
                <w:color w:val="auto"/>
                <w:w w:val="89"/>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2,576,471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(56,590)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(40,718)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(97,308)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jc w:val="center"/>
              <w:ind w:right="5059"/>
              <w:spacing w:after="0"/>
              <w:rPr>
                <w:sz w:val="20"/>
                <w:szCs w:val="20"/>
                <w:color w:val="auto"/>
              </w:rPr>
            </w:pPr>
            <w:r>
              <w:rPr>
                <w:rFonts w:ascii="Arial" w:cs="Arial" w:eastAsia="Arial" w:hAnsi="Arial"/>
                <w:sz w:val="16"/>
                <w:szCs w:val="16"/>
                <w:color w:val="auto"/>
                <w:w w:val="93"/>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40,718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40,718</w:t>
            </w:r>
          </w:p>
        </w:tc>
        <w:tc>
          <w:tcPr>
            <w:tcW w:w="0" w:type="dxa"/>
            <w:vAlign w:val="bottom"/>
          </w:tcPr>
          <w:p>
            <w:pPr>
              <w:spacing w:after="0"/>
              <w:rPr>
                <w:sz w:val="1"/>
                <w:szCs w:val="1"/>
                <w:color w:val="auto"/>
              </w:rPr>
            </w:pPr>
          </w:p>
        </w:tc>
      </w:tr>
      <w:tr>
        <w:trPr>
          <w:trHeight w:val="244"/>
        </w:trPr>
        <w:tc>
          <w:tcPr>
            <w:tcW w:w="6860" w:type="dxa"/>
            <w:vAlign w:val="bottom"/>
          </w:tcPr>
          <w:p>
            <w:pPr>
              <w:jc w:val="center"/>
              <w:ind w:right="5079"/>
              <w:spacing w:after="0"/>
              <w:rPr>
                <w:sz w:val="20"/>
                <w:szCs w:val="20"/>
                <w:color w:val="auto"/>
              </w:rPr>
            </w:pPr>
            <w:r>
              <w:rPr>
                <w:rFonts w:ascii="Arial" w:cs="Arial" w:eastAsia="Arial" w:hAnsi="Arial"/>
                <w:sz w:val="16"/>
                <w:szCs w:val="16"/>
                <w:color w:val="auto"/>
                <w:w w:val="91"/>
              </w:rPr>
              <w:t>Balance,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2,519,881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2,519,881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jc w:val="center"/>
              <w:ind w:right="5079"/>
              <w:spacing w:after="0"/>
              <w:rPr>
                <w:sz w:val="20"/>
                <w:szCs w:val="20"/>
                <w:color w:val="auto"/>
              </w:rPr>
            </w:pPr>
            <w:r>
              <w:rPr>
                <w:rFonts w:ascii="Arial" w:cs="Arial" w:eastAsia="Arial" w:hAnsi="Arial"/>
                <w:sz w:val="16"/>
                <w:szCs w:val="16"/>
                <w:color w:val="auto"/>
                <w:w w:val="89"/>
              </w:rPr>
              <w:t>Balance,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2,739,245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(56,505)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(33,066)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(89,571)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jc w:val="center"/>
              <w:ind w:right="5059"/>
              <w:spacing w:after="0"/>
              <w:rPr>
                <w:sz w:val="20"/>
                <w:szCs w:val="20"/>
                <w:color w:val="auto"/>
              </w:rPr>
            </w:pPr>
            <w:r>
              <w:rPr>
                <w:rFonts w:ascii="Arial" w:cs="Arial" w:eastAsia="Arial" w:hAnsi="Arial"/>
                <w:sz w:val="16"/>
                <w:szCs w:val="16"/>
                <w:color w:val="auto"/>
                <w:w w:val="93"/>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33,066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33,066</w:t>
            </w:r>
          </w:p>
        </w:tc>
        <w:tc>
          <w:tcPr>
            <w:tcW w:w="0" w:type="dxa"/>
            <w:vAlign w:val="bottom"/>
          </w:tcPr>
          <w:p>
            <w:pPr>
              <w:spacing w:after="0"/>
              <w:rPr>
                <w:sz w:val="1"/>
                <w:szCs w:val="1"/>
                <w:color w:val="auto"/>
              </w:rPr>
            </w:pPr>
          </w:p>
        </w:tc>
      </w:tr>
      <w:tr>
        <w:trPr>
          <w:trHeight w:val="244"/>
        </w:trPr>
        <w:tc>
          <w:tcPr>
            <w:tcW w:w="6860" w:type="dxa"/>
            <w:vAlign w:val="bottom"/>
          </w:tcPr>
          <w:p>
            <w:pPr>
              <w:jc w:val="center"/>
              <w:ind w:right="5079"/>
              <w:spacing w:after="0"/>
              <w:rPr>
                <w:sz w:val="20"/>
                <w:szCs w:val="20"/>
                <w:color w:val="auto"/>
              </w:rPr>
            </w:pPr>
            <w:r>
              <w:rPr>
                <w:rFonts w:ascii="Arial" w:cs="Arial" w:eastAsia="Arial" w:hAnsi="Arial"/>
                <w:sz w:val="16"/>
                <w:szCs w:val="16"/>
                <w:color w:val="auto"/>
                <w:w w:val="91"/>
              </w:rPr>
              <w:t>Balance, March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2,682,740</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2,682,740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2017, and related notes thereto, included in the 2017 Form 10-K filed by the Company with the SEC.</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organized specifically to own, lease and manage sites that are geographically dispersed across the United States ("U.S."). The Company's core business is providing access, including space or capacity, to its sites via long-term contracts in various forms, including licenses, subleases and lease agreements (collectively, "contracts"). The Company's customers on its communication infrastructure are referred to herein as "tenants." Management services related to the Company's sites are performed by Crown Castle USA Inc. ("CCUSA"), an affiliate of the Company, under the Management Agreement, as the Company has no employees.</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fairly state the consolidated financial position of the Company as of March 31, 2018, and the consolidated results of operations and the consolidated cash flows for the three months ended March 31, 2018 and 2017.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entire year.</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3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significant accounting policies used in the preparation of the Company's condensed consolidated financial statements are disclosed in the 2017 Form 10-K, other than as updated by certain recent accounting pronouncements described below.</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was effective for the Company on January 1, 2018. The Company's site rental revenues are within the scope of lease accounting and were not impacted by this guidance.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Although early adoption is permitted, the Company does not expect to early adopt the new guidance prior to January 1, 2019. The Company expects that (1) lessee arrangements will continue to be classified as operating leases under the new guidance; (2) this guidance will have a material impact on its condensed consolidated balance sheet due to the addition of right-of-use assets and lease liabilities for all lessee arrangements with a term greater than 12 months; and (3) there will not be a material impact to its condensed consolidated statement of operations and condensed consolidated statement of cash flows.</w:t>
      </w:r>
    </w:p>
    <w:p>
      <w:pPr>
        <w:spacing w:after="0" w:line="355"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420" w:right="92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 xml:space="preserve">The outstanding balance of the 3.849% Secured Notes due April 2023 as of both March 31, 2018 and December 31, 2017 was $993 million. </w:t>
      </w:r>
      <w:r>
        <w:rPr>
          <w:rFonts w:ascii="Arial" w:cs="Arial" w:eastAsia="Arial" w:hAnsi="Arial"/>
          <w:sz w:val="18"/>
          <w:szCs w:val="18"/>
          <w:i w:val="1"/>
          <w:iCs w:val="1"/>
          <w:color w:val="auto"/>
        </w:rPr>
        <w:t>Interest Expense and Amortization of Deferred Financing Costs</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9,623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9,969</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sites.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for the land that existed prior to an affiliate acquiring rights to such land. As of March 31, 2018, approximately 30% of the Company's towers were located on land which was controlled by an affiliate. Also, the Company receives site rental revenue from affiliates for land controlled by the Company on which affiliates have towers and pays ground rent expense to affiliates for land owned by affiliates on which the Company has towers.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2018 and 2017, the Company recorded equity distributions of $97.3 million and $89.6 million, respectively, reflecting distributions to its member. Cash on hand above the amount that is required by the Management Agreement has been, and is expected to continue to be, distributed to the Company's parent company. As of March 31, 2018 and 2017, the Company had no material related party assets or liabilities on its condensed consolidated balance sheet.</w:t>
      </w:r>
    </w:p>
    <w:p>
      <w:pPr>
        <w:spacing w:after="0" w:line="345"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included in the CCIC REIT.</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2018 and 2017, the Company's effective tax rate differed from the federal statutory rate predominately due to (1) CCIC's REIT status, including the dividends paid deduction, and (2) state taxes.</w:t>
      </w:r>
    </w:p>
    <w:p>
      <w:pPr>
        <w:spacing w:after="0" w:line="32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cash and cash equivalents approximates the carrying value. The Company determines the fair value of its debt securities based on indicative quotes (that are non-binding quotes) from brokers that require judgment to interpret market information, including implied credit spreads for similar borrowings on recent trades or bid/ask prices or quotes from active markets if applicable. There were no changes since December 31, 2017 in the Company's valuation techniques used to measure fair values. The estimated fair values of the Company's financial instruments, along with the carrying amounts of the related assets and liabilities, are as follows:</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28,488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28,488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30,771</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993,009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1,005,930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992,663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1,032,530</w:t>
            </w:r>
          </w:p>
        </w:tc>
      </w:tr>
    </w:tbl>
    <w:p>
      <w:pPr>
        <w:spacing w:after="0" w:line="39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("MD&amp;A") included in our 2017 Form 10-K. Capitalized terms used but not defined in this Form 10-Q have the same meaning given to them in our 2017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has been contracted for in a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three months ended March 31, 2018.</w:t>
      </w:r>
    </w:p>
    <w:p>
      <w:pPr>
        <w:spacing w:after="0" w:line="23"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communications infrastructure.</w:t>
      </w:r>
    </w:p>
    <w:p>
      <w:pPr>
        <w:jc w:val="both"/>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expect existing and potential new customer demand for our towers will result from (1) new technologies, (2) increased usage of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and (6) the availability of additional spectrum.</w:t>
      </w:r>
    </w:p>
    <w:p>
      <w:pPr>
        <w:spacing w:after="0" w:line="1"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1220" w:hanging="402"/>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U.S. wireless carriers continue to invest in their networks.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shared communications infrastructure, such as towers or other structures, and have no employees.</w:t>
      </w:r>
    </w:p>
    <w:p>
      <w:pPr>
        <w:ind w:left="1220" w:hanging="402"/>
        <w:spacing w:after="0" w:line="281" w:lineRule="auto"/>
        <w:tabs>
          <w:tab w:leader="none" w:pos="12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tenants, with contractual escalations and multiple renewal periods at the option of the tenant of five to ten years each.</w:t>
      </w:r>
    </w:p>
    <w:p>
      <w:pPr>
        <w:jc w:val="both"/>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contract by the related site rental revenue) of approximately six years, exclusive of renewals at the tenants' option, currently representing approximately $4.2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Majority of land interests under our towers are under long-term control</w:t>
      </w:r>
    </w:p>
    <w:p>
      <w:pPr>
        <w:spacing w:after="0" w:line="9" w:lineRule="exact"/>
        <w:rPr>
          <w:rFonts w:ascii="Arial" w:cs="Arial" w:eastAsia="Arial" w:hAnsi="Arial"/>
          <w:sz w:val="18"/>
          <w:szCs w:val="18"/>
          <w:color w:val="auto"/>
        </w:rPr>
      </w:pPr>
    </w:p>
    <w:p>
      <w:pPr>
        <w:ind w:left="1220" w:hanging="402"/>
        <w:spacing w:after="0" w:line="265" w:lineRule="auto"/>
        <w:tabs>
          <w:tab w:leader="none" w:pos="12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More than 80% and more than 50% of our sites are under our control for greater than 10 and 20 years, respectively. The aforementioned amounts include sites that reside on land interests that are owned, including fee interests and perpetual easements.</w:t>
      </w:r>
    </w:p>
    <w:p>
      <w:pPr>
        <w:jc w:val="both"/>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Approximately 20%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$109.8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23"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2018.</w:t>
      </w:r>
    </w:p>
    <w:p>
      <w:pPr>
        <w:spacing w:after="0" w:line="9" w:lineRule="exact"/>
        <w:rPr>
          <w:rFonts w:ascii="Arial" w:cs="Arial" w:eastAsia="Arial" w:hAnsi="Arial"/>
          <w:sz w:val="18"/>
          <w:szCs w:val="18"/>
          <w:color w:val="auto"/>
        </w:rPr>
      </w:pPr>
    </w:p>
    <w:p>
      <w:pPr>
        <w:ind w:left="1220" w:hanging="807"/>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2018, we also expect that the impact from tenant leasing will be offset by non-renewals of tenant contracts, primarily from our customers' decommissioning of the Acquired Networks, at least in part.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2017 Form 10-K. 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Policies and Estimates" </w:t>
      </w:r>
      <w:r>
        <w:rPr>
          <w:rFonts w:ascii="Arial" w:cs="Arial" w:eastAsia="Arial" w:hAnsi="Arial"/>
          <w:sz w:val="18"/>
          <w:szCs w:val="18"/>
          <w:color w:val="auto"/>
        </w:rPr>
        <w:t>herein and note 2 to our 2017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Consolidated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is derived from our historical consolidated statements of operations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20" w:type="dxa"/>
            <w:vAlign w:val="bottom"/>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060" w:type="dxa"/>
            <w:vAlign w:val="bottom"/>
          </w:tcPr>
          <w:p>
            <w:pPr>
              <w:jc w:val="right"/>
              <w:ind w:right="22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2018</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60" w:type="dxa"/>
            <w:vAlign w:val="bottom"/>
            <w:gridSpan w:val="4"/>
            <w:shd w:val="clear" w:color="auto" w:fill="CCEEFF"/>
          </w:tcPr>
          <w:p>
            <w:pPr>
              <w:jc w:val="right"/>
              <w:ind w:right="1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Site rental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162,994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153,081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47,113</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46,753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11,989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11,607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 write-down charges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52,701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52,629</w:t>
            </w:r>
          </w:p>
        </w:tc>
        <w:tc>
          <w:tcPr>
            <w:tcW w:w="220" w:type="dxa"/>
            <w:vAlign w:val="bottom"/>
          </w:tcPr>
          <w:p>
            <w:pPr>
              <w:spacing w:after="0"/>
              <w:rPr>
                <w:sz w:val="20"/>
                <w:szCs w:val="20"/>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112,147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110,989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50,847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42,092</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1,031</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40,811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33,154</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40,718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33,066</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8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Quarter 2018 and 2017</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three months ended March 31, 2018 increased by $9.9 million, or 6%, from the same period in the prior year. This increase in site rental revenues was impacted by the following items, inclusive of straight-line accounting: tenant additions across our entire portfolio, renewals or extensions of tenant contracts, escalations and non-renewals of tenant contracts. Tenant additions were influenced by our customers'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2017 Form 10-K for further discussion regarding our customers' decommissioning of the Acquired Networks.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405"/>
        <w:spacing w:after="0" w:line="264" w:lineRule="auto"/>
        <w:rPr>
          <w:sz w:val="20"/>
          <w:szCs w:val="20"/>
          <w:color w:val="auto"/>
        </w:rPr>
      </w:pPr>
      <w:r>
        <w:rPr>
          <w:rFonts w:ascii="Arial" w:cs="Arial" w:eastAsia="Arial" w:hAnsi="Arial"/>
          <w:sz w:val="18"/>
          <w:szCs w:val="18"/>
          <w:color w:val="auto"/>
        </w:rPr>
        <w:t>Operating income for the three months ended March 31, 2018 increased by $8.8 million, or 21%, from the same period in the prior year. The increase in operating income was predominately due to the aforementioned increase in site rental revenues, partially offset by an increase in cost of operations and asset write-down charges from the three months ended March 31, 2017.</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March 31, 2018 remained unchanged from the same period in the prior year.</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income for the three months ended March 31, 2018 was $40.7 million, compared to net income of $33.1 million for the three months ended March 31, 2017. The increase was due primarily to the aforementioned increase in site rental revenues.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core business generates revenues under long-term contracts (See</w:t>
      </w:r>
      <w:r>
        <w:rPr>
          <w:rFonts w:ascii="Arial" w:cs="Arial" w:eastAsia="Arial" w:hAnsi="Arial"/>
          <w:sz w:val="17"/>
          <w:szCs w:val="17"/>
          <w:i w:val="1"/>
          <w:iCs w:val="1"/>
          <w:color w:val="auto"/>
        </w:rPr>
        <w:t xml:space="preserve"> "Item 2. MD&amp;A—General Overview")</w:t>
      </w:r>
      <w:r>
        <w:rPr>
          <w:rFonts w:ascii="Arial" w:cs="Arial" w:eastAsia="Arial" w:hAnsi="Arial"/>
          <w:sz w:val="17"/>
          <w:szCs w:val="17"/>
          <w:color w:val="auto"/>
        </w:rPr>
        <w:t>, predominantly from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U.S. 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March 31, 2018:</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60" w:type="dxa"/>
            <w:vAlign w:val="bottom"/>
          </w:tcPr>
          <w:p>
            <w:pPr>
              <w:jc w:val="right"/>
              <w:ind w:right="601"/>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54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0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28,488</w:t>
            </w:r>
          </w:p>
        </w:tc>
      </w:tr>
      <w:tr>
        <w:trPr>
          <w:trHeight w:val="33"/>
        </w:trPr>
        <w:tc>
          <w:tcPr>
            <w:tcW w:w="5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40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993,009</w:t>
            </w: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Total member's equity</w:t>
            </w:r>
          </w:p>
        </w:tc>
        <w:tc>
          <w:tcPr>
            <w:tcW w:w="408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2,519,881</w:t>
            </w:r>
          </w:p>
        </w:tc>
      </w:tr>
    </w:tbl>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02"/>
              <w:spacing w:after="0"/>
              <w:rPr>
                <w:sz w:val="20"/>
                <w:szCs w:val="20"/>
                <w:color w:val="auto"/>
              </w:rPr>
            </w:pPr>
            <w:r>
              <w:rPr>
                <w:rFonts w:ascii="Arial" w:cs="Arial" w:eastAsia="Arial" w:hAnsi="Arial"/>
                <w:sz w:val="14"/>
                <w:szCs w:val="14"/>
                <w:b w:val="1"/>
                <w:bCs w:val="1"/>
                <w:color w:val="auto"/>
                <w:w w:val="95"/>
              </w:rPr>
              <w:t>Three Months Ended March 31,</w:t>
            </w:r>
          </w:p>
        </w:tc>
        <w:tc>
          <w:tcPr>
            <w:tcW w:w="860" w:type="dxa"/>
            <w:vAlign w:val="bottom"/>
            <w:tcBorders>
              <w:bottom w:val="single" w:sz="8" w:color="auto"/>
            </w:tcBorders>
          </w:tcPr>
          <w:p>
            <w:pPr>
              <w:spacing w:after="0"/>
              <w:rPr>
                <w:sz w:val="16"/>
                <w:szCs w:val="16"/>
                <w:color w:val="auto"/>
              </w:rPr>
            </w:pPr>
          </w:p>
        </w:tc>
      </w:tr>
      <w:tr>
        <w:trPr>
          <w:trHeight w:val="258"/>
        </w:trPr>
        <w:tc>
          <w:tcPr>
            <w:tcW w:w="7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109,846</w:t>
            </w:r>
          </w:p>
        </w:tc>
        <w:tc>
          <w:tcPr>
            <w:tcW w:w="12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104,963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4,883</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(97,308)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(89,571)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(7,737)</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in net cash provided by operating activities for the first three months of 2018 of $4.9 million, or 5%, from the first three months of 2017, was due primarily to growth in cash revenues, including cash escalations that are subject to straight-line accounting, offset by a net decrease from changes in working capital. Changes in working capital (including changes in accounts receivables, deferred site rental receivables and prepaid ground leases) results in variability on net cash provided by operating activities, largely due to the timing of advanced payments by us and advanced receipts from customers.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Sustaining capital expenditures consist of capital improvements on our sites that enable our customers' ongoing quiet enjoyment of the site.</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three months ended March 31, 2018 and 2017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03"/>
              <w:spacing w:after="0"/>
              <w:rPr>
                <w:sz w:val="20"/>
                <w:szCs w:val="20"/>
                <w:color w:val="auto"/>
              </w:rPr>
            </w:pPr>
            <w:r>
              <w:rPr>
                <w:rFonts w:ascii="Arial" w:cs="Arial" w:eastAsia="Arial" w:hAnsi="Arial"/>
                <w:sz w:val="14"/>
                <w:szCs w:val="14"/>
                <w:b w:val="1"/>
                <w:bCs w:val="1"/>
                <w:color w:val="auto"/>
                <w:w w:val="95"/>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0"/>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9"/>
        </w:trPr>
        <w:tc>
          <w:tcPr>
            <w:tcW w:w="7540" w:type="dxa"/>
            <w:vAlign w:val="bottom"/>
          </w:tcPr>
          <w:p>
            <w:pPr>
              <w:ind w:left="40"/>
              <w:spacing w:after="0"/>
              <w:rPr>
                <w:sz w:val="20"/>
                <w:szCs w:val="20"/>
                <w:color w:val="auto"/>
              </w:rPr>
            </w:pPr>
            <w:r>
              <w:rPr>
                <w:rFonts w:ascii="Arial" w:cs="Arial" w:eastAsia="Arial" w:hAnsi="Arial"/>
                <w:sz w:val="16"/>
                <w:szCs w:val="16"/>
                <w:color w:val="auto"/>
              </w:rPr>
              <w:t>Site improvements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13,605</w:t>
            </w:r>
          </w:p>
        </w:tc>
        <w:tc>
          <w:tcPr>
            <w:tcW w:w="12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10,534</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3,071</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Sustaining</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14,821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12,186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2,635</w:t>
            </w:r>
          </w:p>
        </w:tc>
      </w:tr>
      <w:tr>
        <w:trPr>
          <w:trHeight w:val="33"/>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net cash flows used for financing activities in the three months ended March 31, 2018 and 2017 includes the impact from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2017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parent.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2018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2017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in our 2017 Form 10-K. The critical accounting policies and estimates for the first three months of 2018 have not changed from the critical accounting policies for the year ended December 31,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5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Item 1A of our 2017 Form 10-K, we have previously included the risk factor captioned “</w:t>
      </w:r>
      <w:r>
        <w:rPr>
          <w:rFonts w:ascii="Arial" w:cs="Arial" w:eastAsia="Arial" w:hAnsi="Arial"/>
          <w:sz w:val="16"/>
          <w:szCs w:val="16"/>
          <w:b w:val="1"/>
          <w:bCs w:val="1"/>
          <w:i w:val="1"/>
          <w:iCs w:val="1"/>
          <w:color w:val="auto"/>
        </w:rPr>
        <w:t>A substantial portion of our revenues is derived from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small number of customers, and the loss, consolidation or financial instability of any of such customers may materially decrease revenues or reduce demand for our communications infrastructure.</w:t>
      </w:r>
      <w:r>
        <w:rPr>
          <w:rFonts w:ascii="Arial" w:cs="Arial" w:eastAsia="Arial" w:hAnsi="Arial"/>
          <w:sz w:val="16"/>
          <w:szCs w:val="16"/>
          <w:color w:val="auto"/>
        </w:rPr>
        <w:t>” Information set forth below is an update to that risk factor. You should carefully consider the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this document and the risk factors contained in our 2017 Form 10-K, as updated by the information contained below.</w:t>
      </w:r>
    </w:p>
    <w:p>
      <w:pPr>
        <w:spacing w:after="0" w:line="1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2018, T-Mobile and Sprint entered into a definitive agreement to merge, subject to regulatory approval and other closing conditions. This potential transaction may result in a decrease or delay in demand for our communications infrastructure, as a result of the anticipated integration of the T-Mobile and Sprint networks and related duplicate or overlapping parts of their networks, which may lead to a reduction in our revenues or cash flows and may trigger a review for impairment of certain long-lived assets.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Certificate of Formation, as amended, of CC Holdings GS V LLC</w:t>
              </w:r>
            </w:hyperlink>
          </w:p>
        </w:tc>
        <w:tc>
          <w:tcPr>
            <w:tcW w:w="4180" w:type="dxa"/>
            <w:vAlign w:val="bottom"/>
            <w:gridSpan w:val="4"/>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FF"/>
            </w:tcBorders>
            <w:gridSpan w:val="7"/>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Second Amended and Restated Limited Liability Company Agreement of CC Holdings GS V LLC</w:t>
              </w:r>
            </w:hyperlink>
          </w:p>
        </w:tc>
        <w:tc>
          <w:tcPr>
            <w:tcW w:w="1800" w:type="dxa"/>
            <w:vAlign w:val="bottom"/>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940" w:type="dxa"/>
            <w:vAlign w:val="bottom"/>
            <w:gridSpan w:val="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Certification of Chief Financial Officer pursuant to Section 302 of Sarbanes-Oxley Act of 2002</w:t>
              </w:r>
            </w:hyperlink>
          </w:p>
        </w:tc>
        <w:tc>
          <w:tcPr>
            <w:tcW w:w="40" w:type="dxa"/>
            <w:vAlign w:val="bottom"/>
            <w:tcBorders>
              <w:top w:val="single" w:sz="8" w:color="0000FF"/>
            </w:tcBorders>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9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Certification of Chief Executive Officer and Chief Financial Officer pursuant to Section 906 of Sarbanes-Oxley Act of 2002</w:t>
              </w:r>
            </w:hyperlink>
          </w:p>
        </w:tc>
      </w:tr>
    </w:tbl>
    <w:p>
      <w:pPr>
        <w:spacing w:after="0" w:line="188" w:lineRule="exact"/>
        <w:rPr>
          <w:sz w:val="20"/>
          <w:szCs w:val="20"/>
          <w:color w:val="auto"/>
        </w:rPr>
      </w:pPr>
    </w:p>
    <w:p>
      <w:pPr>
        <w:ind w:left="500" w:hanging="307"/>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101.SCH</w:t>
      </w:r>
      <w:r>
        <w:rPr>
          <w:rFonts w:ascii="Arial" w:cs="Arial" w:eastAsia="Arial" w:hAnsi="Arial"/>
          <w:sz w:val="16"/>
          <w:szCs w:val="16"/>
          <w:color w:val="auto"/>
        </w:rPr>
        <w:t>XBRL Taxonomy Extension Schema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101.DEF</w:t>
      </w:r>
      <w:r>
        <w:rPr>
          <w:rFonts w:ascii="Arial" w:cs="Arial" w:eastAsia="Arial" w:hAnsi="Arial"/>
          <w:sz w:val="16"/>
          <w:szCs w:val="16"/>
          <w:color w:val="auto"/>
        </w:rPr>
        <w:t>XBRL Taxonomy Extension Definition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101.CAL</w:t>
      </w:r>
      <w:r>
        <w:rPr>
          <w:rFonts w:ascii="Arial" w:cs="Arial" w:eastAsia="Arial" w:hAnsi="Arial"/>
          <w:sz w:val="16"/>
          <w:szCs w:val="16"/>
          <w:color w:val="auto"/>
        </w:rPr>
        <w:t>XBRL Taxonomy Extension Calculation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101.PRE</w:t>
      </w:r>
      <w:r>
        <w:rPr>
          <w:rFonts w:ascii="Arial" w:cs="Arial" w:eastAsia="Arial" w:hAnsi="Arial"/>
          <w:sz w:val="16"/>
          <w:szCs w:val="16"/>
          <w:color w:val="auto"/>
        </w:rPr>
        <w:t>XBRL Taxonomy Extension Presentation Linkbase Document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50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connection with the Quarterly Report on Form 10-Q of CC Holdings GS V LLC, a Delaware Corporation (“Company”), for the period ending March 31, 2018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March 31, 2018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May 4, 2018</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May 4, 2018</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lvl w:ilvl="1">
      <w:lvlJc w:val="left"/>
      <w:lvlText w:val="(%2)"/>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0" Type="http://schemas.openxmlformats.org/officeDocument/2006/relationships/hyperlink" Target="http://www.sec.gov/Archives/edgar/data/1574211/000119312513158983/d519395dex31.htm" TargetMode="External"/><Relationship Id="rId21"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2019-12-28T22:38:40Z</dcterms:created>
  <dcterms:modified xsi:type="dcterms:W3CDTF">2019-12-28T22:38:40Z</dcterms:modified>
</cp:coreProperties>
</file>