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20, 2026</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Crown Castle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50" w:lineRule="exact"/>
        <w:rPr>
          <w:sz w:val="24"/>
          <w:szCs w:val="24"/>
          <w:color w:val="auto"/>
        </w:rPr>
      </w:pPr>
    </w:p>
    <w:tbl>
      <w:tblPr>
        <w:tblLayout w:type="fixed"/>
        <w:tblInd w:w="40" w:type="dxa"/>
        <w:tblCellMar>
          <w:top w:w="0" w:type="dxa"/>
          <w:left w:w="0" w:type="dxa"/>
          <w:bottom w:w="0" w:type="dxa"/>
          <w:right w:w="0" w:type="dxa"/>
        </w:tblCellMar>
      </w:tblPr>
      <w:tr>
        <w:trPr>
          <w:trHeight w:val="238"/>
        </w:trPr>
        <w:tc>
          <w:tcPr>
            <w:tcW w:w="292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40" w:type="dxa"/>
            <w:vAlign w:val="bottom"/>
            <w:gridSpan w:val="3"/>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001-16441</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76-0470458</w:t>
            </w:r>
          </w:p>
        </w:tc>
      </w:tr>
      <w:tr>
        <w:trPr>
          <w:trHeight w:val="169"/>
        </w:trPr>
        <w:tc>
          <w:tcPr>
            <w:tcW w:w="2920" w:type="dxa"/>
            <w:vAlign w:val="bottom"/>
            <w:tcBorders>
              <w:top w:val="single" w:sz="8" w:color="auto"/>
            </w:tcBorders>
          </w:tcPr>
          <w:p>
            <w:pPr>
              <w:jc w:val="center"/>
              <w:ind w:left="450"/>
              <w:spacing w:after="0" w:line="169"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6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(Commission File Number)</w:t>
            </w:r>
          </w:p>
        </w:tc>
        <w:tc>
          <w:tcPr>
            <w:tcW w:w="24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3100" w:type="dxa"/>
            <w:vAlign w:val="bottom"/>
            <w:tcBorders>
              <w:top w:val="single" w:sz="8" w:color="auto"/>
            </w:tcBorders>
          </w:tcPr>
          <w:p>
            <w:pPr>
              <w:jc w:val="center"/>
              <w:ind w:right="410"/>
              <w:spacing w:after="0" w:line="169" w:lineRule="exact"/>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292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530"/>
        </w:trPr>
        <w:tc>
          <w:tcPr>
            <w:tcW w:w="2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8020 Katy Freeway, Houston, Texas 77024-1908</w:t>
            </w:r>
          </w:p>
        </w:tc>
        <w:tc>
          <w:tcPr>
            <w:tcW w:w="3100" w:type="dxa"/>
            <w:vAlign w:val="bottom"/>
          </w:tcPr>
          <w:p>
            <w:pPr>
              <w:spacing w:after="0"/>
              <w:rPr>
                <w:sz w:val="24"/>
                <w:szCs w:val="24"/>
                <w:color w:val="auto"/>
              </w:rPr>
            </w:pPr>
          </w:p>
        </w:tc>
      </w:tr>
      <w:tr>
        <w:trPr>
          <w:trHeight w:val="234"/>
        </w:trPr>
        <w:tc>
          <w:tcPr>
            <w:tcW w:w="2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100" w:type="dxa"/>
            <w:vAlign w:val="bottom"/>
          </w:tcPr>
          <w:p>
            <w:pPr>
              <w:spacing w:after="0"/>
              <w:rPr>
                <w:sz w:val="20"/>
                <w:szCs w:val="20"/>
                <w:color w:val="auto"/>
              </w:rPr>
            </w:pPr>
          </w:p>
        </w:tc>
      </w:tr>
      <w:tr>
        <w:trPr>
          <w:trHeight w:val="405"/>
        </w:trPr>
        <w:tc>
          <w:tcPr>
            <w:tcW w:w="2920" w:type="dxa"/>
            <w:vAlign w:val="bottom"/>
          </w:tcPr>
          <w:p>
            <w:pPr>
              <w:spacing w:after="0"/>
              <w:rPr>
                <w:sz w:val="24"/>
                <w:szCs w:val="24"/>
                <w:color w:val="auto"/>
              </w:rPr>
            </w:pPr>
          </w:p>
        </w:tc>
        <w:tc>
          <w:tcPr>
            <w:tcW w:w="5160" w:type="dxa"/>
            <w:vAlign w:val="bottom"/>
            <w:gridSpan w:val="5"/>
          </w:tcPr>
          <w:p>
            <w:pPr>
              <w:jc w:val="center"/>
              <w:ind w:left="9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(713) 570-3000</w:t>
            </w:r>
          </w:p>
        </w:tc>
        <w:tc>
          <w:tcPr>
            <w:tcW w:w="3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1753870</wp:posOffset>
            </wp:positionH>
            <wp:positionV relativeFrom="paragraph">
              <wp:posOffset>137160</wp:posOffset>
            </wp:positionV>
            <wp:extent cx="36347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540" w:hanging="431"/>
        <w:spacing w:after="0"/>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22"/>
          <w:szCs w:val="22"/>
          <w:color w:val="auto"/>
        </w:rPr>
      </w:pPr>
    </w:p>
    <w:p>
      <w:pPr>
        <w:ind w:left="540" w:hanging="431"/>
        <w:spacing w:after="0"/>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2" w:lineRule="exact"/>
        <w:rPr>
          <w:rFonts w:ascii="MS PGothic" w:cs="MS PGothic" w:eastAsia="MS PGothic" w:hAnsi="MS PGothic"/>
          <w:sz w:val="22"/>
          <w:szCs w:val="22"/>
          <w:color w:val="auto"/>
        </w:rPr>
      </w:pPr>
    </w:p>
    <w:p>
      <w:pPr>
        <w:ind w:left="540" w:hanging="431"/>
        <w:spacing w:after="0"/>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2" w:lineRule="exact"/>
        <w:rPr>
          <w:rFonts w:ascii="MS PGothic" w:cs="MS PGothic" w:eastAsia="MS PGothic" w:hAnsi="MS PGothic"/>
          <w:sz w:val="22"/>
          <w:szCs w:val="22"/>
          <w:color w:val="auto"/>
        </w:rPr>
      </w:pPr>
    </w:p>
    <w:p>
      <w:pPr>
        <w:ind w:left="540" w:hanging="431"/>
        <w:spacing w:after="0"/>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5" w:lineRule="exact"/>
        <w:rPr>
          <w:sz w:val="24"/>
          <w:szCs w:val="24"/>
          <w:color w:val="auto"/>
        </w:rPr>
      </w:pPr>
    </w:p>
    <w:tbl>
      <w:tblPr>
        <w:tblLayout w:type="fixed"/>
        <w:tblInd w:w="30" w:type="dxa"/>
        <w:tblCellMar>
          <w:top w:w="0" w:type="dxa"/>
          <w:left w:w="0" w:type="dxa"/>
          <w:bottom w:w="0" w:type="dxa"/>
          <w:right w:w="0" w:type="dxa"/>
        </w:tblCellMar>
      </w:tblPr>
      <w:tr>
        <w:trPr>
          <w:trHeight w:val="243"/>
        </w:trPr>
        <w:tc>
          <w:tcPr>
            <w:tcW w:w="4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5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CCI</w:t>
            </w:r>
          </w:p>
        </w:tc>
        <w:tc>
          <w:tcPr>
            <w:tcW w:w="4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3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Rule 12b-2 of the Securities Exchange Act of 1934 (17 CFR §240.12b-2).</w:t>
      </w:r>
    </w:p>
    <w:p>
      <w:pPr>
        <w:spacing w:after="0" w:line="9"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240" w:lineRule="exact"/>
        <w:rPr>
          <w:sz w:val="24"/>
          <w:szCs w:val="24"/>
          <w:color w:val="auto"/>
        </w:rPr>
      </w:pPr>
    </w:p>
    <w:p>
      <w:pPr>
        <w:ind w:right="16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696595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83820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49530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5.07—SUBMISSION OF MATTERS TO A VOTE OF SECURITY HOLDERS</w:t>
      </w:r>
    </w:p>
    <w:p>
      <w:pPr>
        <w:spacing w:after="0" w:line="243"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At the 2026 annual meeting of stockholders ("Annual Meeting") of Crown Castle Inc. ("Company") held on May 20, 2026, the Company's stockholders (1) elected each of the nine nominees for director, to serve until the Company's next annual meeting of stockholders and until their respective successors are duly elected and qualified, (2) ratified the appointment of PricewaterhouseCoopers LLP as the Company's independent registered public accountants for fiscal year 2026, and (3) approved, on a non-binding, advisory basis, the compensation of the Company's named executive officers as described in the Company's Definitive Proxy Statement on Schedule 14A filed with the Securities and Exchange Commission on April 6, 2026, for the Annual Meeting. The final voting results for each proposal submitted to a vote are set forth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 Election of Directors:</w:t>
            </w: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59"/>
        </w:trPr>
        <w:tc>
          <w:tcPr>
            <w:tcW w:w="6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20" w:type="dxa"/>
            <w:vAlign w:val="bottom"/>
          </w:tcPr>
          <w:p>
            <w:pPr>
              <w:spacing w:after="0"/>
              <w:rPr>
                <w:sz w:val="24"/>
                <w:szCs w:val="24"/>
                <w:color w:val="auto"/>
              </w:rPr>
            </w:pPr>
          </w:p>
        </w:tc>
        <w:tc>
          <w:tcPr>
            <w:tcW w:w="208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4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9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45"/>
        </w:trPr>
        <w:tc>
          <w:tcPr>
            <w:tcW w:w="60" w:type="dxa"/>
            <w:vAlign w:val="bottom"/>
          </w:tcPr>
          <w:p>
            <w:pPr>
              <w:spacing w:after="0"/>
              <w:rPr>
                <w:sz w:val="21"/>
                <w:szCs w:val="21"/>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 Robert Bartolo</w:t>
            </w:r>
          </w:p>
        </w:tc>
        <w:tc>
          <w:tcPr>
            <w:tcW w:w="270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9"/>
              </w:rPr>
              <w:t>386,011,195</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8,988,680</w:t>
            </w:r>
          </w:p>
        </w:tc>
        <w:tc>
          <w:tcPr>
            <w:tcW w:w="126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214,153</w:t>
            </w:r>
          </w:p>
        </w:tc>
        <w:tc>
          <w:tcPr>
            <w:tcW w:w="540" w:type="dxa"/>
            <w:vAlign w:val="bottom"/>
          </w:tcPr>
          <w:p>
            <w:pPr>
              <w:spacing w:after="0"/>
              <w:rPr>
                <w:sz w:val="21"/>
                <w:szCs w:val="21"/>
                <w:color w:val="auto"/>
              </w:rPr>
            </w:pPr>
          </w:p>
        </w:tc>
        <w:tc>
          <w:tcPr>
            <w:tcW w:w="19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rPr>
              <w:t>14,804,582</w:t>
            </w:r>
          </w:p>
        </w:tc>
      </w:tr>
      <w:tr>
        <w:trPr>
          <w:trHeight w:val="230"/>
        </w:trPr>
        <w:tc>
          <w:tcPr>
            <w:tcW w:w="60" w:type="dxa"/>
            <w:vAlign w:val="bottom"/>
          </w:tcPr>
          <w:p>
            <w:pPr>
              <w:spacing w:after="0"/>
              <w:rPr>
                <w:sz w:val="19"/>
                <w:szCs w:val="19"/>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Andrea J. Goldsmith</w:t>
            </w:r>
          </w:p>
        </w:tc>
        <w:tc>
          <w:tcPr>
            <w:tcW w:w="270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9"/>
              </w:rPr>
              <w:t>392,438,473</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2,460,447</w:t>
            </w:r>
          </w:p>
        </w:tc>
        <w:tc>
          <w:tcPr>
            <w:tcW w:w="126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315,108</w:t>
            </w:r>
          </w:p>
        </w:tc>
        <w:tc>
          <w:tcPr>
            <w:tcW w:w="540" w:type="dxa"/>
            <w:vAlign w:val="bottom"/>
          </w:tcPr>
          <w:p>
            <w:pPr>
              <w:spacing w:after="0"/>
              <w:rPr>
                <w:sz w:val="19"/>
                <w:szCs w:val="19"/>
                <w:color w:val="auto"/>
              </w:rPr>
            </w:pPr>
          </w:p>
        </w:tc>
        <w:tc>
          <w:tcPr>
            <w:tcW w:w="19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rPr>
              <w:t>14,804,582</w:t>
            </w:r>
          </w:p>
        </w:tc>
      </w:tr>
      <w:tr>
        <w:trPr>
          <w:trHeight w:val="229"/>
        </w:trPr>
        <w:tc>
          <w:tcPr>
            <w:tcW w:w="60" w:type="dxa"/>
            <w:vAlign w:val="bottom"/>
          </w:tcPr>
          <w:p>
            <w:pPr>
              <w:spacing w:after="0"/>
              <w:rPr>
                <w:sz w:val="19"/>
                <w:szCs w:val="19"/>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Christian H. Hillabrant</w:t>
            </w:r>
          </w:p>
        </w:tc>
        <w:tc>
          <w:tcPr>
            <w:tcW w:w="270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9"/>
              </w:rPr>
              <w:t>394,069,958</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930,095</w:t>
            </w:r>
          </w:p>
        </w:tc>
        <w:tc>
          <w:tcPr>
            <w:tcW w:w="126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213,975</w:t>
            </w:r>
          </w:p>
        </w:tc>
        <w:tc>
          <w:tcPr>
            <w:tcW w:w="540" w:type="dxa"/>
            <w:vAlign w:val="bottom"/>
          </w:tcPr>
          <w:p>
            <w:pPr>
              <w:spacing w:after="0"/>
              <w:rPr>
                <w:sz w:val="19"/>
                <w:szCs w:val="19"/>
                <w:color w:val="auto"/>
              </w:rPr>
            </w:pPr>
          </w:p>
        </w:tc>
        <w:tc>
          <w:tcPr>
            <w:tcW w:w="19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rPr>
              <w:t>14,804,582</w:t>
            </w:r>
          </w:p>
        </w:tc>
      </w:tr>
      <w:tr>
        <w:trPr>
          <w:trHeight w:val="230"/>
        </w:trPr>
        <w:tc>
          <w:tcPr>
            <w:tcW w:w="60" w:type="dxa"/>
            <w:vAlign w:val="bottom"/>
          </w:tcPr>
          <w:p>
            <w:pPr>
              <w:spacing w:after="0"/>
              <w:rPr>
                <w:sz w:val="19"/>
                <w:szCs w:val="19"/>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Tammy K. Jones</w:t>
            </w:r>
          </w:p>
        </w:tc>
        <w:tc>
          <w:tcPr>
            <w:tcW w:w="270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9"/>
              </w:rPr>
              <w:t>388,902,297</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6,079,367</w:t>
            </w:r>
          </w:p>
        </w:tc>
        <w:tc>
          <w:tcPr>
            <w:tcW w:w="126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232,364</w:t>
            </w:r>
          </w:p>
        </w:tc>
        <w:tc>
          <w:tcPr>
            <w:tcW w:w="540" w:type="dxa"/>
            <w:vAlign w:val="bottom"/>
          </w:tcPr>
          <w:p>
            <w:pPr>
              <w:spacing w:after="0"/>
              <w:rPr>
                <w:sz w:val="19"/>
                <w:szCs w:val="19"/>
                <w:color w:val="auto"/>
              </w:rPr>
            </w:pPr>
          </w:p>
        </w:tc>
        <w:tc>
          <w:tcPr>
            <w:tcW w:w="19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rPr>
              <w:t>14,804,582</w:t>
            </w:r>
          </w:p>
        </w:tc>
      </w:tr>
      <w:tr>
        <w:trPr>
          <w:trHeight w:val="229"/>
        </w:trPr>
        <w:tc>
          <w:tcPr>
            <w:tcW w:w="60" w:type="dxa"/>
            <w:vAlign w:val="bottom"/>
          </w:tcPr>
          <w:p>
            <w:pPr>
              <w:spacing w:after="0"/>
              <w:rPr>
                <w:sz w:val="19"/>
                <w:szCs w:val="19"/>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T. Kabat</w:t>
            </w:r>
          </w:p>
        </w:tc>
        <w:tc>
          <w:tcPr>
            <w:tcW w:w="270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9"/>
              </w:rPr>
              <w:t>388,901,857</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6,075,203</w:t>
            </w:r>
          </w:p>
        </w:tc>
        <w:tc>
          <w:tcPr>
            <w:tcW w:w="126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236,968</w:t>
            </w:r>
          </w:p>
        </w:tc>
        <w:tc>
          <w:tcPr>
            <w:tcW w:w="540" w:type="dxa"/>
            <w:vAlign w:val="bottom"/>
          </w:tcPr>
          <w:p>
            <w:pPr>
              <w:spacing w:after="0"/>
              <w:rPr>
                <w:sz w:val="19"/>
                <w:szCs w:val="19"/>
                <w:color w:val="auto"/>
              </w:rPr>
            </w:pPr>
          </w:p>
        </w:tc>
        <w:tc>
          <w:tcPr>
            <w:tcW w:w="19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rPr>
              <w:t>14,804,582</w:t>
            </w:r>
          </w:p>
        </w:tc>
      </w:tr>
      <w:tr>
        <w:trPr>
          <w:trHeight w:val="229"/>
        </w:trPr>
        <w:tc>
          <w:tcPr>
            <w:tcW w:w="60" w:type="dxa"/>
            <w:vAlign w:val="bottom"/>
          </w:tcPr>
          <w:p>
            <w:pPr>
              <w:spacing w:after="0"/>
              <w:rPr>
                <w:sz w:val="19"/>
                <w:szCs w:val="19"/>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J. Melone</w:t>
            </w:r>
          </w:p>
        </w:tc>
        <w:tc>
          <w:tcPr>
            <w:tcW w:w="270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9"/>
              </w:rPr>
              <w:t>382,087,418</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12,916,953</w:t>
            </w:r>
          </w:p>
        </w:tc>
        <w:tc>
          <w:tcPr>
            <w:tcW w:w="126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209,657</w:t>
            </w:r>
          </w:p>
        </w:tc>
        <w:tc>
          <w:tcPr>
            <w:tcW w:w="540" w:type="dxa"/>
            <w:vAlign w:val="bottom"/>
          </w:tcPr>
          <w:p>
            <w:pPr>
              <w:spacing w:after="0"/>
              <w:rPr>
                <w:sz w:val="19"/>
                <w:szCs w:val="19"/>
                <w:color w:val="auto"/>
              </w:rPr>
            </w:pPr>
          </w:p>
        </w:tc>
        <w:tc>
          <w:tcPr>
            <w:tcW w:w="19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rPr>
              <w:t>14,804,582</w:t>
            </w:r>
          </w:p>
        </w:tc>
      </w:tr>
      <w:tr>
        <w:trPr>
          <w:trHeight w:val="230"/>
        </w:trPr>
        <w:tc>
          <w:tcPr>
            <w:tcW w:w="60" w:type="dxa"/>
            <w:vAlign w:val="bottom"/>
          </w:tcPr>
          <w:p>
            <w:pPr>
              <w:spacing w:after="0"/>
              <w:rPr>
                <w:sz w:val="19"/>
                <w:szCs w:val="19"/>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Katherine Motlagh</w:t>
            </w:r>
          </w:p>
        </w:tc>
        <w:tc>
          <w:tcPr>
            <w:tcW w:w="270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9"/>
              </w:rPr>
              <w:t>393,416,467</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1,467,493</w:t>
            </w:r>
          </w:p>
        </w:tc>
        <w:tc>
          <w:tcPr>
            <w:tcW w:w="126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330,068</w:t>
            </w:r>
          </w:p>
        </w:tc>
        <w:tc>
          <w:tcPr>
            <w:tcW w:w="540" w:type="dxa"/>
            <w:vAlign w:val="bottom"/>
          </w:tcPr>
          <w:p>
            <w:pPr>
              <w:spacing w:after="0"/>
              <w:rPr>
                <w:sz w:val="19"/>
                <w:szCs w:val="19"/>
                <w:color w:val="auto"/>
              </w:rPr>
            </w:pPr>
          </w:p>
        </w:tc>
        <w:tc>
          <w:tcPr>
            <w:tcW w:w="19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rPr>
              <w:t>14,804,582</w:t>
            </w:r>
          </w:p>
        </w:tc>
      </w:tr>
      <w:tr>
        <w:trPr>
          <w:trHeight w:val="229"/>
        </w:trPr>
        <w:tc>
          <w:tcPr>
            <w:tcW w:w="60" w:type="dxa"/>
            <w:vAlign w:val="bottom"/>
          </w:tcPr>
          <w:p>
            <w:pPr>
              <w:spacing w:after="0"/>
              <w:rPr>
                <w:sz w:val="19"/>
                <w:szCs w:val="19"/>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A. Stephens</w:t>
            </w:r>
          </w:p>
        </w:tc>
        <w:tc>
          <w:tcPr>
            <w:tcW w:w="270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9"/>
              </w:rPr>
              <w:t>392,138,054</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2,838,273</w:t>
            </w:r>
          </w:p>
        </w:tc>
        <w:tc>
          <w:tcPr>
            <w:tcW w:w="126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237,701</w:t>
            </w:r>
          </w:p>
        </w:tc>
        <w:tc>
          <w:tcPr>
            <w:tcW w:w="540" w:type="dxa"/>
            <w:vAlign w:val="bottom"/>
          </w:tcPr>
          <w:p>
            <w:pPr>
              <w:spacing w:after="0"/>
              <w:rPr>
                <w:sz w:val="19"/>
                <w:szCs w:val="19"/>
                <w:color w:val="auto"/>
              </w:rPr>
            </w:pPr>
          </w:p>
        </w:tc>
        <w:tc>
          <w:tcPr>
            <w:tcW w:w="19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rPr>
              <w:t>14,804,582</w:t>
            </w:r>
          </w:p>
        </w:tc>
      </w:tr>
      <w:tr>
        <w:trPr>
          <w:trHeight w:val="234"/>
        </w:trPr>
        <w:tc>
          <w:tcPr>
            <w:tcW w:w="60" w:type="dxa"/>
            <w:vAlign w:val="bottom"/>
          </w:tcPr>
          <w:p>
            <w:pPr>
              <w:spacing w:after="0"/>
              <w:rPr>
                <w:sz w:val="20"/>
                <w:szCs w:val="20"/>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Thornton, III</w:t>
            </w:r>
          </w:p>
        </w:tc>
        <w:tc>
          <w:tcPr>
            <w:tcW w:w="270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9"/>
              </w:rPr>
              <w:t>388,851,829</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5,817,597</w:t>
            </w:r>
          </w:p>
        </w:tc>
        <w:tc>
          <w:tcPr>
            <w:tcW w:w="126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544,602</w:t>
            </w:r>
          </w:p>
        </w:tc>
        <w:tc>
          <w:tcPr>
            <w:tcW w:w="540" w:type="dxa"/>
            <w:vAlign w:val="bottom"/>
          </w:tcPr>
          <w:p>
            <w:pPr>
              <w:spacing w:after="0"/>
              <w:rPr>
                <w:sz w:val="20"/>
                <w:szCs w:val="20"/>
                <w:color w:val="auto"/>
              </w:rPr>
            </w:pPr>
          </w:p>
        </w:tc>
        <w:tc>
          <w:tcPr>
            <w:tcW w:w="19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rPr>
              <w:t>14,804,582</w:t>
            </w:r>
          </w:p>
        </w:tc>
      </w:tr>
    </w:tbl>
    <w:p>
      <w:pPr>
        <w:spacing w:after="0" w:line="302" w:lineRule="exact"/>
        <w:rPr>
          <w:sz w:val="20"/>
          <w:szCs w:val="20"/>
          <w:color w:val="auto"/>
        </w:rPr>
      </w:pPr>
    </w:p>
    <w:p>
      <w:pPr>
        <w:ind w:right="260" w:firstLine="8"/>
        <w:spacing w:after="0" w:line="286" w:lineRule="auto"/>
        <w:tabs>
          <w:tab w:leader="none" w:pos="19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ratification of appointment of PricewaterhouseCoopers LLP as the Company's independent registered public accountants for fiscal year 2026:</w:t>
      </w:r>
    </w:p>
    <w:p>
      <w:pPr>
        <w:spacing w:after="0" w:line="213" w:lineRule="exact"/>
        <w:rPr>
          <w:sz w:val="20"/>
          <w:szCs w:val="20"/>
          <w:color w:val="auto"/>
        </w:rPr>
      </w:pPr>
    </w:p>
    <w:tbl>
      <w:tblPr>
        <w:tblLayout w:type="fixed"/>
        <w:tblInd w:w="1840" w:type="dxa"/>
        <w:tblCellMar>
          <w:top w:w="0" w:type="dxa"/>
          <w:left w:w="0" w:type="dxa"/>
          <w:bottom w:w="0" w:type="dxa"/>
          <w:right w:w="0" w:type="dxa"/>
        </w:tblCellMar>
      </w:tblPr>
      <w:tr>
        <w:trPr>
          <w:trHeight w:val="207"/>
        </w:trPr>
        <w:tc>
          <w:tcPr>
            <w:tcW w:w="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700" w:type="dxa"/>
            <w:vAlign w:val="bottom"/>
          </w:tcPr>
          <w:p>
            <w:pPr>
              <w:spacing w:after="0"/>
              <w:rPr>
                <w:sz w:val="18"/>
                <w:szCs w:val="18"/>
                <w:color w:val="auto"/>
              </w:rPr>
            </w:pPr>
          </w:p>
        </w:tc>
        <w:tc>
          <w:tcPr>
            <w:tcW w:w="292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00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50"/>
        </w:trPr>
        <w:tc>
          <w:tcPr>
            <w:tcW w:w="15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w w:val="97"/>
              </w:rPr>
              <w:t>403,302,019</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6,525,343</w:t>
            </w:r>
          </w:p>
        </w:tc>
        <w:tc>
          <w:tcPr>
            <w:tcW w:w="12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191,248</w:t>
            </w:r>
          </w:p>
        </w:tc>
        <w:tc>
          <w:tcPr>
            <w:tcW w:w="1080" w:type="dxa"/>
            <w:vAlign w:val="bottom"/>
          </w:tcPr>
          <w:p>
            <w:pPr>
              <w:spacing w:after="0"/>
              <w:rPr>
                <w:sz w:val="21"/>
                <w:szCs w:val="21"/>
                <w:color w:val="auto"/>
              </w:rPr>
            </w:pPr>
          </w:p>
        </w:tc>
        <w:tc>
          <w:tcPr>
            <w:tcW w:w="13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The non-binding, advisory vote to approve the compensation of the Company's named executive officers: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700" w:type="dxa"/>
            <w:vAlign w:val="bottom"/>
          </w:tcPr>
          <w:p>
            <w:pPr>
              <w:spacing w:after="0"/>
              <w:rPr>
                <w:sz w:val="18"/>
                <w:szCs w:val="18"/>
                <w:color w:val="auto"/>
              </w:rPr>
            </w:pPr>
          </w:p>
        </w:tc>
        <w:tc>
          <w:tcPr>
            <w:tcW w:w="292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00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960" w:type="dxa"/>
            <w:vAlign w:val="bottom"/>
            <w:gridSpan w:val="2"/>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19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50"/>
        </w:trPr>
        <w:tc>
          <w:tcPr>
            <w:tcW w:w="336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348,903,606</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45,961,809</w:t>
            </w:r>
          </w:p>
        </w:tc>
        <w:tc>
          <w:tcPr>
            <w:tcW w:w="12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348,613</w:t>
            </w:r>
          </w:p>
        </w:tc>
        <w:tc>
          <w:tcPr>
            <w:tcW w:w="1080" w:type="dxa"/>
            <w:vAlign w:val="bottom"/>
          </w:tcPr>
          <w:p>
            <w:pPr>
              <w:spacing w:after="0"/>
              <w:rPr>
                <w:sz w:val="21"/>
                <w:szCs w:val="21"/>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14,804,582</w:t>
            </w:r>
          </w:p>
        </w:tc>
        <w:tc>
          <w:tcPr>
            <w:tcW w:w="1580" w:type="dxa"/>
            <w:vAlign w:val="bottom"/>
          </w:tcPr>
          <w:p>
            <w:pPr>
              <w:spacing w:after="0"/>
              <w:rPr>
                <w:sz w:val="21"/>
                <w:szCs w:val="21"/>
                <w:color w:val="auto"/>
              </w:rPr>
            </w:pPr>
          </w:p>
        </w:tc>
      </w:tr>
      <w:tr>
        <w:trPr>
          <w:trHeight w:val="1708"/>
        </w:trPr>
        <w:tc>
          <w:tcPr>
            <w:tcW w:w="19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CROWN CASTLE INC.</w:t>
      </w:r>
    </w:p>
    <w:p>
      <w:pPr>
        <w:spacing w:after="0" w:line="31" w:lineRule="exact"/>
        <w:rPr>
          <w:sz w:val="20"/>
          <w:szCs w:val="20"/>
          <w:color w:val="auto"/>
        </w:rPr>
      </w:pPr>
    </w:p>
    <w:p>
      <w:pPr>
        <w:ind w:left="4780"/>
        <w:spacing w:after="0"/>
        <w:tabs>
          <w:tab w:leader="none" w:pos="5280" w:val="left"/>
        </w:tabs>
        <w:rPr>
          <w:sz w:val="20"/>
          <w:szCs w:val="20"/>
          <w:color w:val="auto"/>
        </w:rPr>
      </w:pPr>
      <w:r>
        <w:rPr>
          <w:rFonts w:ascii="Times New Roman" w:cs="Times New Roman" w:eastAsia="Times New Roman" w:hAnsi="Times New Roman"/>
          <w:sz w:val="18"/>
          <w:szCs w:val="18"/>
          <w:color w:val="auto"/>
        </w:rPr>
        <w:t>By:</w:t>
        <w:tab/>
        <w:t>/s/ Edward B. Adams, Jr.</w:t>
      </w:r>
    </w:p>
    <w:p>
      <w:pPr>
        <w:spacing w:after="0" w:line="23" w:lineRule="exact"/>
        <w:rPr>
          <w:sz w:val="20"/>
          <w:szCs w:val="20"/>
          <w:color w:val="auto"/>
        </w:rPr>
      </w:pPr>
    </w:p>
    <w:tbl>
      <w:tblPr>
        <w:tblLayout w:type="fixed"/>
        <w:tblInd w:w="5280" w:type="dxa"/>
        <w:tblCellMar>
          <w:top w:w="0" w:type="dxa"/>
          <w:left w:w="0" w:type="dxa"/>
          <w:bottom w:w="0" w:type="dxa"/>
          <w:right w:w="0" w:type="dxa"/>
        </w:tblCellMar>
      </w:tblPr>
      <w:tr>
        <w:trPr>
          <w:trHeight w:val="218"/>
        </w:trPr>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Edward B. Adams, Jr.</w:t>
            </w:r>
          </w:p>
        </w:tc>
      </w:tr>
      <w:tr>
        <w:trPr>
          <w:trHeight w:val="189"/>
        </w:trPr>
        <w:tc>
          <w:tcPr>
            <w:tcW w:w="6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Executive Vice President</w:t>
            </w:r>
          </w:p>
        </w:tc>
      </w:tr>
      <w:tr>
        <w:trPr>
          <w:trHeight w:val="234"/>
        </w:trPr>
        <w:tc>
          <w:tcPr>
            <w:tcW w:w="620" w:type="dxa"/>
            <w:vAlign w:val="bottom"/>
          </w:tcPr>
          <w:p>
            <w:pPr>
              <w:spacing w:after="0"/>
              <w:rPr>
                <w:sz w:val="20"/>
                <w:szCs w:val="20"/>
                <w:color w:val="auto"/>
              </w:rPr>
            </w:pP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General Counsel</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20, 2026</w:t>
      </w:r>
    </w:p>
    <w:sectPr>
      <w:pgSz w:w="11900" w:h="16838" w:orient="portrait"/>
      <w:cols w:equalWidth="0" w:num="1">
        <w:col w:w="11240"/>
      </w:cols>
      <w:pgMar w:left="320" w:top="10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2026-05-20T15:30:41Z</dcterms:created>
  <dcterms:modified xsi:type="dcterms:W3CDTF">2026-05-20T15:30:41Z</dcterms:modified>
</cp:coreProperties>
</file>