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ectPr>
          <w:pgSz w:w="11900" w:h="16838" w:orient="portrait"/>
          <w:cols w:equalWidth="0" w:num="1">
            <w:col w:w="11260"/>
          </w:cols>
          <w:pgMar w:left="320" w:top="1154" w:right="319" w:bottom="1440" w:gutter="0" w:footer="0" w:header="0"/>
        </w:sectPr>
      </w:pPr>
    </w:p>
    <w:p>
      <w:pPr>
        <w:spacing w:after="0" w:line="122" w:lineRule="exact"/>
        <w:rPr>
          <w:sz w:val="24"/>
          <w:szCs w:val="24"/>
          <w:color w:val="auto"/>
        </w:rPr>
      </w:pPr>
    </w:p>
    <w:p>
      <w:pPr>
        <w:ind w:left="108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8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color w:val="auto"/>
        </w:rPr>
        <w:t>For the quarterly period ended September 30, 2020</w:t>
      </w:r>
    </w:p>
    <w:p>
      <w:pPr>
        <w:spacing w:after="0" w:line="4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color w:val="auto"/>
        </w:rPr>
        <w:t>OR</w:t>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5" w:lineRule="exact"/>
        <w:rPr>
          <w:sz w:val="24"/>
          <w:szCs w:val="24"/>
          <w:color w:val="auto"/>
        </w:rPr>
      </w:pPr>
    </w:p>
    <w:p>
      <w:pPr>
        <w:sectPr>
          <w:pgSz w:w="11900" w:h="16838" w:orient="portrait"/>
          <w:cols w:equalWidth="0" w:num="2">
            <w:col w:w="1280" w:space="100"/>
            <w:col w:w="9880"/>
          </w:cols>
          <w:pgMar w:left="320" w:top="1154" w:right="319" w:bottom="1440" w:gutter="0" w:footer="0" w:header="0"/>
          <w:type w:val="continuous"/>
        </w:sectPr>
      </w:pPr>
    </w:p>
    <w:p>
      <w:pPr>
        <w:ind w:left="4380"/>
        <w:spacing w:after="0"/>
        <w:tabs>
          <w:tab w:leader="none" w:pos="6260" w:val="left"/>
        </w:tabs>
        <w:rPr>
          <w:sz w:val="20"/>
          <w:szCs w:val="20"/>
          <w:color w:val="auto"/>
        </w:rPr>
      </w:pPr>
      <w:r>
        <w:rPr>
          <w:rFonts w:ascii="Times New Roman" w:cs="Times New Roman" w:eastAsia="Times New Roman" w:hAnsi="Times New Roman"/>
          <w:sz w:val="14"/>
          <w:szCs w:val="14"/>
          <w:color w:val="auto"/>
        </w:rPr>
        <w:t>For the transition period</w:t>
      </w:r>
      <w:r>
        <w:rPr>
          <w:sz w:val="20"/>
          <w:szCs w:val="20"/>
          <w:color w:val="auto"/>
        </w:rPr>
        <w:tab/>
      </w:r>
      <w:r>
        <w:rPr>
          <w:rFonts w:ascii="Times New Roman" w:cs="Times New Roman" w:eastAsia="Times New Roman" w:hAnsi="Times New Roman"/>
          <w:sz w:val="14"/>
          <w:szCs w:val="14"/>
          <w:color w:val="auto"/>
        </w:rPr>
        <w:t>to</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333-187970</w:t>
      </w:r>
    </w:p>
    <w:p>
      <w:pPr>
        <w:spacing w:after="0" w:line="1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CC HOLDINGS GS V LLC</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49" w:lineRule="exact"/>
        <w:rPr>
          <w:sz w:val="24"/>
          <w:szCs w:val="24"/>
          <w:color w:val="auto"/>
        </w:rPr>
      </w:pPr>
    </w:p>
    <w:tbl>
      <w:tblPr>
        <w:tblLayout w:type="fixed"/>
        <w:tblInd w:w="2400" w:type="dxa"/>
        <w:tblCellMar>
          <w:top w:w="0" w:type="dxa"/>
          <w:left w:w="0" w:type="dxa"/>
          <w:bottom w:w="0" w:type="dxa"/>
          <w:right w:w="0" w:type="dxa"/>
        </w:tblCellMar>
      </w:tblPr>
      <w:tr>
        <w:trPr>
          <w:trHeight w:val="212"/>
        </w:trPr>
        <w:tc>
          <w:tcPr>
            <w:tcW w:w="3400" w:type="dxa"/>
            <w:vAlign w:val="bottom"/>
          </w:tcPr>
          <w:p>
            <w:pPr>
              <w:jc w:val="center"/>
              <w:ind w:right="15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20" w:type="dxa"/>
            <w:vAlign w:val="bottom"/>
          </w:tcPr>
          <w:p>
            <w:pPr>
              <w:jc w:val="center"/>
              <w:ind w:left="1551"/>
              <w:spacing w:after="0"/>
              <w:rPr>
                <w:sz w:val="20"/>
                <w:szCs w:val="20"/>
                <w:color w:val="auto"/>
              </w:rPr>
            </w:pPr>
            <w:r>
              <w:rPr>
                <w:rFonts w:ascii="Times New Roman" w:cs="Times New Roman" w:eastAsia="Times New Roman" w:hAnsi="Times New Roman"/>
                <w:sz w:val="16"/>
                <w:szCs w:val="16"/>
                <w:b w:val="1"/>
                <w:bCs w:val="1"/>
                <w:color w:val="auto"/>
              </w:rPr>
              <w:t>20-4300339</w:t>
            </w:r>
          </w:p>
        </w:tc>
      </w:tr>
      <w:tr>
        <w:trPr>
          <w:trHeight w:val="175"/>
        </w:trPr>
        <w:tc>
          <w:tcPr>
            <w:tcW w:w="3400" w:type="dxa"/>
            <w:vAlign w:val="bottom"/>
          </w:tcPr>
          <w:p>
            <w:pPr>
              <w:jc w:val="center"/>
              <w:ind w:right="153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620" w:type="dxa"/>
            <w:vAlign w:val="bottom"/>
          </w:tcPr>
          <w:p>
            <w:pPr>
              <w:jc w:val="center"/>
              <w:ind w:left="155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400" w:type="dxa"/>
            <w:vAlign w:val="bottom"/>
          </w:tcPr>
          <w:p>
            <w:pPr>
              <w:jc w:val="center"/>
              <w:ind w:right="1551"/>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620" w:type="dxa"/>
            <w:vAlign w:val="bottom"/>
          </w:tcPr>
          <w:p>
            <w:pPr>
              <w:jc w:val="center"/>
              <w:ind w:left="155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1220 Augusta Drive, Suite 600, Houston, Texas 77057-2261</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executives office) (Zip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(713) 570-3000</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r>
    </w:tbl>
    <w:p>
      <w:pPr>
        <w:spacing w:after="0" w:line="58" w:lineRule="exact"/>
        <w:rPr>
          <w:sz w:val="24"/>
          <w:szCs w:val="24"/>
          <w:color w:val="auto"/>
        </w:rPr>
      </w:pPr>
    </w:p>
    <w:p>
      <w:pPr>
        <w:jc w:val="both"/>
        <w:ind w:right="40" w:firstLine="324"/>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ind w:right="20" w:firstLine="324"/>
        <w:spacing w:after="0" w:line="263" w:lineRule="auto"/>
        <w:rPr>
          <w:sz w:val="20"/>
          <w:szCs w:val="20"/>
          <w:color w:val="auto"/>
        </w:rPr>
      </w:pPr>
      <w:r>
        <w:rPr>
          <w:rFonts w:ascii="Times New Roman" w:cs="Times New Roman" w:eastAsia="Times New Roman" w:hAnsi="Times New Roman"/>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48" w:lineRule="exact"/>
        <w:rPr>
          <w:sz w:val="24"/>
          <w:szCs w:val="24"/>
          <w:color w:val="auto"/>
        </w:rPr>
      </w:pPr>
    </w:p>
    <w:p>
      <w:pPr>
        <w:jc w:val="both"/>
        <w:ind w:right="20" w:firstLine="324"/>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4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20" w:type="dxa"/>
            <w:vAlign w:val="bottom"/>
          </w:tcPr>
          <w:p>
            <w:pPr>
              <w:ind w:left="244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 w:lineRule="exact"/>
        <w:rPr>
          <w:sz w:val="24"/>
          <w:szCs w:val="24"/>
          <w:color w:val="auto"/>
        </w:rPr>
      </w:pPr>
    </w:p>
    <w:p>
      <w:pPr>
        <w:ind w:left="140" w:right="460"/>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44" w:lineRule="exact"/>
        <w:rPr>
          <w:sz w:val="24"/>
          <w:szCs w:val="24"/>
          <w:color w:val="auto"/>
        </w:rPr>
      </w:pPr>
    </w:p>
    <w:p>
      <w:pPr>
        <w:ind w:left="340"/>
        <w:spacing w:after="0" w:line="196" w:lineRule="exact"/>
        <w:tabs>
          <w:tab w:leader="none" w:pos="6980" w:val="left"/>
          <w:tab w:leader="none" w:pos="75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27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September 30, 2020, the only member of the registrant is a wholly-owned indirect subsidiary of Crown Castle International Corp.</w:t>
      </w:r>
    </w:p>
    <w:p>
      <w:pPr>
        <w:spacing w:after="0" w:line="109"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260"/>
          </w:cols>
          <w:pgMar w:left="320" w:top="1154"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9"/>
        </w:trPr>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PART I—FINANCIAL INFORMATION</w:t>
            </w: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FINANCIAL STATEMENTS</w:t>
            </w:r>
          </w:p>
        </w:tc>
        <w:tc>
          <w:tcPr>
            <w:tcW w:w="6280" w:type="dxa"/>
            <w:vAlign w:val="bottom"/>
            <w:gridSpan w:val="8"/>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CONDENSED CONSOLIDATED BALANCE SHEET (Unaudited)</w:t>
            </w: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CONDENSED CONSOLIDATED STATEMENT OF OPERATIONS (Unaudited)</w:t>
            </w: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9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CONDENSED CONSOLIDATED STATEMENT OF CASH FLOWS (Unaudited)</w:t>
            </w:r>
          </w:p>
        </w:tc>
        <w:tc>
          <w:tcPr>
            <w:tcW w:w="2480" w:type="dxa"/>
            <w:vAlign w:val="bottom"/>
            <w:gridSpan w:val="4"/>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5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 OF CHANGES IN MEMBER'S EQUITY (Unaudited)</w:t>
            </w:r>
          </w:p>
        </w:tc>
        <w:tc>
          <w:tcPr>
            <w:tcW w:w="860" w:type="dxa"/>
            <w:vAlign w:val="bottom"/>
            <w:gridSpan w:val="2"/>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6</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w:t>
            </w:r>
          </w:p>
        </w:tc>
        <w:tc>
          <w:tcPr>
            <w:tcW w:w="106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40" w:type="dxa"/>
            <w:vAlign w:val="bottom"/>
            <w:tcBorders>
              <w:top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OPERATIONS</w:t>
            </w:r>
          </w:p>
        </w:tc>
        <w:tc>
          <w:tcPr>
            <w:tcW w:w="700" w:type="dxa"/>
            <w:vAlign w:val="bottom"/>
          </w:tcPr>
          <w:p>
            <w:pPr>
              <w:spacing w:after="0"/>
              <w:rPr>
                <w:sz w:val="17"/>
                <w:szCs w:val="17"/>
                <w:color w:val="auto"/>
              </w:rPr>
            </w:pPr>
          </w:p>
        </w:tc>
        <w:tc>
          <w:tcPr>
            <w:tcW w:w="106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13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PART II—OTHER INFORMATION</w:t>
            </w:r>
          </w:p>
        </w:tc>
        <w:tc>
          <w:tcPr>
            <w:tcW w:w="7460" w:type="dxa"/>
            <w:vAlign w:val="bottom"/>
            <w:gridSpan w:val="12"/>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21</w:t>
              </w:r>
            </w:hyperlink>
          </w:p>
        </w:tc>
      </w:tr>
      <w:tr>
        <w:trPr>
          <w:trHeight w:val="25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LEGAL PROCEEDINGS</w:t>
            </w:r>
          </w:p>
        </w:tc>
        <w:tc>
          <w:tcPr>
            <w:tcW w:w="6560" w:type="dxa"/>
            <w:vAlign w:val="bottom"/>
            <w:gridSpan w:val="9"/>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21</w:t>
              </w:r>
            </w:hyperlink>
          </w:p>
        </w:tc>
      </w:tr>
      <w:tr>
        <w:trPr>
          <w:trHeight w:val="25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RISK FACTORS</w:t>
            </w:r>
          </w:p>
        </w:tc>
        <w:tc>
          <w:tcPr>
            <w:tcW w:w="7160" w:type="dxa"/>
            <w:vAlign w:val="bottom"/>
            <w:gridSpan w:val="10"/>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21</w:t>
              </w:r>
            </w:hyperlink>
          </w:p>
        </w:tc>
      </w:tr>
      <w:tr>
        <w:trPr>
          <w:trHeight w:val="25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EXHIBITS</w:t>
            </w: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21</w:t>
              </w:r>
            </w:hyperlink>
          </w:p>
        </w:tc>
      </w:tr>
      <w:tr>
        <w:trPr>
          <w:trHeight w:val="250"/>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 INDEX</w:t>
            </w:r>
          </w:p>
        </w:tc>
        <w:tc>
          <w:tcPr>
            <w:tcW w:w="36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21</w:t>
              </w:r>
            </w:hyperlink>
          </w:p>
        </w:tc>
      </w:tr>
      <w:tr>
        <w:trPr>
          <w:trHeight w:val="250"/>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SIGNATURES</w:t>
            </w:r>
          </w:p>
        </w:tc>
        <w:tc>
          <w:tcPr>
            <w:tcW w:w="5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22</w:t>
              </w:r>
            </w:hyperlink>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and any variations of these words, and similar expressions are intended to identify forward-looking statements. Such statements include plans, projections and estimates contained in </w:t>
      </w:r>
      <w:r>
        <w:rPr>
          <w:rFonts w:ascii="Times New Roman" w:cs="Times New Roman" w:eastAsia="Times New Roman" w:hAnsi="Times New Roman"/>
          <w:sz w:val="18"/>
          <w:szCs w:val="18"/>
          <w:i w:val="1"/>
          <w:iCs w:val="1"/>
          <w:color w:val="auto"/>
        </w:rPr>
        <w:t>"Part I—Item 2.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"Part I—Item 4. Controls and Procedures" and "Part II—Item 1A. Risk Factors" </w:t>
      </w:r>
      <w:r>
        <w:rPr>
          <w:rFonts w:ascii="Times New Roman" w:cs="Times New Roman" w:eastAsia="Times New Roman" w:hAnsi="Times New Roman"/>
          <w:sz w:val="18"/>
          <w:szCs w:val="18"/>
          <w:color w:val="auto"/>
        </w:rPr>
        <w:t>herein. Such forward-looking statements include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growth in the wireless industry and demand for wireless data, (2) wireless carriers' focus on improving network quality and expanding capacity,</w:t>
      </w:r>
    </w:p>
    <w:p>
      <w:pPr>
        <w:spacing w:after="0" w:line="3" w:lineRule="exact"/>
        <w:rPr>
          <w:sz w:val="20"/>
          <w:szCs w:val="20"/>
          <w:color w:val="auto"/>
        </w:rPr>
      </w:pPr>
    </w:p>
    <w:p>
      <w:pPr>
        <w:jc w:val="both"/>
        <w:ind w:firstLine="8"/>
        <w:spacing w:after="0" w:line="250" w:lineRule="auto"/>
        <w:tabs>
          <w:tab w:leader="none" w:pos="2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towers, including factors driving such demand, and the potential benefits that may be derived therefrom, (4) availability and adequacy of cash flows and liquidity, (5) value which may be derived from our allocation of cash generated from our business, (6) debt maturities, (7) income taxes,</w:t>
      </w:r>
    </w:p>
    <w:p>
      <w:pPr>
        <w:jc w:val="both"/>
        <w:ind w:firstLine="8"/>
        <w:spacing w:after="0" w:line="255"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novel coronavirus ("COVID-19") pandemic, (9) the potential effects of the restatement of our previously issued consolidated financial statements, including the Historical Adjustments related thereto, and (10) expectations regarding our remediation efforts related to a material weakness in our internal control over financial reporting.</w:t>
      </w:r>
    </w:p>
    <w:p>
      <w:pPr>
        <w:spacing w:after="0" w:line="13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in </w:t>
      </w:r>
      <w:r>
        <w:rPr>
          <w:rFonts w:ascii="Times New Roman" w:cs="Times New Roman" w:eastAsia="Times New Roman" w:hAnsi="Times New Roman"/>
          <w:sz w:val="18"/>
          <w:szCs w:val="18"/>
          <w:i w:val="1"/>
          <w:iCs w:val="1"/>
          <w:color w:val="auto"/>
        </w:rPr>
        <w:t>"Part II—Item 1A. Risk Factors"</w:t>
      </w:r>
      <w:r>
        <w:rPr>
          <w:rFonts w:ascii="Times New Roman" w:cs="Times New Roman" w:eastAsia="Times New Roman" w:hAnsi="Times New Roman"/>
          <w:sz w:val="18"/>
          <w:szCs w:val="18"/>
          <w:color w:val="auto"/>
        </w:rPr>
        <w:t xml:space="preserve"> herein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our Annual Report on Form 10-K for the fiscal year ended December 31, 2019 ("2019 Form 10-K") and other factors. Should one or more of these risks or uncertainties materialize, or should underlying assumptions prove incorrect, actual results may vary materially from those expected.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used herein, the term "including," and any variation thereof, means "including without limitation." The use of the word "or" herein is not exclusive. Unless this Form 10-Q indicates otherwise or the context otherwise requires, the terms, "we," "our," or "us" as used in this Form 10-Q refer to</w:t>
      </w:r>
    </w:p>
    <w:p>
      <w:pPr>
        <w:jc w:val="both"/>
        <w:ind w:firstLine="8"/>
        <w:spacing w:after="0" w:line="255" w:lineRule="auto"/>
        <w:tabs>
          <w:tab w:leader="none" w:pos="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GS V LLC ("CCL") and its consolidated wholly owned subsidiaries (collectively, "Company"). The Company is a wholly owned subsidiary of Global Signal Operating Partnership, L.P. ("GSOP"), which is an indirect subsidiary of CCIC. Capitalized terms used but not defined in this Form 10-Q have the same meaning given to them in the 2019 Form 10-K.</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previously disclosed in the Explanatory Note of the 2019 Form 10-K, we restated our audited consolidated financial statements for the years ended December 31, 2018 and 2017, and quarterly unaudited financial information for the quarterly and year-to-date periods in the year ended December 31, 2018 and first three quarters for the year ended December 31, 2019. Accordingly, the condensed consolidated financial statements as of and for the three and nine months ended September 30, 2019 included in this Form 10-Q have been restated to reflect the Historical Adjustments described in the 2019 Form 10-K. See also note 2 to our condensed consolidated financial statements for further information on the impact of the Historical Adjustments on the condensed consolidated financial statements as of and for the three and nine months ended September 30, 2019.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380" w:type="dxa"/>
            <w:vAlign w:val="bottom"/>
            <w:gridSpan w:val="2"/>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7980" w:type="dxa"/>
            <w:vAlign w:val="bottom"/>
            <w:tcBorders>
              <w:top w:val="single" w:sz="8" w:color="CCEEFF"/>
              <w:bottom w:val="single" w:sz="8" w:color="CCEEFF"/>
            </w:tcBorders>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31,565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20,407</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 net</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4,061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17,135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3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(a)</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site rental receivables and other current assets</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36,659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30,207</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(a)</w:t>
            </w:r>
          </w:p>
        </w:tc>
      </w:tr>
      <w:tr>
        <w:trPr>
          <w:trHeight w:val="33"/>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89,420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66,948</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349,932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354,075</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$1,174,449 and $1,095,355,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972,323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1,010,367</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1,163,109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1,150,476</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1,338,730</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593,694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678,956</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prepaid rent and other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360" w:type="dxa"/>
            <w:vAlign w:val="bottom"/>
            <w:tcBorders>
              <w:bottom w:val="single" w:sz="8" w:color="CCEEFF"/>
            </w:tcBorders>
            <w:shd w:val="clear" w:color="auto" w:fill="CCEEFF"/>
          </w:tcPr>
          <w:p>
            <w:pPr>
              <w:spacing w:after="0"/>
              <w:rPr>
                <w:sz w:val="23"/>
                <w:szCs w:val="23"/>
                <w:color w:val="auto"/>
              </w:rPr>
            </w:pPr>
          </w:p>
        </w:tc>
      </w:tr>
      <w:tr>
        <w:trPr>
          <w:trHeight w:val="297"/>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4,508,957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4,601,457</w:t>
            </w:r>
          </w:p>
        </w:tc>
        <w:tc>
          <w:tcPr>
            <w:tcW w:w="360" w:type="dxa"/>
            <w:vAlign w:val="bottom"/>
            <w:tcBorders>
              <w:top w:val="single" w:sz="8" w:color="auto"/>
              <w:bottom w:val="single" w:sz="8" w:color="auto"/>
            </w:tcBorders>
          </w:tcPr>
          <w:p>
            <w:pPr>
              <w:spacing w:after="0"/>
              <w:rPr>
                <w:sz w:val="24"/>
                <w:szCs w:val="24"/>
                <w:color w:val="auto"/>
              </w:rPr>
            </w:pPr>
          </w:p>
        </w:tc>
      </w:tr>
      <w:tr>
        <w:trPr>
          <w:trHeight w:val="284"/>
        </w:trPr>
        <w:tc>
          <w:tcPr>
            <w:tcW w:w="7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37"/>
        </w:trPr>
        <w:tc>
          <w:tcPr>
            <w:tcW w:w="7980" w:type="dxa"/>
            <w:vAlign w:val="bottom"/>
          </w:tcPr>
          <w:p>
            <w:pPr>
              <w:ind w:left="29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1,696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17,748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23"/>
                <w:szCs w:val="23"/>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87,503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70,217</w:t>
            </w:r>
          </w:p>
        </w:tc>
        <w:tc>
          <w:tcPr>
            <w:tcW w:w="36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5,371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operating lease liabilities—third parties</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37,790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37,164</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portion of operating lease liabilities—related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23,175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20,417</w:t>
            </w:r>
          </w:p>
        </w:tc>
        <w:tc>
          <w:tcPr>
            <w:tcW w:w="360" w:type="dxa"/>
            <w:vAlign w:val="bottom"/>
            <w:tcBorders>
              <w:bottom w:val="single" w:sz="8" w:color="CCEEFF"/>
            </w:tcBorders>
            <w:shd w:val="clear" w:color="auto" w:fill="CCEEFF"/>
          </w:tcPr>
          <w:p>
            <w:pPr>
              <w:spacing w:after="0"/>
              <w:rPr>
                <w:sz w:val="23"/>
                <w:szCs w:val="23"/>
                <w:color w:val="auto"/>
              </w:rPr>
            </w:pPr>
          </w:p>
        </w:tc>
      </w:tr>
      <w:tr>
        <w:trPr>
          <w:trHeight w:val="230"/>
        </w:trPr>
        <w:tc>
          <w:tcPr>
            <w:tcW w:w="7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173,283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144,722</w:t>
            </w:r>
          </w:p>
        </w:tc>
        <w:tc>
          <w:tcPr>
            <w:tcW w:w="3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996,469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995,431</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liabilities—third parties</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848,407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845,960</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liabilities—related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323,219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314,920</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1"/>
                <w:szCs w:val="21"/>
                <w:color w:val="auto"/>
                <w:vertAlign w:val="superscript"/>
              </w:rPr>
              <w:t>(b)</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194,620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203,470</w:t>
            </w:r>
          </w:p>
        </w:tc>
        <w:tc>
          <w:tcPr>
            <w:tcW w:w="360" w:type="dxa"/>
            <w:vAlign w:val="bottom"/>
            <w:tcBorders>
              <w:bottom w:val="single" w:sz="8" w:color="auto"/>
            </w:tcBorders>
          </w:tcPr>
          <w:p>
            <w:pPr>
              <w:spacing w:after="0"/>
              <w:rPr>
                <w:sz w:val="23"/>
                <w:szCs w:val="23"/>
                <w:color w:val="auto"/>
              </w:rPr>
            </w:pPr>
          </w:p>
        </w:tc>
      </w:tr>
      <w:tr>
        <w:trPr>
          <w:trHeight w:val="264"/>
        </w:trPr>
        <w:tc>
          <w:tcPr>
            <w:tcW w:w="7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2,535,998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2,504,503</w:t>
            </w:r>
          </w:p>
        </w:tc>
        <w:tc>
          <w:tcPr>
            <w:tcW w:w="360" w:type="dxa"/>
            <w:vAlign w:val="bottom"/>
            <w:tcBorders>
              <w:bottom w:val="single" w:sz="8" w:color="CCEEFF"/>
            </w:tcBorders>
            <w:shd w:val="clear" w:color="auto" w:fill="CCEEFF"/>
          </w:tcPr>
          <w:p>
            <w:pPr>
              <w:spacing w:after="0"/>
              <w:rPr>
                <w:sz w:val="22"/>
                <w:szCs w:val="22"/>
                <w:color w:val="auto"/>
              </w:rPr>
            </w:pPr>
          </w:p>
        </w:tc>
      </w:tr>
      <w:tr>
        <w:trPr>
          <w:trHeight w:val="230"/>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Member's equity</w:t>
            </w:r>
          </w:p>
        </w:tc>
        <w:tc>
          <w:tcPr>
            <w:tcW w:w="160" w:type="dxa"/>
            <w:vAlign w:val="bottom"/>
          </w:tcPr>
          <w:p>
            <w:pPr>
              <w:spacing w:after="0"/>
              <w:rPr>
                <w:sz w:val="20"/>
                <w:szCs w:val="20"/>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1,972,959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2,096,954</w:t>
            </w:r>
          </w:p>
        </w:tc>
        <w:tc>
          <w:tcPr>
            <w:tcW w:w="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earnings (deficit)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r>
      <w:tr>
        <w:trPr>
          <w:trHeight w:val="230"/>
        </w:trPr>
        <w:tc>
          <w:tcPr>
            <w:tcW w:w="7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member's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1,972,959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2,096,954</w:t>
            </w:r>
          </w:p>
        </w:tc>
        <w:tc>
          <w:tcPr>
            <w:tcW w:w="360" w:type="dxa"/>
            <w:vAlign w:val="bottom"/>
            <w:tcBorders>
              <w:top w:val="single" w:sz="8" w:color="auto"/>
            </w:tcBorders>
          </w:tcPr>
          <w:p>
            <w:pPr>
              <w:spacing w:after="0"/>
              <w:rPr>
                <w:sz w:val="20"/>
                <w:szCs w:val="20"/>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4,508,957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4,601,457</w:t>
            </w:r>
          </w:p>
        </w:tc>
        <w:tc>
          <w:tcPr>
            <w:tcW w:w="360" w:type="dxa"/>
            <w:vAlign w:val="bottom"/>
            <w:tcBorders>
              <w:bottom w:val="single" w:sz="8" w:color="auto"/>
            </w:tcBorders>
            <w:shd w:val="clear" w:color="auto" w:fill="CCEEFF"/>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19" w:lineRule="exact"/>
        <w:rPr>
          <w:sz w:val="20"/>
          <w:szCs w:val="20"/>
          <w:color w:val="auto"/>
        </w:rPr>
      </w:pPr>
    </w:p>
    <w:p>
      <w:pPr>
        <w:ind w:left="340" w:right="120" w:hanging="332"/>
        <w:spacing w:after="0" w:line="253"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correction of certain immaterial prior period misclassifications of the reported balances in "Prepaid expenses" and "Deferred site rental receivables and other current assets" on the condensed consolidated balance sheet as of December 31, 2019.</w:t>
      </w:r>
    </w:p>
    <w:p>
      <w:pPr>
        <w:ind w:left="340" w:right="580" w:hanging="332"/>
        <w:spacing w:after="0" w:line="258"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recording of deferred revenues in connection with the tower installation and modification transactions described in note 5 that result in permanent improvements to the Company's towers. The Company receives no cash from, and is not party to, such transactions.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71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1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3"/>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48"/>
        </w:trPr>
        <w:tc>
          <w:tcPr>
            <w:tcW w:w="55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173,348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171,745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517,041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507,256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43,639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38,371</w:t>
            </w:r>
          </w:p>
        </w:tc>
      </w:tr>
      <w:tr>
        <w:trPr>
          <w:trHeight w:val="217"/>
        </w:trPr>
        <w:tc>
          <w:tcPr>
            <w:tcW w:w="552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20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188,166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560,680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545,627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4"/>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0"/>
        </w:trPr>
        <w:tc>
          <w:tcPr>
            <w:tcW w:w="55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operations—third parties</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115,156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114,212</w:t>
            </w:r>
          </w:p>
        </w:tc>
      </w:tr>
      <w:tr>
        <w:trPr>
          <w:trHeight w:val="237"/>
        </w:trPr>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Ground rent expenses—related parties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32,210</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5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Site rental cost of operations—total</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49,286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149,391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146,422</w:t>
            </w:r>
          </w:p>
        </w:tc>
      </w:tr>
      <w:tr>
        <w:trPr>
          <w:trHeight w:val="237"/>
        </w:trPr>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Management fee—related party</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37,238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Asset write-down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375</w:t>
            </w:r>
          </w:p>
        </w:tc>
      </w:tr>
      <w:tr>
        <w:trPr>
          <w:trHeight w:val="237"/>
        </w:trPr>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51,881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155,087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346,549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339,122</w:t>
            </w:r>
          </w:p>
        </w:tc>
      </w:tr>
      <w:tr>
        <w:trPr>
          <w:trHeight w:val="217"/>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71,948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71,403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214,131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206,505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(29,906)</w:t>
            </w:r>
          </w:p>
        </w:tc>
      </w:tr>
      <w:tr>
        <w:trPr>
          <w:trHeight w:val="237"/>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445</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61,967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61,594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177,044</w:t>
            </w:r>
          </w:p>
        </w:tc>
      </w:tr>
      <w:tr>
        <w:trPr>
          <w:trHeight w:val="237"/>
        </w:trPr>
        <w:tc>
          <w:tcPr>
            <w:tcW w:w="55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176,737</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ind w:left="340" w:right="60" w:hanging="332"/>
        <w:spacing w:after="0" w:line="246"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amortization of deferred revenues recorded in connection with the tower installation and modification transactions described in note 5 that result in permanent improvements to the Company's towers. The Company receives no cash from, and is not party to, such transactions.</w:t>
      </w: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8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3"/>
        </w:trPr>
        <w:tc>
          <w:tcPr>
            <w:tcW w:w="84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55"/>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r>
              <w:rPr>
                <w:rFonts w:ascii="Times New Roman" w:cs="Times New Roman" w:eastAsia="Times New Roman" w:hAnsi="Times New Roman"/>
                <w:sz w:val="21"/>
                <w:szCs w:val="21"/>
                <w:b w:val="1"/>
                <w:bCs w:val="1"/>
                <w:color w:val="auto"/>
                <w:vertAlign w:val="superscript"/>
              </w:rPr>
              <w:t>(a)</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184,007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176,737</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155,087</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1,038</w:t>
            </w:r>
          </w:p>
        </w:tc>
      </w:tr>
      <w:tr>
        <w:trPr>
          <w:trHeight w:val="237"/>
        </w:trPr>
        <w:tc>
          <w:tcPr>
            <w:tcW w:w="8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 write-down charges</w:t>
            </w:r>
          </w:p>
        </w:tc>
        <w:tc>
          <w:tcPr>
            <w:tcW w:w="2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375</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accrued interest</w:t>
            </w:r>
          </w:p>
        </w:tc>
        <w:tc>
          <w:tcPr>
            <w:tcW w:w="2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9,622</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r>
      <w:tr>
        <w:trPr>
          <w:trHeight w:val="237"/>
        </w:trPr>
        <w:tc>
          <w:tcPr>
            <w:tcW w:w="84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15,477</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1,978</w:t>
            </w:r>
          </w:p>
        </w:tc>
      </w:tr>
      <w:tr>
        <w:trPr>
          <w:trHeight w:val="237"/>
        </w:trPr>
        <w:tc>
          <w:tcPr>
            <w:tcW w:w="84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(14,256)</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356,339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342,214</w:t>
            </w:r>
          </w:p>
        </w:tc>
      </w:tr>
      <w:tr>
        <w:trPr>
          <w:trHeight w:val="231"/>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(64,204)</w:t>
            </w:r>
          </w:p>
        </w:tc>
      </w:tr>
      <w:tr>
        <w:trPr>
          <w:trHeight w:val="217"/>
        </w:trPr>
        <w:tc>
          <w:tcPr>
            <w:tcW w:w="8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(64,204)</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(278,231)</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(278,231)</w:t>
            </w:r>
          </w:p>
        </w:tc>
      </w:tr>
      <w:tr>
        <w:trPr>
          <w:trHeight w:val="217"/>
        </w:trPr>
        <w:tc>
          <w:tcPr>
            <w:tcW w:w="8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18,707</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31,565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18,486</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19" w:lineRule="exact"/>
        <w:rPr>
          <w:sz w:val="20"/>
          <w:szCs w:val="20"/>
          <w:color w:val="auto"/>
        </w:rPr>
      </w:pPr>
    </w:p>
    <w:p>
      <w:pPr>
        <w:ind w:left="340" w:right="120" w:hanging="332"/>
        <w:spacing w:after="0" w:line="249"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receives no cash from, and is not party to, the tower installation and modification transactions described in note 5.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8"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permanent improvements recorded in connection with the tower installation and modification transactions described in note 5. The Company receives no cash from, and is not party to, such transactions.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2,022,376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2,022,376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(111,304)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61,887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61,887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1,972,959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1,972,959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1, 2019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2,156,857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2,156,857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(as restated)</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(100,645)</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 (as restated)</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61,492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61,492</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2019 (as restated)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2,117,704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2,117,704</w:t>
            </w:r>
          </w:p>
        </w:tc>
        <w:tc>
          <w:tcPr>
            <w:tcW w:w="0" w:type="dxa"/>
            <w:vAlign w:val="bottom"/>
          </w:tcPr>
          <w:p>
            <w:pPr>
              <w:spacing w:after="0"/>
              <w:rPr>
                <w:sz w:val="1"/>
                <w:szCs w:val="1"/>
                <w:color w:val="auto"/>
              </w:rPr>
            </w:pPr>
          </w:p>
        </w:tc>
      </w:tr>
      <w:tr>
        <w:trPr>
          <w:trHeight w:val="508"/>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2,096,954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2,096,954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(308,002)</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184,007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184,007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1,972,959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1,972,959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January 1, 2019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2,219,198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2,219,198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(as restated)</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(278,231)</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(loss) (as restated)</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176,737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176,737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September 30, 2019 (as restated)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2,117,704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2,117,704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5. The Company receives no cash from, and is not party to, the tower installation and modification transactions described in note 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379"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following notes to the condensed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2019, and related notes thereto, included in the 2019 Form 10-K filed by the Company with the SEC.</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organized specifically to own, operate, and lease towers and other structures (collectively, "towers"), and to a lesser extent, interests in land under third party and related party towers in various forms ("land interests") (collectively, "sites") that are geographically dispersed across the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the Company has no employees.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Approximately 68% of the Company's sites are leased or subleased or operated and managed for an initial period of 32 years (through May 2037) under master leases or other agreements assumed by T-Mobile following its merger with Sprint completed April 1, 2020 ("T-Mobile Sites"). CCIC, through its subsidiaries (including the Company), has the option to purchase in 2037 all (but not less than all) of the T-Mobile Sites from T-Mobile for approximately $2.3 billion. CCIC has no obligation to exercise the purchase option.</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CCIC operates as a real estate investment trust ("REIT"), and as its indirect subsidiary, the Company's assets and operations are included in the CCIC REIT. See note 6.</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September 30, 2020, the condensed consolidated results of operations for the three and nine months ended September 30, 2020 and 2019 and the condensed consolidated cash flows for the nine months ended September 30, 2020 and 2019.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could differ from those estimates.</w:t>
      </w:r>
    </w:p>
    <w:p>
      <w:pPr>
        <w:spacing w:after="0" w:line="118"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of Previously Issued Condensed Consolidated Financial Statements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tables below summarize the impact of the Restatement Adjustments that were related to the timing of revenue recognition on CCIC's tower installation services. Specifically, CCIC determined that its historical practice of recognizing the full transaction price as services revenues upon completion of an installation was not acceptable under GAAP. Instead, a portion of the transaction price for CCIC's tower installation services, specifically the amounts associated with permanent improvements recorded as fixed assets, represent a lease component and should be recognized by CCIC as site rental revenues on a ratable basis over the associated estimated lease term.</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CCIC, through its wholly owned subsidiary, offers certain installation and other construction-related services to tenants on the towers owned by CCIC's subsidiaries (including to tenants on the Company's towers). That business is separate from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operations of the Company, and the Company (1) is not party to such transactions and (2) does not receive any cash from such transactions. However, when CCIC is engaged by, and performs an installation or other activity for, a tenant that is locating or located on the Company's towers, and such transaction results in (1) enhancing a tower in connection with a new tenant installing equipment on the tower for the first time or as part of subsequent equipment augmentations or (2) modifying the structure of a tower to accommodate the additional tenant, the Company records any permanent improvement that is made on its tower site as a fixed asset. Historically, in connection with recording such permanent improvements as fixed assets on its financial statements, the Company would also record a corresponding amount as a capital contribution from CCIC.</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determined that, despite the Company not receiving any cash, an amount equal to the lease component as a result of such installation and other construction-related services should be recorded on the consolidated financial statements as deferred revenue, and then amortized as revenues on a ratable basis over the length of the tenants’ associated estimated lease term.</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the determination discussed above, the Company has also determined that errors existed related to its accounting for obligations to perform asset retirement activities pursuant to its ground lease and easement agreements. Specifically, the Company should not have recorded asset retirement obligations for its T-Mobile Sites, as the associated estimated retirement would occur beyond the period for which the Company has a contract term to these sites. The correction of the errors related to the Company's accounting for obligations to perform asset retirement activities resulted in (1) a decrease to both "Property and equipment, net" and "Member's equity" of $4.1 million on the Company's condensed consolidated balance sheet as of September 30, 2019, and (2) a decrease to "Depreciation, amortization, and accretion" on the Company's condensed consolidated statement of operations of $0.7 million and $2.2 million for the three and nine months ended September 30, 2019, respectively.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Restatement Adjustments in the tables below reflect the impact of (1) allocating an amount equal to the lease component as a result of such installation and other construction-related services on the condensed consolidated financial statements as deferred revenue, and then amortizing those amounts as amortization of tower installations and modifications on a ratable basis over the length of the tenants’ associated estimated lease term and (2) correcting errors related to the Company's accounting for obligations to perform asset retirement activities.</w:t>
      </w:r>
    </w:p>
    <w:p>
      <w:pPr>
        <w:spacing w:after="0" w:line="126" w:lineRule="exact"/>
        <w:rPr>
          <w:sz w:val="20"/>
          <w:szCs w:val="20"/>
          <w:color w:val="auto"/>
        </w:rPr>
      </w:pPr>
    </w:p>
    <w:p>
      <w:pPr>
        <w:jc w:val="both"/>
        <w:ind w:firstLine="391"/>
        <w:spacing w:after="0" w:line="266" w:lineRule="auto"/>
        <w:rPr>
          <w:sz w:val="20"/>
          <w:szCs w:val="20"/>
          <w:color w:val="auto"/>
        </w:rPr>
      </w:pPr>
      <w:r>
        <w:rPr>
          <w:rFonts w:ascii="Times New Roman" w:cs="Times New Roman" w:eastAsia="Times New Roman" w:hAnsi="Times New Roman"/>
          <w:sz w:val="18"/>
          <w:szCs w:val="18"/>
          <w:color w:val="auto"/>
        </w:rPr>
        <w:t>In addition, the Company has also made other adjustments to the financial statements referenced above to correct errors that were not material to its condensed consolidated financial statements. Such immaterial adjustments are related to a revision in the presentation of certain tower installation activities from a gross basis to a net basis, including the associated removal of certain amounts historically categorized as capital expenditures.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restatement of the condensed consolidated financial statements, certain historical information in the notes to the condensed consolidated financial statements have been restated to reflect the impact of the Historical Adjustments.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Condensed Consolidated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2"/>
                <w:szCs w:val="12"/>
                <w:color w:val="auto"/>
              </w:rPr>
            </w:pPr>
          </w:p>
        </w:tc>
        <w:tc>
          <w:tcPr>
            <w:tcW w:w="114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1,015,632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20"/>
                <w:szCs w:val="20"/>
                <w:color w:val="auto"/>
              </w:rPr>
            </w:pPr>
          </w:p>
        </w:tc>
        <w:tc>
          <w:tcPr>
            <w:tcW w:w="6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1,008,702</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4,615,994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4,609,064</w:t>
            </w:r>
          </w:p>
        </w:tc>
        <w:tc>
          <w:tcPr>
            <w:tcW w:w="0" w:type="dxa"/>
            <w:vAlign w:val="bottom"/>
          </w:tcPr>
          <w:p>
            <w:pPr>
              <w:spacing w:after="0"/>
              <w:rPr>
                <w:sz w:val="1"/>
                <w:szCs w:val="1"/>
                <w:color w:val="auto"/>
              </w:rPr>
            </w:pPr>
          </w:p>
        </w:tc>
      </w:tr>
      <w:tr>
        <w:trPr>
          <w:trHeight w:val="223"/>
        </w:trPr>
        <w:tc>
          <w:tcPr>
            <w:tcW w:w="552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revenues</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13,390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53,543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66,933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53,543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148,902</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35,618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165,030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200,648</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218,573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2,491,360</w:t>
            </w:r>
          </w:p>
        </w:tc>
        <w:tc>
          <w:tcPr>
            <w:tcW w:w="0" w:type="dxa"/>
            <w:vAlign w:val="bottom"/>
          </w:tcPr>
          <w:p>
            <w:pPr>
              <w:spacing w:after="0"/>
              <w:rPr>
                <w:sz w:val="1"/>
                <w:szCs w:val="1"/>
                <w:color w:val="auto"/>
              </w:rPr>
            </w:pPr>
          </w:p>
        </w:tc>
      </w:tr>
      <w:tr>
        <w:trPr>
          <w:trHeight w:val="223"/>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Member's equity: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2,343,207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(222,713)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2,117,704</w:t>
            </w:r>
          </w:p>
        </w:tc>
        <w:tc>
          <w:tcPr>
            <w:tcW w:w="0" w:type="dxa"/>
            <w:vAlign w:val="bottom"/>
          </w:tcPr>
          <w:p>
            <w:pPr>
              <w:spacing w:after="0"/>
              <w:rPr>
                <w:sz w:val="1"/>
                <w:szCs w:val="1"/>
                <w:color w:val="auto"/>
              </w:rPr>
            </w:pPr>
          </w:p>
        </w:tc>
      </w:tr>
      <w:tr>
        <w:trPr>
          <w:trHeight w:val="223"/>
        </w:trPr>
        <w:tc>
          <w:tcPr>
            <w:tcW w:w="55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member's equity</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2,343,207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(222,713)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2,117,704</w:t>
            </w:r>
          </w:p>
        </w:tc>
        <w:tc>
          <w:tcPr>
            <w:tcW w:w="0" w:type="dxa"/>
            <w:vAlign w:val="bottom"/>
          </w:tcPr>
          <w:p>
            <w:pPr>
              <w:spacing w:after="0"/>
              <w:rPr>
                <w:sz w:val="1"/>
                <w:szCs w:val="1"/>
                <w:color w:val="auto"/>
              </w:rPr>
            </w:pPr>
          </w:p>
        </w:tc>
      </w:tr>
      <w:tr>
        <w:trPr>
          <w:trHeight w:val="46"/>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4,615,994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4,609,064</w:t>
            </w:r>
          </w:p>
        </w:tc>
        <w:tc>
          <w:tcPr>
            <w:tcW w:w="0" w:type="dxa"/>
            <w:vAlign w:val="bottom"/>
          </w:tcPr>
          <w:p>
            <w:pPr>
              <w:spacing w:after="0"/>
              <w:rPr>
                <w:sz w:val="1"/>
                <w:szCs w:val="1"/>
                <w:color w:val="auto"/>
              </w:rPr>
            </w:pPr>
          </w:p>
        </w:tc>
      </w:tr>
      <w:tr>
        <w:trPr>
          <w:trHeight w:val="47"/>
        </w:trPr>
        <w:tc>
          <w:tcPr>
            <w:tcW w:w="55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19" w:lineRule="exact"/>
        <w:rPr>
          <w:sz w:val="20"/>
          <w:szCs w:val="20"/>
          <w:color w:val="auto"/>
        </w:rPr>
      </w:pPr>
    </w:p>
    <w:p>
      <w:pPr>
        <w:ind w:left="340" w:right="580" w:hanging="332"/>
        <w:spacing w:after="0" w:line="282"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recording of deferred revenues in connection with the tower installation and modification transactions described in note 5 that result in permanent improvements to the Company's towers. The Company receives no cash from, and is not party to, such transactions.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Condensed Consolidated Statement of Operations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2"/>
                <w:szCs w:val="12"/>
                <w:color w:val="auto"/>
              </w:rPr>
            </w:pPr>
          </w:p>
        </w:tc>
        <w:tc>
          <w:tcPr>
            <w:tcW w:w="114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171,745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171,745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13,436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13,436</w:t>
            </w:r>
          </w:p>
        </w:tc>
        <w:tc>
          <w:tcPr>
            <w:tcW w:w="0" w:type="dxa"/>
            <w:vAlign w:val="bottom"/>
          </w:tcPr>
          <w:p>
            <w:pPr>
              <w:spacing w:after="0"/>
              <w:rPr>
                <w:sz w:val="1"/>
                <w:szCs w:val="1"/>
                <w:color w:val="auto"/>
              </w:rPr>
            </w:pPr>
          </w:p>
        </w:tc>
      </w:tr>
      <w:tr>
        <w:trPr>
          <w:trHeight w:val="237"/>
        </w:trPr>
        <w:tc>
          <w:tcPr>
            <w:tcW w:w="55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171,745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13,436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185,181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52,665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51,881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113,778</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57,183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14,172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71,403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14,172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61,594</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47,272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14,172</w:t>
            </w:r>
          </w:p>
        </w:tc>
        <w:tc>
          <w:tcPr>
            <w:tcW w:w="10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61,492</w:t>
            </w:r>
          </w:p>
        </w:tc>
        <w:tc>
          <w:tcPr>
            <w:tcW w:w="0" w:type="dxa"/>
            <w:vAlign w:val="bottom"/>
          </w:tcPr>
          <w:p>
            <w:pPr>
              <w:spacing w:after="0"/>
              <w:rPr>
                <w:sz w:val="1"/>
                <w:szCs w:val="1"/>
                <w:color w:val="auto"/>
              </w:rPr>
            </w:pPr>
          </w:p>
        </w:tc>
      </w:tr>
      <w:tr>
        <w:trPr>
          <w:trHeight w:val="487"/>
        </w:trPr>
        <w:tc>
          <w:tcPr>
            <w:tcW w:w="5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2"/>
                <w:szCs w:val="12"/>
                <w:color w:val="auto"/>
              </w:rPr>
            </w:pPr>
          </w:p>
        </w:tc>
        <w:tc>
          <w:tcPr>
            <w:tcW w:w="114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507,256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507,256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38,371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38,371</w:t>
            </w:r>
          </w:p>
        </w:tc>
        <w:tc>
          <w:tcPr>
            <w:tcW w:w="0" w:type="dxa"/>
            <w:vAlign w:val="bottom"/>
          </w:tcPr>
          <w:p>
            <w:pPr>
              <w:spacing w:after="0"/>
              <w:rPr>
                <w:sz w:val="1"/>
                <w:szCs w:val="1"/>
                <w:color w:val="auto"/>
              </w:rPr>
            </w:pPr>
          </w:p>
        </w:tc>
      </w:tr>
      <w:tr>
        <w:trPr>
          <w:trHeight w:val="237"/>
        </w:trPr>
        <w:tc>
          <w:tcPr>
            <w:tcW w:w="55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507,256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38,371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545,627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157,436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155,087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341,471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339,122</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165,785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40,579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206,505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40,579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177,044</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136,017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40,579</w:t>
            </w:r>
          </w:p>
        </w:tc>
        <w:tc>
          <w:tcPr>
            <w:tcW w:w="10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52" w:lineRule="exact"/>
        <w:rPr>
          <w:sz w:val="20"/>
          <w:szCs w:val="20"/>
          <w:color w:val="auto"/>
        </w:rPr>
      </w:pPr>
    </w:p>
    <w:p>
      <w:pPr>
        <w:ind w:left="340" w:right="60" w:hanging="332"/>
        <w:spacing w:after="0" w:line="282"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amortization of deferred revenues recorded in connection with the tower installation and modification transactions described in note 5 that result in permanent improvements to the Company's towers. The Company receives no cash from, and is not party to, such transactions.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Condensed Consolidated Statement of Cash Flows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2"/>
                <w:szCs w:val="12"/>
                <w:color w:val="auto"/>
              </w:rPr>
            </w:pPr>
          </w:p>
        </w:tc>
        <w:tc>
          <w:tcPr>
            <w:tcW w:w="114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5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r>
              <w:rPr>
                <w:rFonts w:ascii="Times New Roman" w:cs="Times New Roman" w:eastAsia="Times New Roman" w:hAnsi="Times New Roman"/>
                <w:sz w:val="21"/>
                <w:szCs w:val="21"/>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136,017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40,579</w:t>
            </w:r>
          </w:p>
        </w:tc>
        <w:tc>
          <w:tcPr>
            <w:tcW w:w="10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176,737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157,436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155,087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13,860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15,477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342,214</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(64,204)</w:t>
            </w:r>
          </w:p>
        </w:tc>
        <w:tc>
          <w:tcPr>
            <w:tcW w:w="0" w:type="dxa"/>
            <w:vAlign w:val="bottom"/>
          </w:tcPr>
          <w:p>
            <w:pPr>
              <w:spacing w:after="0"/>
              <w:rPr>
                <w:sz w:val="1"/>
                <w:szCs w:val="1"/>
                <w:color w:val="auto"/>
              </w:rPr>
            </w:pPr>
          </w:p>
        </w:tc>
      </w:tr>
      <w:tr>
        <w:trPr>
          <w:trHeight w:val="237"/>
        </w:trPr>
        <w:tc>
          <w:tcPr>
            <w:tcW w:w="5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(278,231)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(278,231)</w:t>
            </w:r>
          </w:p>
        </w:tc>
        <w:tc>
          <w:tcPr>
            <w:tcW w:w="0" w:type="dxa"/>
            <w:vAlign w:val="bottom"/>
          </w:tcPr>
          <w:p>
            <w:pPr>
              <w:spacing w:after="0"/>
              <w:rPr>
                <w:sz w:val="1"/>
                <w:szCs w:val="1"/>
                <w:color w:val="auto"/>
              </w:rPr>
            </w:pPr>
          </w:p>
        </w:tc>
      </w:tr>
      <w:tr>
        <w:trPr>
          <w:trHeight w:val="237"/>
        </w:trPr>
        <w:tc>
          <w:tcPr>
            <w:tcW w:w="55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18,707</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52" w:lineRule="exact"/>
        <w:rPr>
          <w:sz w:val="20"/>
          <w:szCs w:val="20"/>
          <w:color w:val="auto"/>
        </w:rPr>
      </w:pPr>
    </w:p>
    <w:p>
      <w:pPr>
        <w:ind w:left="340" w:right="120" w:hanging="332"/>
        <w:spacing w:after="0" w:line="249"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receives no cash from, and is not party to, the tower installation and modification transactions described in note 5.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8"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permanent improvements recorded in connection with the tower installation and modification transactions described in note 5. The Company receives no cash from, and is not party to, such transactions.</w:t>
      </w:r>
    </w:p>
    <w:p>
      <w:pPr>
        <w:spacing w:after="0" w:line="124" w:lineRule="exact"/>
        <w:rPr>
          <w:sz w:val="20"/>
          <w:szCs w:val="20"/>
          <w:color w:val="auto"/>
        </w:rPr>
      </w:pPr>
    </w:p>
    <w:p>
      <w:pPr>
        <w:jc w:val="both"/>
        <w:ind w:left="420" w:right="7440" w:hanging="412"/>
        <w:spacing w:after="0" w:line="466" w:lineRule="auto"/>
        <w:tabs>
          <w:tab w:leader="none" w:pos="4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i w:val="1"/>
          <w:iCs w:val="1"/>
          <w:color w:val="auto"/>
        </w:rPr>
        <w:t>Recently Adopted Accounting Pronouncements</w:t>
      </w:r>
    </w:p>
    <w:p>
      <w:pPr>
        <w:spacing w:after="0" w:line="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No accounting pronouncements adopted during the nine months ended September 30, 2020 had a material impact on the Company's condensed consolidated financial statements.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No new accounting pronouncements issued but not yet adopted are expected to have a material impact on the Company's condensed consolidated financial statements.</w:t>
      </w:r>
    </w:p>
    <w:p>
      <w:pPr>
        <w:spacing w:after="0" w:line="104"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outstanding balance of the 3.849% Secured Notes due April 2023 as of September 30, 2020 and December 31, 2019 was $996 million and $995 million, respectively.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are as follows:</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0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28,868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28,868</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1,038</w:t>
            </w:r>
          </w:p>
        </w:tc>
      </w:tr>
      <w:tr>
        <w:trPr>
          <w:trHeight w:val="33"/>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29,906</w:t>
            </w: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363"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on the Company's condensed consolidated balance sheet and recognizes it as "Amortization of tower installations and modifications" on the Company's condensed consolidated statement of operations over the associated estimated lease term. The portions of the transaction price which do not represent a lease component are not reflected in the Company's operating results.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part of CCIC's strategy to obtain long-term control of the land interests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September 30, 2020, more than 30% of the Company's towers were located on land which was controlled by an affiliate. Also, the Company receives site rental revenues from affiliates for land owned by the Company on which affiliates have towers.</w:t>
      </w:r>
    </w:p>
    <w:p>
      <w:pPr>
        <w:spacing w:after="0" w:line="12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2020 and 2019, the Company recorded equity distributions of $308.0 million and $278.2 million, respectively, reflecting distributions to its member. Cash on-hand above the amount that is required by the Management Agreement has been, and is expected to continue to be, distributed to the Company's parent company. As of September 30, 2020 and 2019, other than the amounts of its ROU assets and operating lease liabilities related to land leased from affiliates of the Company reflected in "Operating lease right-of-use assets," "Current portion of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related parties" and "Operating lease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related parties," the Company had no material related party assets or liabilities on its condensed consolidated balance sheet.</w:t>
      </w:r>
    </w:p>
    <w:p>
      <w:pPr>
        <w:spacing w:after="0" w:line="127"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and 2019, the Company's effective tax rate differed from the federal statutory rate predominately due to (1) CCIC's REIT status, including the dividends paid deduction, and (2) state taxes.</w:t>
      </w:r>
    </w:p>
    <w:p>
      <w:pPr>
        <w:spacing w:after="0" w:line="104"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Values</w:t>
      </w:r>
    </w:p>
    <w:p>
      <w:pPr>
        <w:spacing w:after="0" w:line="175"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2019, in the Company's valuation techniques used to measure fair values. The estimated fair values of the Company's financial instruments, along with the carrying amounts of the related assets and liabilities, are as follows: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55"/>
        </w:trPr>
        <w:tc>
          <w:tcPr>
            <w:tcW w:w="3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in Fair</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51"/>
        </w:trPr>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9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4"/>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3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96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80" w:type="dxa"/>
            <w:vAlign w:val="bottom"/>
            <w:gridSpan w:val="2"/>
          </w:tcPr>
          <w:p>
            <w:pPr>
              <w:jc w:val="center"/>
              <w:ind w:left="1862"/>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31,565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31,565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20,407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20,407</w:t>
            </w:r>
          </w:p>
        </w:tc>
      </w:tr>
      <w:tr>
        <w:trPr>
          <w:trHeight w:val="33"/>
        </w:trPr>
        <w:tc>
          <w:tcPr>
            <w:tcW w:w="3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w:t>
            </w:r>
          </w:p>
        </w:tc>
        <w:tc>
          <w:tcPr>
            <w:tcW w:w="2980" w:type="dxa"/>
            <w:vAlign w:val="bottom"/>
            <w:gridSpan w:val="2"/>
          </w:tcPr>
          <w:p>
            <w:pPr>
              <w:jc w:val="center"/>
              <w:ind w:left="1862"/>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996,469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1,075,500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995,431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1,046,200</w:t>
            </w:r>
          </w:p>
        </w:tc>
      </w:tr>
    </w:tbl>
    <w:p>
      <w:pPr>
        <w:spacing w:after="0" w:line="389"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In addition, see note 1 for a discussion of CCIC's option to purchase approximately 68% of the Company's towers at the end of their respective lease terms. CCIC has no obligation to exercise the purchase option.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0"/>
        </w:trPr>
        <w:tc>
          <w:tcPr>
            <w:tcW w:w="2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2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220" w:type="dxa"/>
            <w:vAlign w:val="bottom"/>
            <w:tcBorders>
              <w:bottom w:val="single" w:sz="8" w:color="CCEEFF"/>
            </w:tcBorders>
          </w:tcPr>
          <w:p>
            <w:pPr>
              <w:spacing w:after="0"/>
              <w:rPr>
                <w:sz w:val="22"/>
                <w:szCs w:val="22"/>
                <w:color w:val="auto"/>
              </w:rPr>
            </w:pPr>
          </w:p>
        </w:tc>
        <w:tc>
          <w:tcPr>
            <w:tcW w:w="80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220" w:type="dxa"/>
            <w:vAlign w:val="bottom"/>
          </w:tcPr>
          <w:p>
            <w:pPr>
              <w:spacing w:after="0"/>
              <w:rPr>
                <w:sz w:val="23"/>
                <w:szCs w:val="23"/>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payments related to operating lease liabilities</w:t>
            </w:r>
            <w:r>
              <w:rPr>
                <w:rFonts w:ascii="Times New Roman" w:cs="Times New Roman" w:eastAsia="Times New Roman" w:hAnsi="Times New Roman"/>
                <w:sz w:val="21"/>
                <w:szCs w:val="21"/>
                <w:color w:val="auto"/>
                <w:vertAlign w:val="superscript"/>
              </w:rPr>
              <w:t>(a)(b)</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80,853</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79,643</w:t>
            </w: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paid</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19,246</w:t>
            </w:r>
          </w:p>
        </w:tc>
      </w:tr>
      <w:tr>
        <w:trPr>
          <w:trHeight w:val="237"/>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Supplemental disclosure of non-cash operating, investing and financing activities:</w:t>
            </w: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20" w:type="dxa"/>
            <w:vAlign w:val="bottom"/>
            <w:shd w:val="clear" w:color="auto" w:fill="CCEEFF"/>
          </w:tcPr>
          <w:p>
            <w:pPr>
              <w:spacing w:after="0"/>
              <w:rPr>
                <w:sz w:val="23"/>
                <w:szCs w:val="23"/>
                <w:color w:val="auto"/>
              </w:rPr>
            </w:pPr>
          </w:p>
        </w:tc>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New ROU assets obtained in exchange for operating lease liabilities</w:t>
            </w:r>
            <w:r>
              <w:rPr>
                <w:rFonts w:ascii="Times New Roman" w:cs="Times New Roman" w:eastAsia="Times New Roman" w:hAnsi="Times New Roman"/>
                <w:sz w:val="21"/>
                <w:szCs w:val="21"/>
                <w:color w:val="auto"/>
                <w:vertAlign w:val="superscript"/>
              </w:rPr>
              <w:t>(b)</w:t>
            </w: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71,578</w:t>
            </w:r>
          </w:p>
        </w:tc>
      </w:tr>
      <w:tr>
        <w:trPr>
          <w:trHeight w:val="237"/>
        </w:trPr>
        <w:tc>
          <w:tcPr>
            <w:tcW w:w="22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 (decrease) in accounts payable for purchases of property and equipment</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pursuant to operating leases, which are recorded as expense in the period such contingencies are resolved.</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1" w:right="339" w:bottom="1440" w:gutter="0" w:footer="0" w:header="0"/>
        </w:sectPr>
      </w:pPr>
    </w:p>
    <w:bookmarkStart w:id="13" w:name="page14"/>
    <w:bookmarkEnd w:id="1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231F20"/>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the response to Part I, Item 1 of this report and our consolidated financial statements including the related notes and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included in our 2019 Form 10-K. As discussed in the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to this Form 10-Q and in further detail in our 2019 Form 10-K, amounts presented for the third quarter of 2019 have been restated to reflect the impact of the Historical Adjustments.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Throughout this Item 2 and this Form 10-Q, site rental revenues include both revenues from tenant contracts and amortization of tower installations and modifications.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Overview</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own, lease and manage sites that are geographically dispersed throughout the United States. The vast majority of our site rental revenues is of a recurring nature and is subject to long-term contracts with our tenants.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Fundamentals and Results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certain highlights of our business fundamentals and results as of and for the nine months ended September 30, 2020:</w:t>
      </w:r>
    </w:p>
    <w:p>
      <w:pPr>
        <w:spacing w:after="0" w:line="27" w:lineRule="exact"/>
        <w:rPr>
          <w:sz w:val="20"/>
          <w:szCs w:val="20"/>
          <w:color w:val="auto"/>
        </w:rPr>
      </w:pP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the increasing demand for wireless data</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and (7) the availability of additional spectrum.</w:t>
      </w:r>
    </w:p>
    <w:p>
      <w:pPr>
        <w:spacing w:after="0" w:line="1"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additions on our existing sites are achieved at a low incremental operating cost, delivering high incremental returns.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structure</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CCIC operates as a REIT and, as its indirect subsidiary, our assets and operations are included in the</w:t>
      </w:r>
    </w:p>
    <w:p>
      <w:pPr>
        <w:spacing w:after="0" w:line="9"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CCIC REIT.</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(other than Crown Castle GS III Corp.) were organized specifically to own, lease and manage certain sites, such as towers or other structures, and have no employees.</w:t>
      </w: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contracts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remaining term of approximately five years, exclusive of renewals exercisable at the tenants' option, currently representing approximately $4.2 billion of expected future cash inflows.</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revenues from large wireless carriers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89% of our site rental revenues were derived from T-Mobile (including revenues previously derived from Sprint), AT&amp;T and Verizon Wireless.</w:t>
      </w:r>
    </w:p>
    <w:p>
      <w:pPr>
        <w:ind w:left="1880" w:hanging="414"/>
        <w:spacing w:after="0" w:line="250" w:lineRule="auto"/>
        <w:tabs>
          <w:tab w:leader="none" w:pos="18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1, 2020, T-Mobile and Sprint announced the completion of their previously disclosed merger. For additional information,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2019 Form 10-K.</w:t>
      </w:r>
    </w:p>
    <w:p>
      <w:pPr>
        <w:ind w:left="820" w:hanging="407"/>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interests under our towers under long-term control</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80% and more than 50% of our sites are under our control for greater than 10 and 20 years, respectively. The aforementioned percentages include towers that reside on land interests that are owned, including through fee interests and perpetual easements.</w:t>
      </w:r>
    </w:p>
    <w:p>
      <w:pPr>
        <w:jc w:val="both"/>
        <w:ind w:left="1220" w:hanging="402"/>
        <w:spacing w:after="0" w:line="255" w:lineRule="auto"/>
        <w:tabs>
          <w:tab w:leader="none" w:pos="1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333" w:right="339" w:bottom="1440" w:gutter="0" w:footer="0" w:header="0"/>
        </w:sectPr>
      </w:pPr>
    </w:p>
    <w:bookmarkStart w:id="14" w:name="page15"/>
    <w:bookmarkEnd w:id="14"/>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fixed tower operating costs</w:t>
      </w:r>
    </w:p>
    <w:p>
      <w:pPr>
        <w:spacing w:after="0" w:line="27"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represented less than 1% of site rental revenues.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rate debt with no short-term maturities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consists of $1.0 billion aggregate principal amount of 3.849% Secured Notes. See note 4 to our condensed consolidated financial statements.</w:t>
      </w: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cash provided by operating activities was $356.3 million. See </w:t>
      </w:r>
      <w:r>
        <w:rPr>
          <w:rFonts w:ascii="Times New Roman" w:cs="Times New Roman" w:eastAsia="Times New Roman" w:hAnsi="Times New Roman"/>
          <w:sz w:val="18"/>
          <w:szCs w:val="18"/>
          <w:i w:val="1"/>
          <w:iCs w:val="1"/>
          <w:color w:val="auto"/>
        </w:rPr>
        <w:t>"Item 2. MD&amp;A—Liquidity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 (COVID-19)</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global outbreak of the novel coronavirus (COVID-19) was declared a pandemic by the World Health Organization and a national emergency by the U.S. government in March 2020 and has adversely affected the United States. In response, both the public and private sectors have introduced certain policies and initiatives in an effort to reduce the transmission of COVID-19 ("Initiatives"), such as the imposition of travel restrictions; mandates from federal, state and local authorities to close non-essential businesses and avoid large gatherings of people; quarantine or "shelter-in-place;" and the promotion of social distancing and the adoption of work-from-home and online learning by companies and institutions. In addition, the continued spread of COVID-19 and the resulting Initiatives have led to a significant economic downturn, global supply chain disruptions and volatility in the global capital markets.</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U.S. Department of Homeland Security guidance issued in March 2020 designating telecommunications infrastructure and networks as critical infrastructure, we have continued our operations to ensure viability of communications networks, which are essential to public health and safety. We do not believe that COVID-19 had a material impact on our financial position, results of operations and cash flows during the nine months ended September 30, 2020. We currently anticipate that we will be able to maintain sufficient liquidity as we manage through the current environment. See also </w:t>
      </w:r>
      <w:r>
        <w:rPr>
          <w:rFonts w:ascii="Times New Roman" w:cs="Times New Roman" w:eastAsia="Times New Roman" w:hAnsi="Times New Roman"/>
          <w:sz w:val="18"/>
          <w:szCs w:val="18"/>
          <w:i w:val="1"/>
          <w:iCs w:val="1"/>
          <w:color w:val="auto"/>
        </w:rPr>
        <w:t>"Item 2. MD&amp;A—Liquidity and Capital Resources—Liquidity Position"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1A. Risk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Guarantor Subsidiaries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2020, the SEC adopted amendments to reduce and simplify the financial disclosure requirements for guarantors and issuers of guaranteed registered securities, and affiliates of such issuers whose securities are collateralized. The amendments will be effective January 4, 2021, but voluntary compliance with the amendments in advance of January 4, 2021 is permitted.</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Summary financial information of such subsidiaries that, in certain circumstances, may be required by the amendments described above is not provided in this Form 10-Q because the assets, liabilities and results of operations of the combined guarantors of the 3.849% Secured Notes and CCL affiliates whose securities are pledged as collateral to secure the 3.849% Secured Notes are not materially different than the corresponding amounts presented in CCL's consolidated financial statements. Below is a description of certain material terms of the guarantees of the 3.849% Secured Notes and the pledge of the equity interests of the Guarantors (as defined below) that secures the 3.849% Secured Notes.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33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 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should be read in conjunction with our condensed consolidated financial statements and our 2019 Form 10-K. Amounts for three and nine months ended September 30, 2019, and any discussion relating to those amounts, give effect to the impact of the Historical Adjustments as described in the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xml:space="preserve"> and Note 2 to our condensed consolidation financial statements.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Times New Roman" w:cs="Times New Roman" w:eastAsia="Times New Roman" w:hAnsi="Times New Roman"/>
          <w:sz w:val="18"/>
          <w:szCs w:val="18"/>
          <w:i w:val="1"/>
          <w:iCs w:val="1"/>
          <w:color w:val="auto"/>
        </w:rPr>
        <w:t>"Item 2. MD&amp;A—Accounting and Reporting Matters—Critical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and Estimates" </w:t>
      </w:r>
      <w:r>
        <w:rPr>
          <w:rFonts w:ascii="Times New Roman" w:cs="Times New Roman" w:eastAsia="Times New Roman" w:hAnsi="Times New Roman"/>
          <w:sz w:val="18"/>
          <w:szCs w:val="18"/>
          <w:color w:val="auto"/>
        </w:rPr>
        <w:t>herein and note 3 to our 2019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99" w:right="33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color w:val="auto"/>
        </w:rPr>
        <w:t>Highlights of our results of operations for the three and nine months ended September 30, 2020 and 2019 are depicted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300" w:type="dxa"/>
            <w:vAlign w:val="bottom"/>
          </w:tcPr>
          <w:p>
            <w:pPr>
              <w:spacing w:after="0"/>
              <w:rPr>
                <w:sz w:val="15"/>
                <w:szCs w:val="15"/>
                <w:color w:val="auto"/>
              </w:rPr>
            </w:pPr>
          </w:p>
        </w:tc>
        <w:tc>
          <w:tcPr>
            <w:tcW w:w="126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16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86"/>
        </w:trPr>
        <w:tc>
          <w:tcPr>
            <w:tcW w:w="63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jc w:val="center"/>
              <w:ind w:right="3619"/>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173,348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171,745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13,436</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6300" w:type="dxa"/>
            <w:vAlign w:val="bottom"/>
          </w:tcPr>
          <w:p>
            <w:pPr>
              <w:jc w:val="center"/>
              <w:ind w:right="3599"/>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188,166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185,181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cost of operations—third parties</w:t>
            </w:r>
            <w:r>
              <w:rPr>
                <w:rFonts w:ascii="Times New Roman" w:cs="Times New Roman" w:eastAsia="Times New Roman" w:hAnsi="Times New Roman"/>
                <w:sz w:val="21"/>
                <w:szCs w:val="21"/>
                <w:color w:val="auto"/>
                <w:vertAlign w:val="superscript"/>
              </w:rPr>
              <w:t>(b)</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38,406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Ground rent expenses—related parties</w:t>
            </w:r>
          </w:p>
        </w:tc>
        <w:tc>
          <w:tcPr>
            <w:tcW w:w="3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10,880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Site rental cost of operations—total</w:t>
            </w:r>
            <w:r>
              <w:rPr>
                <w:rFonts w:ascii="Times New Roman" w:cs="Times New Roman" w:eastAsia="Times New Roman" w:hAnsi="Times New Roman"/>
                <w:sz w:val="21"/>
                <w:szCs w:val="21"/>
                <w:color w:val="auto"/>
                <w:vertAlign w:val="superscript"/>
              </w:rPr>
              <w:t>(b)</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49,286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fee—related party</w:t>
            </w:r>
          </w:p>
        </w:tc>
        <w:tc>
          <w:tcPr>
            <w:tcW w:w="3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53,048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51,881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jc w:val="center"/>
              <w:ind w:right="3619"/>
              <w:spacing w:after="0"/>
              <w:rPr>
                <w:sz w:val="20"/>
                <w:szCs w:val="20"/>
                <w:color w:val="auto"/>
              </w:rPr>
            </w:pPr>
            <w:r>
              <w:rPr>
                <w:rFonts w:ascii="Times New Roman" w:cs="Times New Roman" w:eastAsia="Times New Roman" w:hAnsi="Times New Roman"/>
                <w:sz w:val="16"/>
                <w:szCs w:val="16"/>
                <w:color w:val="auto"/>
                <w:w w:val="99"/>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113,778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71,948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71,403</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7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61,967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61,594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61,492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3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300" w:type="dxa"/>
            <w:vAlign w:val="bottom"/>
          </w:tcPr>
          <w:p>
            <w:pPr>
              <w:spacing w:after="0"/>
              <w:rPr>
                <w:sz w:val="15"/>
                <w:szCs w:val="15"/>
                <w:color w:val="auto"/>
              </w:rPr>
            </w:pPr>
          </w:p>
        </w:tc>
        <w:tc>
          <w:tcPr>
            <w:tcW w:w="126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16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86"/>
        </w:trPr>
        <w:tc>
          <w:tcPr>
            <w:tcW w:w="63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6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Site rental revenues: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jc w:val="center"/>
              <w:ind w:right="3619"/>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517,041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507,256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43,639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38,371</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jc w:val="center"/>
              <w:ind w:right="3599"/>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560,680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545,627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83"/>
        </w:trPr>
        <w:tc>
          <w:tcPr>
            <w:tcW w:w="6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Site rental cost of operations—third parties</w:t>
            </w:r>
            <w:r>
              <w:rPr>
                <w:rFonts w:ascii="Times New Roman" w:cs="Times New Roman" w:eastAsia="Times New Roman" w:hAnsi="Times New Roman"/>
                <w:sz w:val="21"/>
                <w:szCs w:val="21"/>
                <w:color w:val="auto"/>
                <w:vertAlign w:val="superscript"/>
              </w:rPr>
              <w:t>(b)</w:t>
            </w:r>
          </w:p>
        </w:tc>
        <w:tc>
          <w:tcPr>
            <w:tcW w:w="30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115,156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114,212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Ground rent expenses—related parties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34,235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32,210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0"/>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Site rental cost of operations—total</w:t>
            </w:r>
            <w:r>
              <w:rPr>
                <w:rFonts w:ascii="Times New Roman" w:cs="Times New Roman" w:eastAsia="Times New Roman" w:hAnsi="Times New Roman"/>
                <w:sz w:val="21"/>
                <w:szCs w:val="21"/>
                <w:color w:val="auto"/>
                <w:vertAlign w:val="superscript"/>
              </w:rPr>
              <w:t>(b)</w:t>
            </w:r>
          </w:p>
        </w:tc>
        <w:tc>
          <w:tcPr>
            <w:tcW w:w="3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149,391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146,422</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Management fee—related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37,238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375</w:t>
            </w:r>
          </w:p>
        </w:tc>
        <w:tc>
          <w:tcPr>
            <w:tcW w:w="17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155,087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63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346,549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339,122</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214,131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206,505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w:t>
            </w:r>
          </w:p>
        </w:tc>
        <w:tc>
          <w:tcPr>
            <w:tcW w:w="17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184,299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177,044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184,007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176,737</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is not meaningful.</w:t>
      </w:r>
    </w:p>
    <w:p>
      <w:pPr>
        <w:spacing w:after="0" w:line="17" w:lineRule="exact"/>
        <w:rPr>
          <w:sz w:val="20"/>
          <w:szCs w:val="20"/>
          <w:color w:val="auto"/>
        </w:rPr>
      </w:pPr>
    </w:p>
    <w:p>
      <w:pPr>
        <w:ind w:left="340" w:hanging="332"/>
        <w:spacing w:after="0" w:line="241" w:lineRule="auto"/>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amortization of deferred revenues recorded in connection with the tower installation and modification transactions described in note 5 to our condensed consolidated financial statements that result in permanent improvements to our towers. We receive no cash from, and are not party to, such transactions.</w:t>
      </w:r>
    </w:p>
    <w:p>
      <w:pPr>
        <w:ind w:left="340" w:hanging="332"/>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ectPr>
          <w:pgSz w:w="11900" w:h="16838" w:orient="portrait"/>
          <w:cols w:equalWidth="0" w:num="1">
            <w:col w:w="11240"/>
          </w:cols>
          <w:pgMar w:left="320" w:top="499"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99" w:right="339" w:bottom="1440" w:gutter="0" w:footer="0" w:header="0"/>
          <w:type w:val="continuous"/>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i w:val="1"/>
          <w:iCs w:val="1"/>
          <w:color w:val="auto"/>
        </w:rPr>
        <w:t>Third Quarter 2020 and 2019</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Site rental revenues for the three months ended September 30, 2020 increased by $3.0 million, or 2%, from the same period in the prior year. The increase in site rental revenues was impacted by the following items, inclusive of straight-line accounting: tenant additions across our entire portfolio, renewals or extensions of tenant contracts and escalations offset by non-renewals of tenant contracts. Tenant additions were influenced by our tenants' ongoing efforts to improve network quality and capacity.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for the three months ended September 30, 2020 increased by $0.5 million, or 1%, from the same period in the prior year. The increase in operating income was primarily due to the aforementioned increase in site rental revenues, partially offset by an increase in the cost of operations from the three months ended September 30, 2019.</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three months ended September 30, 2020 remained unchanged from the same period in the prior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September 30, 2020 was $61.9 million and remained relatively consistent compared to net income of $61.5 million for the three months ended September 30, 2019.</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First Nine Months 2020 and 2019</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Site rental revenues for the nine months ended September 30, 2020 increased by $15.1 million, or 3%, from the same period in the prior year. The increase in site rental revenues was impacted by the following items, inclusive of straight-line accounting: new tenant additions across our entire portfolio, renewals or extensions of tenant leases and escalations offset by non-renewal of tenant contracts. Tenant additions were influenced by our tenants' ongoing efforts to improve network quality and capacity.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income for the nine months ended September 30, 2020 increased by $7.6 million, or 4%, from the same period in the prior year. The increase in operating income was predominately due to the aforementioned increase in site rental revenues, partially offset by an increase in the cost of operations from the nine months ended September 30, 2019.</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nine months ended September 30, 2020 remained unchanged from the same period in the prior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nine months ended September 30, 2020 was $184.0 million compared to net income of $176.7 million for the nine months ended September 30, 2019. The increase was due primarily to the aforementioned increase in site rental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core business generates revenues under long-term tenant contracts (See</w:t>
      </w:r>
      <w:r>
        <w:rPr>
          <w:rFonts w:ascii="Times New Roman" w:cs="Times New Roman" w:eastAsia="Times New Roman" w:hAnsi="Times New Roman"/>
          <w:sz w:val="18"/>
          <w:szCs w:val="18"/>
          <w:i w:val="1"/>
          <w:iCs w:val="1"/>
          <w:color w:val="auto"/>
        </w:rPr>
        <w:t xml:space="preserve"> "Item 2. MD&amp;A—General Overview"</w:t>
      </w:r>
      <w:r>
        <w:rPr>
          <w:rFonts w:ascii="Times New Roman" w:cs="Times New Roman" w:eastAsia="Times New Roman" w:hAnsi="Times New Roman"/>
          <w:sz w:val="18"/>
          <w:szCs w:val="18"/>
          <w:color w:val="auto"/>
        </w:rPr>
        <w:t>), from the largest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September 30, 2020:</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5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31,565</w:t>
            </w: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996,469</w:t>
            </w:r>
          </w:p>
        </w:tc>
      </w:tr>
      <w:tr>
        <w:trPr>
          <w:trHeight w:val="33"/>
        </w:trPr>
        <w:tc>
          <w:tcPr>
            <w:tcW w:w="36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member's equity</w:t>
            </w:r>
          </w:p>
        </w:tc>
        <w:tc>
          <w:tcPr>
            <w:tcW w:w="5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1,972,959</w:t>
            </w:r>
          </w:p>
        </w:tc>
      </w:tr>
      <w:tr>
        <w:trPr>
          <w:trHeight w:val="432"/>
        </w:trPr>
        <w:tc>
          <w:tcPr>
            <w:tcW w:w="3620" w:type="dxa"/>
            <w:vAlign w:val="bottom"/>
          </w:tcPr>
          <w:p>
            <w:pPr>
              <w:spacing w:after="0"/>
              <w:rPr>
                <w:sz w:val="24"/>
                <w:szCs w:val="24"/>
                <w:color w:val="auto"/>
              </w:rPr>
            </w:pPr>
          </w:p>
        </w:tc>
        <w:tc>
          <w:tcPr>
            <w:tcW w:w="5360" w:type="dxa"/>
            <w:vAlign w:val="bottom"/>
          </w:tcPr>
          <w:p>
            <w:pPr>
              <w:jc w:val="right"/>
              <w:ind w:right="3195"/>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240"/>
          </w:cols>
          <w:pgMar w:left="320" w:top="497" w:right="33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net cash provided by operating activities should be sufficient to cover our expected capital expenditures.</w:t>
      </w:r>
    </w:p>
    <w:p>
      <w:pPr>
        <w:spacing w:after="0" w:line="2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scheduled contractual debt maturities.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4 to our condensed consolidated financial statements for additional information regarding our debt.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Summary Cash Flow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86"/>
        </w:trPr>
        <w:tc>
          <w:tcPr>
            <w:tcW w:w="69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356,339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342,214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14,125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27,025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(308,002)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11,158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11,379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for the first nine months of 2020 of $14.1 million, or 4%, from the first nine months of 2019, was primarily due to growth in cash revenues, including cash escalations that are subject to straight-line accounting. Changes in working capital contribute to variability in net cash provided by operating activities, largely due to the timing of advanced payments by us and advanced receipts from tenants.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spacing w:after="0" w:line="1" w:lineRule="exact"/>
        <w:rPr>
          <w:sz w:val="20"/>
          <w:szCs w:val="20"/>
          <w:color w:val="auto"/>
        </w:rPr>
      </w:pPr>
    </w:p>
    <w:p>
      <w:pPr>
        <w:jc w:val="both"/>
        <w:ind w:left="1140" w:hanging="241"/>
        <w:spacing w:after="0" w:line="254"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under our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26" w:lineRule="exact"/>
        <w:rPr>
          <w:rFonts w:ascii="Times New Roman" w:cs="Times New Roman" w:eastAsia="Times New Roman" w:hAnsi="Times New Roman"/>
          <w:sz w:val="18"/>
          <w:szCs w:val="18"/>
          <w:color w:val="auto"/>
        </w:rPr>
      </w:pPr>
    </w:p>
    <w:p>
      <w:pPr>
        <w:ind w:left="1140" w:right="20" w:hanging="241"/>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maintenance capital expenditures on our sites that enable our tenants' ongoing quiet enjoyment of the site.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Capital expenditures for the nine months ended September 30, 2020 and 2019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86"/>
        </w:trPr>
        <w:tc>
          <w:tcPr>
            <w:tcW w:w="69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Discretionary</w:t>
            </w:r>
          </w:p>
        </w:tc>
        <w:tc>
          <w:tcPr>
            <w:tcW w:w="2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34,733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58,851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Sustaining</w:t>
            </w:r>
          </w:p>
        </w:tc>
        <w:tc>
          <w:tcPr>
            <w:tcW w:w="220" w:type="dxa"/>
            <w:vAlign w:val="bottom"/>
          </w:tcPr>
          <w:p>
            <w:pPr>
              <w:spacing w:after="0"/>
              <w:rPr>
                <w:sz w:val="20"/>
                <w:szCs w:val="20"/>
                <w:color w:val="auto"/>
              </w:rPr>
            </w:pP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5,353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37,179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64,204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net cash flows used for financing activities during the nine months ended September 30, 2020 and 2019 were impacted by our continued practice of distributing excess cash to our member.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2012 Secured Notes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our 2019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2020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2019 are described in </w:t>
      </w:r>
      <w:r>
        <w:rPr>
          <w:rFonts w:ascii="Times New Roman" w:cs="Times New Roman" w:eastAsia="Times New Roman" w:hAnsi="Times New Roman"/>
          <w:sz w:val="18"/>
          <w:szCs w:val="18"/>
          <w:i w:val="1"/>
          <w:iCs w:val="1"/>
          <w:color w:val="auto"/>
        </w:rPr>
        <w:t>"Item 7. MD&amp;A—Accounting and Reporting Matters"</w:t>
      </w:r>
      <w:r>
        <w:rPr>
          <w:rFonts w:ascii="Times New Roman" w:cs="Times New Roman" w:eastAsia="Times New Roman" w:hAnsi="Times New Roman"/>
          <w:sz w:val="18"/>
          <w:szCs w:val="18"/>
          <w:color w:val="auto"/>
        </w:rPr>
        <w:t xml:space="preserve"> and in note 3 in our 2019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our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our condensed consolidated financial statements.</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due to the material weakness in the Company's internal control over financial reporting described below, the Company's disclosure controls and procedures were not effective in alerting them in a timely manner to material information relating to the Company required to be included in the Company's periodic reports under the Securities Exchange Act of 1934, as amended.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previously disclosed in the Company's 2019 Form 10-K, management concluded that a material weakness existed in the Company's internal control over financial reporting, as it did not effectively design and maintain controls related to the accounting for tower installation and modification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Management is in the process of remediating the material weakness described above. Management has revised its accounting policies for its tower installation and modification services to identify and account for lease components and the related calculation of deferred revenue and is making improvements to existing processes and controls related to the determination of the accuracy of capital expenditures made for permanent improvements associated with tower installation services. Management is also implementing training with respect to the new processes and evaluating the need for additional resources.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Management believes that the measures described above will remediate the identified material weakness and strengthen the Company’s internal control over financial reporting. Management may take additional measures to strengthen its internal control environment.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4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Except as discussed above with respect to management's ongoing remediation of the material weakness, 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disclosure in note 8 to our condensed consolidated financial statements, which disclosure is hereby incorporated herein by reference.</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following risk factor is provided to update the risk factors previously discussed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2019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and related risks could materially affect our financial position, results of operations and cash flows.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global spread of COVID-19 has created significant uncertainty and economic disruption. We have modified, and might further modify, our business practices as a result of the COVID-19 pandemic, the economic and social ramifications of the disease, and the societal and governmental responses in the communities in which we operate. See </w:t>
      </w:r>
      <w:r>
        <w:rPr>
          <w:rFonts w:ascii="Times New Roman" w:cs="Times New Roman" w:eastAsia="Times New Roman" w:hAnsi="Times New Roman"/>
          <w:sz w:val="18"/>
          <w:szCs w:val="18"/>
          <w:i w:val="1"/>
          <w:iCs w:val="1"/>
          <w:color w:val="auto"/>
        </w:rPr>
        <w:t>"Item 2. MD&amp;A—General Overview—Coronavirus (COVID-19)"</w:t>
      </w:r>
      <w:r>
        <w:rPr>
          <w:rFonts w:ascii="Times New Roman" w:cs="Times New Roman" w:eastAsia="Times New Roman" w:hAnsi="Times New Roman"/>
          <w:sz w:val="18"/>
          <w:szCs w:val="18"/>
          <w:color w:val="auto"/>
        </w:rPr>
        <w:t xml:space="preserve"> for further information. The extent to which the COVID-19 pandemic will affect our financial position, results of operations and cash flows is difficult to predict with certainty and depends on numerous evolving factors, including: the duration, scope and severity of the pandemic; government, social, business and other actions that have been and will be taken in response to the pandemic; and the effect of the pandemic on short- and long-term general economic conditions. Among other things, COVID-19 and the Initiatives could (1) adversely affect the ability of our suppliers, vendors, and the Manager to provide products and services to us; (2) result in decreased demand for our sites; and (3) make it more difficult for us and the Manager to serve our tenants, including as a result of delays or suspensions in the issuance of permits or other authorizations needed to conduct our business. The potential effects of COVID-19 could also heighten the risks disclosed in many of our risk factors that are included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our 2019 Form 10-K. Due to factors beyond our knowledge or control, including the duration and severity of COVID-19, as well as third-party actions taken to contain its spread and mitigate its public health effects, at this time we cannot estimate or predict with certainty the impact of COVID-19, the Initiatives, or the measures we take in response thereto on our financial position, results of operations and cash flows, particularly over the near to medium term, but the impact could be material.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38"/>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20" w:type="dxa"/>
            <w:vAlign w:val="bottom"/>
            <w:gridSpan w:val="3"/>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8"/>
        </w:trPr>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1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5"/>
          </w:tcPr>
          <w:p>
            <w:pPr>
              <w:ind w:left="700"/>
              <w:spacing w:after="0"/>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Certificate of Formation, as amended, of CC Holdings GS V LLC</w:t>
              </w:r>
            </w:hyperlink>
          </w:p>
        </w:tc>
      </w:tr>
      <w:tr>
        <w:trPr>
          <w:trHeight w:val="39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5"/>
          </w:tcPr>
          <w:p>
            <w:pPr>
              <w:ind w:left="700"/>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Second Amended and Restated Limited Liability Company Agreement of CC Holdings GS V LLC</w:t>
              </w:r>
            </w:hyperlink>
          </w:p>
        </w:tc>
      </w:tr>
      <w:tr>
        <w:trPr>
          <w:trHeight w:val="391"/>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0000" w:type="dxa"/>
            <w:vAlign w:val="bottom"/>
            <w:gridSpan w:val="5"/>
          </w:tcPr>
          <w:p>
            <w:pPr>
              <w:ind w:left="700"/>
              <w:spacing w:after="0"/>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List of Subsidiaries</w:t>
              </w:r>
            </w:hyperlink>
          </w:p>
        </w:tc>
      </w:tr>
      <w:tr>
        <w:trPr>
          <w:trHeight w:val="392"/>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5"/>
          </w:tcPr>
          <w:p>
            <w:pPr>
              <w:ind w:left="70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Certification of Chief Executive Officer pursuant to Section 302 of Sarbanes-Oxley Act of 2002</w:t>
              </w:r>
            </w:hyperlink>
          </w:p>
        </w:tc>
      </w:tr>
      <w:tr>
        <w:trPr>
          <w:trHeight w:val="391"/>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5"/>
          </w:tcPr>
          <w:p>
            <w:pPr>
              <w:ind w:left="70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Certification of Chief Financial Officer pursuant to Section 302 of Sarbanes-Oxley Act of 2002</w:t>
              </w:r>
            </w:hyperlink>
          </w:p>
        </w:tc>
      </w:tr>
      <w:tr>
        <w:trPr>
          <w:trHeight w:val="39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5"/>
          </w:tcPr>
          <w:p>
            <w:pPr>
              <w:ind w:left="70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Certification of Chief Executive Officer and Chief Financial Officer pursuant to Section 906 of Sarbanes-Oxley Act of 2002</w:t>
              </w:r>
            </w:hyperlink>
          </w:p>
        </w:tc>
      </w:tr>
      <w:tr>
        <w:trPr>
          <w:trHeight w:val="356"/>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5"/>
          </w:tcPr>
          <w:p>
            <w:pPr>
              <w:ind w:left="700"/>
              <w:spacing w:after="0"/>
              <w:rPr>
                <w:sz w:val="20"/>
                <w:szCs w:val="20"/>
                <w:color w:val="auto"/>
              </w:rPr>
            </w:pPr>
            <w:r>
              <w:rPr>
                <w:rFonts w:ascii="Times New Roman" w:cs="Times New Roman" w:eastAsia="Times New Roman" w:hAnsi="Times New Roman"/>
                <w:sz w:val="17"/>
                <w:szCs w:val="17"/>
                <w:color w:val="auto"/>
              </w:rPr>
              <w:t>The following financial statements from CC Holdings GS V LLC's Quarterly Report on Form 10-Q for the quarter ended September 30,</w:t>
            </w:r>
          </w:p>
        </w:tc>
      </w:tr>
      <w:tr>
        <w:trPr>
          <w:trHeight w:val="220"/>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0" w:type="dxa"/>
            <w:vAlign w:val="bottom"/>
            <w:gridSpan w:val="5"/>
          </w:tcPr>
          <w:p>
            <w:pPr>
              <w:ind w:left="700"/>
              <w:spacing w:after="0"/>
              <w:rPr>
                <w:sz w:val="20"/>
                <w:szCs w:val="20"/>
                <w:color w:val="auto"/>
              </w:rPr>
            </w:pPr>
            <w:r>
              <w:rPr>
                <w:rFonts w:ascii="Times New Roman" w:cs="Times New Roman" w:eastAsia="Times New Roman" w:hAnsi="Times New Roman"/>
                <w:sz w:val="17"/>
                <w:szCs w:val="17"/>
                <w:color w:val="auto"/>
              </w:rPr>
              <w:t>2020, formatted in Inline XBRL: (i) Condensed Consolidated Balance Sheet, (ii) Condensed Consolidated Statement of Operations,</w:t>
            </w:r>
          </w:p>
        </w:tc>
      </w:tr>
    </w:tbl>
    <w:p>
      <w:pPr>
        <w:ind w:left="1620" w:right="280" w:hanging="6"/>
        <w:spacing w:after="0" w:line="259" w:lineRule="auto"/>
        <w:tabs>
          <w:tab w:leader="none" w:pos="191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 of Cash Flows, (iv) Condensed Consolidated Statement of Changes of Member's Equity, and (v) Notes to Condensed Consolidated Financial Statements, tagged as blocks of text and including detailed tags</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104</w:t>
            </w:r>
          </w:p>
        </w:tc>
        <w:tc>
          <w:tcPr>
            <w:tcW w:w="9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cover page from CC Holdings GS V LLC's Quarterly Report on Form 10-Q for the quarter ended September 30, 2020, formatted in</w:t>
            </w:r>
          </w:p>
        </w:tc>
      </w:tr>
      <w:tr>
        <w:trPr>
          <w:trHeight w:val="222"/>
        </w:trPr>
        <w:tc>
          <w:tcPr>
            <w:tcW w:w="980" w:type="dxa"/>
            <w:vAlign w:val="bottom"/>
          </w:tcPr>
          <w:p>
            <w:pPr>
              <w:spacing w:after="0"/>
              <w:rPr>
                <w:sz w:val="19"/>
                <w:szCs w:val="19"/>
                <w:color w:val="auto"/>
              </w:rPr>
            </w:pPr>
          </w:p>
        </w:tc>
        <w:tc>
          <w:tcPr>
            <w:tcW w:w="9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104140</wp:posOffset>
            </wp:positionV>
            <wp:extent cx="9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48"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7"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the exhibit previously filed by the Registrant on Form S-4 (Registration No. 333-187970) on April 17, 2013.</w:t>
      </w:r>
    </w:p>
    <w:p>
      <w:pPr>
        <w:spacing w:after="0" w:line="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the exhibit previously filed by the Registrant on Annual Report on Form 10-K for the year ended December 31, 2019.</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495"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CC HOLDINGS GS V LLC</w:t>
      </w:r>
    </w:p>
    <w:p>
      <w:pPr>
        <w:spacing w:after="0" w:line="333" w:lineRule="exact"/>
        <w:rPr>
          <w:sz w:val="20"/>
          <w:szCs w:val="20"/>
          <w:color w:val="auto"/>
        </w:rPr>
      </w:pPr>
    </w:p>
    <w:p>
      <w:pPr>
        <w:ind w:left="1140"/>
        <w:spacing w:after="0"/>
        <w:tabs>
          <w:tab w:leader="none" w:pos="5800" w:val="left"/>
          <w:tab w:leader="none" w:pos="730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250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0"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Daniel K. Schlanger</w:t>
      </w:r>
    </w:p>
    <w:p>
      <w:pPr>
        <w:spacing w:after="0" w:line="4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4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18" w:lineRule="exact"/>
        <w:rPr>
          <w:sz w:val="20"/>
          <w:szCs w:val="20"/>
          <w:color w:val="auto"/>
        </w:rPr>
      </w:pPr>
    </w:p>
    <w:p>
      <w:pPr>
        <w:ind w:left="114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25031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0"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Robert S. Collins</w:t>
      </w:r>
    </w:p>
    <w:p>
      <w:pPr>
        <w:spacing w:after="0" w:line="4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Vice President and Controller</w:t>
      </w:r>
    </w:p>
    <w:p>
      <w:pPr>
        <w:spacing w:after="0" w:line="42"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00" w:hanging="644"/>
        <w:spacing w:after="0" w:line="312" w:lineRule="auto"/>
        <w:tabs>
          <w:tab w:leader="none" w:pos="13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00" w:lineRule="exact"/>
        <w:rPr>
          <w:sz w:val="20"/>
          <w:szCs w:val="20"/>
          <w:color w:val="auto"/>
        </w:rPr>
      </w:pPr>
    </w:p>
    <w:p>
      <w:pPr>
        <w:spacing w:after="0" w:line="34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34290</wp:posOffset>
            </wp:positionV>
            <wp:extent cx="2931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320" w:top="54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00" w:hanging="644"/>
        <w:spacing w:after="0" w:line="312" w:lineRule="auto"/>
        <w:tabs>
          <w:tab w:leader="none" w:pos="13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00" w:lineRule="exact"/>
        <w:rPr>
          <w:sz w:val="20"/>
          <w:szCs w:val="20"/>
          <w:color w:val="auto"/>
        </w:rPr>
      </w:pPr>
    </w:p>
    <w:p>
      <w:pPr>
        <w:spacing w:after="0" w:line="34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34290</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20"/>
          </w:cols>
          <w:pgMar w:left="320" w:top="54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CC Holdings GS V LLC, a Delaware Corporation (“Company”), for the period ending September 30, 2020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0"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September 30, 2020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34290</wp:posOffset>
            </wp:positionV>
            <wp:extent cx="3634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November 4, 2020</w:t>
      </w:r>
    </w:p>
    <w:p>
      <w:pPr>
        <w:spacing w:after="0" w:line="33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34290</wp:posOffset>
            </wp:positionV>
            <wp:extent cx="3634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November 4, 2020</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3"/>
    </w:lvl>
  </w:abstractNum>
  <w:abstractNum w:abstractNumId="1">
    <w:nsid w:val="25E45D32"/>
    <w:multiLevelType w:val="hybridMultilevel"/>
    <w:lvl w:ilvl="0">
      <w:lvlJc w:val="left"/>
      <w:lvlText w:val="(%1)"/>
      <w:numFmt w:val="decimal"/>
      <w:start w:val="8"/>
    </w:lvl>
  </w:abstractNum>
  <w:abstractNum w:abstractNumId="2">
    <w:nsid w:val="519B500D"/>
    <w:multiLevelType w:val="hybridMultilevel"/>
    <w:lvl w:ilvl="0">
      <w:lvlJc w:val="left"/>
      <w:lvlText w:val="%1"/>
      <w:numFmt w:val="upperLetter"/>
      <w:start w:val="29"/>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6"/>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decimal"/>
      <w:start w:val="8"/>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189A769B"/>
    <w:multiLevelType w:val="hybridMultilevel"/>
    <w:lvl w:ilvl="0">
      <w:lvlJc w:val="left"/>
      <w:lvlText w:val="•"/>
      <w:numFmt w:val="bullet"/>
      <w:start w:val="1"/>
    </w:lvl>
    <w:lvl w:ilvl="1">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Roman"/>
      <w:start w:val="3"/>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7" Type="http://schemas.openxmlformats.org/officeDocument/2006/relationships/hyperlink" Target="http://www.sec.gov/Archives/edgar/data/1574211/000119312513158983/d519395dex31.htm" TargetMode="External"/><Relationship Id="rId18" Type="http://schemas.openxmlformats.org/officeDocument/2006/relationships/hyperlink" Target="http://www.sec.gov/Archives/edgar/data/1574211/000119312513158983/d519395dex32.htm" TargetMode="External"/><Relationship Id="rId19" Type="http://schemas.openxmlformats.org/officeDocument/2006/relationships/hyperlink" Target="https://www.sec.gov/Archives/edgar/data/1574291/000157429120000008/gsvexhibit22123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2020-11-04T16:21:52Z</dcterms:created>
  <dcterms:modified xsi:type="dcterms:W3CDTF">2020-11-04T16:21:52Z</dcterms:modified>
</cp:coreProperties>
</file>