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94"/>
        <w:spacing w:after="0"/>
        <w:rPr>
          <w:sz w:val="20"/>
          <w:szCs w:val="20"/>
          <w:color w:val="auto"/>
        </w:rPr>
      </w:pPr>
      <w:r>
        <w:rPr>
          <w:rFonts w:ascii="Arial" w:cs="Arial" w:eastAsia="Arial" w:hAnsi="Arial"/>
          <w:sz w:val="24"/>
          <w:szCs w:val="24"/>
          <w:b w:val="1"/>
          <w:bCs w:val="1"/>
          <w:color w:val="auto"/>
        </w:rPr>
        <w:t>UNITED STATES</w:t>
      </w:r>
    </w:p>
    <w:p>
      <w:pPr>
        <w:spacing w:after="0" w:line="39" w:lineRule="exact"/>
        <w:rPr>
          <w:sz w:val="24"/>
          <w:szCs w:val="24"/>
          <w:color w:val="auto"/>
        </w:rPr>
      </w:pPr>
    </w:p>
    <w:p>
      <w:pPr>
        <w:jc w:val="center"/>
        <w:ind w:right="-1094"/>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ind w:left="4414"/>
        <w:spacing w:after="0"/>
        <w:rPr>
          <w:sz w:val="20"/>
          <w:szCs w:val="20"/>
          <w:color w:val="auto"/>
        </w:rPr>
      </w:pPr>
      <w:r>
        <w:rPr>
          <w:rFonts w:ascii="Arial" w:cs="Arial" w:eastAsia="Arial" w:hAnsi="Arial"/>
          <w:sz w:val="21"/>
          <w:szCs w:val="21"/>
          <w:b w:val="1"/>
          <w:bCs w:val="1"/>
          <w:color w:val="auto"/>
        </w:rPr>
        <w:t>Washington, D.C. 20549</w:t>
      </w:r>
    </w:p>
    <w:p>
      <w:pPr>
        <w:spacing w:after="0" w:line="398" w:lineRule="exact"/>
        <w:rPr>
          <w:sz w:val="24"/>
          <w:szCs w:val="24"/>
          <w:color w:val="auto"/>
        </w:rPr>
      </w:pPr>
    </w:p>
    <w:p>
      <w:pPr>
        <w:jc w:val="center"/>
        <w:ind w:right="-1094"/>
        <w:spacing w:after="0"/>
        <w:rPr>
          <w:sz w:val="20"/>
          <w:szCs w:val="20"/>
          <w:color w:val="auto"/>
        </w:rPr>
      </w:pPr>
      <w:r>
        <w:rPr>
          <w:rFonts w:ascii="Arial" w:cs="Arial" w:eastAsia="Arial" w:hAnsi="Arial"/>
          <w:sz w:val="32"/>
          <w:szCs w:val="32"/>
          <w:b w:val="1"/>
          <w:bCs w:val="1"/>
          <w:color w:val="auto"/>
        </w:rPr>
        <w:t>SCHEDULE 14A</w:t>
      </w:r>
    </w:p>
    <w:p>
      <w:pPr>
        <w:spacing w:after="0" w:line="107" w:lineRule="exact"/>
        <w:rPr>
          <w:sz w:val="24"/>
          <w:szCs w:val="24"/>
          <w:color w:val="auto"/>
        </w:rPr>
      </w:pPr>
    </w:p>
    <w:p>
      <w:pPr>
        <w:jc w:val="center"/>
        <w:ind w:right="-1094"/>
        <w:spacing w:after="0"/>
        <w:rPr>
          <w:sz w:val="20"/>
          <w:szCs w:val="20"/>
          <w:color w:val="auto"/>
        </w:rPr>
      </w:pPr>
      <w:r>
        <w:rPr>
          <w:rFonts w:ascii="Arial" w:cs="Arial" w:eastAsia="Arial" w:hAnsi="Arial"/>
          <w:sz w:val="18"/>
          <w:szCs w:val="18"/>
          <w:color w:val="auto"/>
        </w:rPr>
        <w:t>Proxy Statement Pursuant to Section 14(a) of the Securities</w:t>
      </w:r>
    </w:p>
    <w:p>
      <w:pPr>
        <w:spacing w:after="0" w:line="21" w:lineRule="exact"/>
        <w:rPr>
          <w:sz w:val="24"/>
          <w:szCs w:val="24"/>
          <w:color w:val="auto"/>
        </w:rPr>
      </w:pPr>
    </w:p>
    <w:p>
      <w:pPr>
        <w:ind w:left="3614"/>
        <w:spacing w:after="0"/>
        <w:tabs>
          <w:tab w:leader="none" w:pos="7534" w:val="left"/>
        </w:tabs>
        <w:rPr>
          <w:sz w:val="20"/>
          <w:szCs w:val="20"/>
          <w:color w:val="auto"/>
        </w:rPr>
      </w:pPr>
      <w:r>
        <w:rPr>
          <w:rFonts w:ascii="Arial" w:cs="Arial" w:eastAsia="Arial" w:hAnsi="Arial"/>
          <w:sz w:val="18"/>
          <w:szCs w:val="18"/>
          <w:color w:val="auto"/>
        </w:rPr>
        <w:t>Exchange Act of 1934 (Amendment No.</w:t>
      </w:r>
      <w:r>
        <w:rPr>
          <w:sz w:val="20"/>
          <w:szCs w:val="20"/>
          <w:color w:val="auto"/>
        </w:rPr>
        <w:tab/>
      </w:r>
      <w:r>
        <w:rPr>
          <w:rFonts w:ascii="Arial" w:cs="Arial" w:eastAsia="Arial" w:hAnsi="Arial"/>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ind w:left="34"/>
        <w:spacing w:after="0"/>
        <w:rPr>
          <w:sz w:val="20"/>
          <w:szCs w:val="20"/>
          <w:color w:val="auto"/>
        </w:rPr>
      </w:pPr>
      <w:r>
        <w:rPr>
          <w:rFonts w:ascii="Arial" w:cs="Arial" w:eastAsia="Arial" w:hAnsi="Arial"/>
          <w:sz w:val="18"/>
          <w:szCs w:val="18"/>
          <w:color w:val="auto"/>
        </w:rPr>
        <w:t xml:space="preserve">Filed by the Registrant </w:t>
      </w:r>
      <w:r>
        <w:rPr>
          <w:rFonts w:ascii="Wingdings" w:cs="Wingdings" w:eastAsia="Wingdings" w:hAnsi="Wingdings"/>
          <w:sz w:val="18"/>
          <w:szCs w:val="18"/>
          <w:b w:val="1"/>
          <w:bCs w:val="1"/>
          <w:color w:val="auto"/>
        </w:rPr>
        <w:t>x</w:t>
      </w:r>
    </w:p>
    <w:p>
      <w:pPr>
        <w:spacing w:after="0" w:line="17" w:lineRule="exact"/>
        <w:rPr>
          <w:sz w:val="24"/>
          <w:szCs w:val="24"/>
          <w:color w:val="auto"/>
        </w:rPr>
      </w:pPr>
    </w:p>
    <w:p>
      <w:pPr>
        <w:ind w:left="34"/>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388" w:lineRule="exact"/>
        <w:rPr>
          <w:sz w:val="24"/>
          <w:szCs w:val="24"/>
          <w:color w:val="auto"/>
        </w:rPr>
      </w:pPr>
    </w:p>
    <w:p>
      <w:pPr>
        <w:ind w:left="34"/>
        <w:spacing w:after="0"/>
        <w:rPr>
          <w:sz w:val="20"/>
          <w:szCs w:val="20"/>
          <w:color w:val="auto"/>
        </w:rPr>
      </w:pPr>
      <w:r>
        <w:rPr>
          <w:rFonts w:ascii="Arial" w:cs="Arial" w:eastAsia="Arial" w:hAnsi="Arial"/>
          <w:sz w:val="18"/>
          <w:szCs w:val="18"/>
          <w:color w:val="auto"/>
        </w:rPr>
        <w:t>Check the appropriate box:</w:t>
      </w:r>
    </w:p>
    <w:p>
      <w:pPr>
        <w:spacing w:after="0" w:line="200" w:lineRule="exact"/>
        <w:rPr>
          <w:sz w:val="24"/>
          <w:szCs w:val="24"/>
          <w:color w:val="auto"/>
        </w:rPr>
      </w:pPr>
    </w:p>
    <w:p>
      <w:pPr>
        <w:spacing w:after="0" w:line="372" w:lineRule="exact"/>
        <w:rPr>
          <w:sz w:val="24"/>
          <w:szCs w:val="24"/>
          <w:color w:val="auto"/>
        </w:rPr>
      </w:pPr>
    </w:p>
    <w:p>
      <w:pPr>
        <w:ind w:left="354" w:hanging="337"/>
        <w:spacing w:after="0"/>
        <w:tabs>
          <w:tab w:leader="none" w:pos="3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35" w:lineRule="exact"/>
        <w:rPr>
          <w:rFonts w:ascii="MS PGothic" w:cs="MS PGothic" w:eastAsia="MS PGothic" w:hAnsi="MS PGothic"/>
          <w:sz w:val="18"/>
          <w:szCs w:val="18"/>
          <w:color w:val="auto"/>
        </w:rPr>
      </w:pPr>
    </w:p>
    <w:p>
      <w:pPr>
        <w:ind w:left="174" w:right="6439" w:hanging="157"/>
        <w:spacing w:after="0" w:line="242" w:lineRule="auto"/>
        <w:tabs>
          <w:tab w:leader="none" w:pos="26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74" w:lineRule="exact"/>
        <w:rPr>
          <w:sz w:val="24"/>
          <w:szCs w:val="24"/>
          <w:color w:val="auto"/>
        </w:rPr>
      </w:pPr>
    </w:p>
    <w:p>
      <w:pPr>
        <w:ind w:left="254" w:hanging="237"/>
        <w:spacing w:after="0"/>
        <w:tabs>
          <w:tab w:leader="none" w:pos="254" w:val="left"/>
        </w:tabs>
        <w:numPr>
          <w:ilvl w:val="0"/>
          <w:numId w:val="2"/>
        </w:numPr>
        <w:rPr>
          <w:rFonts w:ascii="Arial" w:cs="Arial" w:eastAsia="Arial" w:hAnsi="Arial"/>
          <w:sz w:val="14"/>
          <w:szCs w:val="14"/>
          <w:b w:val="1"/>
          <w:bCs w:val="1"/>
          <w:color w:val="auto"/>
        </w:rPr>
      </w:pPr>
      <w:r>
        <w:rPr>
          <w:rFonts w:ascii="Times New Roman" w:cs="Times New Roman" w:eastAsia="Times New Roman" w:hAnsi="Times New Roman"/>
          <w:sz w:val="18"/>
          <w:szCs w:val="18"/>
          <w:color w:val="auto"/>
        </w:rPr>
        <w:t>Definitive Proxy Statement</w:t>
      </w:r>
    </w:p>
    <w:p>
      <w:pPr>
        <w:spacing w:after="0" w:line="111" w:lineRule="exact"/>
        <w:rPr>
          <w:sz w:val="24"/>
          <w:szCs w:val="24"/>
          <w:color w:val="auto"/>
        </w:rPr>
      </w:pPr>
    </w:p>
    <w:p>
      <w:pPr>
        <w:ind w:left="274" w:hanging="257"/>
        <w:spacing w:after="0"/>
        <w:tabs>
          <w:tab w:leader="none" w:pos="27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0" w:lineRule="exact"/>
        <w:rPr>
          <w:rFonts w:ascii="MS PGothic" w:cs="MS PGothic" w:eastAsia="MS PGothic" w:hAnsi="MS PGothic"/>
          <w:sz w:val="18"/>
          <w:szCs w:val="18"/>
          <w:color w:val="auto"/>
        </w:rPr>
      </w:pPr>
    </w:p>
    <w:p>
      <w:pPr>
        <w:ind w:left="274" w:hanging="257"/>
        <w:spacing w:after="0"/>
        <w:tabs>
          <w:tab w:leader="none" w:pos="27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4134"/>
        <w:spacing w:after="0"/>
        <w:rPr>
          <w:sz w:val="20"/>
          <w:szCs w:val="20"/>
          <w:color w:val="auto"/>
        </w:rPr>
      </w:pPr>
      <w:r>
        <w:rPr>
          <w:rFonts w:ascii="Arial" w:cs="Arial" w:eastAsia="Arial" w:hAnsi="Arial"/>
          <w:sz w:val="35"/>
          <w:szCs w:val="35"/>
          <w:b w:val="1"/>
          <w:bCs w:val="1"/>
          <w:color w:val="auto"/>
        </w:rPr>
        <w:t>Crown Castle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154940</wp:posOffset>
            </wp:positionV>
            <wp:extent cx="713486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pacing w:after="0" w:line="397" w:lineRule="exact"/>
        <w:rPr>
          <w:sz w:val="24"/>
          <w:szCs w:val="24"/>
          <w:color w:val="auto"/>
        </w:rPr>
      </w:pPr>
    </w:p>
    <w:p>
      <w:pPr>
        <w:ind w:left="4134"/>
        <w:spacing w:after="0"/>
        <w:rPr>
          <w:sz w:val="20"/>
          <w:szCs w:val="20"/>
          <w:color w:val="auto"/>
        </w:rPr>
      </w:pPr>
      <w:r>
        <w:rPr>
          <w:rFonts w:ascii="Arial" w:cs="Arial" w:eastAsia="Arial" w:hAnsi="Arial"/>
          <w:sz w:val="13"/>
          <w:szCs w:val="13"/>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762000</wp:posOffset>
            </wp:positionV>
            <wp:extent cx="713486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ind w:left="3334"/>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349" w:lineRule="exact"/>
        <w:rPr>
          <w:sz w:val="24"/>
          <w:szCs w:val="24"/>
          <w:color w:val="auto"/>
        </w:rPr>
      </w:pPr>
    </w:p>
    <w:p>
      <w:pPr>
        <w:ind w:left="34"/>
        <w:spacing w:after="0"/>
        <w:rPr>
          <w:sz w:val="20"/>
          <w:szCs w:val="20"/>
          <w:color w:val="auto"/>
        </w:rPr>
      </w:pPr>
      <w:r>
        <w:rPr>
          <w:rFonts w:ascii="Arial" w:cs="Arial" w:eastAsia="Arial" w:hAnsi="Arial"/>
          <w:sz w:val="18"/>
          <w:szCs w:val="18"/>
          <w:color w:val="auto"/>
        </w:rPr>
        <w:t>Payment of Filing Fee (Check all boxes that apply):</w:t>
      </w:r>
    </w:p>
    <w:p>
      <w:pPr>
        <w:spacing w:after="0" w:line="164" w:lineRule="exact"/>
        <w:rPr>
          <w:sz w:val="24"/>
          <w:szCs w:val="24"/>
          <w:color w:val="auto"/>
        </w:rPr>
      </w:pPr>
    </w:p>
    <w:p>
      <w:pPr>
        <w:ind w:left="394" w:hanging="394"/>
        <w:spacing w:after="0"/>
        <w:tabs>
          <w:tab w:leader="none" w:pos="394" w:val="left"/>
        </w:tabs>
        <w:numPr>
          <w:ilvl w:val="0"/>
          <w:numId w:val="4"/>
        </w:numPr>
        <w:rPr>
          <w:rFonts w:ascii="Arial" w:cs="Arial" w:eastAsia="Arial" w:hAnsi="Arial"/>
          <w:sz w:val="14"/>
          <w:szCs w:val="14"/>
          <w:b w:val="1"/>
          <w:bCs w:val="1"/>
          <w:color w:val="auto"/>
        </w:rPr>
      </w:pPr>
      <w:r>
        <w:rPr>
          <w:rFonts w:ascii="Arial" w:cs="Arial" w:eastAsia="Arial" w:hAnsi="Arial"/>
          <w:sz w:val="18"/>
          <w:szCs w:val="18"/>
          <w:color w:val="auto"/>
        </w:rPr>
        <w:t>No fee required.</w:t>
      </w:r>
    </w:p>
    <w:p>
      <w:pPr>
        <w:spacing w:after="0" w:line="97" w:lineRule="exact"/>
        <w:rPr>
          <w:sz w:val="24"/>
          <w:szCs w:val="24"/>
          <w:color w:val="auto"/>
        </w:rPr>
      </w:pPr>
    </w:p>
    <w:p>
      <w:pPr>
        <w:ind w:left="394" w:hanging="394"/>
        <w:spacing w:after="0"/>
        <w:tabs>
          <w:tab w:leader="none" w:pos="39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0" w:lineRule="exact"/>
        <w:rPr>
          <w:rFonts w:ascii="MS PGothic" w:cs="MS PGothic" w:eastAsia="MS PGothic" w:hAnsi="MS PGothic"/>
          <w:sz w:val="18"/>
          <w:szCs w:val="18"/>
          <w:color w:val="auto"/>
        </w:rPr>
      </w:pPr>
    </w:p>
    <w:p>
      <w:pPr>
        <w:ind w:left="394" w:hanging="394"/>
        <w:spacing w:after="0"/>
        <w:tabs>
          <w:tab w:leader="none" w:pos="394"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972820</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133"/>
          </w:cols>
          <w:pgMar w:left="326" w:top="117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593090</wp:posOffset>
            </wp:positionV>
            <wp:extent cx="1731010" cy="454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731010" cy="45402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April 6, 2026</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6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It is our pleasure to invite you to attend the 2026 Annual Meeting of Stockholders ("Annual Meeting") of Crown Castle Inc. ("Company" or "Crown Castle"), which will be held on May 20, 2026, at 9:00 a.m. Central Time. The meeting will be held in virtual meeting format only, via live webcast, at </w:t>
      </w:r>
      <w:r>
        <w:rPr>
          <w:rFonts w:ascii="Arial" w:cs="Arial" w:eastAsia="Arial" w:hAnsi="Arial"/>
          <w:sz w:val="18"/>
          <w:szCs w:val="18"/>
          <w:u w:val="single" w:color="auto"/>
          <w:color w:val="520B90"/>
        </w:rPr>
        <w:t>www.virtualshareholdermeeting.com/CCI2026</w:t>
      </w:r>
      <w:r>
        <w:rPr>
          <w:rFonts w:ascii="Arial" w:cs="Arial" w:eastAsia="Arial" w:hAnsi="Arial"/>
          <w:sz w:val="18"/>
          <w:szCs w:val="18"/>
          <w:color w:val="auto"/>
        </w:rPr>
        <w:t>. The Notice of Annual Meeting and Proxy Statement ("Proxy Statement") accompanying this letter describe the business to be conducted at the Annual Meeting.</w:t>
      </w:r>
    </w:p>
    <w:p>
      <w:pPr>
        <w:spacing w:after="0" w:line="12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Board of Directors ("Board") welcomes this opportunity to have a dialogue with our stockholders and looks forward to your comments and questions regarding the Company. You can find information about the Company and its strategy to create long-term stockholder value in "Item I. Business—Strategy" of our Annual Report on Form 10-K for the year ended December 31, 2025 ("2025 Form 10-K").</w:t>
      </w:r>
    </w:p>
    <w:p>
      <w:pPr>
        <w:spacing w:after="0" w:line="124"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We have elected to furnish proxy materials and our Annual Report for the year ended December 31, 2025, which includes a copy of our 2025 Form 10-K ("2025 Annual Report"), to many of our stockholders over the internet pursuant to Securities and Exchange Commission rules, which allows us to reduce costs associated with the Annual Meeting. On or about April 6, 2026, we intend to send most of our stockholders a Notice of Internet Availability of Proxy Materials ("Proxy Materials Notice") containing instructions on how to access our Proxy Statement and 2025 Annual Report and how to submit proxies. Those who do not receive a Proxy Materials Notice will receive a copy of the Proxy Statement and 2025 Annual Report by mail, unless they have previously requested delivery of materials electronically. The Proxy Materials Notice also contains instructions on how you can elect to receive a printed copy of the Proxy Statement and 2025 Annual Report, if you only received a Proxy Materials Notice.</w:t>
      </w:r>
    </w:p>
    <w:p>
      <w:pPr>
        <w:spacing w:after="0" w:line="13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 xml:space="preserve">It is important that your shares be represented at the Annual Meeting, regardless of the number you may hold. </w:t>
      </w:r>
      <w:r>
        <w:rPr>
          <w:rFonts w:ascii="Arial" w:cs="Arial" w:eastAsia="Arial" w:hAnsi="Arial"/>
          <w:sz w:val="18"/>
          <w:szCs w:val="18"/>
          <w:i w:val="1"/>
          <w:iCs w:val="1"/>
          <w:color w:val="auto"/>
        </w:rPr>
        <w:t>Whether or not you plan to</w:t>
      </w:r>
      <w:r>
        <w:rPr>
          <w:rFonts w:ascii="Arial" w:cs="Arial" w:eastAsia="Arial" w:hAnsi="Arial"/>
          <w:sz w:val="18"/>
          <w:szCs w:val="18"/>
          <w:color w:val="auto"/>
        </w:rPr>
        <w:t xml:space="preserve"> </w:t>
      </w:r>
      <w:r>
        <w:rPr>
          <w:rFonts w:ascii="Arial" w:cs="Arial" w:eastAsia="Arial" w:hAnsi="Arial"/>
          <w:sz w:val="18"/>
          <w:szCs w:val="18"/>
          <w:i w:val="1"/>
          <w:iCs w:val="1"/>
          <w:color w:val="auto"/>
        </w:rPr>
        <w:t>attend, please promptly cast your vote in one of the ways outlined in the following Proxy Statement in order to have your shares voted at the Annual Meeting</w:t>
      </w:r>
      <w:r>
        <w:rPr>
          <w:rFonts w:ascii="Arial" w:cs="Arial" w:eastAsia="Arial" w:hAnsi="Arial"/>
          <w:sz w:val="18"/>
          <w:szCs w:val="18"/>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appreciate your continued support of Crown Castle, and we look forward to seeing you on May 20, 2026.</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Kind Regards,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114300</wp:posOffset>
            </wp:positionV>
            <wp:extent cx="1773555" cy="5880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73555" cy="588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 Robert Bartolo</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562610</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694055</wp:posOffset>
            </wp:positionV>
            <wp:extent cx="7160260" cy="83242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8324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2971800</wp:posOffset>
            </wp:positionH>
            <wp:positionV relativeFrom="page">
              <wp:posOffset>895985</wp:posOffset>
            </wp:positionV>
            <wp:extent cx="1613535" cy="420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613535" cy="42037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20, 2026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9:00 AM (Central Time)</w:t>
      </w:r>
    </w:p>
    <w:p>
      <w:pPr>
        <w:spacing w:after="0" w:line="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6, 2026</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6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You are invited to the 2026 Annual Meeting of Stockholders ("Annual Meeting") of Crown Castle Inc. ("Company"). The Annual Meeting will be held in a virtual meeting format only, via live webcast, on Wednesday, May 20, 2026. At the Annual Meeting, stockholders will be asked to consider and vote upon the following matters: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Proposals</w:t>
      </w:r>
    </w:p>
    <w:p>
      <w:pPr>
        <w:spacing w:after="0" w:line="166" w:lineRule="exact"/>
        <w:rPr>
          <w:sz w:val="20"/>
          <w:szCs w:val="20"/>
          <w:color w:val="auto"/>
        </w:rPr>
      </w:pPr>
    </w:p>
    <w:p>
      <w:pPr>
        <w:ind w:left="760" w:hanging="317"/>
        <w:spacing w:after="0"/>
        <w:tabs>
          <w:tab w:leader="none" w:pos="760" w:val="left"/>
        </w:tabs>
        <w:numPr>
          <w:ilvl w:val="0"/>
          <w:numId w:val="6"/>
        </w:numPr>
        <w:rPr>
          <w:rFonts w:ascii="Arial" w:cs="Arial" w:eastAsia="Arial" w:hAnsi="Arial"/>
          <w:sz w:val="18"/>
          <w:szCs w:val="18"/>
          <w:color w:val="520B90"/>
        </w:rPr>
      </w:pPr>
      <w:r>
        <w:rPr>
          <w:rFonts w:ascii="Arial" w:cs="Arial" w:eastAsia="Arial" w:hAnsi="Arial"/>
          <w:sz w:val="18"/>
          <w:szCs w:val="18"/>
          <w:color w:val="auto"/>
        </w:rPr>
        <w:t>the election of nine (9) director nominees for a one-year term;</w:t>
      </w:r>
    </w:p>
    <w:p>
      <w:pPr>
        <w:spacing w:after="0" w:line="97" w:lineRule="exact"/>
        <w:rPr>
          <w:rFonts w:ascii="Arial" w:cs="Arial" w:eastAsia="Arial" w:hAnsi="Arial"/>
          <w:sz w:val="18"/>
          <w:szCs w:val="18"/>
          <w:color w:val="520B90"/>
        </w:rPr>
      </w:pPr>
    </w:p>
    <w:p>
      <w:pPr>
        <w:ind w:left="760" w:right="280" w:hanging="317"/>
        <w:spacing w:after="0" w:line="274" w:lineRule="auto"/>
        <w:tabs>
          <w:tab w:leader="none" w:pos="756" w:val="left"/>
        </w:tabs>
        <w:numPr>
          <w:ilvl w:val="0"/>
          <w:numId w:val="6"/>
        </w:numPr>
        <w:rPr>
          <w:rFonts w:ascii="Arial" w:cs="Arial" w:eastAsia="Arial" w:hAnsi="Arial"/>
          <w:sz w:val="18"/>
          <w:szCs w:val="18"/>
          <w:color w:val="520B90"/>
        </w:rPr>
      </w:pPr>
      <w:r>
        <w:rPr>
          <w:rFonts w:ascii="Arial" w:cs="Arial" w:eastAsia="Arial" w:hAnsi="Arial"/>
          <w:sz w:val="18"/>
          <w:szCs w:val="18"/>
          <w:color w:val="auto"/>
        </w:rPr>
        <w:t>the ratification of the appointment of PricewaterhouseCoopers LLP as our independent registered public accountants for fiscal year 2026;</w:t>
      </w:r>
    </w:p>
    <w:p>
      <w:pPr>
        <w:spacing w:after="0" w:line="43" w:lineRule="exact"/>
        <w:rPr>
          <w:rFonts w:ascii="Arial" w:cs="Arial" w:eastAsia="Arial" w:hAnsi="Arial"/>
          <w:sz w:val="18"/>
          <w:szCs w:val="18"/>
          <w:color w:val="520B90"/>
        </w:rPr>
      </w:pPr>
    </w:p>
    <w:p>
      <w:pPr>
        <w:ind w:left="760" w:hanging="317"/>
        <w:spacing w:after="0"/>
        <w:tabs>
          <w:tab w:leader="none" w:pos="760" w:val="left"/>
        </w:tabs>
        <w:numPr>
          <w:ilvl w:val="0"/>
          <w:numId w:val="6"/>
        </w:numPr>
        <w:rPr>
          <w:rFonts w:ascii="Arial" w:cs="Arial" w:eastAsia="Arial" w:hAnsi="Arial"/>
          <w:sz w:val="18"/>
          <w:szCs w:val="18"/>
          <w:color w:val="520B90"/>
        </w:rPr>
      </w:pPr>
      <w:r>
        <w:rPr>
          <w:rFonts w:ascii="Arial" w:cs="Arial" w:eastAsia="Arial" w:hAnsi="Arial"/>
          <w:sz w:val="18"/>
          <w:szCs w:val="18"/>
          <w:color w:val="auto"/>
        </w:rPr>
        <w:t>a non-binding, advisory vote to approve the compensation of our named executive officers; and</w:t>
      </w:r>
    </w:p>
    <w:p>
      <w:pPr>
        <w:spacing w:after="0" w:line="84" w:lineRule="exact"/>
        <w:rPr>
          <w:rFonts w:ascii="Arial" w:cs="Arial" w:eastAsia="Arial" w:hAnsi="Arial"/>
          <w:sz w:val="18"/>
          <w:szCs w:val="18"/>
          <w:color w:val="520B90"/>
        </w:rPr>
      </w:pPr>
    </w:p>
    <w:p>
      <w:pPr>
        <w:ind w:left="760" w:hanging="317"/>
        <w:spacing w:after="0"/>
        <w:tabs>
          <w:tab w:leader="none" w:pos="760" w:val="left"/>
        </w:tabs>
        <w:numPr>
          <w:ilvl w:val="0"/>
          <w:numId w:val="6"/>
        </w:numPr>
        <w:rPr>
          <w:rFonts w:ascii="Arial" w:cs="Arial" w:eastAsia="Arial" w:hAnsi="Arial"/>
          <w:sz w:val="18"/>
          <w:szCs w:val="18"/>
          <w:color w:val="520B90"/>
        </w:rPr>
      </w:pPr>
      <w:r>
        <w:rPr>
          <w:rFonts w:ascii="Arial" w:cs="Arial" w:eastAsia="Arial" w:hAnsi="Arial"/>
          <w:sz w:val="18"/>
          <w:szCs w:val="18"/>
          <w:color w:val="auto"/>
        </w:rPr>
        <w:t>transact such other business that properly comes before the Annual Meeting or any adjournment or postponement thereof.</w:t>
      </w:r>
    </w:p>
    <w:p>
      <w:pPr>
        <w:spacing w:after="0" w:line="164"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Only stockholders at the close of business on March 23, 2026 ("Record Date"), will be entitled to vote at the Annual Meeting, unless a new record date is set or the meeting is adjourned or postponed ting. Please submit your proxy in advance of the Annual Meeting in any of the following ways:</w:t>
      </w:r>
    </w:p>
    <w:p>
      <w:pPr>
        <w:spacing w:after="0" w:line="122" w:lineRule="exact"/>
        <w:rPr>
          <w:sz w:val="20"/>
          <w:szCs w:val="20"/>
          <w:color w:val="auto"/>
        </w:rPr>
      </w:pPr>
    </w:p>
    <w:p>
      <w:pPr>
        <w:ind w:left="760" w:right="440" w:hanging="317"/>
        <w:spacing w:after="0" w:line="276" w:lineRule="auto"/>
        <w:tabs>
          <w:tab w:leader="none" w:pos="756" w:val="left"/>
        </w:tabs>
        <w:numPr>
          <w:ilvl w:val="0"/>
          <w:numId w:val="7"/>
        </w:numPr>
        <w:rPr>
          <w:rFonts w:ascii="Arial" w:cs="Arial" w:eastAsia="Arial" w:hAnsi="Arial"/>
          <w:sz w:val="18"/>
          <w:szCs w:val="18"/>
          <w:color w:val="520B90"/>
        </w:rPr>
      </w:pPr>
      <w:r>
        <w:rPr>
          <w:rFonts w:ascii="Arial" w:cs="Arial" w:eastAsia="Arial" w:hAnsi="Arial"/>
          <w:sz w:val="18"/>
          <w:szCs w:val="18"/>
          <w:b w:val="1"/>
          <w:bCs w:val="1"/>
          <w:color w:val="auto"/>
        </w:rPr>
        <w:t>Mail</w:t>
      </w:r>
      <w:r>
        <w:rPr>
          <w:rFonts w:ascii="Arial" w:cs="Arial" w:eastAsia="Arial" w:hAnsi="Arial"/>
          <w:sz w:val="18"/>
          <w:szCs w:val="18"/>
          <w:color w:val="auto"/>
        </w:rPr>
        <w:t>. Mark, sign, date and return the proxy card or voting instruction form (see instructions on the Notice of Internet Availability of</w:t>
      </w:r>
      <w:r>
        <w:rPr>
          <w:rFonts w:ascii="Arial" w:cs="Arial" w:eastAsia="Arial" w:hAnsi="Arial"/>
          <w:sz w:val="18"/>
          <w:szCs w:val="18"/>
          <w:b w:val="1"/>
          <w:bCs w:val="1"/>
          <w:color w:val="auto"/>
        </w:rPr>
        <w:t xml:space="preserve"> </w:t>
      </w:r>
      <w:r>
        <w:rPr>
          <w:rFonts w:ascii="Arial" w:cs="Arial" w:eastAsia="Arial" w:hAnsi="Arial"/>
          <w:sz w:val="18"/>
          <w:szCs w:val="18"/>
          <w:color w:val="auto"/>
        </w:rPr>
        <w:t>Proxy Materials ("Proxy Materials Notice") on how to request a printed proxy card or voting instruction form).</w:t>
      </w:r>
    </w:p>
    <w:p>
      <w:pPr>
        <w:spacing w:after="0" w:line="40" w:lineRule="exact"/>
        <w:rPr>
          <w:rFonts w:ascii="Arial" w:cs="Arial" w:eastAsia="Arial" w:hAnsi="Arial"/>
          <w:sz w:val="18"/>
          <w:szCs w:val="18"/>
          <w:color w:val="520B90"/>
        </w:rPr>
      </w:pPr>
    </w:p>
    <w:p>
      <w:pPr>
        <w:ind w:left="760" w:right="200" w:hanging="317"/>
        <w:spacing w:after="0" w:line="276" w:lineRule="auto"/>
        <w:tabs>
          <w:tab w:leader="none" w:pos="756" w:val="left"/>
        </w:tabs>
        <w:numPr>
          <w:ilvl w:val="0"/>
          <w:numId w:val="7"/>
        </w:numPr>
        <w:rPr>
          <w:rFonts w:ascii="Arial" w:cs="Arial" w:eastAsia="Arial" w:hAnsi="Arial"/>
          <w:sz w:val="18"/>
          <w:szCs w:val="18"/>
          <w:color w:val="520B90"/>
        </w:rPr>
      </w:pPr>
      <w:r>
        <w:rPr>
          <w:rFonts w:ascii="Arial" w:cs="Arial" w:eastAsia="Arial" w:hAnsi="Arial"/>
          <w:sz w:val="18"/>
          <w:szCs w:val="18"/>
          <w:b w:val="1"/>
          <w:bCs w:val="1"/>
          <w:color w:val="auto"/>
        </w:rPr>
        <w:t>Phone</w:t>
      </w:r>
      <w:r>
        <w:rPr>
          <w:rFonts w:ascii="Arial" w:cs="Arial" w:eastAsia="Arial" w:hAnsi="Arial"/>
          <w:sz w:val="18"/>
          <w:szCs w:val="18"/>
          <w:color w:val="auto"/>
        </w:rPr>
        <w:t>. Call the toll-free number listed on your proxy card or voting instruction form or follow the voting instructions provided by your</w:t>
      </w:r>
      <w:r>
        <w:rPr>
          <w:rFonts w:ascii="Arial" w:cs="Arial" w:eastAsia="Arial" w:hAnsi="Arial"/>
          <w:sz w:val="18"/>
          <w:szCs w:val="18"/>
          <w:b w:val="1"/>
          <w:bCs w:val="1"/>
          <w:color w:val="auto"/>
        </w:rPr>
        <w:t xml:space="preserve"> </w:t>
      </w:r>
      <w:r>
        <w:rPr>
          <w:rFonts w:ascii="Arial" w:cs="Arial" w:eastAsia="Arial" w:hAnsi="Arial"/>
          <w:sz w:val="18"/>
          <w:szCs w:val="18"/>
          <w:color w:val="auto"/>
        </w:rPr>
        <w:t>bank, broker or other nominee to determine whether you may vote by telephone.</w:t>
      </w:r>
    </w:p>
    <w:p>
      <w:pPr>
        <w:spacing w:after="0" w:line="40" w:lineRule="exact"/>
        <w:rPr>
          <w:rFonts w:ascii="Arial" w:cs="Arial" w:eastAsia="Arial" w:hAnsi="Arial"/>
          <w:sz w:val="18"/>
          <w:szCs w:val="18"/>
          <w:color w:val="520B90"/>
        </w:rPr>
      </w:pPr>
    </w:p>
    <w:p>
      <w:pPr>
        <w:ind w:left="760" w:right="220" w:hanging="317"/>
        <w:spacing w:after="0" w:line="276" w:lineRule="auto"/>
        <w:tabs>
          <w:tab w:leader="none" w:pos="756" w:val="left"/>
        </w:tabs>
        <w:numPr>
          <w:ilvl w:val="0"/>
          <w:numId w:val="7"/>
        </w:numPr>
        <w:rPr>
          <w:rFonts w:ascii="Arial" w:cs="Arial" w:eastAsia="Arial" w:hAnsi="Arial"/>
          <w:sz w:val="18"/>
          <w:szCs w:val="18"/>
          <w:color w:val="520B90"/>
        </w:rPr>
      </w:pPr>
      <w:r>
        <w:rPr>
          <w:rFonts w:ascii="Arial" w:cs="Arial" w:eastAsia="Arial" w:hAnsi="Arial"/>
          <w:sz w:val="18"/>
          <w:szCs w:val="18"/>
          <w:b w:val="1"/>
          <w:bCs w:val="1"/>
          <w:color w:val="auto"/>
        </w:rPr>
        <w:t>Internet</w:t>
      </w:r>
      <w:r>
        <w:rPr>
          <w:rFonts w:ascii="Arial" w:cs="Arial" w:eastAsia="Arial" w:hAnsi="Arial"/>
          <w:sz w:val="18"/>
          <w:szCs w:val="18"/>
          <w:color w:val="auto"/>
        </w:rPr>
        <w:t>. Visit the website listed or scan the QR code located on your proxy card or voting instruction form or Proxy Materials Notice</w:t>
      </w:r>
      <w:r>
        <w:rPr>
          <w:rFonts w:ascii="Arial" w:cs="Arial" w:eastAsia="Arial" w:hAnsi="Arial"/>
          <w:sz w:val="18"/>
          <w:szCs w:val="18"/>
          <w:b w:val="1"/>
          <w:bCs w:val="1"/>
          <w:color w:val="auto"/>
        </w:rPr>
        <w:t xml:space="preserve"> </w:t>
      </w:r>
      <w:r>
        <w:rPr>
          <w:rFonts w:ascii="Arial" w:cs="Arial" w:eastAsia="Arial" w:hAnsi="Arial"/>
          <w:sz w:val="18"/>
          <w:szCs w:val="18"/>
          <w:color w:val="auto"/>
        </w:rPr>
        <w:t>and follow the instructions provided.</w:t>
      </w:r>
    </w:p>
    <w:p>
      <w:pPr>
        <w:spacing w:after="0" w:line="108"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Have your proxy card or voting instruction form or Proxy Materials Notice in front of you when submitting a proxy by phone or the internet; the proxy card contains important information that is required to cast your vote. Alternatively, you may vote your shares at the Annual Meeting. For important information regarding attending and voting at the Annual Meeting, see "VI. Information About the Annual Meeting."</w:t>
      </w:r>
    </w:p>
    <w:p>
      <w:pPr>
        <w:spacing w:after="0" w:line="122" w:lineRule="exact"/>
        <w:rPr>
          <w:sz w:val="20"/>
          <w:szCs w:val="20"/>
          <w:color w:val="auto"/>
        </w:rPr>
      </w:pPr>
    </w:p>
    <w:p>
      <w:pPr>
        <w:ind w:right="120"/>
        <w:spacing w:after="0" w:line="288" w:lineRule="auto"/>
        <w:rPr>
          <w:sz w:val="20"/>
          <w:szCs w:val="20"/>
          <w:color w:val="auto"/>
        </w:rPr>
      </w:pPr>
      <w:r>
        <w:rPr>
          <w:rFonts w:ascii="Arial" w:cs="Arial" w:eastAsia="Arial" w:hAnsi="Arial"/>
          <w:sz w:val="18"/>
          <w:szCs w:val="18"/>
          <w:b w:val="1"/>
          <w:bCs w:val="1"/>
          <w:color w:val="auto"/>
        </w:rPr>
        <w:t>Your vote is important. To be sure your vote counts and to ensure a quorum, please submit your proxy in one of the ways previously outlined, whether or not you plan to attend the Annual Meeting.</w:t>
      </w:r>
    </w:p>
    <w:p>
      <w:pPr>
        <w:spacing w:after="0" w:line="3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3256280</wp:posOffset>
            </wp:positionH>
            <wp:positionV relativeFrom="paragraph">
              <wp:posOffset>47625</wp:posOffset>
            </wp:positionV>
            <wp:extent cx="1125855" cy="394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25855" cy="394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Lisa Hearn</w:t>
      </w:r>
    </w:p>
    <w:p>
      <w:pPr>
        <w:spacing w:after="0" w:line="58"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875030</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 w:hanging="417"/>
        <w:spacing w:after="0"/>
        <w:tabs>
          <w:tab w:leader="none" w:pos="440" w:val="left"/>
        </w:tabs>
        <w:numPr>
          <w:ilvl w:val="0"/>
          <w:numId w:val="8"/>
        </w:numPr>
        <w:rPr>
          <w:rFonts w:ascii="Arial" w:cs="Arial" w:eastAsia="Arial" w:hAnsi="Arial"/>
          <w:sz w:val="18"/>
          <w:szCs w:val="18"/>
          <w:b w:val="1"/>
          <w:bCs w:val="1"/>
          <w:color w:val="520B90"/>
        </w:rPr>
      </w:pPr>
      <w:r>
        <w:rPr>
          <w:rFonts w:ascii="Arial" w:cs="Arial" w:eastAsia="Arial" w:hAnsi="Arial"/>
          <w:sz w:val="18"/>
          <w:szCs w:val="18"/>
          <w:b w:val="1"/>
          <w:bCs w:val="1"/>
          <w:color w:val="520B90"/>
        </w:rPr>
        <w:t>Proxy Statement Summary</w:t>
      </w:r>
    </w:p>
    <w:p>
      <w:pPr>
        <w:spacing w:after="0" w:line="283" w:lineRule="exact"/>
        <w:rPr>
          <w:sz w:val="20"/>
          <w:szCs w:val="20"/>
          <w:color w:val="auto"/>
        </w:rPr>
      </w:pPr>
    </w:p>
    <w:p>
      <w:pPr>
        <w:ind w:left="440" w:hanging="417"/>
        <w:spacing w:after="0"/>
        <w:tabs>
          <w:tab w:leader="none" w:pos="440" w:val="left"/>
        </w:tabs>
        <w:numPr>
          <w:ilvl w:val="0"/>
          <w:numId w:val="9"/>
        </w:numPr>
        <w:rPr>
          <w:rFonts w:ascii="Arial" w:cs="Arial" w:eastAsia="Arial" w:hAnsi="Arial"/>
          <w:sz w:val="18"/>
          <w:szCs w:val="18"/>
          <w:b w:val="1"/>
          <w:bCs w:val="1"/>
          <w:color w:val="520B90"/>
        </w:rPr>
      </w:pPr>
      <w:r>
        <w:rPr>
          <w:rFonts w:ascii="Arial" w:cs="Arial" w:eastAsia="Arial" w:hAnsi="Arial"/>
          <w:sz w:val="18"/>
          <w:szCs w:val="18"/>
          <w:b w:val="1"/>
          <w:bCs w:val="1"/>
          <w:color w:val="520B90"/>
        </w:rPr>
        <w:t>Election of Directors</w:t>
      </w:r>
    </w:p>
    <w:p>
      <w:pPr>
        <w:spacing w:after="0" w:line="298" w:lineRule="exact"/>
        <w:rPr>
          <w:sz w:val="20"/>
          <w:szCs w:val="20"/>
          <w:color w:val="auto"/>
        </w:rPr>
      </w:pPr>
    </w:p>
    <w:p>
      <w:pPr>
        <w:ind w:left="600"/>
        <w:spacing w:after="0"/>
        <w:rPr>
          <w:sz w:val="20"/>
          <w:szCs w:val="20"/>
          <w:color w:val="auto"/>
        </w:rPr>
      </w:pPr>
      <w:r>
        <w:rPr>
          <w:rFonts w:ascii="Arial" w:cs="Arial" w:eastAsia="Arial" w:hAnsi="Arial"/>
          <w:sz w:val="18"/>
          <w:szCs w:val="18"/>
          <w:color w:val="520B90"/>
        </w:rPr>
        <w:t>Proposal 1</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8"/>
          <w:szCs w:val="18"/>
          <w:color w:val="520B90"/>
        </w:rPr>
        <w:t>Nominees for Director</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8"/>
          <w:szCs w:val="18"/>
          <w:color w:val="520B90"/>
        </w:rPr>
        <w:t>Board Matrix</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8"/>
          <w:szCs w:val="18"/>
          <w:color w:val="520B90"/>
        </w:rPr>
        <w:t>Board Leadership Structure</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8"/>
          <w:szCs w:val="18"/>
          <w:color w:val="520B90"/>
        </w:rPr>
        <w:t>Meetings</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8"/>
          <w:szCs w:val="18"/>
          <w:color w:val="520B90"/>
        </w:rPr>
        <w:t>Director Time Commitments</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8"/>
          <w:szCs w:val="18"/>
          <w:color w:val="520B90"/>
        </w:rPr>
        <w:t>Risk Oversight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8"/>
          <w:szCs w:val="18"/>
          <w:color w:val="520B90"/>
        </w:rPr>
        <w:t>Board Committees</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8"/>
          <w:szCs w:val="18"/>
          <w:color w:val="520B90"/>
        </w:rPr>
        <w:t>Board Independence</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8"/>
          <w:szCs w:val="18"/>
          <w:color w:val="520B90"/>
        </w:rPr>
        <w:t>Board Compensation</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8"/>
          <w:szCs w:val="18"/>
          <w:color w:val="520B90"/>
        </w:rPr>
        <w:t>Director Compensation Table for 2025</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8"/>
          <w:szCs w:val="18"/>
          <w:color w:val="520B90"/>
        </w:rPr>
        <w:t>Director Stock Ownership Guidelines</w:t>
      </w:r>
    </w:p>
    <w:p>
      <w:pPr>
        <w:spacing w:after="0" w:line="283" w:lineRule="exact"/>
        <w:rPr>
          <w:sz w:val="20"/>
          <w:szCs w:val="20"/>
          <w:color w:val="auto"/>
        </w:rPr>
      </w:pPr>
    </w:p>
    <w:p>
      <w:pPr>
        <w:jc w:val="right"/>
        <w:spacing w:after="0"/>
        <w:rPr>
          <w:sz w:val="20"/>
          <w:szCs w:val="20"/>
          <w:color w:val="auto"/>
        </w:rPr>
      </w:pPr>
      <w:r>
        <w:rPr>
          <w:rFonts w:ascii="Arial" w:cs="Arial" w:eastAsia="Arial" w:hAnsi="Arial"/>
          <w:sz w:val="18"/>
          <w:szCs w:val="18"/>
          <w:color w:val="520B90"/>
        </w:rPr>
        <w:t>Certain Relationships and Related Transactions</w:t>
      </w:r>
    </w:p>
    <w:p>
      <w:pPr>
        <w:spacing w:after="0" w:line="201" w:lineRule="exact"/>
        <w:rPr>
          <w:sz w:val="20"/>
          <w:szCs w:val="20"/>
          <w:color w:val="auto"/>
        </w:rPr>
      </w:pPr>
    </w:p>
    <w:p>
      <w:pPr>
        <w:ind w:left="440" w:right="260" w:hanging="417"/>
        <w:spacing w:after="0" w:line="184" w:lineRule="auto"/>
        <w:tabs>
          <w:tab w:leader="none" w:pos="440" w:val="left"/>
        </w:tabs>
        <w:numPr>
          <w:ilvl w:val="0"/>
          <w:numId w:val="10"/>
        </w:numPr>
        <w:rPr>
          <w:rFonts w:ascii="Arial" w:cs="Arial" w:eastAsia="Arial" w:hAnsi="Arial"/>
          <w:sz w:val="31"/>
          <w:szCs w:val="31"/>
          <w:b w:val="1"/>
          <w:bCs w:val="1"/>
          <w:color w:val="520B90"/>
          <w:vertAlign w:val="subscript"/>
        </w:rPr>
      </w:pPr>
      <w:r>
        <w:rPr>
          <w:rFonts w:ascii="Arial" w:cs="Arial" w:eastAsia="Arial" w:hAnsi="Arial"/>
          <w:sz w:val="16"/>
          <w:szCs w:val="16"/>
          <w:b w:val="1"/>
          <w:bCs w:val="1"/>
          <w:color w:val="520B90"/>
        </w:rPr>
        <w:t>Ratification of Appointment of Independent Registered Public Accountants</w:t>
      </w:r>
    </w:p>
    <w:p>
      <w:pPr>
        <w:spacing w:after="0" w:line="91" w:lineRule="exact"/>
        <w:rPr>
          <w:sz w:val="20"/>
          <w:szCs w:val="20"/>
          <w:color w:val="auto"/>
        </w:rPr>
      </w:pPr>
    </w:p>
    <w:p>
      <w:pPr>
        <w:ind w:left="600"/>
        <w:spacing w:after="0"/>
        <w:rPr>
          <w:sz w:val="20"/>
          <w:szCs w:val="20"/>
          <w:color w:val="auto"/>
        </w:rPr>
      </w:pPr>
      <w:r>
        <w:rPr>
          <w:rFonts w:ascii="Arial" w:cs="Arial" w:eastAsia="Arial" w:hAnsi="Arial"/>
          <w:sz w:val="18"/>
          <w:szCs w:val="18"/>
          <w:color w:val="520B90"/>
        </w:rPr>
        <w:t>Proposal 2</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8"/>
          <w:szCs w:val="18"/>
          <w:color w:val="520B90"/>
        </w:rPr>
        <w:t>Audit Committee Matters</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8"/>
          <w:szCs w:val="18"/>
          <w:color w:val="520B90"/>
        </w:rPr>
        <w:t>Audit Committee 2025 Report</w:t>
      </w:r>
    </w:p>
    <w:p>
      <w:pPr>
        <w:spacing w:after="0" w:line="201"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8"/>
          <w:szCs w:val="18"/>
          <w:b w:val="1"/>
          <w:bCs w:val="1"/>
          <w:color w:val="520B90"/>
        </w:rPr>
        <w:t>IV.</w:t>
        <w:tab/>
        <w:t>Executive Compensation</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8"/>
          <w:szCs w:val="18"/>
          <w:color w:val="520B90"/>
        </w:rPr>
        <w:t>Proposal 3</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8"/>
          <w:szCs w:val="18"/>
          <w:color w:val="520B90"/>
        </w:rPr>
        <w:t>Executive Officers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-2916555</wp:posOffset>
            </wp:positionH>
            <wp:positionV relativeFrom="paragraph">
              <wp:posOffset>-127000</wp:posOffset>
            </wp:positionV>
            <wp:extent cx="7033895" cy="142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33895" cy="142875"/>
                    </a:xfrm>
                    <a:prstGeom prst="rect">
                      <a:avLst/>
                    </a:prstGeom>
                    <a:noFill/>
                  </pic:spPr>
                </pic:pic>
              </a:graphicData>
            </a:graphic>
          </wp:anchor>
        </w:drawing>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color w:val="520B90"/>
        </w:rPr>
        <w:t>Page</w:t>
      </w:r>
    </w:p>
    <w:p>
      <w:pPr>
        <w:spacing w:after="0" w:line="111" w:lineRule="exact"/>
        <w:rPr>
          <w:sz w:val="20"/>
          <w:szCs w:val="20"/>
          <w:color w:val="auto"/>
        </w:rPr>
      </w:pPr>
    </w:p>
    <w:p>
      <w:pPr>
        <w:ind w:left="1480" w:hanging="975"/>
        <w:spacing w:after="0"/>
        <w:tabs>
          <w:tab w:leader="none" w:pos="1480" w:val="left"/>
        </w:tabs>
        <w:numPr>
          <w:ilvl w:val="0"/>
          <w:numId w:val="11"/>
        </w:numPr>
        <w:rPr>
          <w:rFonts w:ascii="Arial" w:cs="Arial" w:eastAsia="Arial" w:hAnsi="Arial"/>
          <w:sz w:val="18"/>
          <w:szCs w:val="18"/>
          <w:color w:val="520B90"/>
        </w:rPr>
      </w:pPr>
      <w:r>
        <w:rPr>
          <w:rFonts w:ascii="Arial" w:cs="Arial" w:eastAsia="Arial" w:hAnsi="Arial"/>
          <w:sz w:val="18"/>
          <w:szCs w:val="18"/>
          <w:color w:val="520B90"/>
        </w:rPr>
        <w:t>Compensation Discussion and Analysis</w:t>
      </w:r>
    </w:p>
    <w:p>
      <w:pPr>
        <w:spacing w:after="0" w:line="203" w:lineRule="exact"/>
        <w:rPr>
          <w:sz w:val="20"/>
          <w:szCs w:val="20"/>
          <w:color w:val="auto"/>
        </w:rPr>
      </w:pPr>
    </w:p>
    <w:p>
      <w:pPr>
        <w:ind w:left="1480" w:right="140" w:hanging="975"/>
        <w:spacing w:after="0" w:line="183" w:lineRule="auto"/>
        <w:tabs>
          <w:tab w:leader="none" w:pos="1480" w:val="left"/>
        </w:tabs>
        <w:numPr>
          <w:ilvl w:val="0"/>
          <w:numId w:val="12"/>
        </w:numPr>
        <w:rPr>
          <w:rFonts w:ascii="Arial" w:cs="Arial" w:eastAsia="Arial" w:hAnsi="Arial"/>
          <w:sz w:val="30"/>
          <w:szCs w:val="30"/>
          <w:color w:val="520B90"/>
          <w:vertAlign w:val="subscript"/>
        </w:rPr>
      </w:pPr>
      <w:r>
        <w:rPr>
          <w:rFonts w:ascii="Arial" w:cs="Arial" w:eastAsia="Arial" w:hAnsi="Arial"/>
          <w:sz w:val="16"/>
          <w:szCs w:val="16"/>
          <w:color w:val="520B90"/>
        </w:rPr>
        <w:t>Compensation and Human Capital Committee 2025 Report</w:t>
      </w:r>
    </w:p>
    <w:p>
      <w:pPr>
        <w:spacing w:after="0" w:line="178" w:lineRule="exact"/>
        <w:rPr>
          <w:rFonts w:ascii="Arial" w:cs="Arial" w:eastAsia="Arial" w:hAnsi="Arial"/>
          <w:sz w:val="30"/>
          <w:szCs w:val="30"/>
          <w:color w:val="520B90"/>
          <w:vertAlign w:val="subscript"/>
        </w:rPr>
      </w:pPr>
    </w:p>
    <w:p>
      <w:pPr>
        <w:ind w:left="1480" w:hanging="975"/>
        <w:spacing w:after="0"/>
        <w:tabs>
          <w:tab w:leader="none" w:pos="1480" w:val="left"/>
        </w:tabs>
        <w:numPr>
          <w:ilvl w:val="0"/>
          <w:numId w:val="12"/>
        </w:numPr>
        <w:rPr>
          <w:rFonts w:ascii="Arial" w:cs="Arial" w:eastAsia="Arial" w:hAnsi="Arial"/>
          <w:sz w:val="18"/>
          <w:szCs w:val="18"/>
          <w:color w:val="520B90"/>
        </w:rPr>
      </w:pPr>
      <w:r>
        <w:rPr>
          <w:rFonts w:ascii="Arial" w:cs="Arial" w:eastAsia="Arial" w:hAnsi="Arial"/>
          <w:sz w:val="18"/>
          <w:szCs w:val="18"/>
          <w:color w:val="520B90"/>
        </w:rPr>
        <w:t>Summary Compensation Table</w:t>
      </w:r>
    </w:p>
    <w:p>
      <w:pPr>
        <w:spacing w:after="0" w:line="203" w:lineRule="exact"/>
        <w:rPr>
          <w:sz w:val="20"/>
          <w:szCs w:val="20"/>
          <w:color w:val="auto"/>
        </w:rPr>
      </w:pPr>
    </w:p>
    <w:p>
      <w:pPr>
        <w:ind w:left="1480" w:hanging="975"/>
        <w:spacing w:after="0"/>
        <w:tabs>
          <w:tab w:leader="none" w:pos="1480" w:val="left"/>
        </w:tabs>
        <w:numPr>
          <w:ilvl w:val="0"/>
          <w:numId w:val="13"/>
        </w:numPr>
        <w:rPr>
          <w:rFonts w:ascii="Arial" w:cs="Arial" w:eastAsia="Arial" w:hAnsi="Arial"/>
          <w:sz w:val="18"/>
          <w:szCs w:val="18"/>
          <w:color w:val="520B90"/>
        </w:rPr>
      </w:pPr>
      <w:r>
        <w:rPr>
          <w:rFonts w:ascii="Arial" w:cs="Arial" w:eastAsia="Arial" w:hAnsi="Arial"/>
          <w:sz w:val="18"/>
          <w:szCs w:val="18"/>
          <w:color w:val="520B90"/>
        </w:rPr>
        <w:t>All Other Compensation Table</w:t>
      </w:r>
    </w:p>
    <w:p>
      <w:pPr>
        <w:spacing w:after="0" w:line="203" w:lineRule="exact"/>
        <w:rPr>
          <w:sz w:val="20"/>
          <w:szCs w:val="20"/>
          <w:color w:val="auto"/>
        </w:rPr>
      </w:pPr>
    </w:p>
    <w:p>
      <w:pPr>
        <w:ind w:left="1480" w:hanging="1024"/>
        <w:spacing w:after="0"/>
        <w:tabs>
          <w:tab w:leader="none" w:pos="1480" w:val="left"/>
        </w:tabs>
        <w:numPr>
          <w:ilvl w:val="0"/>
          <w:numId w:val="14"/>
        </w:numPr>
        <w:rPr>
          <w:rFonts w:ascii="Arial" w:cs="Arial" w:eastAsia="Arial" w:hAnsi="Arial"/>
          <w:sz w:val="18"/>
          <w:szCs w:val="18"/>
          <w:color w:val="520B90"/>
        </w:rPr>
      </w:pPr>
      <w:r>
        <w:rPr>
          <w:rFonts w:ascii="Arial" w:cs="Arial" w:eastAsia="Arial" w:hAnsi="Arial"/>
          <w:sz w:val="18"/>
          <w:szCs w:val="18"/>
          <w:color w:val="520B90"/>
        </w:rPr>
        <w:t>Grants of Plan-Based Awards in 2025</w:t>
      </w:r>
    </w:p>
    <w:p>
      <w:pPr>
        <w:spacing w:after="0" w:line="203" w:lineRule="exact"/>
        <w:rPr>
          <w:rFonts w:ascii="Arial" w:cs="Arial" w:eastAsia="Arial" w:hAnsi="Arial"/>
          <w:sz w:val="18"/>
          <w:szCs w:val="18"/>
          <w:color w:val="520B90"/>
        </w:rPr>
      </w:pPr>
    </w:p>
    <w:p>
      <w:pPr>
        <w:ind w:left="1480" w:hanging="1024"/>
        <w:spacing w:after="0"/>
        <w:tabs>
          <w:tab w:leader="none" w:pos="1480" w:val="left"/>
        </w:tabs>
        <w:numPr>
          <w:ilvl w:val="0"/>
          <w:numId w:val="14"/>
        </w:numPr>
        <w:rPr>
          <w:rFonts w:ascii="Arial" w:cs="Arial" w:eastAsia="Arial" w:hAnsi="Arial"/>
          <w:sz w:val="18"/>
          <w:szCs w:val="18"/>
          <w:color w:val="520B90"/>
        </w:rPr>
      </w:pPr>
      <w:r>
        <w:rPr>
          <w:rFonts w:ascii="Arial" w:cs="Arial" w:eastAsia="Arial" w:hAnsi="Arial"/>
          <w:sz w:val="18"/>
          <w:szCs w:val="18"/>
          <w:color w:val="520B90"/>
        </w:rPr>
        <w:t>Outstanding Equity Awards at 2025 Fiscal Year-End</w:t>
      </w:r>
    </w:p>
    <w:p>
      <w:pPr>
        <w:spacing w:after="0" w:line="190" w:lineRule="exact"/>
        <w:rPr>
          <w:sz w:val="20"/>
          <w:szCs w:val="20"/>
          <w:color w:val="auto"/>
        </w:rPr>
      </w:pPr>
    </w:p>
    <w:tbl>
      <w:tblPr>
        <w:tblLayout w:type="fixed"/>
        <w:tblInd w:w="460" w:type="dxa"/>
        <w:tblCellMar>
          <w:top w:w="0" w:type="dxa"/>
          <w:left w:w="0" w:type="dxa"/>
          <w:bottom w:w="0" w:type="dxa"/>
          <w:right w:w="0" w:type="dxa"/>
        </w:tblCellMar>
      </w:tblPr>
      <w:tr>
        <w:trPr>
          <w:trHeight w:val="245"/>
        </w:trPr>
        <w:tc>
          <w:tcPr>
            <w:tcW w:w="600" w:type="dxa"/>
            <w:vAlign w:val="bottom"/>
          </w:tcPr>
          <w:p>
            <w:pPr>
              <w:jc w:val="right"/>
              <w:ind w:right="312"/>
              <w:spacing w:after="0"/>
              <w:rPr>
                <w:sz w:val="20"/>
                <w:szCs w:val="20"/>
                <w:color w:val="auto"/>
              </w:rPr>
            </w:pPr>
            <w:r>
              <w:rPr>
                <w:rFonts w:ascii="Arial" w:cs="Arial" w:eastAsia="Arial" w:hAnsi="Arial"/>
                <w:sz w:val="18"/>
                <w:szCs w:val="18"/>
                <w:color w:val="520B90"/>
                <w:w w:val="89"/>
              </w:rPr>
              <w:t>18</w:t>
            </w:r>
          </w:p>
        </w:tc>
        <w:tc>
          <w:tcPr>
            <w:tcW w:w="4600" w:type="dxa"/>
            <w:vAlign w:val="bottom"/>
          </w:tcPr>
          <w:p>
            <w:pPr>
              <w:ind w:left="420"/>
              <w:spacing w:after="0"/>
              <w:rPr>
                <w:sz w:val="20"/>
                <w:szCs w:val="20"/>
                <w:color w:val="auto"/>
              </w:rPr>
            </w:pPr>
            <w:r>
              <w:rPr>
                <w:rFonts w:ascii="Arial" w:cs="Arial" w:eastAsia="Arial" w:hAnsi="Arial"/>
                <w:sz w:val="18"/>
                <w:szCs w:val="18"/>
                <w:color w:val="520B90"/>
              </w:rPr>
              <w:t>Option Exercises and Stock Vested in 2025</w:t>
            </w:r>
          </w:p>
        </w:tc>
      </w:tr>
      <w:tr>
        <w:trPr>
          <w:trHeight w:val="410"/>
        </w:trPr>
        <w:tc>
          <w:tcPr>
            <w:tcW w:w="600" w:type="dxa"/>
            <w:vAlign w:val="bottom"/>
          </w:tcPr>
          <w:p>
            <w:pPr>
              <w:jc w:val="right"/>
              <w:ind w:right="312"/>
              <w:spacing w:after="0"/>
              <w:rPr>
                <w:sz w:val="20"/>
                <w:szCs w:val="20"/>
                <w:color w:val="auto"/>
              </w:rPr>
            </w:pPr>
            <w:r>
              <w:rPr>
                <w:rFonts w:ascii="Arial" w:cs="Arial" w:eastAsia="Arial" w:hAnsi="Arial"/>
                <w:sz w:val="18"/>
                <w:szCs w:val="18"/>
                <w:color w:val="520B90"/>
                <w:w w:val="89"/>
              </w:rPr>
              <w:t>18</w:t>
            </w:r>
          </w:p>
        </w:tc>
        <w:tc>
          <w:tcPr>
            <w:tcW w:w="4600" w:type="dxa"/>
            <w:vAlign w:val="bottom"/>
          </w:tcPr>
          <w:p>
            <w:pPr>
              <w:ind w:left="420"/>
              <w:spacing w:after="0"/>
              <w:rPr>
                <w:sz w:val="20"/>
                <w:szCs w:val="20"/>
                <w:color w:val="auto"/>
              </w:rPr>
            </w:pPr>
            <w:r>
              <w:rPr>
                <w:rFonts w:ascii="Arial" w:cs="Arial" w:eastAsia="Arial" w:hAnsi="Arial"/>
                <w:sz w:val="18"/>
                <w:szCs w:val="18"/>
                <w:color w:val="520B90"/>
                <w:w w:val="97"/>
              </w:rPr>
              <w:t>Potential Payments Upon Termination of Employment</w:t>
            </w:r>
          </w:p>
        </w:tc>
      </w:tr>
      <w:tr>
        <w:trPr>
          <w:trHeight w:val="410"/>
        </w:trPr>
        <w:tc>
          <w:tcPr>
            <w:tcW w:w="600" w:type="dxa"/>
            <w:vAlign w:val="bottom"/>
          </w:tcPr>
          <w:p>
            <w:pPr>
              <w:jc w:val="right"/>
              <w:ind w:right="312"/>
              <w:spacing w:after="0"/>
              <w:rPr>
                <w:sz w:val="20"/>
                <w:szCs w:val="20"/>
                <w:color w:val="auto"/>
              </w:rPr>
            </w:pPr>
            <w:r>
              <w:rPr>
                <w:rFonts w:ascii="Arial" w:cs="Arial" w:eastAsia="Arial" w:hAnsi="Arial"/>
                <w:sz w:val="18"/>
                <w:szCs w:val="18"/>
                <w:color w:val="520B90"/>
                <w:w w:val="89"/>
              </w:rPr>
              <w:t>18</w:t>
            </w:r>
          </w:p>
        </w:tc>
        <w:tc>
          <w:tcPr>
            <w:tcW w:w="4600" w:type="dxa"/>
            <w:vAlign w:val="bottom"/>
          </w:tcPr>
          <w:p>
            <w:pPr>
              <w:ind w:left="420"/>
              <w:spacing w:after="0"/>
              <w:rPr>
                <w:sz w:val="20"/>
                <w:szCs w:val="20"/>
                <w:color w:val="auto"/>
              </w:rPr>
            </w:pPr>
            <w:r>
              <w:rPr>
                <w:rFonts w:ascii="Arial" w:cs="Arial" w:eastAsia="Arial" w:hAnsi="Arial"/>
                <w:sz w:val="18"/>
                <w:szCs w:val="18"/>
                <w:color w:val="520B90"/>
              </w:rPr>
              <w:t>CEO Pay Ratio</w:t>
            </w:r>
          </w:p>
        </w:tc>
      </w:tr>
    </w:tbl>
    <w:p>
      <w:pPr>
        <w:spacing w:after="0" w:line="179" w:lineRule="exact"/>
        <w:rPr>
          <w:sz w:val="20"/>
          <w:szCs w:val="20"/>
          <w:color w:val="auto"/>
        </w:rPr>
      </w:pPr>
    </w:p>
    <w:p>
      <w:pPr>
        <w:ind w:left="1480" w:hanging="1024"/>
        <w:spacing w:after="0"/>
        <w:tabs>
          <w:tab w:leader="none" w:pos="1480" w:val="left"/>
        </w:tabs>
        <w:numPr>
          <w:ilvl w:val="0"/>
          <w:numId w:val="15"/>
        </w:numPr>
        <w:rPr>
          <w:rFonts w:ascii="Arial" w:cs="Arial" w:eastAsia="Arial" w:hAnsi="Arial"/>
          <w:sz w:val="18"/>
          <w:szCs w:val="18"/>
          <w:color w:val="520B90"/>
        </w:rPr>
      </w:pPr>
      <w:r>
        <w:rPr>
          <w:rFonts w:ascii="Arial" w:cs="Arial" w:eastAsia="Arial" w:hAnsi="Arial"/>
          <w:sz w:val="18"/>
          <w:szCs w:val="18"/>
          <w:color w:val="520B90"/>
        </w:rPr>
        <w:t>Pay Versus Performance</w:t>
      </w:r>
    </w:p>
    <w:p>
      <w:pPr>
        <w:spacing w:after="0" w:line="201" w:lineRule="exact"/>
        <w:rPr>
          <w:rFonts w:ascii="Arial" w:cs="Arial" w:eastAsia="Arial" w:hAnsi="Arial"/>
          <w:sz w:val="18"/>
          <w:szCs w:val="18"/>
          <w:color w:val="520B90"/>
        </w:rPr>
      </w:pPr>
    </w:p>
    <w:p>
      <w:pPr>
        <w:ind w:left="900" w:hanging="444"/>
        <w:spacing w:after="0"/>
        <w:tabs>
          <w:tab w:leader="none" w:pos="900" w:val="left"/>
        </w:tabs>
        <w:numPr>
          <w:ilvl w:val="0"/>
          <w:numId w:val="16"/>
        </w:numPr>
        <w:rPr>
          <w:rFonts w:ascii="Arial" w:cs="Arial" w:eastAsia="Arial" w:hAnsi="Arial"/>
          <w:sz w:val="18"/>
          <w:szCs w:val="18"/>
          <w:color w:val="520B90"/>
        </w:rPr>
      </w:pPr>
      <w:r>
        <w:rPr>
          <w:rFonts w:ascii="Arial" w:cs="Arial" w:eastAsia="Arial" w:hAnsi="Arial"/>
          <w:sz w:val="18"/>
          <w:szCs w:val="18"/>
          <w:b w:val="1"/>
          <w:bCs w:val="1"/>
          <w:color w:val="520B90"/>
        </w:rPr>
        <w:t>V.   Other Matters</w:t>
      </w:r>
    </w:p>
    <w:p>
      <w:pPr>
        <w:spacing w:after="0" w:line="205" w:lineRule="exact"/>
        <w:rPr>
          <w:sz w:val="20"/>
          <w:szCs w:val="20"/>
          <w:color w:val="auto"/>
        </w:rPr>
      </w:pPr>
    </w:p>
    <w:p>
      <w:pPr>
        <w:ind w:left="1480" w:hanging="1024"/>
        <w:spacing w:after="0"/>
        <w:tabs>
          <w:tab w:leader="none" w:pos="1480" w:val="left"/>
        </w:tabs>
        <w:numPr>
          <w:ilvl w:val="0"/>
          <w:numId w:val="17"/>
        </w:numPr>
        <w:rPr>
          <w:rFonts w:ascii="Arial" w:cs="Arial" w:eastAsia="Arial" w:hAnsi="Arial"/>
          <w:sz w:val="18"/>
          <w:szCs w:val="18"/>
          <w:color w:val="520B90"/>
        </w:rPr>
      </w:pPr>
      <w:r>
        <w:rPr>
          <w:rFonts w:ascii="Arial" w:cs="Arial" w:eastAsia="Arial" w:hAnsi="Arial"/>
          <w:sz w:val="18"/>
          <w:szCs w:val="18"/>
          <w:color w:val="520B90"/>
        </w:rPr>
        <w:t>Beneficial Ownership of Common Stock</w:t>
      </w:r>
    </w:p>
    <w:p>
      <w:pPr>
        <w:spacing w:after="0" w:line="203" w:lineRule="exact"/>
        <w:rPr>
          <w:rFonts w:ascii="Arial" w:cs="Arial" w:eastAsia="Arial" w:hAnsi="Arial"/>
          <w:sz w:val="18"/>
          <w:szCs w:val="18"/>
          <w:color w:val="520B90"/>
        </w:rPr>
      </w:pPr>
    </w:p>
    <w:p>
      <w:pPr>
        <w:ind w:left="1480" w:hanging="1024"/>
        <w:spacing w:after="0"/>
        <w:tabs>
          <w:tab w:leader="none" w:pos="1480" w:val="left"/>
        </w:tabs>
        <w:numPr>
          <w:ilvl w:val="0"/>
          <w:numId w:val="17"/>
        </w:numPr>
        <w:rPr>
          <w:rFonts w:ascii="Arial" w:cs="Arial" w:eastAsia="Arial" w:hAnsi="Arial"/>
          <w:sz w:val="18"/>
          <w:szCs w:val="18"/>
          <w:color w:val="520B90"/>
        </w:rPr>
      </w:pPr>
      <w:r>
        <w:rPr>
          <w:rFonts w:ascii="Arial" w:cs="Arial" w:eastAsia="Arial" w:hAnsi="Arial"/>
          <w:sz w:val="18"/>
          <w:szCs w:val="18"/>
          <w:color w:val="520B90"/>
        </w:rPr>
        <w:t>Delinquent Section 16(a) Reports</w:t>
      </w:r>
    </w:p>
    <w:p>
      <w:pPr>
        <w:spacing w:after="0" w:line="203" w:lineRule="exact"/>
        <w:rPr>
          <w:rFonts w:ascii="Arial" w:cs="Arial" w:eastAsia="Arial" w:hAnsi="Arial"/>
          <w:sz w:val="18"/>
          <w:szCs w:val="18"/>
          <w:color w:val="520B90"/>
        </w:rPr>
      </w:pPr>
    </w:p>
    <w:p>
      <w:pPr>
        <w:ind w:left="1480" w:hanging="1024"/>
        <w:spacing w:after="0"/>
        <w:tabs>
          <w:tab w:leader="none" w:pos="1480" w:val="left"/>
        </w:tabs>
        <w:numPr>
          <w:ilvl w:val="0"/>
          <w:numId w:val="17"/>
        </w:numPr>
        <w:rPr>
          <w:rFonts w:ascii="Arial" w:cs="Arial" w:eastAsia="Arial" w:hAnsi="Arial"/>
          <w:sz w:val="17"/>
          <w:szCs w:val="17"/>
          <w:color w:val="520B90"/>
        </w:rPr>
      </w:pPr>
      <w:r>
        <w:rPr>
          <w:rFonts w:ascii="Arial" w:cs="Arial" w:eastAsia="Arial" w:hAnsi="Arial"/>
          <w:sz w:val="17"/>
          <w:szCs w:val="17"/>
          <w:color w:val="520B90"/>
        </w:rPr>
        <w:t>Stockholder Recommendation of Director Candidates</w:t>
      </w:r>
    </w:p>
    <w:p>
      <w:pPr>
        <w:spacing w:after="0" w:line="215" w:lineRule="exact"/>
        <w:rPr>
          <w:sz w:val="20"/>
          <w:szCs w:val="20"/>
          <w:color w:val="auto"/>
        </w:rPr>
      </w:pPr>
    </w:p>
    <w:p>
      <w:pPr>
        <w:ind w:left="1480" w:right="340" w:hanging="1024"/>
        <w:spacing w:after="0" w:line="183" w:lineRule="auto"/>
        <w:tabs>
          <w:tab w:leader="none" w:pos="1480" w:val="left"/>
        </w:tabs>
        <w:numPr>
          <w:ilvl w:val="0"/>
          <w:numId w:val="18"/>
        </w:numPr>
        <w:rPr>
          <w:rFonts w:ascii="Arial" w:cs="Arial" w:eastAsia="Arial" w:hAnsi="Arial"/>
          <w:sz w:val="30"/>
          <w:szCs w:val="30"/>
          <w:color w:val="520B90"/>
          <w:vertAlign w:val="subscript"/>
        </w:rPr>
      </w:pPr>
      <w:r>
        <w:rPr>
          <w:rFonts w:ascii="Arial" w:cs="Arial" w:eastAsia="Arial" w:hAnsi="Arial"/>
          <w:sz w:val="16"/>
          <w:szCs w:val="16"/>
          <w:color w:val="520B90"/>
        </w:rPr>
        <w:t>Stockholder Nominations and Proposals for 2027 Annual Meeting</w:t>
      </w:r>
    </w:p>
    <w:p>
      <w:pPr>
        <w:spacing w:after="0" w:line="179"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color w:val="520B90"/>
        </w:rPr>
        <w:t>28</w:t>
      </w:r>
      <w:r>
        <w:rPr>
          <w:sz w:val="20"/>
          <w:szCs w:val="20"/>
          <w:color w:val="auto"/>
        </w:rPr>
        <w:tab/>
      </w:r>
      <w:r>
        <w:rPr>
          <w:rFonts w:ascii="Arial" w:cs="Arial" w:eastAsia="Arial" w:hAnsi="Arial"/>
          <w:sz w:val="18"/>
          <w:szCs w:val="18"/>
          <w:color w:val="520B90"/>
        </w:rPr>
        <w:t>Expenses Relating to this Proxy Solicitation</w:t>
      </w:r>
    </w:p>
    <w:p>
      <w:pPr>
        <w:spacing w:after="0" w:line="203" w:lineRule="exact"/>
        <w:rPr>
          <w:sz w:val="20"/>
          <w:szCs w:val="20"/>
          <w:color w:val="auto"/>
        </w:rPr>
      </w:pPr>
    </w:p>
    <w:p>
      <w:pPr>
        <w:ind w:left="1480" w:hanging="1024"/>
        <w:spacing w:after="0"/>
        <w:tabs>
          <w:tab w:leader="none" w:pos="1480" w:val="left"/>
        </w:tabs>
        <w:numPr>
          <w:ilvl w:val="0"/>
          <w:numId w:val="19"/>
        </w:numPr>
        <w:rPr>
          <w:rFonts w:ascii="Arial" w:cs="Arial" w:eastAsia="Arial" w:hAnsi="Arial"/>
          <w:sz w:val="18"/>
          <w:szCs w:val="18"/>
          <w:color w:val="520B90"/>
        </w:rPr>
      </w:pPr>
      <w:r>
        <w:rPr>
          <w:rFonts w:ascii="Arial" w:cs="Arial" w:eastAsia="Arial" w:hAnsi="Arial"/>
          <w:sz w:val="18"/>
          <w:szCs w:val="18"/>
          <w:color w:val="520B90"/>
        </w:rPr>
        <w:t>Available Information</w:t>
      </w:r>
    </w:p>
    <w:p>
      <w:pPr>
        <w:spacing w:after="0" w:line="203" w:lineRule="exact"/>
        <w:rPr>
          <w:rFonts w:ascii="Arial" w:cs="Arial" w:eastAsia="Arial" w:hAnsi="Arial"/>
          <w:sz w:val="18"/>
          <w:szCs w:val="18"/>
          <w:color w:val="520B90"/>
        </w:rPr>
      </w:pPr>
    </w:p>
    <w:p>
      <w:pPr>
        <w:ind w:left="1480" w:hanging="1024"/>
        <w:spacing w:after="0"/>
        <w:tabs>
          <w:tab w:leader="none" w:pos="1480" w:val="left"/>
        </w:tabs>
        <w:numPr>
          <w:ilvl w:val="0"/>
          <w:numId w:val="19"/>
        </w:numPr>
        <w:rPr>
          <w:rFonts w:ascii="Arial" w:cs="Arial" w:eastAsia="Arial" w:hAnsi="Arial"/>
          <w:sz w:val="18"/>
          <w:szCs w:val="18"/>
          <w:color w:val="520B90"/>
        </w:rPr>
      </w:pPr>
      <w:r>
        <w:rPr>
          <w:rFonts w:ascii="Arial" w:cs="Arial" w:eastAsia="Arial" w:hAnsi="Arial"/>
          <w:sz w:val="18"/>
          <w:szCs w:val="18"/>
          <w:color w:val="520B90"/>
        </w:rPr>
        <w:t>Householding of Proxy Materials</w:t>
      </w:r>
    </w:p>
    <w:p>
      <w:pPr>
        <w:spacing w:after="0" w:line="203"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color w:val="520B90"/>
        </w:rPr>
        <w:t>29</w:t>
      </w:r>
      <w:r>
        <w:rPr>
          <w:sz w:val="20"/>
          <w:szCs w:val="20"/>
          <w:color w:val="auto"/>
        </w:rPr>
        <w:tab/>
      </w:r>
      <w:r>
        <w:rPr>
          <w:rFonts w:ascii="Arial" w:cs="Arial" w:eastAsia="Arial" w:hAnsi="Arial"/>
          <w:sz w:val="18"/>
          <w:szCs w:val="18"/>
          <w:color w:val="520B90"/>
        </w:rPr>
        <w:t>Stockholder Communications</w:t>
      </w:r>
    </w:p>
    <w:p>
      <w:pPr>
        <w:spacing w:after="0" w:line="201" w:lineRule="exact"/>
        <w:rPr>
          <w:sz w:val="20"/>
          <w:szCs w:val="20"/>
          <w:color w:val="auto"/>
        </w:rPr>
      </w:pPr>
    </w:p>
    <w:p>
      <w:pPr>
        <w:ind w:left="900" w:hanging="444"/>
        <w:spacing w:after="0"/>
        <w:tabs>
          <w:tab w:leader="none" w:pos="900" w:val="left"/>
        </w:tabs>
        <w:numPr>
          <w:ilvl w:val="0"/>
          <w:numId w:val="20"/>
        </w:numPr>
        <w:rPr>
          <w:rFonts w:ascii="Arial" w:cs="Arial" w:eastAsia="Arial" w:hAnsi="Arial"/>
          <w:sz w:val="18"/>
          <w:szCs w:val="18"/>
          <w:color w:val="520B90"/>
        </w:rPr>
      </w:pPr>
      <w:r>
        <w:rPr>
          <w:rFonts w:ascii="Arial" w:cs="Arial" w:eastAsia="Arial" w:hAnsi="Arial"/>
          <w:sz w:val="18"/>
          <w:szCs w:val="18"/>
          <w:b w:val="1"/>
          <w:bCs w:val="1"/>
          <w:color w:val="520B90"/>
        </w:rPr>
        <w:t>VI.  Information About the Annual Meeting</w:t>
      </w:r>
    </w:p>
    <w:p>
      <w:pPr>
        <w:spacing w:after="0" w:line="203" w:lineRule="exact"/>
        <w:rPr>
          <w:sz w:val="20"/>
          <w:szCs w:val="20"/>
          <w:color w:val="auto"/>
        </w:rPr>
      </w:pPr>
    </w:p>
    <w:p>
      <w:pPr>
        <w:ind w:left="1320" w:hanging="864"/>
        <w:spacing w:after="0"/>
        <w:tabs>
          <w:tab w:leader="none" w:pos="1320" w:val="left"/>
        </w:tabs>
        <w:numPr>
          <w:ilvl w:val="0"/>
          <w:numId w:val="21"/>
        </w:numPr>
        <w:rPr>
          <w:rFonts w:ascii="Arial" w:cs="Arial" w:eastAsia="Arial" w:hAnsi="Arial"/>
          <w:sz w:val="18"/>
          <w:szCs w:val="18"/>
          <w:color w:val="520B90"/>
        </w:rPr>
      </w:pPr>
      <w:r>
        <w:rPr>
          <w:rFonts w:ascii="Arial" w:cs="Arial" w:eastAsia="Arial" w:hAnsi="Arial"/>
          <w:sz w:val="18"/>
          <w:szCs w:val="18"/>
          <w:b w:val="1"/>
          <w:bCs w:val="1"/>
          <w:color w:val="520B90"/>
        </w:rPr>
        <w:t>Appendix A, Independence Categorical Standards</w:t>
      </w:r>
    </w:p>
    <w:p>
      <w:pPr>
        <w:spacing w:after="0" w:line="203" w:lineRule="exact"/>
        <w:rPr>
          <w:rFonts w:ascii="Arial" w:cs="Arial" w:eastAsia="Arial" w:hAnsi="Arial"/>
          <w:sz w:val="18"/>
          <w:szCs w:val="18"/>
          <w:color w:val="520B90"/>
        </w:rPr>
      </w:pPr>
    </w:p>
    <w:p>
      <w:pPr>
        <w:ind w:left="1320" w:hanging="864"/>
        <w:spacing w:after="0"/>
        <w:tabs>
          <w:tab w:leader="none" w:pos="1320" w:val="left"/>
        </w:tabs>
        <w:numPr>
          <w:ilvl w:val="0"/>
          <w:numId w:val="21"/>
        </w:numPr>
        <w:rPr>
          <w:rFonts w:ascii="Arial" w:cs="Arial" w:eastAsia="Arial" w:hAnsi="Arial"/>
          <w:sz w:val="18"/>
          <w:szCs w:val="18"/>
          <w:color w:val="520B90"/>
        </w:rPr>
      </w:pPr>
      <w:r>
        <w:rPr>
          <w:rFonts w:ascii="Arial" w:cs="Arial" w:eastAsia="Arial" w:hAnsi="Arial"/>
          <w:sz w:val="18"/>
          <w:szCs w:val="18"/>
          <w:b w:val="1"/>
          <w:bCs w:val="1"/>
          <w:color w:val="520B90"/>
        </w:rPr>
        <w:t>Appendix B, Non-GAAP Financial Measures</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520B90"/>
        </w:rPr>
        <w:t>Page</w:t>
      </w:r>
    </w:p>
    <w:p>
      <w:pPr>
        <w:spacing w:after="0" w:line="12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520B90"/>
        </w:rPr>
        <w:t>33</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color w:val="520B90"/>
        </w:rPr>
        <w:t>54</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color w:val="520B90"/>
        </w:rPr>
        <w:t>55</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520B90"/>
        </w:rPr>
        <w:t>57</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520B90"/>
        </w:rPr>
        <w:t>59</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520B90"/>
        </w:rPr>
        <w:t>61</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520B90"/>
        </w:rPr>
        <w:t>64</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520B90"/>
        </w:rPr>
        <w:t>65</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520B90"/>
        </w:rPr>
        <w:t>68</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color w:val="520B90"/>
        </w:rPr>
        <w:t>69</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520B90"/>
        </w:rPr>
        <w:t>75</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520B90"/>
        </w:rPr>
        <w:t>75</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520B90"/>
        </w:rPr>
        <w:t>77</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color w:val="520B90"/>
        </w:rPr>
        <w:t>77</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color w:val="520B90"/>
        </w:rPr>
        <w:t>77</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color w:val="520B90"/>
        </w:rPr>
        <w:t>78</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520B90"/>
        </w:rPr>
        <w:t>78</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520B90"/>
        </w:rPr>
        <w:t>78</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520B90"/>
        </w:rPr>
        <w:t>79</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520B90"/>
        </w:rPr>
        <w:t>80</w:t>
      </w:r>
    </w:p>
    <w:p>
      <w:pPr>
        <w:spacing w:after="0" w:line="217" w:lineRule="exact"/>
        <w:rPr>
          <w:sz w:val="20"/>
          <w:szCs w:val="20"/>
          <w:color w:val="auto"/>
        </w:rPr>
      </w:pPr>
    </w:p>
    <w:p>
      <w:pPr>
        <w:ind w:left="80"/>
        <w:spacing w:after="0"/>
        <w:rPr>
          <w:sz w:val="20"/>
          <w:szCs w:val="20"/>
          <w:color w:val="auto"/>
        </w:rPr>
      </w:pPr>
      <w:r>
        <w:rPr>
          <w:rFonts w:ascii="Arial" w:cs="Arial" w:eastAsia="Arial" w:hAnsi="Arial"/>
          <w:sz w:val="18"/>
          <w:szCs w:val="18"/>
          <w:color w:val="520B90"/>
        </w:rPr>
        <w:t>A-1</w:t>
      </w:r>
    </w:p>
    <w:p>
      <w:pPr>
        <w:spacing w:after="0" w:line="203" w:lineRule="exact"/>
        <w:rPr>
          <w:sz w:val="20"/>
          <w:szCs w:val="20"/>
          <w:color w:val="auto"/>
        </w:rPr>
      </w:pPr>
    </w:p>
    <w:p>
      <w:pPr>
        <w:ind w:left="80"/>
        <w:spacing w:after="0"/>
        <w:rPr>
          <w:sz w:val="20"/>
          <w:szCs w:val="20"/>
          <w:color w:val="auto"/>
        </w:rPr>
      </w:pPr>
      <w:r>
        <w:rPr>
          <w:rFonts w:ascii="Arial" w:cs="Arial" w:eastAsia="Arial" w:hAnsi="Arial"/>
          <w:sz w:val="18"/>
          <w:szCs w:val="18"/>
          <w:color w:val="520B90"/>
        </w:rPr>
        <w:t>B-1</w:t>
      </w:r>
    </w:p>
    <w:p>
      <w:pPr>
        <w:spacing w:after="0" w:line="200" w:lineRule="exact"/>
        <w:rPr>
          <w:sz w:val="20"/>
          <w:szCs w:val="20"/>
          <w:color w:val="auto"/>
        </w:rPr>
      </w:pPr>
    </w:p>
    <w:p>
      <w:pPr>
        <w:sectPr>
          <w:pgSz w:w="11900" w:h="16838" w:orient="portrait"/>
          <w:cols w:equalWidth="0" w:num="3">
            <w:col w:w="4320" w:space="280"/>
            <w:col w:w="5660" w:space="280"/>
            <w:col w:w="500"/>
          </w:cols>
          <w:pgMar w:left="320" w:top="1113" w:right="539" w:bottom="1440" w:gutter="0" w:footer="0" w:header="0"/>
        </w:sectPr>
      </w:pP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Unless this proxy statement ("Proxy Statement") indicates otherwise or the context otherwise requires, the terms, "we," "our," "Crown Castle," "our Company," "the Company" or "us" as used in this Proxy Statement refer to Crown Castle Inc. and its predecessor (organized in 1995), as applicable, each a Delaware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304800</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40"/>
          </w:cols>
          <w:pgMar w:left="320" w:top="1113" w:right="539" w:bottom="1440" w:gutter="0" w:footer="0" w:header="0"/>
          <w:type w:val="continuous"/>
        </w:sectPr>
      </w:pPr>
    </w:p>
    <w:bookmarkStart w:id="5" w:name="page6"/>
    <w:bookmarkEnd w:id="5"/>
    <w:p>
      <w:pPr>
        <w:jc w:val="right"/>
        <w:spacing w:after="0"/>
        <w:rPr>
          <w:sz w:val="20"/>
          <w:szCs w:val="20"/>
          <w:color w:val="auto"/>
        </w:rPr>
      </w:pPr>
      <w:r>
        <w:rPr>
          <w:rFonts w:ascii="Arial" w:cs="Arial" w:eastAsia="Arial" w:hAnsi="Arial"/>
          <w:sz w:val="18"/>
          <w:szCs w:val="18"/>
          <w:b w:val="1"/>
          <w:bCs w:val="1"/>
          <w:color w:val="520B90"/>
        </w:rPr>
        <w:t>2026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336550</wp:posOffset>
            </wp:positionV>
            <wp:extent cx="7131050" cy="64585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1050" cy="6458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520B90"/>
        </w:rPr>
        <w:t>I. PROXY STATEMENT SUMMARY</w:t>
      </w:r>
    </w:p>
    <w:p>
      <w:pPr>
        <w:spacing w:after="0" w:line="166" w:lineRule="exact"/>
        <w:rPr>
          <w:sz w:val="20"/>
          <w:szCs w:val="20"/>
          <w:color w:val="auto"/>
        </w:rPr>
      </w:pPr>
    </w:p>
    <w:p>
      <w:pPr>
        <w:ind w:right="580"/>
        <w:spacing w:after="0" w:line="255" w:lineRule="auto"/>
        <w:rPr>
          <w:sz w:val="20"/>
          <w:szCs w:val="20"/>
          <w:color w:val="auto"/>
        </w:rPr>
      </w:pPr>
      <w:r>
        <w:rPr>
          <w:rFonts w:ascii="Arial" w:cs="Arial" w:eastAsia="Arial" w:hAnsi="Arial"/>
          <w:sz w:val="18"/>
          <w:szCs w:val="18"/>
          <w:color w:val="auto"/>
        </w:rPr>
        <w:t>This Proxy Statement Summary highlights information contained elsewhere in the Proxy Statement. This summary does not contain all of the information you should consider, so please read the entire Proxy Statement carefully before voting. For additional information regarding our 2025 performance, see the Company's Annual Report on Form 10-K for the year ended December 31, 2025 ("2025 Form 10-K").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proxy materials are being distributed via mail or made available via the internet to our stockholders on or about April 6, 2026.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2026 Annual Meeting of Stockholders</w:t>
      </w:r>
    </w:p>
    <w:p>
      <w:pPr>
        <w:spacing w:after="0" w:line="166" w:lineRule="exact"/>
        <w:rPr>
          <w:sz w:val="20"/>
          <w:szCs w:val="20"/>
          <w:color w:val="auto"/>
        </w:rPr>
      </w:pPr>
    </w:p>
    <w:p>
      <w:pPr>
        <w:ind w:right="560"/>
        <w:spacing w:after="0" w:line="255" w:lineRule="auto"/>
        <w:rPr>
          <w:sz w:val="20"/>
          <w:szCs w:val="20"/>
          <w:color w:val="auto"/>
        </w:rPr>
      </w:pPr>
      <w:r>
        <w:rPr>
          <w:rFonts w:ascii="Arial" w:cs="Arial" w:eastAsia="Arial" w:hAnsi="Arial"/>
          <w:sz w:val="18"/>
          <w:szCs w:val="18"/>
          <w:color w:val="auto"/>
        </w:rPr>
        <w:t xml:space="preserve">You are invited to attend the 2026 Annual Meeting of Stockholders ("Annual Meeting"). All stockholders as of the March 23, 2026 ("Record Date"), or their duly appointed proxies, may attend the Annual Meeting online at </w:t>
      </w:r>
      <w:r>
        <w:rPr>
          <w:rFonts w:ascii="Arial" w:cs="Arial" w:eastAsia="Arial" w:hAnsi="Arial"/>
          <w:sz w:val="18"/>
          <w:szCs w:val="18"/>
          <w:u w:val="single" w:color="auto"/>
          <w:color w:val="520B90"/>
        </w:rPr>
        <w:t>www.virtualshareholdermeeting.com/CCI2026</w:t>
      </w:r>
      <w:r>
        <w:rPr>
          <w:rFonts w:ascii="Arial" w:cs="Arial" w:eastAsia="Arial" w:hAnsi="Arial"/>
          <w:sz w:val="18"/>
          <w:szCs w:val="18"/>
          <w:color w:val="000000"/>
        </w:rPr>
        <w:t>. For additional information about the Annual Meeting, see "VI. Information About the</w:t>
      </w:r>
      <w:r>
        <w:rPr>
          <w:rFonts w:ascii="Arial" w:cs="Arial" w:eastAsia="Arial" w:hAnsi="Arial"/>
          <w:sz w:val="18"/>
          <w:szCs w:val="18"/>
          <w:color w:val="520B90"/>
        </w:rPr>
        <w:t xml:space="preserve"> </w:t>
      </w:r>
      <w:r>
        <w:rPr>
          <w:rFonts w:ascii="Arial" w:cs="Arial" w:eastAsia="Arial" w:hAnsi="Arial"/>
          <w:sz w:val="18"/>
          <w:szCs w:val="18"/>
          <w:color w:val="000000"/>
        </w:rPr>
        <w:t>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Matters and Board Recommendations</w:t>
      </w:r>
    </w:p>
    <w:p>
      <w:pPr>
        <w:spacing w:after="0" w:line="166" w:lineRule="exact"/>
        <w:rPr>
          <w:sz w:val="20"/>
          <w:szCs w:val="20"/>
          <w:color w:val="auto"/>
        </w:rPr>
      </w:pPr>
    </w:p>
    <w:p>
      <w:pPr>
        <w:jc w:val="both"/>
        <w:ind w:right="740"/>
        <w:spacing w:after="0" w:line="259" w:lineRule="auto"/>
        <w:rPr>
          <w:sz w:val="20"/>
          <w:szCs w:val="20"/>
          <w:color w:val="auto"/>
        </w:rPr>
      </w:pPr>
      <w:r>
        <w:rPr>
          <w:rFonts w:ascii="Arial" w:cs="Arial" w:eastAsia="Arial" w:hAnsi="Arial"/>
          <w:sz w:val="18"/>
          <w:szCs w:val="18"/>
          <w:color w:val="auto"/>
        </w:rPr>
        <w:t>The following table summarizes the three proposals to be voted on at the Annual Meeting and the voting recommendation of our Board of Directors ("Board") for each proposal. We will also act on other business that may be properly raised before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99"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59055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740"/>
          </w:cols>
          <w:pgMar w:left="820" w:top="359"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520B90"/>
        </w:rPr>
        <w:t>2026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336550</wp:posOffset>
            </wp:positionV>
            <wp:extent cx="7131050" cy="72739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1050" cy="7273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w:t>
      </w:r>
    </w:p>
    <w:p>
      <w:pPr>
        <w:spacing w:after="0" w:line="164" w:lineRule="exact"/>
        <w:rPr>
          <w:sz w:val="20"/>
          <w:szCs w:val="20"/>
          <w:color w:val="auto"/>
        </w:rPr>
      </w:pPr>
    </w:p>
    <w:p>
      <w:pPr>
        <w:ind w:right="680"/>
        <w:spacing w:after="0" w:line="276" w:lineRule="auto"/>
        <w:rPr>
          <w:sz w:val="20"/>
          <w:szCs w:val="20"/>
          <w:color w:val="auto"/>
        </w:rPr>
      </w:pPr>
      <w:r>
        <w:rPr>
          <w:rFonts w:ascii="Arial" w:cs="Arial" w:eastAsia="Arial" w:hAnsi="Arial"/>
          <w:sz w:val="18"/>
          <w:szCs w:val="18"/>
          <w:b w:val="1"/>
          <w:bCs w:val="1"/>
          <w:color w:val="auto"/>
        </w:rPr>
        <w:t xml:space="preserve">Your vote is very important. </w:t>
      </w:r>
      <w:r>
        <w:rPr>
          <w:rFonts w:ascii="Arial" w:cs="Arial" w:eastAsia="Arial" w:hAnsi="Arial"/>
          <w:sz w:val="18"/>
          <w:szCs w:val="18"/>
          <w:color w:val="auto"/>
        </w:rPr>
        <w:t>We encourage you to cast your vote or submit your proxy by one of the methods shown below. For</w:t>
      </w:r>
      <w:r>
        <w:rPr>
          <w:rFonts w:ascii="Arial" w:cs="Arial" w:eastAsia="Arial" w:hAnsi="Arial"/>
          <w:sz w:val="18"/>
          <w:szCs w:val="18"/>
          <w:b w:val="1"/>
          <w:bCs w:val="1"/>
          <w:color w:val="auto"/>
        </w:rPr>
        <w:t xml:space="preserve"> </w:t>
      </w:r>
      <w:r>
        <w:rPr>
          <w:rFonts w:ascii="Arial" w:cs="Arial" w:eastAsia="Arial" w:hAnsi="Arial"/>
          <w:sz w:val="18"/>
          <w:szCs w:val="18"/>
          <w:color w:val="auto"/>
        </w:rPr>
        <w:t>detailed voting instructions, see "VI. Information About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Business Performance Highlights</w:t>
      </w:r>
    </w:p>
    <w:p>
      <w:pPr>
        <w:spacing w:after="0" w:line="166" w:lineRule="exact"/>
        <w:rPr>
          <w:sz w:val="20"/>
          <w:szCs w:val="20"/>
          <w:color w:val="auto"/>
        </w:rPr>
      </w:pPr>
    </w:p>
    <w:p>
      <w:pPr>
        <w:ind w:right="680"/>
        <w:spacing w:after="0" w:line="259" w:lineRule="auto"/>
        <w:rPr>
          <w:sz w:val="20"/>
          <w:szCs w:val="20"/>
          <w:color w:val="auto"/>
        </w:rPr>
      </w:pPr>
      <w:r>
        <w:rPr>
          <w:rFonts w:ascii="Arial" w:cs="Arial" w:eastAsia="Arial" w:hAnsi="Arial"/>
          <w:sz w:val="18"/>
          <w:szCs w:val="18"/>
          <w:color w:val="auto"/>
        </w:rPr>
        <w:t>Our strategy is to create long-term stockholder value via a combination of (1) growing cash flows generated from our existing portfolio of towers, (2) returning a meaningful portion of our cash generated by operating activities to our common stockholders in the form of dividends and (3) investing capital efficiently to grow cash flows and long-term dividends per share.</w:t>
      </w:r>
    </w:p>
    <w:p>
      <w:pPr>
        <w:spacing w:after="0" w:line="122"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520B90"/>
        </w:rPr>
        <w:t>2025 Key Financials and Highlights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3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ectPr>
          <w:pgSz w:w="11900" w:h="16838" w:orient="portrait"/>
          <w:cols w:equalWidth="0" w:num="1">
            <w:col w:w="10740"/>
          </w:cols>
          <w:pgMar w:left="820" w:top="359" w:right="339" w:bottom="1440" w:gutter="0" w:footer="0" w:header="0"/>
        </w:sectPr>
      </w:pPr>
    </w:p>
    <w:p>
      <w:pPr>
        <w:spacing w:after="0" w:line="199"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59055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740"/>
          </w:cols>
          <w:pgMar w:left="820" w:top="359" w:right="339" w:bottom="1440" w:gutter="0" w:footer="0" w:header="0"/>
          <w:type w:val="continuous"/>
        </w:sectPr>
      </w:pPr>
    </w:p>
    <w:bookmarkStart w:id="7" w:name="page8"/>
    <w:bookmarkEnd w:id="7"/>
    <w:p>
      <w:pPr>
        <w:jc w:val="right"/>
        <w:spacing w:after="0"/>
        <w:rPr>
          <w:sz w:val="20"/>
          <w:szCs w:val="20"/>
          <w:color w:val="auto"/>
        </w:rPr>
      </w:pPr>
      <w:r>
        <w:rPr>
          <w:rFonts w:ascii="Arial" w:cs="Arial" w:eastAsia="Arial" w:hAnsi="Arial"/>
          <w:sz w:val="18"/>
          <w:szCs w:val="18"/>
          <w:b w:val="1"/>
          <w:bCs w:val="1"/>
          <w:color w:val="520B90"/>
        </w:rPr>
        <w:t>2026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336550</wp:posOffset>
            </wp:positionV>
            <wp:extent cx="7131050" cy="65595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1050" cy="6559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Snapshot of the Director Nominees</w:t>
      </w:r>
    </w:p>
    <w:p>
      <w:pPr>
        <w:spacing w:after="0" w:line="60" w:lineRule="exact"/>
        <w:rPr>
          <w:sz w:val="20"/>
          <w:szCs w:val="20"/>
          <w:color w:val="auto"/>
        </w:rPr>
      </w:pPr>
    </w:p>
    <w:p>
      <w:pPr>
        <w:ind w:right="640"/>
        <w:spacing w:after="0" w:line="304" w:lineRule="auto"/>
        <w:rPr>
          <w:sz w:val="20"/>
          <w:szCs w:val="20"/>
          <w:color w:val="auto"/>
        </w:rPr>
      </w:pPr>
      <w:r>
        <w:rPr>
          <w:rFonts w:ascii="Arial" w:cs="Arial" w:eastAsia="Arial" w:hAnsi="Arial"/>
          <w:sz w:val="17"/>
          <w:szCs w:val="17"/>
          <w:color w:val="auto"/>
        </w:rPr>
        <w:t>The following tables provide summary information about our director nominees, all of which have the unanimous recommendation of the Board. For additional information about our director nominees, see "II. Election of Directors—Nominees for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3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67310</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740"/>
          </w:cols>
          <w:pgMar w:left="820" w:top="359"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520B90"/>
        </w:rPr>
        <w:t>2026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336550</wp:posOffset>
            </wp:positionV>
            <wp:extent cx="7131050" cy="7786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1050" cy="7786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Highlights</w:t>
      </w:r>
    </w:p>
    <w:p>
      <w:pPr>
        <w:spacing w:after="0" w:line="166" w:lineRule="exact"/>
        <w:rPr>
          <w:sz w:val="20"/>
          <w:szCs w:val="20"/>
          <w:color w:val="auto"/>
        </w:rPr>
      </w:pPr>
    </w:p>
    <w:p>
      <w:pPr>
        <w:ind w:right="1080"/>
        <w:spacing w:after="0" w:line="274" w:lineRule="auto"/>
        <w:rPr>
          <w:sz w:val="20"/>
          <w:szCs w:val="20"/>
          <w:color w:val="auto"/>
        </w:rPr>
      </w:pPr>
      <w:r>
        <w:rPr>
          <w:rFonts w:ascii="Arial" w:cs="Arial" w:eastAsia="Arial" w:hAnsi="Arial"/>
          <w:sz w:val="18"/>
          <w:szCs w:val="18"/>
          <w:color w:val="auto"/>
        </w:rPr>
        <w:t>We recognize the importance of a robust corporate governance framework to promote the interests of our stockholders. Our corporate governance highlights include:</w:t>
      </w:r>
    </w:p>
    <w:p>
      <w:pPr>
        <w:spacing w:after="0" w:line="153" w:lineRule="exact"/>
        <w:rPr>
          <w:sz w:val="20"/>
          <w:szCs w:val="20"/>
          <w:color w:val="auto"/>
        </w:rPr>
      </w:pPr>
    </w:p>
    <w:tbl>
      <w:tblPr>
        <w:tblLayout w:type="fixed"/>
        <w:tblInd w:w="680" w:type="dxa"/>
        <w:tblCellMar>
          <w:top w:w="0" w:type="dxa"/>
          <w:left w:w="0" w:type="dxa"/>
          <w:bottom w:w="0" w:type="dxa"/>
          <w:right w:w="0" w:type="dxa"/>
        </w:tblCellMar>
      </w:tblPr>
      <w:tr>
        <w:trPr>
          <w:trHeight w:val="323"/>
        </w:trPr>
        <w:tc>
          <w:tcPr>
            <w:tcW w:w="4040" w:type="dxa"/>
            <w:vAlign w:val="bottom"/>
            <w:shd w:val="clear" w:color="auto" w:fill="E6E7E7"/>
          </w:tcPr>
          <w:p>
            <w:pPr>
              <w:ind w:left="20"/>
              <w:spacing w:after="0"/>
              <w:rPr>
                <w:sz w:val="20"/>
                <w:szCs w:val="20"/>
                <w:color w:val="auto"/>
              </w:rPr>
            </w:pPr>
            <w:r>
              <w:rPr>
                <w:rFonts w:ascii="Wingdings" w:cs="Wingdings" w:eastAsia="Wingdings" w:hAnsi="Wingdings"/>
                <w:sz w:val="18"/>
                <w:szCs w:val="18"/>
                <w:b w:val="1"/>
                <w:bCs w:val="1"/>
                <w:color w:val="auto"/>
                <w:shd w:val="clear" w:color="auto" w:fill="520B90"/>
              </w:rPr>
              <w:t xml:space="preserve">ü </w:t>
            </w:r>
            <w:r>
              <w:rPr>
                <w:rFonts w:ascii="Arial" w:cs="Arial" w:eastAsia="Arial" w:hAnsi="Arial"/>
                <w:sz w:val="15"/>
                <w:szCs w:val="15"/>
                <w:b w:val="1"/>
                <w:bCs w:val="1"/>
                <w:color w:val="520B90"/>
              </w:rPr>
              <w:t>Annual election of directors by majority vote</w:t>
            </w:r>
          </w:p>
        </w:tc>
        <w:tc>
          <w:tcPr>
            <w:tcW w:w="4840" w:type="dxa"/>
            <w:vAlign w:val="bottom"/>
            <w:shd w:val="clear" w:color="auto" w:fill="E6E7E7"/>
          </w:tcPr>
          <w:p>
            <w:pPr>
              <w:ind w:left="460"/>
              <w:spacing w:after="0"/>
              <w:rPr>
                <w:sz w:val="20"/>
                <w:szCs w:val="20"/>
                <w:color w:val="auto"/>
              </w:rPr>
            </w:pPr>
            <w:r>
              <w:rPr>
                <w:rFonts w:ascii="Wingdings" w:cs="Wingdings" w:eastAsia="Wingdings" w:hAnsi="Wingdings"/>
                <w:sz w:val="18"/>
                <w:szCs w:val="18"/>
                <w:b w:val="1"/>
                <w:bCs w:val="1"/>
                <w:color w:val="auto"/>
                <w:shd w:val="clear" w:color="auto" w:fill="520B90"/>
              </w:rPr>
              <w:t xml:space="preserve">ü </w:t>
            </w:r>
            <w:r>
              <w:rPr>
                <w:rFonts w:ascii="Arial" w:cs="Arial" w:eastAsia="Arial" w:hAnsi="Arial"/>
                <w:sz w:val="15"/>
                <w:szCs w:val="15"/>
                <w:b w:val="1"/>
                <w:bCs w:val="1"/>
                <w:color w:val="520B90"/>
              </w:rPr>
              <w:t>Stock ownership and retention guidelines</w:t>
            </w:r>
          </w:p>
        </w:tc>
      </w:tr>
      <w:tr>
        <w:trPr>
          <w:trHeight w:val="101"/>
        </w:trPr>
        <w:tc>
          <w:tcPr>
            <w:tcW w:w="4040" w:type="dxa"/>
            <w:vAlign w:val="bottom"/>
            <w:shd w:val="clear" w:color="auto" w:fill="E6E7E7"/>
          </w:tcPr>
          <w:p>
            <w:pPr>
              <w:spacing w:after="0"/>
              <w:rPr>
                <w:sz w:val="8"/>
                <w:szCs w:val="8"/>
                <w:color w:val="auto"/>
              </w:rPr>
            </w:pPr>
          </w:p>
        </w:tc>
        <w:tc>
          <w:tcPr>
            <w:tcW w:w="4840" w:type="dxa"/>
            <w:vAlign w:val="bottom"/>
            <w:shd w:val="clear" w:color="auto" w:fill="E6E7E7"/>
          </w:tcPr>
          <w:p>
            <w:pPr>
              <w:spacing w:after="0"/>
              <w:rPr>
                <w:sz w:val="8"/>
                <w:szCs w:val="8"/>
                <w:color w:val="auto"/>
              </w:rPr>
            </w:pPr>
          </w:p>
        </w:tc>
      </w:tr>
      <w:tr>
        <w:trPr>
          <w:trHeight w:val="323"/>
        </w:trPr>
        <w:tc>
          <w:tcPr>
            <w:tcW w:w="4040" w:type="dxa"/>
            <w:vAlign w:val="bottom"/>
          </w:tcPr>
          <w:p>
            <w:pPr>
              <w:ind w:left="20"/>
              <w:spacing w:after="0"/>
              <w:rPr>
                <w:sz w:val="20"/>
                <w:szCs w:val="20"/>
                <w:color w:val="auto"/>
              </w:rPr>
            </w:pPr>
            <w:r>
              <w:rPr>
                <w:rFonts w:ascii="Wingdings" w:cs="Wingdings" w:eastAsia="Wingdings" w:hAnsi="Wingdings"/>
                <w:sz w:val="18"/>
                <w:szCs w:val="18"/>
                <w:b w:val="1"/>
                <w:bCs w:val="1"/>
                <w:color w:val="auto"/>
                <w:shd w:val="clear" w:color="auto" w:fill="520B90"/>
              </w:rPr>
              <w:t xml:space="preserve">ü </w:t>
            </w:r>
            <w:r>
              <w:rPr>
                <w:rFonts w:ascii="Arial" w:cs="Arial" w:eastAsia="Arial" w:hAnsi="Arial"/>
                <w:sz w:val="15"/>
                <w:szCs w:val="15"/>
                <w:b w:val="1"/>
                <w:bCs w:val="1"/>
                <w:color w:val="520B90"/>
              </w:rPr>
              <w:t>No supermajority vote requirements</w:t>
            </w:r>
          </w:p>
        </w:tc>
        <w:tc>
          <w:tcPr>
            <w:tcW w:w="4840" w:type="dxa"/>
            <w:vAlign w:val="bottom"/>
          </w:tcPr>
          <w:p>
            <w:pPr>
              <w:ind w:left="460"/>
              <w:spacing w:after="0"/>
              <w:rPr>
                <w:sz w:val="20"/>
                <w:szCs w:val="20"/>
                <w:color w:val="auto"/>
              </w:rPr>
            </w:pPr>
            <w:r>
              <w:rPr>
                <w:rFonts w:ascii="Wingdings" w:cs="Wingdings" w:eastAsia="Wingdings" w:hAnsi="Wingdings"/>
                <w:sz w:val="18"/>
                <w:szCs w:val="18"/>
                <w:b w:val="1"/>
                <w:bCs w:val="1"/>
                <w:color w:val="auto"/>
                <w:shd w:val="clear" w:color="auto" w:fill="520B90"/>
              </w:rPr>
              <w:t xml:space="preserve">ü </w:t>
            </w:r>
            <w:r>
              <w:rPr>
                <w:rFonts w:ascii="Arial" w:cs="Arial" w:eastAsia="Arial" w:hAnsi="Arial"/>
                <w:sz w:val="15"/>
                <w:szCs w:val="15"/>
                <w:b w:val="1"/>
                <w:bCs w:val="1"/>
                <w:color w:val="520B90"/>
              </w:rPr>
              <w:t>Annual CEO, Board and committee evaluations</w:t>
            </w:r>
          </w:p>
        </w:tc>
      </w:tr>
    </w:tbl>
    <w:p>
      <w:pPr>
        <w:ind w:left="940" w:right="3120" w:hanging="239"/>
        <w:spacing w:after="0" w:line="218" w:lineRule="auto"/>
        <w:tabs>
          <w:tab w:leader="none" w:pos="929" w:val="left"/>
        </w:tabs>
        <w:numPr>
          <w:ilvl w:val="0"/>
          <w:numId w:val="22"/>
        </w:numPr>
        <w:rPr>
          <w:rFonts w:ascii="Wingdings" w:cs="Wingdings" w:eastAsia="Wingdings" w:hAnsi="Wingdings"/>
          <w:sz w:val="17"/>
          <w:szCs w:val="17"/>
          <w:b w:val="1"/>
          <w:bCs w:val="1"/>
          <w:color w:val="auto"/>
          <w:shd w:val="clear" w:color="auto" w:fill="520B90"/>
        </w:rPr>
      </w:pPr>
      <w:r>
        <w:rPr>
          <w:rFonts w:ascii="Arial" w:cs="Arial" w:eastAsia="Arial" w:hAnsi="Arial"/>
          <w:sz w:val="15"/>
          <w:szCs w:val="15"/>
          <w:b w:val="1"/>
          <w:bCs w:val="1"/>
          <w:color w:val="520B90"/>
        </w:rPr>
        <w:t xml:space="preserve">Range of director nominee tenures, with an average </w:t>
      </w:r>
      <w:r>
        <w:rPr>
          <w:rFonts w:ascii="Wingdings" w:cs="Wingdings" w:eastAsia="Wingdings" w:hAnsi="Wingdings"/>
          <w:sz w:val="33"/>
          <w:szCs w:val="33"/>
          <w:b w:val="1"/>
          <w:bCs w:val="1"/>
          <w:color w:val="000000"/>
          <w:vertAlign w:val="subscript"/>
          <w:shd w:val="clear" w:color="auto" w:fill="520B90"/>
        </w:rPr>
        <w:t>ü</w:t>
      </w:r>
      <w:r>
        <w:rPr>
          <w:rFonts w:ascii="Arial" w:cs="Arial" w:eastAsia="Arial" w:hAnsi="Arial"/>
          <w:sz w:val="15"/>
          <w:szCs w:val="15"/>
          <w:b w:val="1"/>
          <w:bCs w:val="1"/>
          <w:color w:val="520B90"/>
        </w:rPr>
        <w:t xml:space="preserve"> </w:t>
      </w:r>
      <w:r>
        <w:rPr>
          <w:rFonts w:ascii="Arial" w:cs="Arial" w:eastAsia="Arial" w:hAnsi="Arial"/>
          <w:sz w:val="29"/>
          <w:szCs w:val="29"/>
          <w:b w:val="1"/>
          <w:bCs w:val="1"/>
          <w:color w:val="520B90"/>
          <w:vertAlign w:val="subscript"/>
        </w:rPr>
        <w:t>One-share, one-vote standard</w:t>
      </w:r>
      <w:r>
        <w:rPr>
          <w:rFonts w:ascii="Arial" w:cs="Arial" w:eastAsia="Arial" w:hAnsi="Arial"/>
          <w:sz w:val="15"/>
          <w:szCs w:val="15"/>
          <w:b w:val="1"/>
          <w:bCs w:val="1"/>
          <w:color w:val="520B90"/>
        </w:rPr>
        <w:t xml:space="preserve"> tenure of 5.7 years</w:t>
      </w:r>
    </w:p>
    <w:p>
      <w:pPr>
        <w:spacing w:after="0" w:line="128" w:lineRule="exact"/>
        <w:rPr>
          <w:sz w:val="20"/>
          <w:szCs w:val="20"/>
          <w:color w:val="auto"/>
        </w:rPr>
      </w:pPr>
    </w:p>
    <w:p>
      <w:pPr>
        <w:ind w:left="700"/>
        <w:spacing w:after="0"/>
        <w:tabs>
          <w:tab w:leader="none" w:pos="5160" w:val="left"/>
        </w:tabs>
        <w:rPr>
          <w:sz w:val="20"/>
          <w:szCs w:val="20"/>
          <w:color w:val="auto"/>
        </w:rPr>
      </w:pPr>
      <w:r>
        <w:rPr>
          <w:rFonts w:ascii="Wingdings" w:cs="Wingdings" w:eastAsia="Wingdings" w:hAnsi="Wingdings"/>
          <w:sz w:val="18"/>
          <w:szCs w:val="18"/>
          <w:b w:val="1"/>
          <w:bCs w:val="1"/>
          <w:color w:val="auto"/>
          <w:shd w:val="clear" w:color="auto" w:fill="520B90"/>
        </w:rPr>
        <w:t xml:space="preserve">ü </w:t>
      </w:r>
      <w:r>
        <w:rPr>
          <w:rFonts w:ascii="Arial" w:cs="Arial" w:eastAsia="Arial" w:hAnsi="Arial"/>
          <w:sz w:val="15"/>
          <w:szCs w:val="15"/>
          <w:b w:val="1"/>
          <w:bCs w:val="1"/>
          <w:color w:val="520B90"/>
        </w:rPr>
        <w:t>Separate CEO and independent Board Chair</w:t>
      </w:r>
      <w:r>
        <w:rPr>
          <w:sz w:val="20"/>
          <w:szCs w:val="20"/>
          <w:color w:val="auto"/>
        </w:rPr>
        <w:tab/>
      </w:r>
      <w:r>
        <w:rPr>
          <w:rFonts w:ascii="Wingdings" w:cs="Wingdings" w:eastAsia="Wingdings" w:hAnsi="Wingdings"/>
          <w:sz w:val="18"/>
          <w:szCs w:val="18"/>
          <w:b w:val="1"/>
          <w:bCs w:val="1"/>
          <w:color w:val="auto"/>
          <w:shd w:val="clear" w:color="auto" w:fill="520B90"/>
        </w:rPr>
        <w:t xml:space="preserve">ü </w:t>
      </w:r>
      <w:r>
        <w:rPr>
          <w:rFonts w:ascii="Arial" w:cs="Arial" w:eastAsia="Arial" w:hAnsi="Arial"/>
          <w:sz w:val="15"/>
          <w:szCs w:val="15"/>
          <w:b w:val="1"/>
          <w:bCs w:val="1"/>
          <w:color w:val="520B90"/>
        </w:rPr>
        <w:t>Mandatory retirement age (72 years of age)</w:t>
      </w:r>
    </w:p>
    <w:p>
      <w:pPr>
        <w:spacing w:after="0" w:line="224" w:lineRule="exact"/>
        <w:rPr>
          <w:sz w:val="20"/>
          <w:szCs w:val="20"/>
          <w:color w:val="auto"/>
        </w:rPr>
      </w:pPr>
    </w:p>
    <w:p>
      <w:pPr>
        <w:ind w:left="700"/>
        <w:spacing w:after="0"/>
        <w:tabs>
          <w:tab w:leader="none" w:pos="5160" w:val="left"/>
        </w:tabs>
        <w:rPr>
          <w:sz w:val="20"/>
          <w:szCs w:val="20"/>
          <w:color w:val="auto"/>
        </w:rPr>
      </w:pPr>
      <w:r>
        <w:rPr>
          <w:rFonts w:ascii="Wingdings" w:cs="Wingdings" w:eastAsia="Wingdings" w:hAnsi="Wingdings"/>
          <w:sz w:val="18"/>
          <w:szCs w:val="18"/>
          <w:b w:val="1"/>
          <w:bCs w:val="1"/>
          <w:color w:val="auto"/>
          <w:shd w:val="clear" w:color="auto" w:fill="520B90"/>
        </w:rPr>
        <w:t xml:space="preserve">ü </w:t>
      </w:r>
      <w:r>
        <w:rPr>
          <w:rFonts w:ascii="Arial" w:cs="Arial" w:eastAsia="Arial" w:hAnsi="Arial"/>
          <w:sz w:val="15"/>
          <w:szCs w:val="15"/>
          <w:b w:val="1"/>
          <w:bCs w:val="1"/>
          <w:color w:val="520B90"/>
        </w:rPr>
        <w:t>Regular Board executive sessions</w:t>
      </w:r>
      <w:r>
        <w:rPr>
          <w:sz w:val="20"/>
          <w:szCs w:val="20"/>
          <w:color w:val="auto"/>
        </w:rPr>
        <w:tab/>
      </w:r>
      <w:r>
        <w:rPr>
          <w:rFonts w:ascii="Wingdings" w:cs="Wingdings" w:eastAsia="Wingdings" w:hAnsi="Wingdings"/>
          <w:sz w:val="17"/>
          <w:szCs w:val="17"/>
          <w:b w:val="1"/>
          <w:bCs w:val="1"/>
          <w:color w:val="auto"/>
          <w:shd w:val="clear" w:color="auto" w:fill="520B90"/>
        </w:rPr>
        <w:t xml:space="preserve">ü </w:t>
      </w:r>
      <w:r>
        <w:rPr>
          <w:rFonts w:ascii="Arial" w:cs="Arial" w:eastAsia="Arial" w:hAnsi="Arial"/>
          <w:sz w:val="14"/>
          <w:szCs w:val="14"/>
          <w:b w:val="1"/>
          <w:bCs w:val="1"/>
          <w:color w:val="520B90"/>
        </w:rPr>
        <w:t>Proxy access</w:t>
      </w:r>
    </w:p>
    <w:p>
      <w:pPr>
        <w:spacing w:after="0" w:line="224" w:lineRule="exact"/>
        <w:rPr>
          <w:sz w:val="20"/>
          <w:szCs w:val="20"/>
          <w:color w:val="auto"/>
        </w:rPr>
      </w:pPr>
    </w:p>
    <w:p>
      <w:pPr>
        <w:ind w:left="700"/>
        <w:spacing w:after="0"/>
        <w:tabs>
          <w:tab w:leader="none" w:pos="5160" w:val="left"/>
        </w:tabs>
        <w:rPr>
          <w:sz w:val="20"/>
          <w:szCs w:val="20"/>
          <w:color w:val="auto"/>
        </w:rPr>
      </w:pPr>
      <w:r>
        <w:rPr>
          <w:rFonts w:ascii="Wingdings" w:cs="Wingdings" w:eastAsia="Wingdings" w:hAnsi="Wingdings"/>
          <w:sz w:val="18"/>
          <w:szCs w:val="18"/>
          <w:b w:val="1"/>
          <w:bCs w:val="1"/>
          <w:color w:val="auto"/>
          <w:shd w:val="clear" w:color="auto" w:fill="520B90"/>
        </w:rPr>
        <w:t xml:space="preserve">ü </w:t>
      </w:r>
      <w:r>
        <w:rPr>
          <w:rFonts w:ascii="Arial" w:cs="Arial" w:eastAsia="Arial" w:hAnsi="Arial"/>
          <w:sz w:val="15"/>
          <w:szCs w:val="15"/>
          <w:b w:val="1"/>
          <w:bCs w:val="1"/>
          <w:color w:val="520B90"/>
        </w:rPr>
        <w:t>Stockholder ability to call special meetings</w:t>
      </w:r>
      <w:r>
        <w:rPr>
          <w:sz w:val="20"/>
          <w:szCs w:val="20"/>
          <w:color w:val="auto"/>
        </w:rPr>
        <w:tab/>
      </w:r>
      <w:r>
        <w:rPr>
          <w:rFonts w:ascii="Wingdings" w:cs="Wingdings" w:eastAsia="Wingdings" w:hAnsi="Wingdings"/>
          <w:sz w:val="18"/>
          <w:szCs w:val="18"/>
          <w:b w:val="1"/>
          <w:bCs w:val="1"/>
          <w:color w:val="auto"/>
          <w:shd w:val="clear" w:color="auto" w:fill="520B90"/>
        </w:rPr>
        <w:t xml:space="preserve">ü </w:t>
      </w:r>
      <w:r>
        <w:rPr>
          <w:rFonts w:ascii="Arial" w:cs="Arial" w:eastAsia="Arial" w:hAnsi="Arial"/>
          <w:sz w:val="15"/>
          <w:szCs w:val="15"/>
          <w:b w:val="1"/>
          <w:bCs w:val="1"/>
          <w:color w:val="520B90"/>
        </w:rPr>
        <w:t>No "poison pill"</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Sustainability Highlights</w:t>
      </w:r>
    </w:p>
    <w:p>
      <w:pPr>
        <w:spacing w:after="0" w:line="166" w:lineRule="exact"/>
        <w:rPr>
          <w:sz w:val="20"/>
          <w:szCs w:val="20"/>
          <w:color w:val="auto"/>
        </w:rPr>
      </w:pPr>
    </w:p>
    <w:p>
      <w:pPr>
        <w:ind w:right="620"/>
        <w:spacing w:after="0" w:line="282" w:lineRule="auto"/>
        <w:rPr>
          <w:sz w:val="20"/>
          <w:szCs w:val="20"/>
          <w:color w:val="auto"/>
        </w:rPr>
      </w:pPr>
      <w:r>
        <w:rPr>
          <w:rFonts w:ascii="Arial" w:cs="Arial" w:eastAsia="Arial" w:hAnsi="Arial"/>
          <w:sz w:val="17"/>
          <w:szCs w:val="17"/>
          <w:color w:val="auto"/>
        </w:rPr>
        <w:t>We are dedicated to operating responsibly and ethically as we strive to meet the growing need for data and connectivity through our shared wireless infrastructure model, which is inherently sustainable. By building once and using our infrastructure for multiple tenants, we lower the total number of assets that would otherwise be needed, reducing resource use and overall emissions.</w:t>
      </w:r>
    </w:p>
    <w:p>
      <w:pPr>
        <w:spacing w:after="0" w:line="10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Governance Structure</w:t>
      </w:r>
    </w:p>
    <w:p>
      <w:pPr>
        <w:spacing w:after="0" w:line="164" w:lineRule="exact"/>
        <w:rPr>
          <w:sz w:val="20"/>
          <w:szCs w:val="20"/>
          <w:color w:val="auto"/>
        </w:rPr>
      </w:pPr>
    </w:p>
    <w:p>
      <w:pPr>
        <w:ind w:right="640"/>
        <w:spacing w:after="0" w:line="255" w:lineRule="auto"/>
        <w:rPr>
          <w:sz w:val="20"/>
          <w:szCs w:val="20"/>
          <w:color w:val="auto"/>
        </w:rPr>
      </w:pPr>
      <w:r>
        <w:rPr>
          <w:rFonts w:ascii="Arial" w:cs="Arial" w:eastAsia="Arial" w:hAnsi="Arial"/>
          <w:sz w:val="18"/>
          <w:szCs w:val="18"/>
          <w:color w:val="auto"/>
        </w:rPr>
        <w:t>The Board is actively engaged in the oversight of our strategy for long-term sustainability and value creation, including overseeing and assessing our risk management strategy. The Nominating and Governance Committee ("N&amp;G Committee") assists the Board in overseeing our sustainability strategies, goals and initiatives, receiving quarterly updates from senior management on related risks, opportunities and progress.</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2025 Progress</w:t>
      </w:r>
    </w:p>
    <w:p>
      <w:pPr>
        <w:spacing w:after="0" w:line="164" w:lineRule="exact"/>
        <w:rPr>
          <w:sz w:val="20"/>
          <w:szCs w:val="20"/>
          <w:color w:val="auto"/>
        </w:rPr>
      </w:pPr>
    </w:p>
    <w:p>
      <w:pPr>
        <w:ind w:right="540"/>
        <w:spacing w:after="0" w:line="251" w:lineRule="auto"/>
        <w:rPr>
          <w:sz w:val="20"/>
          <w:szCs w:val="20"/>
          <w:color w:val="auto"/>
        </w:rPr>
      </w:pPr>
      <w:r>
        <w:rPr>
          <w:rFonts w:ascii="Arial" w:cs="Arial" w:eastAsia="Arial" w:hAnsi="Arial"/>
          <w:sz w:val="18"/>
          <w:szCs w:val="18"/>
          <w:color w:val="auto"/>
        </w:rPr>
        <w:t>During 2025, we advanced our sustainability strategies, including our goal to be carbon neutral in Scope 1 and 2 emissions by 2025 by sourcing of renewable energy to power our operations and converting our tower lighting systems to LED, resulting in reduced energy costs and improved operational efficiency. The safety and reliability of our infrastructure are central to our business and the communities we serve. Our assets are widely distributed across the U.S., which helps limit the impact of any single weather event on our operations. We proactively assess and maintain our assets to maximize resilience against extreme weather events and other risks.</w:t>
      </w:r>
    </w:p>
    <w:p>
      <w:pPr>
        <w:spacing w:after="0" w:line="131" w:lineRule="exact"/>
        <w:rPr>
          <w:sz w:val="20"/>
          <w:szCs w:val="20"/>
          <w:color w:val="auto"/>
        </w:rPr>
      </w:pPr>
    </w:p>
    <w:p>
      <w:pPr>
        <w:ind w:right="500"/>
        <w:spacing w:after="0" w:line="255" w:lineRule="auto"/>
        <w:rPr>
          <w:sz w:val="20"/>
          <w:szCs w:val="20"/>
          <w:color w:val="auto"/>
        </w:rPr>
      </w:pPr>
      <w:r>
        <w:rPr>
          <w:rFonts w:ascii="Arial" w:cs="Arial" w:eastAsia="Arial" w:hAnsi="Arial"/>
          <w:sz w:val="18"/>
          <w:szCs w:val="18"/>
          <w:color w:val="auto"/>
        </w:rPr>
        <w:t xml:space="preserve">Additional information regarding our sustainability initiatives and progress is available through the Investors section of our website at </w:t>
      </w:r>
      <w:r>
        <w:rPr>
          <w:rFonts w:ascii="Arial" w:cs="Arial" w:eastAsia="Arial" w:hAnsi="Arial"/>
          <w:sz w:val="18"/>
          <w:szCs w:val="18"/>
          <w:u w:val="single" w:color="auto"/>
          <w:color w:val="520B90"/>
        </w:rPr>
        <w:t>https://investor.crowncastle.com</w:t>
      </w:r>
      <w:r>
        <w:rPr>
          <w:rFonts w:ascii="Arial" w:cs="Arial" w:eastAsia="Arial" w:hAnsi="Arial"/>
          <w:sz w:val="18"/>
          <w:szCs w:val="18"/>
          <w:color w:val="auto"/>
        </w:rPr>
        <w:t>. The additional information on our website, including our most recent sustainability report, is not, and shall not be deemed to be, incorporated by reference into this Proxy Statement or any other filings with the Securities and Exchange Commission ("SEC") unless expressly noted in any such other filings.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166" w:lineRule="exact"/>
        <w:rPr>
          <w:sz w:val="20"/>
          <w:szCs w:val="20"/>
          <w:color w:val="auto"/>
        </w:rPr>
      </w:pPr>
    </w:p>
    <w:p>
      <w:pPr>
        <w:ind w:right="700"/>
        <w:spacing w:after="0" w:line="271" w:lineRule="auto"/>
        <w:rPr>
          <w:sz w:val="20"/>
          <w:szCs w:val="20"/>
          <w:color w:val="auto"/>
        </w:rPr>
      </w:pPr>
      <w:r>
        <w:rPr>
          <w:rFonts w:ascii="Arial" w:cs="Arial" w:eastAsia="Arial" w:hAnsi="Arial"/>
          <w:sz w:val="17"/>
          <w:szCs w:val="17"/>
          <w:color w:val="auto"/>
        </w:rPr>
        <w:t>Rewarding improvement in our financial and operating results and the creation of stockholder value are key characteristics of our compensation philosophy, which serves as the foundation of our executive compensation program. To align the interests of our executives with those of our stockholders, the focus of our executive compensation program is on incentive compensation that emphasizes "pay-for-performance," rewarding our executives for performance against pre-established financial goals and total stockholder return ("TSR"). Our executive compensation program is discussed in detail in section "IV.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3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ectPr>
          <w:pgSz w:w="11900" w:h="16838" w:orient="portrait"/>
          <w:cols w:equalWidth="0" w:num="1">
            <w:col w:w="10740"/>
          </w:cols>
          <w:pgMar w:left="820" w:top="359" w:right="339" w:bottom="1440" w:gutter="0" w:footer="0" w:header="0"/>
        </w:sectPr>
      </w:pPr>
    </w:p>
    <w:p>
      <w:pPr>
        <w:spacing w:after="0" w:line="186"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67310</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740"/>
          </w:cols>
          <w:pgMar w:left="820" w:top="359" w:right="339" w:bottom="1440" w:gutter="0" w:footer="0" w:header="0"/>
          <w:type w:val="continuous"/>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520B90"/>
        </w:rPr>
        <w:t>2026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336550</wp:posOffset>
            </wp:positionV>
            <wp:extent cx="7131050" cy="62992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1050" cy="6299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Alignment of Pay and Performance</w:t>
      </w:r>
    </w:p>
    <w:p>
      <w:pPr>
        <w:spacing w:after="0" w:line="164" w:lineRule="exact"/>
        <w:rPr>
          <w:sz w:val="20"/>
          <w:szCs w:val="20"/>
          <w:color w:val="auto"/>
        </w:rPr>
      </w:pPr>
    </w:p>
    <w:p>
      <w:pPr>
        <w:ind w:right="740"/>
        <w:spacing w:after="0" w:line="251" w:lineRule="auto"/>
        <w:rPr>
          <w:sz w:val="20"/>
          <w:szCs w:val="20"/>
          <w:color w:val="auto"/>
        </w:rPr>
      </w:pPr>
      <w:r>
        <w:rPr>
          <w:rFonts w:ascii="Arial" w:cs="Arial" w:eastAsia="Arial" w:hAnsi="Arial"/>
          <w:sz w:val="18"/>
          <w:szCs w:val="18"/>
          <w:color w:val="auto"/>
        </w:rPr>
        <w:t>We seek to align the interests of our named executive officers ("NEOs"), including our chief executive officer ("CEO"), with the interests of our stockholders. Our executive compensation program aims to reward performance against specific, strategic, financial and operational goals that the Compensation and Human Capital Committee ("CHC Committee") believes are critical to the Company's long-term success and the achievement of sustainable long-term stockholder return. For additional information regarding the alignment of pay and performance, see "IV. Executive Compensation—Compensation Discussion and Analysis— Executive Summary."</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2025 Pay Components</w:t>
      </w:r>
    </w:p>
    <w:p>
      <w:pPr>
        <w:spacing w:after="0" w:line="164" w:lineRule="exact"/>
        <w:rPr>
          <w:sz w:val="20"/>
          <w:szCs w:val="20"/>
          <w:color w:val="auto"/>
        </w:rPr>
      </w:pPr>
    </w:p>
    <w:p>
      <w:pPr>
        <w:ind w:right="620"/>
        <w:spacing w:after="0" w:line="250" w:lineRule="auto"/>
        <w:rPr>
          <w:sz w:val="20"/>
          <w:szCs w:val="20"/>
          <w:color w:val="auto"/>
        </w:rPr>
      </w:pPr>
      <w:r>
        <w:rPr>
          <w:rFonts w:ascii="Arial" w:cs="Arial" w:eastAsia="Arial" w:hAnsi="Arial"/>
          <w:sz w:val="18"/>
          <w:szCs w:val="18"/>
          <w:color w:val="auto"/>
        </w:rPr>
        <w:t>As part of our executive compensation program, we provide our NEOs with a base salary, short-term incentives ("STIs") and long-term incentives ("LTIs"). We allocate compensation among these components based on our belief that the majority of executive compensation should be paid in the form of performance-based, variable compensation, with a greater emphasis on "at risk" pay for executives who have greater responsibility for the business. As illustrated below, during 2025, the compensation pay mix for Christian H. Hillabrant, our CEO as of December 31, 2025, and certain of our other NEOs, who served as executive officers of the Company as of December 31, 2025, reflects our objectives of linking pay to performance and aligning executives' interests with those of our stockholders.</w:t>
      </w:r>
    </w:p>
    <w:p>
      <w:pPr>
        <w:spacing w:after="0" w:line="132" w:lineRule="exact"/>
        <w:rPr>
          <w:sz w:val="20"/>
          <w:szCs w:val="20"/>
          <w:color w:val="auto"/>
        </w:rPr>
      </w:pPr>
    </w:p>
    <w:p>
      <w:pPr>
        <w:ind w:right="580"/>
        <w:spacing w:after="0" w:line="259" w:lineRule="auto"/>
        <w:rPr>
          <w:sz w:val="20"/>
          <w:szCs w:val="20"/>
          <w:color w:val="auto"/>
        </w:rPr>
      </w:pPr>
      <w:r>
        <w:rPr>
          <w:rFonts w:ascii="Arial" w:cs="Arial" w:eastAsia="Arial" w:hAnsi="Arial"/>
          <w:sz w:val="18"/>
          <w:szCs w:val="18"/>
          <w:color w:val="auto"/>
        </w:rPr>
        <w:t>The compensation pay mix for our other NEOs reflects the average compensation for these NEOs as a group, excluding our CEO, for 2025. For an individual breakdown of the compensation allocation for each of our NEOs, see "IV. Executive Compensation— Compensation Discussion and Analysis—Executive Compensation Elements."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3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67310</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740"/>
          </w:cols>
          <w:pgMar w:left="820" w:top="359"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520B90"/>
        </w:rPr>
        <w:t>2026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336550</wp:posOffset>
            </wp:positionV>
            <wp:extent cx="7131050" cy="56515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1050" cy="565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620"/>
        <w:spacing w:after="0" w:line="259" w:lineRule="auto"/>
        <w:rPr>
          <w:sz w:val="20"/>
          <w:szCs w:val="20"/>
          <w:color w:val="auto"/>
        </w:rPr>
      </w:pPr>
      <w:r>
        <w:rPr>
          <w:rFonts w:ascii="Arial" w:cs="Arial" w:eastAsia="Arial" w:hAnsi="Arial"/>
          <w:sz w:val="18"/>
          <w:szCs w:val="18"/>
          <w:color w:val="auto"/>
        </w:rPr>
        <w:t>The following illustrates the make-up of, and performance metrics attributable to, the STIs and LTIs awarded to eligible NEOs in 2025. For additional information on the STIs and LTIs, see "IV. Executive Compensation—Compensation Discussion and Analysis —Executive Compensation Elements."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Say-on-Pay</w:t>
      </w:r>
    </w:p>
    <w:p>
      <w:pPr>
        <w:spacing w:after="0" w:line="164" w:lineRule="exact"/>
        <w:rPr>
          <w:sz w:val="20"/>
          <w:szCs w:val="20"/>
          <w:color w:val="auto"/>
        </w:rPr>
      </w:pPr>
    </w:p>
    <w:p>
      <w:pPr>
        <w:ind w:right="660"/>
        <w:spacing w:after="0" w:line="259" w:lineRule="auto"/>
        <w:rPr>
          <w:sz w:val="20"/>
          <w:szCs w:val="20"/>
          <w:color w:val="auto"/>
        </w:rPr>
      </w:pPr>
      <w:r>
        <w:rPr>
          <w:rFonts w:ascii="Arial" w:cs="Arial" w:eastAsia="Arial" w:hAnsi="Arial"/>
          <w:sz w:val="18"/>
          <w:szCs w:val="18"/>
          <w:color w:val="auto"/>
        </w:rPr>
        <w:t>Our stockholders have historically approved our say-on-pay proposal at a high rate, with approximately 93% of votes cast in favor of our executive compensation program at our 2025 annual meeting of stockholders ("2025 Annual Meeting"). Over the past five years, the average stockholder approval of our executive compensation program was 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3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99"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59055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740"/>
          </w:cols>
          <w:pgMar w:left="820" w:top="359" w:right="339" w:bottom="1440" w:gutter="0" w:footer="0" w:header="0"/>
        </w:sectPr>
      </w:pPr>
    </w:p>
    <w:bookmarkStart w:id="11" w:name="page12"/>
    <w:bookmarkEnd w:id="11"/>
    <w:p>
      <w:pPr>
        <w:spacing w:after="0" w:line="44" w:lineRule="exact"/>
        <w:rPr>
          <w:sz w:val="20"/>
          <w:szCs w:val="20"/>
          <w:color w:val="auto"/>
        </w:rPr>
      </w:pPr>
    </w:p>
    <w:p>
      <w:pPr>
        <w:ind w:right="8720" w:firstLine="6"/>
        <w:spacing w:after="0" w:line="430" w:lineRule="auto"/>
        <w:tabs>
          <w:tab w:leader="none" w:pos="245" w:val="left"/>
        </w:tabs>
        <w:numPr>
          <w:ilvl w:val="0"/>
          <w:numId w:val="23"/>
        </w:numPr>
        <w:rPr>
          <w:rFonts w:ascii="Arial" w:cs="Arial" w:eastAsia="Arial" w:hAnsi="Arial"/>
          <w:sz w:val="18"/>
          <w:szCs w:val="18"/>
          <w:b w:val="1"/>
          <w:bCs w:val="1"/>
          <w:color w:val="520B90"/>
        </w:rPr>
      </w:pPr>
      <w:r>
        <w:rPr>
          <w:rFonts w:ascii="Arial" w:cs="Arial" w:eastAsia="Arial" w:hAnsi="Arial"/>
          <w:sz w:val="18"/>
          <w:szCs w:val="18"/>
          <w:b w:val="1"/>
          <w:bCs w:val="1"/>
          <w:color w:val="520B90"/>
        </w:rPr>
        <w:t xml:space="preserve">ELECTION OF DIRECTORS </w:t>
      </w:r>
      <w:r>
        <w:rPr>
          <w:rFonts w:ascii="Arial" w:cs="Arial" w:eastAsia="Arial" w:hAnsi="Arial"/>
          <w:sz w:val="18"/>
          <w:szCs w:val="18"/>
          <w:b w:val="1"/>
          <w:bCs w:val="1"/>
          <w:color w:val="000000"/>
        </w:rPr>
        <w:t>Proposal 1</w:t>
      </w:r>
    </w:p>
    <w:p>
      <w:pPr>
        <w:spacing w:after="0" w:line="1"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Pursuant to our Amended and Restated Certificate of Incorporation ("Charter"), all directors of the Board hold office for a term expiring at the first succeeding annual meeting of stockholders after their election, with each such director holding office until his or her successor shall have been duly elected and qualified ("Annual Term").</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nominees for director at the Annual Meeting are: P. Robert Bartolo, Andrea J. Goldsmith, Christian H. Hillabrant, Tammy K. Jones, Kevin 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Kabat, Anthony J. Melone, Katherine Motlagh, Kevin A. Stephens and Matthew Thornton, III. Each nominee is currently a member of the Board.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If elected at the Annual Meeting, each nominee shall hold office as a director for an Annual Term.</w:t>
      </w:r>
    </w:p>
    <w:p>
      <w:pPr>
        <w:spacing w:after="0" w:line="14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Board is currently composed of 10 directors, and we have 9 director nominees standing for election at the Annual Meeting. Mr. Genrich will not be standing as a nominee for director at the Annual Meeting and will serve on the Board until the expiration of his current term as director at the Annual Meeting. The Board has approved a reduction in the size of the Board to 9 directors, effective upon the election of directors at the Annual Meeting.</w:t>
      </w:r>
    </w:p>
    <w:p>
      <w:pPr>
        <w:spacing w:after="0" w:line="126"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As described under "II. Election of Directors—Board Leadership Structure—Consideration of Director Nominees" below, in considering candidates for election to the Board, the N&amp;G Committee and the Board will generally consider, among other factors, whether prospective nominees are able to read and understand basic financial statements, have relevant business experience, have industry or other specialized expertise and have high moral character.</w:t>
      </w:r>
    </w:p>
    <w:p>
      <w:pPr>
        <w:spacing w:after="0" w:line="12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Each nominee has consented to be nominated and has expressed his or her intention to serve if elected. The Board expects that each of the nominees for director will be able and willing to serve as a director. If any nominee is not available, the proxies may be voted for another person nominated by the current Board, or the size of the Board may be reduced. For information about the nominees, see "II. Election of Directors— Nominees for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7134860" cy="1050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860" cy="1050290"/>
                    </a:xfrm>
                    <a:prstGeom prst="rect">
                      <a:avLst/>
                    </a:prstGeom>
                    <a:noFill/>
                  </pic:spPr>
                </pic:pic>
              </a:graphicData>
            </a:graphic>
          </wp:anchor>
        </w:drawing>
      </w:r>
    </w:p>
    <w:p>
      <w:pPr>
        <w:ind w:left="860"/>
        <w:spacing w:after="0" w:line="181" w:lineRule="auto"/>
        <w:rPr>
          <w:sz w:val="20"/>
          <w:szCs w:val="20"/>
          <w:color w:val="auto"/>
        </w:rPr>
      </w:pPr>
      <w:r>
        <w:rPr>
          <w:rFonts w:ascii="Arial" w:cs="Arial" w:eastAsia="Arial" w:hAnsi="Arial"/>
          <w:sz w:val="82"/>
          <w:szCs w:val="82"/>
          <w:b w:val="1"/>
          <w:bCs w:val="1"/>
          <w:color w:val="auto"/>
        </w:rPr>
        <w:t xml:space="preserve">P </w:t>
      </w:r>
      <w:r>
        <w:rPr>
          <w:rFonts w:ascii="Arial" w:cs="Arial" w:eastAsia="Arial" w:hAnsi="Arial"/>
          <w:sz w:val="16"/>
          <w:szCs w:val="16"/>
          <w:color w:val="auto"/>
        </w:rPr>
        <w:t>The Board unanimously recommends a vote</w:t>
      </w:r>
      <w:r>
        <w:rPr>
          <w:rFonts w:ascii="Arial" w:cs="Arial" w:eastAsia="Arial" w:hAnsi="Arial"/>
          <w:sz w:val="82"/>
          <w:szCs w:val="82"/>
          <w:b w:val="1"/>
          <w:bCs w:val="1"/>
          <w:color w:val="auto"/>
        </w:rPr>
        <w:t xml:space="preserve"> </w:t>
      </w:r>
      <w:r>
        <w:rPr>
          <w:rFonts w:ascii="Arial" w:cs="Arial" w:eastAsia="Arial" w:hAnsi="Arial"/>
          <w:sz w:val="16"/>
          <w:szCs w:val="16"/>
          <w:b w:val="1"/>
          <w:bCs w:val="1"/>
          <w:color w:val="auto"/>
        </w:rPr>
        <w:t>FOR</w:t>
      </w:r>
      <w:r>
        <w:rPr>
          <w:rFonts w:ascii="Arial" w:cs="Arial" w:eastAsia="Arial" w:hAnsi="Arial"/>
          <w:sz w:val="82"/>
          <w:szCs w:val="82"/>
          <w:b w:val="1"/>
          <w:bCs w:val="1"/>
          <w:color w:val="auto"/>
        </w:rPr>
        <w:t xml:space="preserve"> </w:t>
      </w:r>
      <w:r>
        <w:rPr>
          <w:rFonts w:ascii="Arial" w:cs="Arial" w:eastAsia="Arial" w:hAnsi="Arial"/>
          <w:sz w:val="16"/>
          <w:szCs w:val="16"/>
          <w:color w:val="auto"/>
        </w:rPr>
        <w:t>the following</w:t>
      </w:r>
      <w:r>
        <w:rPr>
          <w:rFonts w:ascii="Arial" w:cs="Arial" w:eastAsia="Arial" w:hAnsi="Arial"/>
          <w:sz w:val="82"/>
          <w:szCs w:val="82"/>
          <w:b w:val="1"/>
          <w:bCs w:val="1"/>
          <w:color w:val="auto"/>
        </w:rPr>
        <w:t xml:space="preserve"> </w:t>
      </w:r>
      <w:r>
        <w:rPr>
          <w:rFonts w:ascii="Arial" w:cs="Arial" w:eastAsia="Arial" w:hAnsi="Arial"/>
          <w:sz w:val="16"/>
          <w:szCs w:val="16"/>
          <w:b w:val="1"/>
          <w:bCs w:val="1"/>
          <w:color w:val="auto"/>
        </w:rPr>
        <w:t>nine (9) director nominees:</w:t>
      </w:r>
    </w:p>
    <w:p>
      <w:pPr>
        <w:spacing w:after="0" w:line="27" w:lineRule="exact"/>
        <w:rPr>
          <w:sz w:val="20"/>
          <w:szCs w:val="20"/>
          <w:color w:val="auto"/>
        </w:rPr>
      </w:pPr>
    </w:p>
    <w:tbl>
      <w:tblPr>
        <w:tblLayout w:type="fixed"/>
        <w:tblInd w:w="2700" w:type="dxa"/>
        <w:tblCellMar>
          <w:top w:w="0" w:type="dxa"/>
          <w:left w:w="0" w:type="dxa"/>
          <w:bottom w:w="0" w:type="dxa"/>
          <w:right w:w="0" w:type="dxa"/>
        </w:tblCellMar>
      </w:tblPr>
      <w:tr>
        <w:trPr>
          <w:trHeight w:val="221"/>
        </w:trPr>
        <w:tc>
          <w:tcPr>
            <w:tcW w:w="320" w:type="dxa"/>
            <w:vAlign w:val="bottom"/>
            <w:shd w:val="clear" w:color="auto" w:fill="E6E7E7"/>
          </w:tcPr>
          <w:p>
            <w:pPr>
              <w:ind w:left="160"/>
              <w:spacing w:after="0"/>
              <w:rPr>
                <w:sz w:val="20"/>
                <w:szCs w:val="20"/>
                <w:color w:val="auto"/>
              </w:rPr>
            </w:pPr>
            <w:r>
              <w:rPr>
                <w:rFonts w:ascii="Arial" w:cs="Arial" w:eastAsia="Arial" w:hAnsi="Arial"/>
                <w:sz w:val="18"/>
                <w:szCs w:val="18"/>
                <w:color w:val="520B90"/>
              </w:rPr>
              <w:t>•</w:t>
            </w:r>
          </w:p>
        </w:tc>
        <w:tc>
          <w:tcPr>
            <w:tcW w:w="2460" w:type="dxa"/>
            <w:vAlign w:val="bottom"/>
            <w:shd w:val="clear" w:color="auto" w:fill="E6E7E7"/>
          </w:tcPr>
          <w:p>
            <w:pPr>
              <w:ind w:left="80"/>
              <w:spacing w:after="0"/>
              <w:rPr>
                <w:sz w:val="20"/>
                <w:szCs w:val="20"/>
                <w:color w:val="auto"/>
              </w:rPr>
            </w:pPr>
            <w:r>
              <w:rPr>
                <w:rFonts w:ascii="Arial" w:cs="Arial" w:eastAsia="Arial" w:hAnsi="Arial"/>
                <w:sz w:val="18"/>
                <w:szCs w:val="18"/>
                <w:color w:val="auto"/>
              </w:rPr>
              <w:t>P. Robert Bartolo</w:t>
            </w:r>
          </w:p>
        </w:tc>
        <w:tc>
          <w:tcPr>
            <w:tcW w:w="400" w:type="dxa"/>
            <w:vAlign w:val="bottom"/>
            <w:shd w:val="clear" w:color="auto" w:fill="E6E7E7"/>
          </w:tcPr>
          <w:p>
            <w:pPr>
              <w:ind w:left="260"/>
              <w:spacing w:after="0"/>
              <w:rPr>
                <w:sz w:val="20"/>
                <w:szCs w:val="20"/>
                <w:color w:val="auto"/>
              </w:rPr>
            </w:pPr>
            <w:r>
              <w:rPr>
                <w:rFonts w:ascii="Arial" w:cs="Arial" w:eastAsia="Arial" w:hAnsi="Arial"/>
                <w:sz w:val="18"/>
                <w:szCs w:val="18"/>
                <w:color w:val="520B90"/>
              </w:rPr>
              <w:t>•</w:t>
            </w:r>
          </w:p>
        </w:tc>
        <w:tc>
          <w:tcPr>
            <w:tcW w:w="2080" w:type="dxa"/>
            <w:vAlign w:val="bottom"/>
            <w:shd w:val="clear" w:color="auto" w:fill="E6E7E7"/>
          </w:tcPr>
          <w:p>
            <w:pPr>
              <w:ind w:left="100"/>
              <w:spacing w:after="0"/>
              <w:rPr>
                <w:sz w:val="20"/>
                <w:szCs w:val="20"/>
                <w:color w:val="auto"/>
              </w:rPr>
            </w:pPr>
            <w:r>
              <w:rPr>
                <w:rFonts w:ascii="Arial" w:cs="Arial" w:eastAsia="Arial" w:hAnsi="Arial"/>
                <w:sz w:val="18"/>
                <w:szCs w:val="18"/>
                <w:color w:val="auto"/>
              </w:rPr>
              <w:t>Tammy K. Jones</w:t>
            </w:r>
          </w:p>
        </w:tc>
        <w:tc>
          <w:tcPr>
            <w:tcW w:w="680" w:type="dxa"/>
            <w:vAlign w:val="bottom"/>
            <w:shd w:val="clear" w:color="auto" w:fill="E6E7E7"/>
          </w:tcPr>
          <w:p>
            <w:pPr>
              <w:ind w:left="540"/>
              <w:spacing w:after="0"/>
              <w:rPr>
                <w:sz w:val="20"/>
                <w:szCs w:val="20"/>
                <w:color w:val="auto"/>
              </w:rPr>
            </w:pPr>
            <w:r>
              <w:rPr>
                <w:rFonts w:ascii="Arial" w:cs="Arial" w:eastAsia="Arial" w:hAnsi="Arial"/>
                <w:sz w:val="18"/>
                <w:szCs w:val="18"/>
                <w:color w:val="520B90"/>
              </w:rPr>
              <w:t>•</w:t>
            </w:r>
          </w:p>
        </w:tc>
        <w:tc>
          <w:tcPr>
            <w:tcW w:w="2600" w:type="dxa"/>
            <w:vAlign w:val="bottom"/>
            <w:shd w:val="clear" w:color="auto" w:fill="E6E7E7"/>
          </w:tcPr>
          <w:p>
            <w:pPr>
              <w:ind w:left="80"/>
              <w:spacing w:after="0"/>
              <w:rPr>
                <w:sz w:val="20"/>
                <w:szCs w:val="20"/>
                <w:color w:val="auto"/>
              </w:rPr>
            </w:pPr>
            <w:r>
              <w:rPr>
                <w:rFonts w:ascii="Arial" w:cs="Arial" w:eastAsia="Arial" w:hAnsi="Arial"/>
                <w:sz w:val="18"/>
                <w:szCs w:val="18"/>
                <w:color w:val="auto"/>
              </w:rPr>
              <w:t>Katherine Motlagh</w:t>
            </w:r>
          </w:p>
        </w:tc>
      </w:tr>
      <w:tr>
        <w:trPr>
          <w:trHeight w:val="212"/>
        </w:trPr>
        <w:tc>
          <w:tcPr>
            <w:tcW w:w="320" w:type="dxa"/>
            <w:vAlign w:val="bottom"/>
            <w:shd w:val="clear" w:color="auto" w:fill="E6E7E7"/>
          </w:tcPr>
          <w:p>
            <w:pPr>
              <w:ind w:left="160"/>
              <w:spacing w:after="0"/>
              <w:rPr>
                <w:sz w:val="20"/>
                <w:szCs w:val="20"/>
                <w:color w:val="auto"/>
              </w:rPr>
            </w:pPr>
            <w:r>
              <w:rPr>
                <w:rFonts w:ascii="Arial" w:cs="Arial" w:eastAsia="Arial" w:hAnsi="Arial"/>
                <w:sz w:val="18"/>
                <w:szCs w:val="18"/>
                <w:color w:val="520B90"/>
              </w:rPr>
              <w:t>•</w:t>
            </w:r>
          </w:p>
        </w:tc>
        <w:tc>
          <w:tcPr>
            <w:tcW w:w="2460" w:type="dxa"/>
            <w:vAlign w:val="bottom"/>
            <w:shd w:val="clear" w:color="auto" w:fill="E6E7E7"/>
          </w:tcPr>
          <w:p>
            <w:pPr>
              <w:ind w:left="80"/>
              <w:spacing w:after="0"/>
              <w:rPr>
                <w:sz w:val="20"/>
                <w:szCs w:val="20"/>
                <w:color w:val="auto"/>
              </w:rPr>
            </w:pPr>
            <w:r>
              <w:rPr>
                <w:rFonts w:ascii="Arial" w:cs="Arial" w:eastAsia="Arial" w:hAnsi="Arial"/>
                <w:sz w:val="18"/>
                <w:szCs w:val="18"/>
                <w:color w:val="auto"/>
              </w:rPr>
              <w:t>Andrea J. Goldsmith</w:t>
            </w:r>
          </w:p>
        </w:tc>
        <w:tc>
          <w:tcPr>
            <w:tcW w:w="400" w:type="dxa"/>
            <w:vAlign w:val="bottom"/>
            <w:shd w:val="clear" w:color="auto" w:fill="E6E7E7"/>
          </w:tcPr>
          <w:p>
            <w:pPr>
              <w:ind w:left="260"/>
              <w:spacing w:after="0"/>
              <w:rPr>
                <w:sz w:val="20"/>
                <w:szCs w:val="20"/>
                <w:color w:val="auto"/>
              </w:rPr>
            </w:pPr>
            <w:r>
              <w:rPr>
                <w:rFonts w:ascii="Arial" w:cs="Arial" w:eastAsia="Arial" w:hAnsi="Arial"/>
                <w:sz w:val="18"/>
                <w:szCs w:val="18"/>
                <w:color w:val="520B90"/>
              </w:rPr>
              <w:t>•</w:t>
            </w:r>
          </w:p>
        </w:tc>
        <w:tc>
          <w:tcPr>
            <w:tcW w:w="2080" w:type="dxa"/>
            <w:vAlign w:val="bottom"/>
            <w:shd w:val="clear" w:color="auto" w:fill="E6E7E7"/>
          </w:tcPr>
          <w:p>
            <w:pPr>
              <w:ind w:left="100"/>
              <w:spacing w:after="0"/>
              <w:rPr>
                <w:sz w:val="20"/>
                <w:szCs w:val="20"/>
                <w:color w:val="auto"/>
              </w:rPr>
            </w:pPr>
            <w:r>
              <w:rPr>
                <w:rFonts w:ascii="Arial" w:cs="Arial" w:eastAsia="Arial" w:hAnsi="Arial"/>
                <w:sz w:val="18"/>
                <w:szCs w:val="18"/>
                <w:color w:val="auto"/>
              </w:rPr>
              <w:t>Kevin T. Kabat</w:t>
            </w:r>
          </w:p>
        </w:tc>
        <w:tc>
          <w:tcPr>
            <w:tcW w:w="680" w:type="dxa"/>
            <w:vAlign w:val="bottom"/>
            <w:shd w:val="clear" w:color="auto" w:fill="E6E7E7"/>
          </w:tcPr>
          <w:p>
            <w:pPr>
              <w:ind w:left="540"/>
              <w:spacing w:after="0"/>
              <w:rPr>
                <w:sz w:val="20"/>
                <w:szCs w:val="20"/>
                <w:color w:val="auto"/>
              </w:rPr>
            </w:pPr>
            <w:r>
              <w:rPr>
                <w:rFonts w:ascii="Arial" w:cs="Arial" w:eastAsia="Arial" w:hAnsi="Arial"/>
                <w:sz w:val="18"/>
                <w:szCs w:val="18"/>
                <w:color w:val="520B90"/>
              </w:rPr>
              <w:t>•</w:t>
            </w:r>
          </w:p>
        </w:tc>
        <w:tc>
          <w:tcPr>
            <w:tcW w:w="2600" w:type="dxa"/>
            <w:vAlign w:val="bottom"/>
            <w:shd w:val="clear" w:color="auto" w:fill="E6E7E7"/>
          </w:tcPr>
          <w:p>
            <w:pPr>
              <w:ind w:left="80"/>
              <w:spacing w:after="0"/>
              <w:rPr>
                <w:sz w:val="20"/>
                <w:szCs w:val="20"/>
                <w:color w:val="auto"/>
              </w:rPr>
            </w:pPr>
            <w:r>
              <w:rPr>
                <w:rFonts w:ascii="Arial" w:cs="Arial" w:eastAsia="Arial" w:hAnsi="Arial"/>
                <w:sz w:val="18"/>
                <w:szCs w:val="18"/>
                <w:color w:val="auto"/>
              </w:rPr>
              <w:t>Kevin A. Stephens</w:t>
            </w:r>
          </w:p>
        </w:tc>
      </w:tr>
      <w:tr>
        <w:trPr>
          <w:trHeight w:val="232"/>
        </w:trPr>
        <w:tc>
          <w:tcPr>
            <w:tcW w:w="320" w:type="dxa"/>
            <w:vAlign w:val="bottom"/>
            <w:shd w:val="clear" w:color="auto" w:fill="E6E7E7"/>
          </w:tcPr>
          <w:p>
            <w:pPr>
              <w:ind w:left="160"/>
              <w:spacing w:after="0"/>
              <w:rPr>
                <w:sz w:val="20"/>
                <w:szCs w:val="20"/>
                <w:color w:val="auto"/>
              </w:rPr>
            </w:pPr>
            <w:r>
              <w:rPr>
                <w:rFonts w:ascii="Arial" w:cs="Arial" w:eastAsia="Arial" w:hAnsi="Arial"/>
                <w:sz w:val="18"/>
                <w:szCs w:val="18"/>
                <w:color w:val="520B90"/>
              </w:rPr>
              <w:t>•</w:t>
            </w:r>
          </w:p>
        </w:tc>
        <w:tc>
          <w:tcPr>
            <w:tcW w:w="2460" w:type="dxa"/>
            <w:vAlign w:val="bottom"/>
            <w:shd w:val="clear" w:color="auto" w:fill="E6E7E7"/>
          </w:tcPr>
          <w:p>
            <w:pPr>
              <w:ind w:left="80"/>
              <w:spacing w:after="0"/>
              <w:rPr>
                <w:sz w:val="20"/>
                <w:szCs w:val="20"/>
                <w:color w:val="auto"/>
              </w:rPr>
            </w:pPr>
            <w:r>
              <w:rPr>
                <w:rFonts w:ascii="Arial" w:cs="Arial" w:eastAsia="Arial" w:hAnsi="Arial"/>
                <w:sz w:val="18"/>
                <w:szCs w:val="18"/>
                <w:color w:val="auto"/>
              </w:rPr>
              <w:t>Christian H. Hillabrant</w:t>
            </w:r>
          </w:p>
        </w:tc>
        <w:tc>
          <w:tcPr>
            <w:tcW w:w="400" w:type="dxa"/>
            <w:vAlign w:val="bottom"/>
            <w:shd w:val="clear" w:color="auto" w:fill="E6E7E7"/>
          </w:tcPr>
          <w:p>
            <w:pPr>
              <w:ind w:left="260"/>
              <w:spacing w:after="0"/>
              <w:rPr>
                <w:sz w:val="20"/>
                <w:szCs w:val="20"/>
                <w:color w:val="auto"/>
              </w:rPr>
            </w:pPr>
            <w:r>
              <w:rPr>
                <w:rFonts w:ascii="Arial" w:cs="Arial" w:eastAsia="Arial" w:hAnsi="Arial"/>
                <w:sz w:val="18"/>
                <w:szCs w:val="18"/>
                <w:color w:val="520B90"/>
              </w:rPr>
              <w:t>•</w:t>
            </w:r>
          </w:p>
        </w:tc>
        <w:tc>
          <w:tcPr>
            <w:tcW w:w="2080" w:type="dxa"/>
            <w:vAlign w:val="bottom"/>
            <w:shd w:val="clear" w:color="auto" w:fill="E6E7E7"/>
          </w:tcPr>
          <w:p>
            <w:pPr>
              <w:ind w:left="100"/>
              <w:spacing w:after="0"/>
              <w:rPr>
                <w:sz w:val="20"/>
                <w:szCs w:val="20"/>
                <w:color w:val="auto"/>
              </w:rPr>
            </w:pPr>
            <w:r>
              <w:rPr>
                <w:rFonts w:ascii="Arial" w:cs="Arial" w:eastAsia="Arial" w:hAnsi="Arial"/>
                <w:sz w:val="18"/>
                <w:szCs w:val="18"/>
                <w:color w:val="auto"/>
              </w:rPr>
              <w:t>Anthony J. Melone</w:t>
            </w:r>
          </w:p>
        </w:tc>
        <w:tc>
          <w:tcPr>
            <w:tcW w:w="680" w:type="dxa"/>
            <w:vAlign w:val="bottom"/>
            <w:shd w:val="clear" w:color="auto" w:fill="E6E7E7"/>
          </w:tcPr>
          <w:p>
            <w:pPr>
              <w:ind w:left="540"/>
              <w:spacing w:after="0"/>
              <w:rPr>
                <w:sz w:val="20"/>
                <w:szCs w:val="20"/>
                <w:color w:val="auto"/>
              </w:rPr>
            </w:pPr>
            <w:r>
              <w:rPr>
                <w:rFonts w:ascii="Arial" w:cs="Arial" w:eastAsia="Arial" w:hAnsi="Arial"/>
                <w:sz w:val="18"/>
                <w:szCs w:val="18"/>
                <w:color w:val="520B90"/>
              </w:rPr>
              <w:t>•</w:t>
            </w:r>
          </w:p>
        </w:tc>
        <w:tc>
          <w:tcPr>
            <w:tcW w:w="2600" w:type="dxa"/>
            <w:vAlign w:val="bottom"/>
            <w:shd w:val="clear" w:color="auto" w:fill="E6E7E7"/>
          </w:tcPr>
          <w:p>
            <w:pPr>
              <w:ind w:left="80"/>
              <w:spacing w:after="0"/>
              <w:rPr>
                <w:sz w:val="20"/>
                <w:szCs w:val="20"/>
                <w:color w:val="auto"/>
              </w:rPr>
            </w:pPr>
            <w:r>
              <w:rPr>
                <w:rFonts w:ascii="Arial" w:cs="Arial" w:eastAsia="Arial" w:hAnsi="Arial"/>
                <w:sz w:val="18"/>
                <w:szCs w:val="18"/>
                <w:color w:val="auto"/>
              </w:rPr>
              <w:t>Matthew Thornton, III</w:t>
            </w:r>
          </w:p>
        </w:tc>
      </w:tr>
      <w:tr>
        <w:trPr>
          <w:trHeight w:val="420"/>
        </w:trPr>
        <w:tc>
          <w:tcPr>
            <w:tcW w:w="320" w:type="dxa"/>
            <w:vAlign w:val="bottom"/>
            <w:shd w:val="clear" w:color="auto" w:fill="E6E7E7"/>
          </w:tcPr>
          <w:p>
            <w:pPr>
              <w:spacing w:after="0"/>
              <w:rPr>
                <w:sz w:val="24"/>
                <w:szCs w:val="24"/>
                <w:color w:val="auto"/>
              </w:rPr>
            </w:pPr>
          </w:p>
        </w:tc>
        <w:tc>
          <w:tcPr>
            <w:tcW w:w="2460" w:type="dxa"/>
            <w:vAlign w:val="bottom"/>
            <w:shd w:val="clear" w:color="auto" w:fill="E6E7E7"/>
          </w:tcPr>
          <w:p>
            <w:pPr>
              <w:spacing w:after="0"/>
              <w:rPr>
                <w:sz w:val="24"/>
                <w:szCs w:val="24"/>
                <w:color w:val="auto"/>
              </w:rPr>
            </w:pPr>
          </w:p>
        </w:tc>
        <w:tc>
          <w:tcPr>
            <w:tcW w:w="400" w:type="dxa"/>
            <w:vAlign w:val="bottom"/>
            <w:shd w:val="clear" w:color="auto" w:fill="E6E7E7"/>
          </w:tcPr>
          <w:p>
            <w:pPr>
              <w:spacing w:after="0"/>
              <w:rPr>
                <w:sz w:val="24"/>
                <w:szCs w:val="24"/>
                <w:color w:val="auto"/>
              </w:rPr>
            </w:pPr>
          </w:p>
        </w:tc>
        <w:tc>
          <w:tcPr>
            <w:tcW w:w="2080" w:type="dxa"/>
            <w:vAlign w:val="bottom"/>
            <w:shd w:val="clear" w:color="auto" w:fill="E6E7E7"/>
          </w:tcPr>
          <w:p>
            <w:pPr>
              <w:spacing w:after="0"/>
              <w:rPr>
                <w:sz w:val="24"/>
                <w:szCs w:val="24"/>
                <w:color w:val="auto"/>
              </w:rPr>
            </w:pPr>
          </w:p>
        </w:tc>
        <w:tc>
          <w:tcPr>
            <w:tcW w:w="680" w:type="dxa"/>
            <w:vAlign w:val="bottom"/>
            <w:shd w:val="clear" w:color="auto" w:fill="E6E7E7"/>
          </w:tcPr>
          <w:p>
            <w:pPr>
              <w:spacing w:after="0"/>
              <w:rPr>
                <w:sz w:val="24"/>
                <w:szCs w:val="24"/>
                <w:color w:val="auto"/>
              </w:rPr>
            </w:pPr>
          </w:p>
        </w:tc>
        <w:tc>
          <w:tcPr>
            <w:tcW w:w="2600" w:type="dxa"/>
            <w:vAlign w:val="bottom"/>
            <w:shd w:val="clear" w:color="auto" w:fill="E6E7E7"/>
          </w:tcPr>
          <w:p>
            <w:pPr>
              <w:spacing w:after="0"/>
              <w:rPr>
                <w:sz w:val="24"/>
                <w:szCs w:val="24"/>
                <w:color w:val="auto"/>
              </w:rPr>
            </w:pPr>
          </w:p>
        </w:tc>
      </w:tr>
    </w:tbl>
    <w:p>
      <w:pPr>
        <w:spacing w:after="0" w:line="200" w:lineRule="exact"/>
        <w:rPr>
          <w:sz w:val="20"/>
          <w:szCs w:val="20"/>
          <w:color w:val="auto"/>
        </w:rPr>
      </w:pPr>
    </w:p>
    <w:p>
      <w:pPr>
        <w:spacing w:after="0" w:line="250"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Nominees for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1348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83" w:lineRule="exact"/>
        <w:rPr>
          <w:sz w:val="20"/>
          <w:szCs w:val="20"/>
          <w:color w:val="auto"/>
        </w:rPr>
      </w:pPr>
    </w:p>
    <w:p>
      <w:pPr>
        <w:ind w:left="20"/>
        <w:spacing w:after="0"/>
        <w:tabs>
          <w:tab w:leader="none" w:pos="4540" w:val="left"/>
          <w:tab w:leader="none" w:pos="9500" w:val="left"/>
        </w:tabs>
        <w:rPr>
          <w:sz w:val="20"/>
          <w:szCs w:val="20"/>
          <w:color w:val="auto"/>
        </w:rPr>
      </w:pPr>
      <w:r>
        <w:rPr>
          <w:rFonts w:ascii="Arial" w:cs="Arial" w:eastAsia="Arial" w:hAnsi="Arial"/>
          <w:sz w:val="18"/>
          <w:szCs w:val="18"/>
          <w:b w:val="1"/>
          <w:bCs w:val="1"/>
          <w:color w:val="FFFFFF"/>
        </w:rPr>
        <w:t>P. Robert Bartolo</w:t>
      </w:r>
      <w:r>
        <w:rPr>
          <w:sz w:val="20"/>
          <w:szCs w:val="20"/>
          <w:color w:val="auto"/>
        </w:rPr>
        <w:tab/>
      </w:r>
      <w:r>
        <w:rPr>
          <w:rFonts w:ascii="Arial" w:cs="Arial" w:eastAsia="Arial" w:hAnsi="Arial"/>
          <w:sz w:val="18"/>
          <w:szCs w:val="18"/>
          <w:b w:val="1"/>
          <w:bCs w:val="1"/>
          <w:color w:val="FFFFFF"/>
        </w:rPr>
        <w:t>Age: 54</w:t>
      </w:r>
      <w:r>
        <w:rPr>
          <w:sz w:val="20"/>
          <w:szCs w:val="20"/>
          <w:color w:val="auto"/>
        </w:rPr>
        <w:tab/>
      </w:r>
      <w:r>
        <w:rPr>
          <w:rFonts w:ascii="Arial" w:cs="Arial" w:eastAsia="Arial" w:hAnsi="Arial"/>
          <w:sz w:val="17"/>
          <w:szCs w:val="17"/>
          <w:b w:val="1"/>
          <w:bCs w:val="1"/>
          <w:color w:val="FFFFFF"/>
        </w:rPr>
        <w:t>Director Since: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7134860" cy="24625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860" cy="2462530"/>
                    </a:xfrm>
                    <a:prstGeom prst="rect">
                      <a:avLst/>
                    </a:prstGeom>
                    <a:noFill/>
                  </pic:spPr>
                </pic:pic>
              </a:graphicData>
            </a:graphic>
          </wp:anchor>
        </w:drawing>
      </w:r>
    </w:p>
    <w:p>
      <w:pPr>
        <w:sectPr>
          <w:pgSz w:w="11900" w:h="16838" w:orient="portrait"/>
          <w:cols w:equalWidth="0" w:num="1">
            <w:col w:w="11220"/>
          </w:cols>
          <w:pgMar w:left="320" w:top="139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 xml:space="preserve">Board Chair </w:t>
      </w:r>
      <w:r>
        <w:rPr>
          <w:rFonts w:ascii="Arial" w:cs="Arial" w:eastAsia="Arial" w:hAnsi="Arial"/>
          <w:sz w:val="17"/>
          <w:szCs w:val="17"/>
          <w:color w:val="auto"/>
        </w:rPr>
        <w:t>(since 2022)</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Committees</w:t>
      </w:r>
      <w:r>
        <w:rPr>
          <w:rFonts w:ascii="Arial" w:cs="Arial" w:eastAsia="Arial" w:hAnsi="Arial"/>
          <w:sz w:val="17"/>
          <w:szCs w:val="17"/>
          <w:color w:val="auto"/>
        </w:rPr>
        <w:t>:</w:t>
      </w:r>
    </w:p>
    <w:p>
      <w:pPr>
        <w:spacing w:after="0" w:line="56" w:lineRule="exact"/>
        <w:rPr>
          <w:sz w:val="20"/>
          <w:szCs w:val="20"/>
          <w:color w:val="auto"/>
        </w:rPr>
      </w:pPr>
    </w:p>
    <w:p>
      <w:pPr>
        <w:ind w:left="340" w:hanging="158"/>
        <w:spacing w:after="0"/>
        <w:tabs>
          <w:tab w:leader="none" w:pos="340" w:val="left"/>
        </w:tabs>
        <w:numPr>
          <w:ilvl w:val="0"/>
          <w:numId w:val="24"/>
        </w:numPr>
        <w:rPr>
          <w:rFonts w:ascii="Arial" w:cs="Arial" w:eastAsia="Arial" w:hAnsi="Arial"/>
          <w:sz w:val="17"/>
          <w:szCs w:val="17"/>
          <w:b w:val="1"/>
          <w:bCs w:val="1"/>
          <w:color w:val="520B90"/>
        </w:rPr>
      </w:pPr>
      <w:r>
        <w:rPr>
          <w:rFonts w:ascii="Arial" w:cs="Arial" w:eastAsia="Arial" w:hAnsi="Arial"/>
          <w:sz w:val="17"/>
          <w:szCs w:val="17"/>
          <w:color w:val="auto"/>
        </w:rPr>
        <w:t xml:space="preserve">Fiber Review, </w:t>
      </w:r>
      <w:r>
        <w:rPr>
          <w:rFonts w:ascii="Arial" w:cs="Arial" w:eastAsia="Arial" w:hAnsi="Arial"/>
          <w:sz w:val="17"/>
          <w:szCs w:val="17"/>
          <w:b w:val="1"/>
          <w:bCs w:val="1"/>
          <w:color w:val="520B90"/>
        </w:rPr>
        <w:t>Chair</w:t>
      </w:r>
    </w:p>
    <w:p>
      <w:pPr>
        <w:spacing w:after="0" w:line="55" w:lineRule="exact"/>
        <w:rPr>
          <w:rFonts w:ascii="Arial" w:cs="Arial" w:eastAsia="Arial" w:hAnsi="Arial"/>
          <w:sz w:val="17"/>
          <w:szCs w:val="17"/>
          <w:b w:val="1"/>
          <w:bCs w:val="1"/>
          <w:color w:val="520B90"/>
        </w:rPr>
      </w:pPr>
    </w:p>
    <w:p>
      <w:pPr>
        <w:ind w:left="340" w:hanging="158"/>
        <w:spacing w:after="0"/>
        <w:tabs>
          <w:tab w:leader="none" w:pos="340" w:val="left"/>
        </w:tabs>
        <w:numPr>
          <w:ilvl w:val="0"/>
          <w:numId w:val="24"/>
        </w:numPr>
        <w:rPr>
          <w:rFonts w:ascii="Arial" w:cs="Arial" w:eastAsia="Arial" w:hAnsi="Arial"/>
          <w:sz w:val="17"/>
          <w:szCs w:val="17"/>
          <w:b w:val="1"/>
          <w:bCs w:val="1"/>
          <w:color w:val="520B90"/>
        </w:rPr>
      </w:pPr>
      <w:r>
        <w:rPr>
          <w:rFonts w:ascii="Arial" w:cs="Arial" w:eastAsia="Arial" w:hAnsi="Arial"/>
          <w:sz w:val="17"/>
          <w:szCs w:val="17"/>
          <w:color w:val="auto"/>
        </w:rPr>
        <w:t>Finance</w:t>
      </w:r>
    </w:p>
    <w:p>
      <w:pPr>
        <w:spacing w:after="0" w:line="55" w:lineRule="exact"/>
        <w:rPr>
          <w:rFonts w:ascii="Arial" w:cs="Arial" w:eastAsia="Arial" w:hAnsi="Arial"/>
          <w:sz w:val="17"/>
          <w:szCs w:val="17"/>
          <w:b w:val="1"/>
          <w:bCs w:val="1"/>
          <w:color w:val="520B90"/>
        </w:rPr>
      </w:pPr>
    </w:p>
    <w:p>
      <w:pPr>
        <w:ind w:left="340" w:hanging="158"/>
        <w:spacing w:after="0"/>
        <w:tabs>
          <w:tab w:leader="none" w:pos="340" w:val="left"/>
        </w:tabs>
        <w:numPr>
          <w:ilvl w:val="0"/>
          <w:numId w:val="24"/>
        </w:numPr>
        <w:rPr>
          <w:rFonts w:ascii="Arial" w:cs="Arial" w:eastAsia="Arial" w:hAnsi="Arial"/>
          <w:sz w:val="17"/>
          <w:szCs w:val="17"/>
          <w:b w:val="1"/>
          <w:bCs w:val="1"/>
          <w:color w:val="520B90"/>
        </w:rPr>
      </w:pPr>
      <w:r>
        <w:rPr>
          <w:rFonts w:ascii="Arial" w:cs="Arial" w:eastAsia="Arial" w:hAnsi="Arial"/>
          <w:sz w:val="17"/>
          <w:szCs w:val="17"/>
          <w:color w:val="auto"/>
        </w:rPr>
        <w:t>N&amp;G</w:t>
      </w:r>
    </w:p>
    <w:p>
      <w:pPr>
        <w:spacing w:after="0" w:line="36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Other Public Company Directorships</w:t>
      </w:r>
      <w:r>
        <w:rPr>
          <w:rFonts w:ascii="Arial" w:cs="Arial" w:eastAsia="Arial" w:hAnsi="Arial"/>
          <w:sz w:val="17"/>
          <w:szCs w:val="17"/>
          <w:color w:val="auto"/>
        </w:rPr>
        <w:t>:</w:t>
      </w:r>
    </w:p>
    <w:p>
      <w:pPr>
        <w:spacing w:after="0" w:line="56" w:lineRule="exact"/>
        <w:rPr>
          <w:sz w:val="20"/>
          <w:szCs w:val="20"/>
          <w:color w:val="auto"/>
        </w:rPr>
      </w:pPr>
    </w:p>
    <w:p>
      <w:pPr>
        <w:ind w:left="340" w:hanging="158"/>
        <w:spacing w:after="0"/>
        <w:tabs>
          <w:tab w:leader="none" w:pos="340" w:val="left"/>
        </w:tabs>
        <w:numPr>
          <w:ilvl w:val="0"/>
          <w:numId w:val="25"/>
        </w:numPr>
        <w:rPr>
          <w:rFonts w:ascii="Arial" w:cs="Arial" w:eastAsia="Arial" w:hAnsi="Arial"/>
          <w:sz w:val="16"/>
          <w:szCs w:val="16"/>
          <w:b w:val="1"/>
          <w:bCs w:val="1"/>
          <w:color w:val="520B90"/>
        </w:rPr>
      </w:pPr>
      <w:r>
        <w:rPr>
          <w:rFonts w:ascii="Arial" w:cs="Arial" w:eastAsia="Arial" w:hAnsi="Arial"/>
          <w:sz w:val="16"/>
          <w:szCs w:val="16"/>
          <w:color w:val="auto"/>
        </w:rPr>
        <w:t>Cable One, Inc. (NYSE: CABO) (since 2023)</w:t>
      </w:r>
    </w:p>
    <w:p>
      <w:pPr>
        <w:spacing w:after="0" w:line="35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Education</w:t>
      </w:r>
      <w:r>
        <w:rPr>
          <w:rFonts w:ascii="Arial" w:cs="Arial" w:eastAsia="Arial" w:hAnsi="Arial"/>
          <w:sz w:val="17"/>
          <w:szCs w:val="17"/>
          <w:color w:val="auto"/>
        </w:rPr>
        <w:t>:</w:t>
      </w:r>
    </w:p>
    <w:p>
      <w:pPr>
        <w:spacing w:after="0" w:line="56" w:lineRule="exact"/>
        <w:rPr>
          <w:sz w:val="20"/>
          <w:szCs w:val="20"/>
          <w:color w:val="auto"/>
        </w:rPr>
      </w:pPr>
    </w:p>
    <w:p>
      <w:pPr>
        <w:ind w:left="340" w:hanging="158"/>
        <w:spacing w:after="0"/>
        <w:tabs>
          <w:tab w:leader="none" w:pos="340" w:val="left"/>
        </w:tabs>
        <w:numPr>
          <w:ilvl w:val="0"/>
          <w:numId w:val="26"/>
        </w:numPr>
        <w:rPr>
          <w:rFonts w:ascii="Arial" w:cs="Arial" w:eastAsia="Arial" w:hAnsi="Arial"/>
          <w:sz w:val="17"/>
          <w:szCs w:val="17"/>
          <w:b w:val="1"/>
          <w:bCs w:val="1"/>
          <w:color w:val="520B90"/>
        </w:rPr>
      </w:pPr>
      <w:r>
        <w:rPr>
          <w:rFonts w:ascii="Arial" w:cs="Arial" w:eastAsia="Arial" w:hAnsi="Arial"/>
          <w:sz w:val="17"/>
          <w:szCs w:val="17"/>
          <w:color w:val="auto"/>
        </w:rPr>
        <w:t>B.S., University of Southern California</w:t>
      </w:r>
    </w:p>
    <w:p>
      <w:pPr>
        <w:spacing w:after="0" w:line="55" w:lineRule="exact"/>
        <w:rPr>
          <w:rFonts w:ascii="Arial" w:cs="Arial" w:eastAsia="Arial" w:hAnsi="Arial"/>
          <w:sz w:val="17"/>
          <w:szCs w:val="17"/>
          <w:b w:val="1"/>
          <w:bCs w:val="1"/>
          <w:color w:val="520B90"/>
        </w:rPr>
      </w:pPr>
    </w:p>
    <w:p>
      <w:pPr>
        <w:ind w:left="340" w:right="280" w:hanging="158"/>
        <w:spacing w:after="0" w:line="292" w:lineRule="auto"/>
        <w:tabs>
          <w:tab w:leader="none" w:pos="332" w:val="left"/>
        </w:tabs>
        <w:numPr>
          <w:ilvl w:val="0"/>
          <w:numId w:val="26"/>
        </w:numPr>
        <w:rPr>
          <w:rFonts w:ascii="Arial" w:cs="Arial" w:eastAsia="Arial" w:hAnsi="Arial"/>
          <w:sz w:val="17"/>
          <w:szCs w:val="17"/>
          <w:b w:val="1"/>
          <w:bCs w:val="1"/>
          <w:color w:val="520B90"/>
        </w:rPr>
      </w:pPr>
      <w:r>
        <w:rPr>
          <w:rFonts w:ascii="Arial" w:cs="Arial" w:eastAsia="Arial" w:hAnsi="Arial"/>
          <w:sz w:val="17"/>
          <w:szCs w:val="17"/>
          <w:color w:val="auto"/>
        </w:rPr>
        <w:t>M.B.A., Wharton School at the University of Pennsylvania</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Experience</w:t>
      </w:r>
      <w:r>
        <w:rPr>
          <w:rFonts w:ascii="Arial" w:cs="Arial" w:eastAsia="Arial" w:hAnsi="Arial"/>
          <w:sz w:val="17"/>
          <w:szCs w:val="17"/>
          <w:color w:val="auto"/>
        </w:rPr>
        <w:t>:</w:t>
      </w:r>
    </w:p>
    <w:p>
      <w:pPr>
        <w:spacing w:after="0" w:line="96" w:lineRule="exact"/>
        <w:rPr>
          <w:sz w:val="20"/>
          <w:szCs w:val="20"/>
          <w:color w:val="auto"/>
        </w:rPr>
      </w:pPr>
    </w:p>
    <w:p>
      <w:pPr>
        <w:ind w:left="400" w:right="80" w:hanging="159"/>
        <w:spacing w:after="0" w:line="275" w:lineRule="auto"/>
        <w:tabs>
          <w:tab w:leader="none" w:pos="392" w:val="left"/>
        </w:tabs>
        <w:numPr>
          <w:ilvl w:val="0"/>
          <w:numId w:val="27"/>
        </w:numPr>
        <w:rPr>
          <w:rFonts w:ascii="Arial" w:cs="Arial" w:eastAsia="Arial" w:hAnsi="Arial"/>
          <w:sz w:val="17"/>
          <w:szCs w:val="17"/>
          <w:b w:val="1"/>
          <w:bCs w:val="1"/>
          <w:color w:val="520B90"/>
        </w:rPr>
      </w:pPr>
      <w:r>
        <w:rPr>
          <w:rFonts w:ascii="Arial" w:cs="Arial" w:eastAsia="Arial" w:hAnsi="Arial"/>
          <w:sz w:val="17"/>
          <w:szCs w:val="17"/>
          <w:b w:val="1"/>
          <w:bCs w:val="1"/>
          <w:color w:val="auto"/>
        </w:rPr>
        <w:t xml:space="preserve">T. Rowe Price Group, Inc. </w:t>
      </w:r>
      <w:r>
        <w:rPr>
          <w:rFonts w:ascii="Arial" w:cs="Arial" w:eastAsia="Arial" w:hAnsi="Arial"/>
          <w:sz w:val="17"/>
          <w:szCs w:val="17"/>
          <w:color w:val="auto"/>
        </w:rPr>
        <w:t>(NASDAQ: TROW) ("T. Rowe Price"), global investment</w:t>
      </w:r>
      <w:r>
        <w:rPr>
          <w:rFonts w:ascii="Arial" w:cs="Arial" w:eastAsia="Arial" w:hAnsi="Arial"/>
          <w:sz w:val="17"/>
          <w:szCs w:val="17"/>
          <w:b w:val="1"/>
          <w:bCs w:val="1"/>
          <w:color w:val="auto"/>
        </w:rPr>
        <w:t xml:space="preserve"> </w:t>
      </w:r>
      <w:r>
        <w:rPr>
          <w:rFonts w:ascii="Arial" w:cs="Arial" w:eastAsia="Arial" w:hAnsi="Arial"/>
          <w:sz w:val="17"/>
          <w:szCs w:val="17"/>
          <w:color w:val="auto"/>
        </w:rPr>
        <w:t>management company</w:t>
      </w:r>
    </w:p>
    <w:p>
      <w:pPr>
        <w:spacing w:after="0" w:line="2" w:lineRule="exact"/>
        <w:rPr>
          <w:rFonts w:ascii="Arial" w:cs="Arial" w:eastAsia="Arial" w:hAnsi="Arial"/>
          <w:sz w:val="17"/>
          <w:szCs w:val="17"/>
          <w:b w:val="1"/>
          <w:bCs w:val="1"/>
          <w:color w:val="520B90"/>
        </w:rPr>
      </w:pPr>
    </w:p>
    <w:p>
      <w:pPr>
        <w:ind w:left="640" w:right="160" w:hanging="161"/>
        <w:spacing w:after="0" w:line="275" w:lineRule="auto"/>
        <w:tabs>
          <w:tab w:leader="none" w:pos="633" w:val="left"/>
        </w:tabs>
        <w:numPr>
          <w:ilvl w:val="1"/>
          <w:numId w:val="27"/>
        </w:numPr>
        <w:rPr>
          <w:rFonts w:ascii="Arial" w:cs="Arial" w:eastAsia="Arial" w:hAnsi="Arial"/>
          <w:sz w:val="17"/>
          <w:szCs w:val="17"/>
          <w:b w:val="1"/>
          <w:bCs w:val="1"/>
          <w:color w:val="auto"/>
        </w:rPr>
      </w:pPr>
      <w:r>
        <w:rPr>
          <w:rFonts w:ascii="Arial" w:cs="Arial" w:eastAsia="Arial" w:hAnsi="Arial"/>
          <w:sz w:val="17"/>
          <w:szCs w:val="17"/>
          <w:color w:val="auto"/>
        </w:rPr>
        <w:t>Executive Vice President ("EVP"), U.S. Growth Stock Fund and Chairman, U.S. Growth Stock Fund Investment Advisory Committee (2007 – 2014)</w:t>
      </w:r>
    </w:p>
    <w:p>
      <w:pPr>
        <w:spacing w:after="0" w:line="2" w:lineRule="exact"/>
        <w:rPr>
          <w:rFonts w:ascii="Arial" w:cs="Arial" w:eastAsia="Arial" w:hAnsi="Arial"/>
          <w:sz w:val="17"/>
          <w:szCs w:val="17"/>
          <w:b w:val="1"/>
          <w:bCs w:val="1"/>
          <w:color w:val="auto"/>
        </w:rPr>
      </w:pPr>
    </w:p>
    <w:p>
      <w:pPr>
        <w:ind w:left="640" w:hanging="161"/>
        <w:spacing w:after="0"/>
        <w:tabs>
          <w:tab w:leader="none" w:pos="640" w:val="left"/>
        </w:tabs>
        <w:numPr>
          <w:ilvl w:val="1"/>
          <w:numId w:val="27"/>
        </w:numPr>
        <w:rPr>
          <w:rFonts w:ascii="Arial" w:cs="Arial" w:eastAsia="Arial" w:hAnsi="Arial"/>
          <w:sz w:val="16"/>
          <w:szCs w:val="16"/>
          <w:b w:val="1"/>
          <w:bCs w:val="1"/>
          <w:color w:val="auto"/>
        </w:rPr>
      </w:pPr>
      <w:r>
        <w:rPr>
          <w:rFonts w:ascii="Arial" w:cs="Arial" w:eastAsia="Arial" w:hAnsi="Arial"/>
          <w:sz w:val="16"/>
          <w:szCs w:val="16"/>
          <w:color w:val="auto"/>
        </w:rPr>
        <w:t>Vice President ("VP") and Portfolio Manager, U.S. Equity Division (2005 – 2014)</w:t>
      </w:r>
    </w:p>
    <w:p>
      <w:pPr>
        <w:spacing w:after="0" w:line="67" w:lineRule="exact"/>
        <w:rPr>
          <w:rFonts w:ascii="Arial" w:cs="Arial" w:eastAsia="Arial" w:hAnsi="Arial"/>
          <w:sz w:val="16"/>
          <w:szCs w:val="16"/>
          <w:b w:val="1"/>
          <w:bCs w:val="1"/>
          <w:color w:val="auto"/>
        </w:rPr>
      </w:pPr>
    </w:p>
    <w:p>
      <w:pPr>
        <w:ind w:left="640" w:hanging="161"/>
        <w:spacing w:after="0"/>
        <w:tabs>
          <w:tab w:leader="none" w:pos="640" w:val="left"/>
        </w:tabs>
        <w:numPr>
          <w:ilvl w:val="1"/>
          <w:numId w:val="27"/>
        </w:numPr>
        <w:rPr>
          <w:rFonts w:ascii="Arial" w:cs="Arial" w:eastAsia="Arial" w:hAnsi="Arial"/>
          <w:sz w:val="17"/>
          <w:szCs w:val="17"/>
          <w:b w:val="1"/>
          <w:bCs w:val="1"/>
          <w:color w:val="auto"/>
        </w:rPr>
      </w:pPr>
      <w:r>
        <w:rPr>
          <w:rFonts w:ascii="Arial" w:cs="Arial" w:eastAsia="Arial" w:hAnsi="Arial"/>
          <w:sz w:val="17"/>
          <w:szCs w:val="17"/>
          <w:color w:val="auto"/>
        </w:rPr>
        <w:t>Co-Portfolio Manager, Media and Telecom Fund (2005 – 2007)</w:t>
      </w:r>
    </w:p>
    <w:p>
      <w:pPr>
        <w:spacing w:after="0" w:line="69" w:lineRule="exact"/>
        <w:rPr>
          <w:rFonts w:ascii="Arial" w:cs="Arial" w:eastAsia="Arial" w:hAnsi="Arial"/>
          <w:sz w:val="17"/>
          <w:szCs w:val="17"/>
          <w:b w:val="1"/>
          <w:bCs w:val="1"/>
          <w:color w:val="auto"/>
        </w:rPr>
      </w:pPr>
    </w:p>
    <w:p>
      <w:pPr>
        <w:ind w:left="640" w:hanging="161"/>
        <w:spacing w:after="0"/>
        <w:tabs>
          <w:tab w:leader="none" w:pos="640" w:val="left"/>
        </w:tabs>
        <w:numPr>
          <w:ilvl w:val="1"/>
          <w:numId w:val="27"/>
        </w:numPr>
        <w:rPr>
          <w:rFonts w:ascii="Arial" w:cs="Arial" w:eastAsia="Arial" w:hAnsi="Arial"/>
          <w:sz w:val="17"/>
          <w:szCs w:val="17"/>
          <w:b w:val="1"/>
          <w:bCs w:val="1"/>
          <w:color w:val="auto"/>
        </w:rPr>
      </w:pPr>
      <w:r>
        <w:rPr>
          <w:rFonts w:ascii="Arial" w:cs="Arial" w:eastAsia="Arial" w:hAnsi="Arial"/>
          <w:sz w:val="17"/>
          <w:szCs w:val="17"/>
          <w:color w:val="auto"/>
        </w:rPr>
        <w:t>Analyst, Telecom, Tower &amp; Cable (2002 – 2007)</w:t>
      </w:r>
    </w:p>
    <w:p>
      <w:pPr>
        <w:spacing w:after="0" w:line="82" w:lineRule="exact"/>
        <w:rPr>
          <w:rFonts w:ascii="Arial" w:cs="Arial" w:eastAsia="Arial" w:hAnsi="Arial"/>
          <w:sz w:val="17"/>
          <w:szCs w:val="17"/>
          <w:b w:val="1"/>
          <w:bCs w:val="1"/>
          <w:color w:val="auto"/>
        </w:rPr>
      </w:pPr>
    </w:p>
    <w:p>
      <w:pPr>
        <w:ind w:left="400" w:right="60" w:hanging="159"/>
        <w:spacing w:after="0" w:line="284" w:lineRule="auto"/>
        <w:tabs>
          <w:tab w:leader="none" w:pos="392" w:val="left"/>
        </w:tabs>
        <w:numPr>
          <w:ilvl w:val="0"/>
          <w:numId w:val="27"/>
        </w:numPr>
        <w:rPr>
          <w:rFonts w:ascii="Arial" w:cs="Arial" w:eastAsia="Arial" w:hAnsi="Arial"/>
          <w:sz w:val="17"/>
          <w:szCs w:val="17"/>
          <w:b w:val="1"/>
          <w:bCs w:val="1"/>
          <w:color w:val="520B90"/>
        </w:rPr>
      </w:pPr>
      <w:r>
        <w:rPr>
          <w:rFonts w:ascii="Arial" w:cs="Arial" w:eastAsia="Arial" w:hAnsi="Arial"/>
          <w:sz w:val="17"/>
          <w:szCs w:val="17"/>
          <w:b w:val="1"/>
          <w:bCs w:val="1"/>
          <w:color w:val="auto"/>
        </w:rPr>
        <w:t xml:space="preserve">MGM Resorts International </w:t>
      </w:r>
      <w:r>
        <w:rPr>
          <w:rFonts w:ascii="Arial" w:cs="Arial" w:eastAsia="Arial" w:hAnsi="Arial"/>
          <w:sz w:val="17"/>
          <w:szCs w:val="17"/>
          <w:color w:val="auto"/>
        </w:rPr>
        <w:t>(NYSE: MGM) ("MGM Resorts"), global hospitality and</w:t>
      </w:r>
      <w:r>
        <w:rPr>
          <w:rFonts w:ascii="Arial" w:cs="Arial" w:eastAsia="Arial" w:hAnsi="Arial"/>
          <w:sz w:val="17"/>
          <w:szCs w:val="17"/>
          <w:b w:val="1"/>
          <w:bCs w:val="1"/>
          <w:color w:val="auto"/>
        </w:rPr>
        <w:t xml:space="preserve"> </w:t>
      </w:r>
      <w:r>
        <w:rPr>
          <w:rFonts w:ascii="Arial" w:cs="Arial" w:eastAsia="Arial" w:hAnsi="Arial"/>
          <w:sz w:val="17"/>
          <w:szCs w:val="17"/>
          <w:color w:val="auto"/>
        </w:rPr>
        <w:t>entertainment company</w:t>
      </w:r>
    </w:p>
    <w:p>
      <w:pPr>
        <w:ind w:left="640" w:hanging="161"/>
        <w:spacing w:after="0"/>
        <w:tabs>
          <w:tab w:leader="none" w:pos="64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Director of Finance (1997 – 2000)</w:t>
      </w:r>
    </w:p>
    <w:p>
      <w:pPr>
        <w:spacing w:after="0" w:line="95" w:lineRule="exact"/>
        <w:rPr>
          <w:rFonts w:ascii="Arial" w:cs="Arial" w:eastAsia="Arial" w:hAnsi="Arial"/>
          <w:sz w:val="17"/>
          <w:szCs w:val="17"/>
          <w:color w:val="auto"/>
        </w:rPr>
      </w:pPr>
    </w:p>
    <w:p>
      <w:pPr>
        <w:ind w:left="400" w:hanging="159"/>
        <w:spacing w:after="0"/>
        <w:tabs>
          <w:tab w:leader="none" w:pos="400" w:val="left"/>
        </w:tabs>
        <w:numPr>
          <w:ilvl w:val="0"/>
          <w:numId w:val="27"/>
        </w:numPr>
        <w:rPr>
          <w:rFonts w:ascii="Arial" w:cs="Arial" w:eastAsia="Arial" w:hAnsi="Arial"/>
          <w:sz w:val="17"/>
          <w:szCs w:val="17"/>
          <w:b w:val="1"/>
          <w:bCs w:val="1"/>
          <w:color w:val="520B90"/>
        </w:rPr>
      </w:pPr>
      <w:r>
        <w:rPr>
          <w:rFonts w:ascii="Arial" w:cs="Arial" w:eastAsia="Arial" w:hAnsi="Arial"/>
          <w:sz w:val="17"/>
          <w:szCs w:val="17"/>
          <w:b w:val="1"/>
          <w:bCs w:val="1"/>
          <w:color w:val="auto"/>
        </w:rPr>
        <w:t>Deloitte &amp; Touche LLP</w:t>
      </w:r>
      <w:r>
        <w:rPr>
          <w:rFonts w:ascii="Arial" w:cs="Arial" w:eastAsia="Arial" w:hAnsi="Arial"/>
          <w:sz w:val="17"/>
          <w:szCs w:val="17"/>
          <w:color w:val="auto"/>
        </w:rPr>
        <w:t>, multinational professional services network</w:t>
      </w:r>
    </w:p>
    <w:p>
      <w:pPr>
        <w:spacing w:after="0" w:line="55" w:lineRule="exact"/>
        <w:rPr>
          <w:rFonts w:ascii="Arial" w:cs="Arial" w:eastAsia="Arial" w:hAnsi="Arial"/>
          <w:sz w:val="17"/>
          <w:szCs w:val="17"/>
          <w:b w:val="1"/>
          <w:bCs w:val="1"/>
          <w:color w:val="520B90"/>
        </w:rPr>
      </w:pPr>
    </w:p>
    <w:p>
      <w:pPr>
        <w:ind w:left="640" w:hanging="161"/>
        <w:spacing w:after="0"/>
        <w:tabs>
          <w:tab w:leader="none" w:pos="640" w:val="left"/>
        </w:tabs>
        <w:numPr>
          <w:ilvl w:val="1"/>
          <w:numId w:val="27"/>
        </w:numPr>
        <w:rPr>
          <w:rFonts w:ascii="Arial" w:cs="Arial" w:eastAsia="Arial" w:hAnsi="Arial"/>
          <w:sz w:val="17"/>
          <w:szCs w:val="17"/>
          <w:color w:val="auto"/>
        </w:rPr>
      </w:pPr>
      <w:r>
        <w:rPr>
          <w:rFonts w:ascii="Arial" w:cs="Arial" w:eastAsia="Arial" w:hAnsi="Arial"/>
          <w:sz w:val="17"/>
          <w:szCs w:val="17"/>
          <w:color w:val="auto"/>
        </w:rPr>
        <w:t>Senior Auditor (1994 – 1997)</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Skills and Qualifications</w:t>
      </w:r>
      <w:r>
        <w:rPr>
          <w:rFonts w:ascii="Arial" w:cs="Arial" w:eastAsia="Arial" w:hAnsi="Arial"/>
          <w:sz w:val="17"/>
          <w:szCs w:val="17"/>
          <w:color w:val="auto"/>
        </w:rPr>
        <w:t>:</w:t>
      </w:r>
    </w:p>
    <w:p>
      <w:pPr>
        <w:spacing w:after="0" w:line="96" w:lineRule="exact"/>
        <w:rPr>
          <w:sz w:val="20"/>
          <w:szCs w:val="20"/>
          <w:color w:val="auto"/>
        </w:rPr>
      </w:pPr>
    </w:p>
    <w:p>
      <w:pPr>
        <w:ind w:left="400" w:right="120" w:hanging="159"/>
        <w:spacing w:after="0" w:line="251" w:lineRule="auto"/>
        <w:tabs>
          <w:tab w:leader="none" w:pos="392" w:val="left"/>
        </w:tabs>
        <w:numPr>
          <w:ilvl w:val="0"/>
          <w:numId w:val="28"/>
        </w:numPr>
        <w:rPr>
          <w:rFonts w:ascii="Arial" w:cs="Arial" w:eastAsia="Arial" w:hAnsi="Arial"/>
          <w:sz w:val="17"/>
          <w:szCs w:val="17"/>
          <w:b w:val="1"/>
          <w:bCs w:val="1"/>
          <w:color w:val="520B90"/>
        </w:rPr>
      </w:pPr>
      <w:r>
        <w:rPr>
          <w:rFonts w:ascii="Arial" w:cs="Arial" w:eastAsia="Arial" w:hAnsi="Arial"/>
          <w:sz w:val="17"/>
          <w:szCs w:val="17"/>
          <w:b w:val="1"/>
          <w:bCs w:val="1"/>
          <w:color w:val="auto"/>
        </w:rPr>
        <w:t xml:space="preserve">Financial and Accounting </w:t>
      </w:r>
      <w:r>
        <w:rPr>
          <w:rFonts w:ascii="Arial" w:cs="Arial" w:eastAsia="Arial" w:hAnsi="Arial"/>
          <w:sz w:val="17"/>
          <w:szCs w:val="17"/>
          <w:color w:val="auto"/>
        </w:rPr>
        <w:t>– Acquired financial expertise through his prior role as</w:t>
      </w:r>
      <w:r>
        <w:rPr>
          <w:rFonts w:ascii="Arial" w:cs="Arial" w:eastAsia="Arial" w:hAnsi="Arial"/>
          <w:sz w:val="17"/>
          <w:szCs w:val="17"/>
          <w:b w:val="1"/>
          <w:bCs w:val="1"/>
          <w:color w:val="auto"/>
        </w:rPr>
        <w:t xml:space="preserve"> </w:t>
      </w:r>
      <w:r>
        <w:rPr>
          <w:rFonts w:ascii="Arial" w:cs="Arial" w:eastAsia="Arial" w:hAnsi="Arial"/>
          <w:sz w:val="17"/>
          <w:szCs w:val="17"/>
          <w:color w:val="auto"/>
        </w:rPr>
        <w:t>an auditor with one of the Big Four international accounting firms, his CFA designation and his service as Director of Finance at MGM Resorts, where he was responsible for regulatory filings and corporate development analysis, including the $6.4 billion acquisition of Mirage Resorts. His experience was further enhanced through a decades long career in the global investment management sector as a portfolio manager at T. Rowe Price.</w:t>
      </w:r>
    </w:p>
    <w:p>
      <w:pPr>
        <w:spacing w:after="0" w:line="64" w:lineRule="exact"/>
        <w:rPr>
          <w:rFonts w:ascii="Arial" w:cs="Arial" w:eastAsia="Arial" w:hAnsi="Arial"/>
          <w:sz w:val="17"/>
          <w:szCs w:val="17"/>
          <w:b w:val="1"/>
          <w:bCs w:val="1"/>
          <w:color w:val="520B90"/>
        </w:rPr>
      </w:pPr>
    </w:p>
    <w:p>
      <w:pPr>
        <w:ind w:left="400" w:right="120" w:hanging="159"/>
        <w:spacing w:after="0" w:line="250" w:lineRule="auto"/>
        <w:tabs>
          <w:tab w:leader="none" w:pos="392" w:val="left"/>
        </w:tabs>
        <w:numPr>
          <w:ilvl w:val="0"/>
          <w:numId w:val="28"/>
        </w:numPr>
        <w:rPr>
          <w:rFonts w:ascii="Arial" w:cs="Arial" w:eastAsia="Arial" w:hAnsi="Arial"/>
          <w:sz w:val="17"/>
          <w:szCs w:val="17"/>
          <w:b w:val="1"/>
          <w:bCs w:val="1"/>
          <w:color w:val="520B90"/>
        </w:rPr>
      </w:pPr>
      <w:r>
        <w:rPr>
          <w:rFonts w:ascii="Arial" w:cs="Arial" w:eastAsia="Arial" w:hAnsi="Arial"/>
          <w:sz w:val="17"/>
          <w:szCs w:val="17"/>
          <w:b w:val="1"/>
          <w:bCs w:val="1"/>
          <w:color w:val="auto"/>
        </w:rPr>
        <w:t xml:space="preserve">Wireless/Telecom Industry </w:t>
      </w:r>
      <w:r>
        <w:rPr>
          <w:rFonts w:ascii="Arial" w:cs="Arial" w:eastAsia="Arial" w:hAnsi="Arial"/>
          <w:sz w:val="17"/>
          <w:szCs w:val="17"/>
          <w:color w:val="auto"/>
        </w:rPr>
        <w:t>– Gained deep understanding of our business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telecommunications industry, including business strategies around the deployment of towers, through his experience assessing companies in telecommunications and related industries while serving at T. Rowe Price as a Telecom, Tower &amp; Cable analyst, being named </w:t>
      </w:r>
      <w:r>
        <w:rPr>
          <w:rFonts w:ascii="Arial" w:cs="Arial" w:eastAsia="Arial" w:hAnsi="Arial"/>
          <w:sz w:val="17"/>
          <w:szCs w:val="17"/>
          <w:i w:val="1"/>
          <w:iCs w:val="1"/>
          <w:color w:val="auto"/>
        </w:rPr>
        <w:t>Institutional Investor</w:t>
      </w:r>
      <w:r>
        <w:rPr>
          <w:rFonts w:ascii="Arial" w:cs="Arial" w:eastAsia="Arial" w:hAnsi="Arial"/>
          <w:sz w:val="17"/>
          <w:szCs w:val="17"/>
          <w:color w:val="auto"/>
        </w:rPr>
        <w:t xml:space="preserve"> magazine's best buy-side telecommunications analyst in 2003 and 2005.</w:t>
      </w:r>
    </w:p>
    <w:p>
      <w:pPr>
        <w:spacing w:after="0" w:line="62" w:lineRule="exact"/>
        <w:rPr>
          <w:rFonts w:ascii="Arial" w:cs="Arial" w:eastAsia="Arial" w:hAnsi="Arial"/>
          <w:sz w:val="17"/>
          <w:szCs w:val="17"/>
          <w:b w:val="1"/>
          <w:bCs w:val="1"/>
          <w:color w:val="520B90"/>
        </w:rPr>
      </w:pPr>
    </w:p>
    <w:p>
      <w:pPr>
        <w:ind w:left="400" w:right="60" w:hanging="159"/>
        <w:spacing w:after="0" w:line="253" w:lineRule="auto"/>
        <w:tabs>
          <w:tab w:leader="none" w:pos="392" w:val="left"/>
        </w:tabs>
        <w:numPr>
          <w:ilvl w:val="0"/>
          <w:numId w:val="28"/>
        </w:numPr>
        <w:rPr>
          <w:rFonts w:ascii="Arial" w:cs="Arial" w:eastAsia="Arial" w:hAnsi="Arial"/>
          <w:sz w:val="17"/>
          <w:szCs w:val="17"/>
          <w:b w:val="1"/>
          <w:bCs w:val="1"/>
          <w:color w:val="520B90"/>
        </w:rPr>
      </w:pPr>
      <w:r>
        <w:rPr>
          <w:rFonts w:ascii="Arial" w:cs="Arial" w:eastAsia="Arial" w:hAnsi="Arial"/>
          <w:sz w:val="17"/>
          <w:szCs w:val="17"/>
          <w:b w:val="1"/>
          <w:bCs w:val="1"/>
          <w:color w:val="auto"/>
        </w:rPr>
        <w:t xml:space="preserve">Risk Management </w:t>
      </w:r>
      <w:r>
        <w:rPr>
          <w:rFonts w:ascii="Arial" w:cs="Arial" w:eastAsia="Arial" w:hAnsi="Arial"/>
          <w:sz w:val="17"/>
          <w:szCs w:val="17"/>
          <w:color w:val="auto"/>
        </w:rPr>
        <w:t>– Developed in-depth business analysis acumen,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identification and mitigation of risk, in his roles at T. Rowe Price, where he managed what was at the time the firm's largest mutual fund, the Growth Stock Fund, growing it from $32 billion to $60 billion, attracting $8 billion of new investments and achieving performance in the top 10% of comparable funds over the last one, three, and five years prior to his retirement.</w:t>
      </w:r>
    </w:p>
    <w:p>
      <w:pPr>
        <w:spacing w:after="0" w:line="60" w:lineRule="exact"/>
        <w:rPr>
          <w:rFonts w:ascii="Arial" w:cs="Arial" w:eastAsia="Arial" w:hAnsi="Arial"/>
          <w:sz w:val="17"/>
          <w:szCs w:val="17"/>
          <w:b w:val="1"/>
          <w:bCs w:val="1"/>
          <w:color w:val="520B90"/>
        </w:rPr>
      </w:pPr>
    </w:p>
    <w:p>
      <w:pPr>
        <w:ind w:left="400" w:right="40" w:hanging="159"/>
        <w:spacing w:after="0" w:line="318" w:lineRule="auto"/>
        <w:tabs>
          <w:tab w:leader="none" w:pos="392" w:val="left"/>
        </w:tabs>
        <w:numPr>
          <w:ilvl w:val="0"/>
          <w:numId w:val="28"/>
        </w:numPr>
        <w:rPr>
          <w:rFonts w:ascii="Arial" w:cs="Arial" w:eastAsia="Arial" w:hAnsi="Arial"/>
          <w:sz w:val="16"/>
          <w:szCs w:val="16"/>
          <w:b w:val="1"/>
          <w:bCs w:val="1"/>
          <w:color w:val="520B90"/>
        </w:rPr>
      </w:pPr>
      <w:r>
        <w:rPr>
          <w:rFonts w:ascii="Arial" w:cs="Arial" w:eastAsia="Arial" w:hAnsi="Arial"/>
          <w:sz w:val="16"/>
          <w:szCs w:val="16"/>
          <w:color w:val="auto"/>
        </w:rPr>
        <w:t xml:space="preserve">Mr. Bartolo also brings to our Board </w:t>
      </w:r>
      <w:r>
        <w:rPr>
          <w:rFonts w:ascii="Arial" w:cs="Arial" w:eastAsia="Arial" w:hAnsi="Arial"/>
          <w:sz w:val="16"/>
          <w:szCs w:val="16"/>
          <w:b w:val="1"/>
          <w:bCs w:val="1"/>
          <w:color w:val="auto"/>
        </w:rPr>
        <w:t>M&amp;A</w:t>
      </w:r>
      <w:r>
        <w:rPr>
          <w:rFonts w:ascii="Arial" w:cs="Arial" w:eastAsia="Arial" w:hAnsi="Arial"/>
          <w:sz w:val="16"/>
          <w:szCs w:val="16"/>
          <w:color w:val="auto"/>
        </w:rPr>
        <w:t xml:space="preserve">, </w:t>
      </w:r>
      <w:r>
        <w:rPr>
          <w:rFonts w:ascii="Arial" w:cs="Arial" w:eastAsia="Arial" w:hAnsi="Arial"/>
          <w:sz w:val="16"/>
          <w:szCs w:val="16"/>
          <w:b w:val="1"/>
          <w:bCs w:val="1"/>
          <w:color w:val="auto"/>
        </w:rPr>
        <w:t>strategic planning/oversight</w:t>
      </w:r>
      <w:r>
        <w:rPr>
          <w:rFonts w:ascii="Arial" w:cs="Arial" w:eastAsia="Arial" w:hAnsi="Arial"/>
          <w:sz w:val="16"/>
          <w:szCs w:val="16"/>
          <w:color w:val="auto"/>
        </w:rPr>
        <w:t xml:space="preserve">, </w:t>
      </w:r>
      <w:r>
        <w:rPr>
          <w:rFonts w:ascii="Arial" w:cs="Arial" w:eastAsia="Arial" w:hAnsi="Arial"/>
          <w:sz w:val="16"/>
          <w:szCs w:val="16"/>
          <w:b w:val="1"/>
          <w:bCs w:val="1"/>
          <w:color w:val="auto"/>
        </w:rPr>
        <w:t>executive</w:t>
      </w:r>
      <w:r>
        <w:rPr>
          <w:rFonts w:ascii="Arial" w:cs="Arial" w:eastAsia="Arial" w:hAnsi="Arial"/>
          <w:sz w:val="16"/>
          <w:szCs w:val="16"/>
          <w:color w:val="auto"/>
        </w:rPr>
        <w:t>,</w:t>
      </w:r>
      <w:r>
        <w:rPr>
          <w:rFonts w:ascii="Arial" w:cs="Arial" w:eastAsia="Arial" w:hAnsi="Arial"/>
          <w:sz w:val="16"/>
          <w:szCs w:val="16"/>
          <w:b w:val="1"/>
          <w:bCs w:val="1"/>
          <w:color w:val="auto"/>
        </w:rPr>
        <w:t xml:space="preserve"> corporate governance/ethics </w:t>
      </w:r>
      <w:r>
        <w:rPr>
          <w:rFonts w:ascii="Arial" w:cs="Arial" w:eastAsia="Arial" w:hAnsi="Arial"/>
          <w:sz w:val="16"/>
          <w:szCs w:val="16"/>
          <w:color w:val="auto"/>
        </w:rPr>
        <w:t>and</w:t>
      </w:r>
      <w:r>
        <w:rPr>
          <w:rFonts w:ascii="Arial" w:cs="Arial" w:eastAsia="Arial" w:hAnsi="Arial"/>
          <w:sz w:val="16"/>
          <w:szCs w:val="16"/>
          <w:b w:val="1"/>
          <w:bCs w:val="1"/>
          <w:color w:val="auto"/>
        </w:rPr>
        <w:t xml:space="preserve"> public company board </w:t>
      </w:r>
      <w:r>
        <w:rPr>
          <w:rFonts w:ascii="Arial" w:cs="Arial" w:eastAsia="Arial" w:hAnsi="Arial"/>
          <w:sz w:val="16"/>
          <w:szCs w:val="16"/>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-2891155</wp:posOffset>
            </wp:positionH>
            <wp:positionV relativeFrom="paragraph">
              <wp:posOffset>6985</wp:posOffset>
            </wp:positionV>
            <wp:extent cx="71348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40" w:space="720"/>
            <w:col w:w="6660"/>
          </w:cols>
          <w:pgMar w:left="320" w:top="1391" w:right="359" w:bottom="1440" w:gutter="0" w:footer="0" w:header="0"/>
          <w:type w:val="continuous"/>
        </w:sectPr>
      </w:pPr>
    </w:p>
    <w:p>
      <w:pPr>
        <w:spacing w:after="0" w:line="287"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391" w:right="359" w:bottom="1440" w:gutter="0" w:footer="0" w:header="0"/>
          <w:type w:val="continuous"/>
        </w:sectPr>
      </w:pPr>
    </w:p>
    <w:bookmarkStart w:id="13" w:name="page14"/>
    <w:bookmarkEnd w:id="13"/>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Andrea J. Goldsmith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1798320" cy="22523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98320" cy="2252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w:t>
      </w:r>
      <w:r>
        <w:rPr>
          <w:rFonts w:ascii="Arial" w:cs="Arial" w:eastAsia="Arial" w:hAnsi="Arial"/>
          <w:sz w:val="17"/>
          <w:szCs w:val="17"/>
          <w:color w:val="auto"/>
        </w:rPr>
        <w:t>:</w:t>
      </w:r>
    </w:p>
    <w:p>
      <w:pPr>
        <w:spacing w:after="0" w:line="56" w:lineRule="exact"/>
        <w:rPr>
          <w:sz w:val="20"/>
          <w:szCs w:val="20"/>
          <w:color w:val="auto"/>
        </w:rPr>
      </w:pPr>
    </w:p>
    <w:p>
      <w:pPr>
        <w:ind w:left="320" w:hanging="158"/>
        <w:spacing w:after="0"/>
        <w:tabs>
          <w:tab w:leader="none" w:pos="320" w:val="left"/>
        </w:tabs>
        <w:numPr>
          <w:ilvl w:val="0"/>
          <w:numId w:val="29"/>
        </w:numPr>
        <w:rPr>
          <w:rFonts w:ascii="Arial" w:cs="Arial" w:eastAsia="Arial" w:hAnsi="Arial"/>
          <w:sz w:val="17"/>
          <w:szCs w:val="17"/>
          <w:b w:val="1"/>
          <w:bCs w:val="1"/>
          <w:color w:val="520B90"/>
        </w:rPr>
      </w:pPr>
      <w:r>
        <w:rPr>
          <w:rFonts w:ascii="Arial" w:cs="Arial" w:eastAsia="Arial" w:hAnsi="Arial"/>
          <w:sz w:val="17"/>
          <w:szCs w:val="17"/>
          <w:color w:val="auto"/>
        </w:rPr>
        <w:t>CHC</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Public Company Directorships</w:t>
      </w:r>
      <w:r>
        <w:rPr>
          <w:rFonts w:ascii="Arial" w:cs="Arial" w:eastAsia="Arial" w:hAnsi="Arial"/>
          <w:sz w:val="17"/>
          <w:szCs w:val="17"/>
          <w:color w:val="auto"/>
        </w:rPr>
        <w:t>:</w:t>
      </w:r>
    </w:p>
    <w:p>
      <w:pPr>
        <w:spacing w:after="0" w:line="56" w:lineRule="exact"/>
        <w:rPr>
          <w:sz w:val="20"/>
          <w:szCs w:val="20"/>
          <w:color w:val="auto"/>
        </w:rPr>
      </w:pPr>
    </w:p>
    <w:p>
      <w:pPr>
        <w:ind w:left="320" w:hanging="158"/>
        <w:spacing w:after="0"/>
        <w:tabs>
          <w:tab w:leader="none" w:pos="320" w:val="left"/>
        </w:tabs>
        <w:numPr>
          <w:ilvl w:val="0"/>
          <w:numId w:val="30"/>
        </w:numPr>
        <w:rPr>
          <w:rFonts w:ascii="Arial" w:cs="Arial" w:eastAsia="Arial" w:hAnsi="Arial"/>
          <w:sz w:val="17"/>
          <w:szCs w:val="17"/>
          <w:b w:val="1"/>
          <w:bCs w:val="1"/>
          <w:color w:val="520B90"/>
        </w:rPr>
      </w:pPr>
      <w:r>
        <w:rPr>
          <w:rFonts w:ascii="Arial" w:cs="Arial" w:eastAsia="Arial" w:hAnsi="Arial"/>
          <w:sz w:val="17"/>
          <w:szCs w:val="17"/>
          <w:color w:val="auto"/>
        </w:rPr>
        <w:t>Intel Corporation (NASDAQ: INTC) (since 2021)</w:t>
      </w:r>
    </w:p>
    <w:p>
      <w:pPr>
        <w:spacing w:after="0" w:line="69" w:lineRule="exact"/>
        <w:rPr>
          <w:rFonts w:ascii="Arial" w:cs="Arial" w:eastAsia="Arial" w:hAnsi="Arial"/>
          <w:sz w:val="17"/>
          <w:szCs w:val="17"/>
          <w:b w:val="1"/>
          <w:bCs w:val="1"/>
          <w:color w:val="520B90"/>
        </w:rPr>
      </w:pPr>
    </w:p>
    <w:p>
      <w:pPr>
        <w:ind w:left="320" w:hanging="158"/>
        <w:spacing w:after="0"/>
        <w:tabs>
          <w:tab w:leader="none" w:pos="320" w:val="left"/>
        </w:tabs>
        <w:numPr>
          <w:ilvl w:val="0"/>
          <w:numId w:val="30"/>
        </w:numPr>
        <w:rPr>
          <w:rFonts w:ascii="Arial" w:cs="Arial" w:eastAsia="Arial" w:hAnsi="Arial"/>
          <w:sz w:val="17"/>
          <w:szCs w:val="17"/>
          <w:b w:val="1"/>
          <w:bCs w:val="1"/>
          <w:color w:val="520B90"/>
        </w:rPr>
      </w:pPr>
      <w:r>
        <w:rPr>
          <w:rFonts w:ascii="Arial" w:cs="Arial" w:eastAsia="Arial" w:hAnsi="Arial"/>
          <w:sz w:val="17"/>
          <w:szCs w:val="17"/>
          <w:color w:val="auto"/>
        </w:rPr>
        <w:t>Medtronic plc (NYSE: MDT) (2019 – 2025)</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Memberships</w:t>
      </w:r>
      <w:r>
        <w:rPr>
          <w:rFonts w:ascii="Arial" w:cs="Arial" w:eastAsia="Arial" w:hAnsi="Arial"/>
          <w:sz w:val="17"/>
          <w:szCs w:val="17"/>
          <w:color w:val="auto"/>
        </w:rPr>
        <w:t>:</w:t>
      </w:r>
    </w:p>
    <w:p>
      <w:pPr>
        <w:spacing w:after="0" w:line="56" w:lineRule="exact"/>
        <w:rPr>
          <w:sz w:val="20"/>
          <w:szCs w:val="20"/>
          <w:color w:val="auto"/>
        </w:rPr>
      </w:pPr>
    </w:p>
    <w:p>
      <w:pPr>
        <w:ind w:left="320" w:hanging="158"/>
        <w:spacing w:after="0" w:line="275" w:lineRule="auto"/>
        <w:tabs>
          <w:tab w:leader="none" w:pos="312" w:val="left"/>
        </w:tabs>
        <w:numPr>
          <w:ilvl w:val="0"/>
          <w:numId w:val="31"/>
        </w:numPr>
        <w:rPr>
          <w:rFonts w:ascii="Arial" w:cs="Arial" w:eastAsia="Arial" w:hAnsi="Arial"/>
          <w:sz w:val="17"/>
          <w:szCs w:val="17"/>
          <w:b w:val="1"/>
          <w:bCs w:val="1"/>
          <w:color w:val="520B90"/>
        </w:rPr>
      </w:pPr>
      <w:r>
        <w:rPr>
          <w:rFonts w:ascii="Arial" w:cs="Arial" w:eastAsia="Arial" w:hAnsi="Arial"/>
          <w:sz w:val="17"/>
          <w:szCs w:val="17"/>
          <w:color w:val="auto"/>
        </w:rPr>
        <w:t>Member, President's Council of Advisors on Science and Technology (PCAST) (2021 – 2025)</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Education</w:t>
      </w:r>
      <w:r>
        <w:rPr>
          <w:rFonts w:ascii="Arial" w:cs="Arial" w:eastAsia="Arial" w:hAnsi="Arial"/>
          <w:sz w:val="17"/>
          <w:szCs w:val="17"/>
          <w:color w:val="auto"/>
        </w:rPr>
        <w:t>:</w:t>
      </w:r>
    </w:p>
    <w:p>
      <w:pPr>
        <w:spacing w:after="0" w:line="69" w:lineRule="exact"/>
        <w:rPr>
          <w:sz w:val="20"/>
          <w:szCs w:val="20"/>
          <w:color w:val="auto"/>
        </w:rPr>
      </w:pPr>
    </w:p>
    <w:p>
      <w:pPr>
        <w:ind w:left="320" w:hanging="158"/>
        <w:spacing w:after="0"/>
        <w:tabs>
          <w:tab w:leader="none" w:pos="320" w:val="left"/>
        </w:tabs>
        <w:numPr>
          <w:ilvl w:val="0"/>
          <w:numId w:val="32"/>
        </w:numPr>
        <w:rPr>
          <w:rFonts w:ascii="Arial" w:cs="Arial" w:eastAsia="Arial" w:hAnsi="Arial"/>
          <w:sz w:val="17"/>
          <w:szCs w:val="17"/>
          <w:b w:val="1"/>
          <w:bCs w:val="1"/>
          <w:color w:val="520B90"/>
        </w:rPr>
      </w:pPr>
      <w:r>
        <w:rPr>
          <w:rFonts w:ascii="Arial" w:cs="Arial" w:eastAsia="Arial" w:hAnsi="Arial"/>
          <w:sz w:val="17"/>
          <w:szCs w:val="17"/>
          <w:color w:val="auto"/>
        </w:rPr>
        <w:t>B.S., University of California, Berkeley</w:t>
      </w:r>
    </w:p>
    <w:p>
      <w:pPr>
        <w:spacing w:after="0" w:line="55" w:lineRule="exact"/>
        <w:rPr>
          <w:rFonts w:ascii="Arial" w:cs="Arial" w:eastAsia="Arial" w:hAnsi="Arial"/>
          <w:sz w:val="17"/>
          <w:szCs w:val="17"/>
          <w:b w:val="1"/>
          <w:bCs w:val="1"/>
          <w:color w:val="520B90"/>
        </w:rPr>
      </w:pPr>
    </w:p>
    <w:p>
      <w:pPr>
        <w:ind w:left="320" w:hanging="158"/>
        <w:spacing w:after="0"/>
        <w:tabs>
          <w:tab w:leader="none" w:pos="320" w:val="left"/>
        </w:tabs>
        <w:numPr>
          <w:ilvl w:val="0"/>
          <w:numId w:val="32"/>
        </w:numPr>
        <w:rPr>
          <w:rFonts w:ascii="Arial" w:cs="Arial" w:eastAsia="Arial" w:hAnsi="Arial"/>
          <w:sz w:val="17"/>
          <w:szCs w:val="17"/>
          <w:b w:val="1"/>
          <w:bCs w:val="1"/>
          <w:color w:val="520B90"/>
        </w:rPr>
      </w:pPr>
      <w:r>
        <w:rPr>
          <w:rFonts w:ascii="Arial" w:cs="Arial" w:eastAsia="Arial" w:hAnsi="Arial"/>
          <w:sz w:val="17"/>
          <w:szCs w:val="17"/>
          <w:color w:val="auto"/>
        </w:rPr>
        <w:t>M.S., University of California, Berkeley</w:t>
      </w:r>
    </w:p>
    <w:p>
      <w:pPr>
        <w:spacing w:after="0" w:line="55" w:lineRule="exact"/>
        <w:rPr>
          <w:rFonts w:ascii="Arial" w:cs="Arial" w:eastAsia="Arial" w:hAnsi="Arial"/>
          <w:sz w:val="17"/>
          <w:szCs w:val="17"/>
          <w:b w:val="1"/>
          <w:bCs w:val="1"/>
          <w:color w:val="520B90"/>
        </w:rPr>
      </w:pPr>
    </w:p>
    <w:p>
      <w:pPr>
        <w:ind w:left="320" w:hanging="158"/>
        <w:spacing w:after="0"/>
        <w:tabs>
          <w:tab w:leader="none" w:pos="320" w:val="left"/>
        </w:tabs>
        <w:numPr>
          <w:ilvl w:val="0"/>
          <w:numId w:val="32"/>
        </w:numPr>
        <w:rPr>
          <w:rFonts w:ascii="Arial" w:cs="Arial" w:eastAsia="Arial" w:hAnsi="Arial"/>
          <w:sz w:val="17"/>
          <w:szCs w:val="17"/>
          <w:b w:val="1"/>
          <w:bCs w:val="1"/>
          <w:color w:val="520B90"/>
        </w:rPr>
      </w:pPr>
      <w:r>
        <w:rPr>
          <w:rFonts w:ascii="Arial" w:cs="Arial" w:eastAsia="Arial" w:hAnsi="Arial"/>
          <w:sz w:val="17"/>
          <w:szCs w:val="17"/>
          <w:color w:val="auto"/>
        </w:rPr>
        <w:t>Ph.D., University of California, Berkeley</w:t>
      </w:r>
    </w:p>
    <w:p>
      <w:pPr>
        <w:spacing w:after="0" w:line="20" w:lineRule="exact"/>
        <w:rPr>
          <w:sz w:val="20"/>
          <w:szCs w:val="20"/>
          <w:color w:val="auto"/>
        </w:rPr>
      </w:pPr>
      <w:r>
        <w:rPr>
          <w:sz w:val="20"/>
          <w:szCs w:val="20"/>
          <w:color w:val="auto"/>
        </w:rPr>
        <w:br w:type="column"/>
      </w:r>
    </w:p>
    <w:p>
      <w:pPr>
        <w:spacing w:after="0"/>
        <w:tabs>
          <w:tab w:leader="none" w:pos="4940" w:val="left"/>
        </w:tabs>
        <w:rPr>
          <w:sz w:val="20"/>
          <w:szCs w:val="20"/>
          <w:color w:val="auto"/>
        </w:rPr>
      </w:pPr>
      <w:r>
        <w:rPr>
          <w:rFonts w:ascii="Arial" w:cs="Arial" w:eastAsia="Arial" w:hAnsi="Arial"/>
          <w:sz w:val="18"/>
          <w:szCs w:val="18"/>
          <w:b w:val="1"/>
          <w:bCs w:val="1"/>
          <w:color w:val="FFFFFF"/>
        </w:rPr>
        <w:t>Age: 61</w:t>
      </w:r>
      <w:r>
        <w:rPr>
          <w:sz w:val="20"/>
          <w:szCs w:val="20"/>
          <w:color w:val="auto"/>
        </w:rPr>
        <w:tab/>
      </w:r>
      <w:r>
        <w:rPr>
          <w:rFonts w:ascii="Arial" w:cs="Arial" w:eastAsia="Arial" w:hAnsi="Arial"/>
          <w:sz w:val="17"/>
          <w:szCs w:val="17"/>
          <w:b w:val="1"/>
          <w:bCs w:val="1"/>
          <w:color w:val="FFFFFF"/>
        </w:rPr>
        <w:t>Director Since: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-2891155</wp:posOffset>
            </wp:positionH>
            <wp:positionV relativeFrom="paragraph">
              <wp:posOffset>-127000</wp:posOffset>
            </wp:positionV>
            <wp:extent cx="7134860" cy="159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860" cy="159385"/>
                    </a:xfrm>
                    <a:prstGeom prst="rect">
                      <a:avLst/>
                    </a:prstGeom>
                    <a:noFill/>
                  </pic:spPr>
                </pic:pic>
              </a:graphicData>
            </a:graphic>
          </wp:anchor>
        </w:drawing>
        <w:drawing>
          <wp:anchor simplePos="0" relativeHeight="251657728" behindDoc="1" locked="0" layoutInCell="0" allowOverlap="1">
            <wp:simplePos x="0" y="0"/>
            <wp:positionH relativeFrom="column">
              <wp:posOffset>-2891155</wp:posOffset>
            </wp:positionH>
            <wp:positionV relativeFrom="paragraph">
              <wp:posOffset>-160655</wp:posOffset>
            </wp:positionV>
            <wp:extent cx="71348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Experience</w:t>
      </w:r>
      <w:r>
        <w:rPr>
          <w:rFonts w:ascii="Arial" w:cs="Arial" w:eastAsia="Arial" w:hAnsi="Arial"/>
          <w:sz w:val="17"/>
          <w:szCs w:val="17"/>
          <w:color w:val="auto"/>
        </w:rPr>
        <w:t>:</w:t>
      </w:r>
    </w:p>
    <w:p>
      <w:pPr>
        <w:spacing w:after="0" w:line="96" w:lineRule="exact"/>
        <w:rPr>
          <w:sz w:val="20"/>
          <w:szCs w:val="20"/>
          <w:color w:val="auto"/>
        </w:rPr>
      </w:pPr>
    </w:p>
    <w:p>
      <w:pPr>
        <w:ind w:left="400" w:hanging="159"/>
        <w:spacing w:after="0"/>
        <w:tabs>
          <w:tab w:leader="none" w:pos="400" w:val="left"/>
        </w:tabs>
        <w:numPr>
          <w:ilvl w:val="0"/>
          <w:numId w:val="33"/>
        </w:numPr>
        <w:rPr>
          <w:rFonts w:ascii="Arial" w:cs="Arial" w:eastAsia="Arial" w:hAnsi="Arial"/>
          <w:sz w:val="17"/>
          <w:szCs w:val="17"/>
          <w:b w:val="1"/>
          <w:bCs w:val="1"/>
          <w:color w:val="520B90"/>
        </w:rPr>
      </w:pPr>
      <w:r>
        <w:rPr>
          <w:rFonts w:ascii="Arial" w:cs="Arial" w:eastAsia="Arial" w:hAnsi="Arial"/>
          <w:sz w:val="17"/>
          <w:szCs w:val="17"/>
          <w:b w:val="1"/>
          <w:bCs w:val="1"/>
          <w:color w:val="auto"/>
        </w:rPr>
        <w:t>Stony Brook University</w:t>
      </w:r>
    </w:p>
    <w:p>
      <w:pPr>
        <w:spacing w:after="0" w:line="55" w:lineRule="exact"/>
        <w:rPr>
          <w:rFonts w:ascii="Arial" w:cs="Arial" w:eastAsia="Arial" w:hAnsi="Arial"/>
          <w:sz w:val="17"/>
          <w:szCs w:val="17"/>
          <w:b w:val="1"/>
          <w:bCs w:val="1"/>
          <w:color w:val="520B90"/>
        </w:rPr>
      </w:pPr>
    </w:p>
    <w:p>
      <w:pPr>
        <w:ind w:left="640" w:hanging="161"/>
        <w:spacing w:after="0"/>
        <w:tabs>
          <w:tab w:leader="none" w:pos="640" w:val="left"/>
        </w:tabs>
        <w:numPr>
          <w:ilvl w:val="1"/>
          <w:numId w:val="33"/>
        </w:numPr>
        <w:rPr>
          <w:rFonts w:ascii="Arial" w:cs="Arial" w:eastAsia="Arial" w:hAnsi="Arial"/>
          <w:sz w:val="17"/>
          <w:szCs w:val="17"/>
          <w:color w:val="auto"/>
        </w:rPr>
      </w:pPr>
      <w:r>
        <w:rPr>
          <w:rFonts w:ascii="Arial" w:cs="Arial" w:eastAsia="Arial" w:hAnsi="Arial"/>
          <w:sz w:val="17"/>
          <w:szCs w:val="17"/>
          <w:color w:val="auto"/>
        </w:rPr>
        <w:t>President (since 2025)</w:t>
      </w:r>
    </w:p>
    <w:p>
      <w:pPr>
        <w:spacing w:after="0" w:line="95" w:lineRule="exact"/>
        <w:rPr>
          <w:rFonts w:ascii="Arial" w:cs="Arial" w:eastAsia="Arial" w:hAnsi="Arial"/>
          <w:sz w:val="17"/>
          <w:szCs w:val="17"/>
          <w:color w:val="auto"/>
        </w:rPr>
      </w:pPr>
    </w:p>
    <w:p>
      <w:pPr>
        <w:ind w:left="400" w:hanging="159"/>
        <w:spacing w:after="0"/>
        <w:tabs>
          <w:tab w:leader="none" w:pos="400" w:val="left"/>
        </w:tabs>
        <w:numPr>
          <w:ilvl w:val="0"/>
          <w:numId w:val="33"/>
        </w:numPr>
        <w:rPr>
          <w:rFonts w:ascii="Arial" w:cs="Arial" w:eastAsia="Arial" w:hAnsi="Arial"/>
          <w:sz w:val="17"/>
          <w:szCs w:val="17"/>
          <w:b w:val="1"/>
          <w:bCs w:val="1"/>
          <w:color w:val="520B90"/>
        </w:rPr>
      </w:pPr>
      <w:r>
        <w:rPr>
          <w:rFonts w:ascii="Arial" w:cs="Arial" w:eastAsia="Arial" w:hAnsi="Arial"/>
          <w:sz w:val="17"/>
          <w:szCs w:val="17"/>
          <w:b w:val="1"/>
          <w:bCs w:val="1"/>
          <w:color w:val="auto"/>
        </w:rPr>
        <w:t>Princeton University</w:t>
      </w:r>
    </w:p>
    <w:p>
      <w:pPr>
        <w:spacing w:after="0" w:line="55" w:lineRule="exact"/>
        <w:rPr>
          <w:rFonts w:ascii="Arial" w:cs="Arial" w:eastAsia="Arial" w:hAnsi="Arial"/>
          <w:sz w:val="17"/>
          <w:szCs w:val="17"/>
          <w:b w:val="1"/>
          <w:bCs w:val="1"/>
          <w:color w:val="520B90"/>
        </w:rPr>
      </w:pPr>
    </w:p>
    <w:p>
      <w:pPr>
        <w:ind w:left="640" w:right="60" w:hanging="161"/>
        <w:spacing w:after="0" w:line="275" w:lineRule="auto"/>
        <w:tabs>
          <w:tab w:leader="none" w:pos="633" w:val="left"/>
        </w:tabs>
        <w:numPr>
          <w:ilvl w:val="1"/>
          <w:numId w:val="33"/>
        </w:numPr>
        <w:rPr>
          <w:rFonts w:ascii="Arial" w:cs="Arial" w:eastAsia="Arial" w:hAnsi="Arial"/>
          <w:sz w:val="17"/>
          <w:szCs w:val="17"/>
          <w:color w:val="auto"/>
        </w:rPr>
      </w:pPr>
      <w:r>
        <w:rPr>
          <w:rFonts w:ascii="Arial" w:cs="Arial" w:eastAsia="Arial" w:hAnsi="Arial"/>
          <w:sz w:val="17"/>
          <w:szCs w:val="17"/>
          <w:color w:val="auto"/>
        </w:rPr>
        <w:t>Dean of Engineering and Applied Science and Arthur LeGrand Doty Professor of Electrical and Computer Engineering (2020 – 2025)</w:t>
      </w:r>
    </w:p>
    <w:p>
      <w:pPr>
        <w:spacing w:after="0" w:line="41" w:lineRule="exact"/>
        <w:rPr>
          <w:rFonts w:ascii="Arial" w:cs="Arial" w:eastAsia="Arial" w:hAnsi="Arial"/>
          <w:sz w:val="17"/>
          <w:szCs w:val="17"/>
          <w:color w:val="auto"/>
        </w:rPr>
      </w:pPr>
    </w:p>
    <w:p>
      <w:pPr>
        <w:ind w:left="400" w:hanging="159"/>
        <w:spacing w:after="0"/>
        <w:tabs>
          <w:tab w:leader="none" w:pos="400" w:val="left"/>
        </w:tabs>
        <w:numPr>
          <w:ilvl w:val="0"/>
          <w:numId w:val="33"/>
        </w:numPr>
        <w:rPr>
          <w:rFonts w:ascii="Arial" w:cs="Arial" w:eastAsia="Arial" w:hAnsi="Arial"/>
          <w:sz w:val="17"/>
          <w:szCs w:val="17"/>
          <w:b w:val="1"/>
          <w:bCs w:val="1"/>
          <w:color w:val="520B90"/>
        </w:rPr>
      </w:pPr>
      <w:r>
        <w:rPr>
          <w:rFonts w:ascii="Arial" w:cs="Arial" w:eastAsia="Arial" w:hAnsi="Arial"/>
          <w:sz w:val="17"/>
          <w:szCs w:val="17"/>
          <w:b w:val="1"/>
          <w:bCs w:val="1"/>
          <w:color w:val="auto"/>
        </w:rPr>
        <w:t>Stanford University</w:t>
      </w:r>
    </w:p>
    <w:p>
      <w:pPr>
        <w:spacing w:after="0" w:line="55" w:lineRule="exact"/>
        <w:rPr>
          <w:rFonts w:ascii="Arial" w:cs="Arial" w:eastAsia="Arial" w:hAnsi="Arial"/>
          <w:sz w:val="17"/>
          <w:szCs w:val="17"/>
          <w:b w:val="1"/>
          <w:bCs w:val="1"/>
          <w:color w:val="520B90"/>
        </w:rPr>
      </w:pPr>
    </w:p>
    <w:p>
      <w:pPr>
        <w:ind w:left="640" w:hanging="161"/>
        <w:spacing w:after="0"/>
        <w:tabs>
          <w:tab w:leader="none" w:pos="640" w:val="left"/>
        </w:tabs>
        <w:numPr>
          <w:ilvl w:val="1"/>
          <w:numId w:val="33"/>
        </w:numPr>
        <w:rPr>
          <w:rFonts w:ascii="Arial" w:cs="Arial" w:eastAsia="Arial" w:hAnsi="Arial"/>
          <w:sz w:val="17"/>
          <w:szCs w:val="17"/>
          <w:color w:val="auto"/>
        </w:rPr>
      </w:pPr>
      <w:r>
        <w:rPr>
          <w:rFonts w:ascii="Arial" w:cs="Arial" w:eastAsia="Arial" w:hAnsi="Arial"/>
          <w:sz w:val="17"/>
          <w:szCs w:val="17"/>
          <w:color w:val="auto"/>
        </w:rPr>
        <w:t>Stephen Harris Professor of Engineering (2012 – 2020)</w:t>
      </w:r>
    </w:p>
    <w:p>
      <w:pPr>
        <w:spacing w:after="0" w:line="55" w:lineRule="exact"/>
        <w:rPr>
          <w:rFonts w:ascii="Arial" w:cs="Arial" w:eastAsia="Arial" w:hAnsi="Arial"/>
          <w:sz w:val="17"/>
          <w:szCs w:val="17"/>
          <w:color w:val="auto"/>
        </w:rPr>
      </w:pPr>
    </w:p>
    <w:p>
      <w:pPr>
        <w:ind w:left="640" w:hanging="161"/>
        <w:spacing w:after="0"/>
        <w:tabs>
          <w:tab w:leader="none" w:pos="640" w:val="left"/>
        </w:tabs>
        <w:numPr>
          <w:ilvl w:val="1"/>
          <w:numId w:val="33"/>
        </w:numPr>
        <w:rPr>
          <w:rFonts w:ascii="Arial" w:cs="Arial" w:eastAsia="Arial" w:hAnsi="Arial"/>
          <w:sz w:val="17"/>
          <w:szCs w:val="17"/>
          <w:color w:val="auto"/>
        </w:rPr>
      </w:pPr>
      <w:r>
        <w:rPr>
          <w:rFonts w:ascii="Arial" w:cs="Arial" w:eastAsia="Arial" w:hAnsi="Arial"/>
          <w:sz w:val="17"/>
          <w:szCs w:val="17"/>
          <w:color w:val="auto"/>
        </w:rPr>
        <w:t>Professor of Engineering (2007 – 2012)</w:t>
      </w:r>
    </w:p>
    <w:p>
      <w:pPr>
        <w:spacing w:after="0" w:line="55" w:lineRule="exact"/>
        <w:rPr>
          <w:rFonts w:ascii="Arial" w:cs="Arial" w:eastAsia="Arial" w:hAnsi="Arial"/>
          <w:sz w:val="17"/>
          <w:szCs w:val="17"/>
          <w:color w:val="auto"/>
        </w:rPr>
      </w:pPr>
    </w:p>
    <w:p>
      <w:pPr>
        <w:ind w:left="640" w:hanging="161"/>
        <w:spacing w:after="0"/>
        <w:tabs>
          <w:tab w:leader="none" w:pos="640" w:val="left"/>
        </w:tabs>
        <w:numPr>
          <w:ilvl w:val="1"/>
          <w:numId w:val="33"/>
        </w:numPr>
        <w:rPr>
          <w:rFonts w:ascii="Arial" w:cs="Arial" w:eastAsia="Arial" w:hAnsi="Arial"/>
          <w:sz w:val="17"/>
          <w:szCs w:val="17"/>
          <w:color w:val="auto"/>
        </w:rPr>
      </w:pPr>
      <w:r>
        <w:rPr>
          <w:rFonts w:ascii="Arial" w:cs="Arial" w:eastAsia="Arial" w:hAnsi="Arial"/>
          <w:sz w:val="17"/>
          <w:szCs w:val="17"/>
          <w:color w:val="auto"/>
        </w:rPr>
        <w:t>Associate/Assistant Professor (1999 – 2007)</w:t>
      </w:r>
    </w:p>
    <w:p>
      <w:pPr>
        <w:spacing w:after="0" w:line="95" w:lineRule="exact"/>
        <w:rPr>
          <w:rFonts w:ascii="Arial" w:cs="Arial" w:eastAsia="Arial" w:hAnsi="Arial"/>
          <w:sz w:val="17"/>
          <w:szCs w:val="17"/>
          <w:color w:val="auto"/>
        </w:rPr>
      </w:pPr>
    </w:p>
    <w:p>
      <w:pPr>
        <w:ind w:left="400" w:right="340" w:hanging="159"/>
        <w:spacing w:after="0" w:line="275" w:lineRule="auto"/>
        <w:tabs>
          <w:tab w:leader="none" w:pos="392" w:val="left"/>
        </w:tabs>
        <w:numPr>
          <w:ilvl w:val="0"/>
          <w:numId w:val="33"/>
        </w:numPr>
        <w:rPr>
          <w:rFonts w:ascii="Arial" w:cs="Arial" w:eastAsia="Arial" w:hAnsi="Arial"/>
          <w:sz w:val="17"/>
          <w:szCs w:val="17"/>
          <w:b w:val="1"/>
          <w:bCs w:val="1"/>
          <w:color w:val="520B90"/>
        </w:rPr>
      </w:pPr>
      <w:r>
        <w:rPr>
          <w:rFonts w:ascii="Arial" w:cs="Arial" w:eastAsia="Arial" w:hAnsi="Arial"/>
          <w:sz w:val="17"/>
          <w:szCs w:val="17"/>
          <w:b w:val="1"/>
          <w:bCs w:val="1"/>
          <w:color w:val="auto"/>
        </w:rPr>
        <w:t xml:space="preserve">Plume WiFi </w:t>
      </w:r>
      <w:r>
        <w:rPr>
          <w:rFonts w:ascii="Arial" w:cs="Arial" w:eastAsia="Arial" w:hAnsi="Arial"/>
          <w:sz w:val="17"/>
          <w:szCs w:val="17"/>
          <w:color w:val="auto"/>
        </w:rPr>
        <w:t>(formerly Accelera, Inc.), Wi-Fi service provider for communications</w:t>
      </w:r>
      <w:r>
        <w:rPr>
          <w:rFonts w:ascii="Arial" w:cs="Arial" w:eastAsia="Arial" w:hAnsi="Arial"/>
          <w:sz w:val="17"/>
          <w:szCs w:val="17"/>
          <w:b w:val="1"/>
          <w:bCs w:val="1"/>
          <w:color w:val="auto"/>
        </w:rPr>
        <w:t xml:space="preserve"> </w:t>
      </w:r>
      <w:r>
        <w:rPr>
          <w:rFonts w:ascii="Arial" w:cs="Arial" w:eastAsia="Arial" w:hAnsi="Arial"/>
          <w:sz w:val="17"/>
          <w:szCs w:val="17"/>
          <w:color w:val="auto"/>
        </w:rPr>
        <w:t>service companies</w:t>
      </w:r>
    </w:p>
    <w:p>
      <w:pPr>
        <w:spacing w:after="0" w:line="15" w:lineRule="exact"/>
        <w:rPr>
          <w:rFonts w:ascii="Arial" w:cs="Arial" w:eastAsia="Arial" w:hAnsi="Arial"/>
          <w:sz w:val="17"/>
          <w:szCs w:val="17"/>
          <w:b w:val="1"/>
          <w:bCs w:val="1"/>
          <w:color w:val="520B90"/>
        </w:rPr>
      </w:pPr>
    </w:p>
    <w:p>
      <w:pPr>
        <w:ind w:left="640" w:hanging="161"/>
        <w:spacing w:after="0"/>
        <w:tabs>
          <w:tab w:leader="none" w:pos="640" w:val="left"/>
        </w:tabs>
        <w:numPr>
          <w:ilvl w:val="1"/>
          <w:numId w:val="33"/>
        </w:numPr>
        <w:rPr>
          <w:rFonts w:ascii="Arial" w:cs="Arial" w:eastAsia="Arial" w:hAnsi="Arial"/>
          <w:sz w:val="17"/>
          <w:szCs w:val="17"/>
          <w:color w:val="auto"/>
        </w:rPr>
      </w:pPr>
      <w:r>
        <w:rPr>
          <w:rFonts w:ascii="Arial" w:cs="Arial" w:eastAsia="Arial" w:hAnsi="Arial"/>
          <w:sz w:val="17"/>
          <w:szCs w:val="17"/>
          <w:color w:val="auto"/>
        </w:rPr>
        <w:t>Co-founder and Chief Technology Officer ("CTO") (2010 – 2014)</w:t>
      </w:r>
    </w:p>
    <w:p>
      <w:pPr>
        <w:spacing w:after="0" w:line="82" w:lineRule="exact"/>
        <w:rPr>
          <w:rFonts w:ascii="Arial" w:cs="Arial" w:eastAsia="Arial" w:hAnsi="Arial"/>
          <w:sz w:val="17"/>
          <w:szCs w:val="17"/>
          <w:color w:val="auto"/>
        </w:rPr>
      </w:pPr>
    </w:p>
    <w:p>
      <w:pPr>
        <w:ind w:left="400" w:right="920" w:hanging="159"/>
        <w:spacing w:after="0" w:line="284" w:lineRule="auto"/>
        <w:tabs>
          <w:tab w:leader="none" w:pos="392" w:val="left"/>
        </w:tabs>
        <w:numPr>
          <w:ilvl w:val="0"/>
          <w:numId w:val="33"/>
        </w:numPr>
        <w:rPr>
          <w:rFonts w:ascii="Arial" w:cs="Arial" w:eastAsia="Arial" w:hAnsi="Arial"/>
          <w:sz w:val="17"/>
          <w:szCs w:val="17"/>
          <w:b w:val="1"/>
          <w:bCs w:val="1"/>
          <w:color w:val="520B90"/>
        </w:rPr>
      </w:pPr>
      <w:r>
        <w:rPr>
          <w:rFonts w:ascii="Arial" w:cs="Arial" w:eastAsia="Arial" w:hAnsi="Arial"/>
          <w:sz w:val="17"/>
          <w:szCs w:val="17"/>
          <w:b w:val="1"/>
          <w:bCs w:val="1"/>
          <w:color w:val="auto"/>
        </w:rPr>
        <w:t xml:space="preserve">Quantenna Communications, Inc. </w:t>
      </w:r>
      <w:r>
        <w:rPr>
          <w:rFonts w:ascii="Arial" w:cs="Arial" w:eastAsia="Arial" w:hAnsi="Arial"/>
          <w:sz w:val="17"/>
          <w:szCs w:val="17"/>
          <w:color w:val="auto"/>
        </w:rPr>
        <w:t>(NASDAQ: QTNA) (acquired by ON</w:t>
      </w:r>
      <w:r>
        <w:rPr>
          <w:rFonts w:ascii="Arial" w:cs="Arial" w:eastAsia="Arial" w:hAnsi="Arial"/>
          <w:sz w:val="17"/>
          <w:szCs w:val="17"/>
          <w:b w:val="1"/>
          <w:bCs w:val="1"/>
          <w:color w:val="auto"/>
        </w:rPr>
        <w:t xml:space="preserve"> </w:t>
      </w:r>
      <w:r>
        <w:rPr>
          <w:rFonts w:ascii="Arial" w:cs="Arial" w:eastAsia="Arial" w:hAnsi="Arial"/>
          <w:sz w:val="17"/>
          <w:szCs w:val="17"/>
          <w:color w:val="auto"/>
        </w:rPr>
        <w:t>Semiconductor in 2019), Wi-Fi chip and software company</w:t>
      </w:r>
    </w:p>
    <w:p>
      <w:pPr>
        <w:ind w:left="640" w:hanging="161"/>
        <w:spacing w:after="0"/>
        <w:tabs>
          <w:tab w:leader="none" w:pos="640" w:val="left"/>
        </w:tabs>
        <w:numPr>
          <w:ilvl w:val="1"/>
          <w:numId w:val="33"/>
        </w:numPr>
        <w:rPr>
          <w:rFonts w:ascii="Arial" w:cs="Arial" w:eastAsia="Arial" w:hAnsi="Arial"/>
          <w:sz w:val="17"/>
          <w:szCs w:val="17"/>
          <w:color w:val="auto"/>
        </w:rPr>
      </w:pPr>
      <w:r>
        <w:rPr>
          <w:rFonts w:ascii="Arial" w:cs="Arial" w:eastAsia="Arial" w:hAnsi="Arial"/>
          <w:sz w:val="17"/>
          <w:szCs w:val="17"/>
          <w:color w:val="auto"/>
        </w:rPr>
        <w:t>Co-founder and CTO (2005 – 2009)</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Skills and Qualifications</w:t>
      </w:r>
      <w:r>
        <w:rPr>
          <w:rFonts w:ascii="Arial" w:cs="Arial" w:eastAsia="Arial" w:hAnsi="Arial"/>
          <w:sz w:val="17"/>
          <w:szCs w:val="17"/>
          <w:color w:val="auto"/>
        </w:rPr>
        <w:t>:</w:t>
      </w:r>
    </w:p>
    <w:p>
      <w:pPr>
        <w:spacing w:after="0" w:line="82" w:lineRule="exact"/>
        <w:rPr>
          <w:sz w:val="20"/>
          <w:szCs w:val="20"/>
          <w:color w:val="auto"/>
        </w:rPr>
      </w:pPr>
    </w:p>
    <w:p>
      <w:pPr>
        <w:ind w:left="400" w:right="40" w:hanging="159"/>
        <w:spacing w:after="0" w:line="253" w:lineRule="auto"/>
        <w:tabs>
          <w:tab w:leader="none" w:pos="392" w:val="left"/>
        </w:tabs>
        <w:numPr>
          <w:ilvl w:val="0"/>
          <w:numId w:val="34"/>
        </w:numPr>
        <w:rPr>
          <w:rFonts w:ascii="Arial" w:cs="Arial" w:eastAsia="Arial" w:hAnsi="Arial"/>
          <w:sz w:val="17"/>
          <w:szCs w:val="17"/>
          <w:b w:val="1"/>
          <w:bCs w:val="1"/>
          <w:color w:val="520B90"/>
        </w:rPr>
      </w:pPr>
      <w:r>
        <w:rPr>
          <w:rFonts w:ascii="Arial" w:cs="Arial" w:eastAsia="Arial" w:hAnsi="Arial"/>
          <w:sz w:val="17"/>
          <w:szCs w:val="17"/>
          <w:b w:val="1"/>
          <w:bCs w:val="1"/>
          <w:color w:val="auto"/>
        </w:rPr>
        <w:t xml:space="preserve">Technology </w:t>
      </w:r>
      <w:r>
        <w:rPr>
          <w:rFonts w:ascii="Arial" w:cs="Arial" w:eastAsia="Arial" w:hAnsi="Arial"/>
          <w:sz w:val="17"/>
          <w:szCs w:val="17"/>
          <w:color w:val="auto"/>
        </w:rPr>
        <w:t>– Gained insight into telecommunications technologies through her</w:t>
      </w:r>
      <w:r>
        <w:rPr>
          <w:rFonts w:ascii="Arial" w:cs="Arial" w:eastAsia="Arial" w:hAnsi="Arial"/>
          <w:sz w:val="17"/>
          <w:szCs w:val="17"/>
          <w:b w:val="1"/>
          <w:bCs w:val="1"/>
          <w:color w:val="auto"/>
        </w:rPr>
        <w:t xml:space="preserve"> </w:t>
      </w:r>
      <w:r>
        <w:rPr>
          <w:rFonts w:ascii="Arial" w:cs="Arial" w:eastAsia="Arial" w:hAnsi="Arial"/>
          <w:sz w:val="17"/>
          <w:szCs w:val="17"/>
          <w:color w:val="auto"/>
        </w:rPr>
        <w:t>extensive academic background in electrical and computer engineering and her career as an accomplished engineer and inventor with acclaimed, foundational work in wireless communications focused on the fundamental performance limits of wireless systems, including 5G wireless, mobile Internet of Things and smart grid design.</w:t>
      </w:r>
    </w:p>
    <w:p>
      <w:pPr>
        <w:spacing w:after="0" w:line="60" w:lineRule="exact"/>
        <w:rPr>
          <w:rFonts w:ascii="Arial" w:cs="Arial" w:eastAsia="Arial" w:hAnsi="Arial"/>
          <w:sz w:val="17"/>
          <w:szCs w:val="17"/>
          <w:b w:val="1"/>
          <w:bCs w:val="1"/>
          <w:color w:val="520B90"/>
        </w:rPr>
      </w:pPr>
    </w:p>
    <w:p>
      <w:pPr>
        <w:ind w:left="400" w:hanging="159"/>
        <w:spacing w:after="0" w:line="269" w:lineRule="auto"/>
        <w:tabs>
          <w:tab w:leader="none" w:pos="392" w:val="left"/>
        </w:tabs>
        <w:numPr>
          <w:ilvl w:val="0"/>
          <w:numId w:val="34"/>
        </w:numPr>
        <w:rPr>
          <w:rFonts w:ascii="Arial" w:cs="Arial" w:eastAsia="Arial" w:hAnsi="Arial"/>
          <w:sz w:val="16"/>
          <w:szCs w:val="16"/>
          <w:b w:val="1"/>
          <w:bCs w:val="1"/>
          <w:color w:val="520B90"/>
        </w:rPr>
      </w:pPr>
      <w:r>
        <w:rPr>
          <w:rFonts w:ascii="Arial" w:cs="Arial" w:eastAsia="Arial" w:hAnsi="Arial"/>
          <w:sz w:val="16"/>
          <w:szCs w:val="16"/>
          <w:b w:val="1"/>
          <w:bCs w:val="1"/>
          <w:color w:val="auto"/>
        </w:rPr>
        <w:t xml:space="preserve">Strategic Planning/Oversight </w:t>
      </w:r>
      <w:r>
        <w:rPr>
          <w:rFonts w:ascii="Arial" w:cs="Arial" w:eastAsia="Arial" w:hAnsi="Arial"/>
          <w:sz w:val="16"/>
          <w:szCs w:val="16"/>
          <w:color w:val="auto"/>
        </w:rPr>
        <w:t>and</w:t>
      </w:r>
      <w:r>
        <w:rPr>
          <w:rFonts w:ascii="Arial" w:cs="Arial" w:eastAsia="Arial" w:hAnsi="Arial"/>
          <w:sz w:val="16"/>
          <w:szCs w:val="16"/>
          <w:b w:val="1"/>
          <w:bCs w:val="1"/>
          <w:color w:val="auto"/>
        </w:rPr>
        <w:t xml:space="preserve"> Cyber/Information Security </w:t>
      </w:r>
      <w:r>
        <w:rPr>
          <w:rFonts w:ascii="Arial" w:cs="Arial" w:eastAsia="Arial" w:hAnsi="Arial"/>
          <w:sz w:val="16"/>
          <w:szCs w:val="16"/>
          <w:color w:val="auto"/>
        </w:rPr>
        <w:t>– Dr. Goldsmith's</w:t>
      </w:r>
      <w:r>
        <w:rPr>
          <w:rFonts w:ascii="Arial" w:cs="Arial" w:eastAsia="Arial" w:hAnsi="Arial"/>
          <w:sz w:val="16"/>
          <w:szCs w:val="16"/>
          <w:b w:val="1"/>
          <w:bCs w:val="1"/>
          <w:color w:val="auto"/>
        </w:rPr>
        <w:t xml:space="preserve"> </w:t>
      </w:r>
      <w:r>
        <w:rPr>
          <w:rFonts w:ascii="Arial" w:cs="Arial" w:eastAsia="Arial" w:hAnsi="Arial"/>
          <w:sz w:val="16"/>
          <w:szCs w:val="16"/>
          <w:color w:val="auto"/>
        </w:rPr>
        <w:t>prior role as Dean of Princeton's School of Engineering and Applied Science and her current role as President of Stony Brook University, which includes overseeing Stony Brook Medicine and co-chairing the partnership that manages Brookhaven National Laboratory, involve extensive strategic planning and oversight skills. She also brings significant experience in cybersecurity, data privacy and enterprise risk management from her service on Stanford's Budget Group and Committee on Research, as well as the boards of Intel and Medtronic. In addition, these board roles have provided significant expertise in evaluating and overseeing M&amp;A transactions.</w:t>
      </w:r>
    </w:p>
    <w:p>
      <w:pPr>
        <w:spacing w:after="0" w:line="49" w:lineRule="exact"/>
        <w:rPr>
          <w:rFonts w:ascii="Arial" w:cs="Arial" w:eastAsia="Arial" w:hAnsi="Arial"/>
          <w:sz w:val="16"/>
          <w:szCs w:val="16"/>
          <w:b w:val="1"/>
          <w:bCs w:val="1"/>
          <w:color w:val="520B90"/>
        </w:rPr>
      </w:pPr>
    </w:p>
    <w:p>
      <w:pPr>
        <w:ind w:left="400" w:right="40" w:hanging="159"/>
        <w:spacing w:after="0" w:line="207" w:lineRule="exact"/>
        <w:tabs>
          <w:tab w:leader="none" w:pos="392" w:val="left"/>
        </w:tabs>
        <w:numPr>
          <w:ilvl w:val="0"/>
          <w:numId w:val="34"/>
        </w:numPr>
        <w:rPr>
          <w:rFonts w:ascii="Arial" w:cs="Arial" w:eastAsia="Arial" w:hAnsi="Arial"/>
          <w:sz w:val="16"/>
          <w:szCs w:val="16"/>
          <w:b w:val="1"/>
          <w:bCs w:val="1"/>
          <w:color w:val="520B90"/>
        </w:rPr>
      </w:pPr>
      <w:r>
        <w:rPr>
          <w:rFonts w:ascii="Arial" w:cs="Arial" w:eastAsia="Arial" w:hAnsi="Arial"/>
          <w:sz w:val="16"/>
          <w:szCs w:val="16"/>
          <w:b w:val="1"/>
          <w:bCs w:val="1"/>
          <w:color w:val="auto"/>
        </w:rPr>
        <w:t xml:space="preserve">Academia/Education </w:t>
      </w:r>
      <w:r>
        <w:rPr>
          <w:rFonts w:ascii="Arial" w:cs="Arial" w:eastAsia="Arial" w:hAnsi="Arial"/>
          <w:sz w:val="16"/>
          <w:szCs w:val="16"/>
          <w:color w:val="auto"/>
        </w:rPr>
        <w:t>– Brings over three decades of experience teaching electrical</w:t>
      </w:r>
      <w:r>
        <w:rPr>
          <w:rFonts w:ascii="Arial" w:cs="Arial" w:eastAsia="Arial" w:hAnsi="Arial"/>
          <w:sz w:val="16"/>
          <w:szCs w:val="16"/>
          <w:b w:val="1"/>
          <w:bCs w:val="1"/>
          <w:color w:val="auto"/>
        </w:rPr>
        <w:t xml:space="preserve"> </w:t>
      </w:r>
      <w:r>
        <w:rPr>
          <w:rFonts w:ascii="Arial" w:cs="Arial" w:eastAsia="Arial" w:hAnsi="Arial"/>
          <w:sz w:val="16"/>
          <w:szCs w:val="16"/>
          <w:color w:val="auto"/>
        </w:rPr>
        <w:t>engineering and applied science and providing academic leadership at some of the most prestigious research universities in the U.S., including at Stanford University, Princeton University and Stony Brook University. Dr. Goldsmith has also authored or co</w:t>
      </w:r>
      <w:r>
        <w:rPr>
          <w:rFonts w:ascii="MS PGothic" w:cs="MS PGothic" w:eastAsia="MS PGothic" w:hAnsi="MS PGothic"/>
          <w:sz w:val="16"/>
          <w:szCs w:val="16"/>
          <w:color w:val="auto"/>
        </w:rPr>
        <w:t>‑</w:t>
      </w:r>
      <w:r>
        <w:rPr>
          <w:rFonts w:ascii="Arial" w:cs="Arial" w:eastAsia="Arial" w:hAnsi="Arial"/>
          <w:sz w:val="16"/>
          <w:szCs w:val="16"/>
          <w:color w:val="auto"/>
        </w:rPr>
        <w:t>authored four books on wireless communications and holds 38 patents.</w:t>
      </w:r>
    </w:p>
    <w:p>
      <w:pPr>
        <w:spacing w:after="0" w:line="50" w:lineRule="exact"/>
        <w:rPr>
          <w:rFonts w:ascii="Arial" w:cs="Arial" w:eastAsia="Arial" w:hAnsi="Arial"/>
          <w:sz w:val="16"/>
          <w:szCs w:val="16"/>
          <w:b w:val="1"/>
          <w:bCs w:val="1"/>
          <w:color w:val="520B90"/>
        </w:rPr>
      </w:pPr>
    </w:p>
    <w:p>
      <w:pPr>
        <w:jc w:val="both"/>
        <w:ind w:left="400" w:right="240" w:hanging="159"/>
        <w:spacing w:after="0" w:line="272" w:lineRule="auto"/>
        <w:tabs>
          <w:tab w:leader="none" w:pos="392" w:val="left"/>
        </w:tabs>
        <w:numPr>
          <w:ilvl w:val="0"/>
          <w:numId w:val="34"/>
        </w:numPr>
        <w:rPr>
          <w:rFonts w:ascii="Arial" w:cs="Arial" w:eastAsia="Arial" w:hAnsi="Arial"/>
          <w:sz w:val="17"/>
          <w:szCs w:val="17"/>
          <w:b w:val="1"/>
          <w:bCs w:val="1"/>
          <w:color w:val="520B90"/>
        </w:rPr>
      </w:pPr>
      <w:r>
        <w:rPr>
          <w:rFonts w:ascii="Arial" w:cs="Arial" w:eastAsia="Arial" w:hAnsi="Arial"/>
          <w:sz w:val="17"/>
          <w:szCs w:val="17"/>
          <w:color w:val="auto"/>
        </w:rPr>
        <w:t xml:space="preserve">Dr. Goldsmith also brings to our Board </w:t>
      </w:r>
      <w:r>
        <w:rPr>
          <w:rFonts w:ascii="Arial" w:cs="Arial" w:eastAsia="Arial" w:hAnsi="Arial"/>
          <w:sz w:val="17"/>
          <w:szCs w:val="17"/>
          <w:b w:val="1"/>
          <w:bCs w:val="1"/>
          <w:color w:val="auto"/>
        </w:rPr>
        <w:t>wireless/telecommunications industry</w:t>
      </w:r>
      <w:r>
        <w:rPr>
          <w:rFonts w:ascii="Arial" w:cs="Arial" w:eastAsia="Arial" w:hAnsi="Arial"/>
          <w:sz w:val="17"/>
          <w:szCs w:val="17"/>
          <w:color w:val="auto"/>
        </w:rPr>
        <w:t xml:space="preserve">, </w:t>
      </w:r>
      <w:r>
        <w:rPr>
          <w:rFonts w:ascii="Arial" w:cs="Arial" w:eastAsia="Arial" w:hAnsi="Arial"/>
          <w:sz w:val="17"/>
          <w:szCs w:val="17"/>
          <w:b w:val="1"/>
          <w:bCs w:val="1"/>
          <w:color w:val="auto"/>
        </w:rPr>
        <w:t>public company board</w:t>
      </w:r>
      <w:r>
        <w:rPr>
          <w:rFonts w:ascii="Arial" w:cs="Arial" w:eastAsia="Arial" w:hAnsi="Arial"/>
          <w:sz w:val="17"/>
          <w:szCs w:val="17"/>
          <w:color w:val="auto"/>
        </w:rPr>
        <w:t>,</w:t>
      </w:r>
      <w:r>
        <w:rPr>
          <w:rFonts w:ascii="Arial" w:cs="Arial" w:eastAsia="Arial" w:hAnsi="Arial"/>
          <w:sz w:val="17"/>
          <w:szCs w:val="17"/>
          <w:b w:val="1"/>
          <w:bCs w:val="1"/>
          <w:color w:val="auto"/>
        </w:rPr>
        <w:t xml:space="preserve"> HR/compensation</w:t>
      </w:r>
      <w:r>
        <w:rPr>
          <w:rFonts w:ascii="Arial" w:cs="Arial" w:eastAsia="Arial" w:hAnsi="Arial"/>
          <w:sz w:val="17"/>
          <w:szCs w:val="17"/>
          <w:color w:val="auto"/>
        </w:rPr>
        <w:t>,</w:t>
      </w:r>
      <w:r>
        <w:rPr>
          <w:rFonts w:ascii="Arial" w:cs="Arial" w:eastAsia="Arial" w:hAnsi="Arial"/>
          <w:sz w:val="17"/>
          <w:szCs w:val="17"/>
          <w:b w:val="1"/>
          <w:bCs w:val="1"/>
          <w:color w:val="auto"/>
        </w:rPr>
        <w:t xml:space="preserve"> corporate governance/ethics </w:t>
      </w:r>
      <w:r>
        <w:rPr>
          <w:rFonts w:ascii="Arial" w:cs="Arial" w:eastAsia="Arial" w:hAnsi="Arial"/>
          <w:sz w:val="17"/>
          <w:szCs w:val="17"/>
          <w:color w:val="auto"/>
        </w:rPr>
        <w:t>and</w:t>
      </w:r>
      <w:r>
        <w:rPr>
          <w:rFonts w:ascii="Arial" w:cs="Arial" w:eastAsia="Arial" w:hAnsi="Arial"/>
          <w:sz w:val="17"/>
          <w:szCs w:val="17"/>
          <w:b w:val="1"/>
          <w:bCs w:val="1"/>
          <w:color w:val="auto"/>
        </w:rPr>
        <w:t xml:space="preserve"> executive </w:t>
      </w:r>
      <w:r>
        <w:rPr>
          <w:rFonts w:ascii="Arial" w:cs="Arial" w:eastAsia="Arial" w:hAnsi="Arial"/>
          <w:sz w:val="17"/>
          <w:szCs w:val="17"/>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-2891155</wp:posOffset>
            </wp:positionH>
            <wp:positionV relativeFrom="paragraph">
              <wp:posOffset>29210</wp:posOffset>
            </wp:positionV>
            <wp:extent cx="71348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00" w:space="340"/>
            <w:col w:w="6660"/>
          </w:cols>
          <w:pgMar w:left="340" w:top="1431" w:right="359" w:bottom="1440" w:gutter="0" w:footer="0" w:header="0"/>
        </w:sectPr>
      </w:pPr>
    </w:p>
    <w:p>
      <w:pPr>
        <w:spacing w:after="0" w:line="322"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67310</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40" w:top="1431" w:right="359" w:bottom="1440" w:gutter="0" w:footer="0" w:header="0"/>
          <w:type w:val="continuous"/>
        </w:sectPr>
      </w:pPr>
    </w:p>
    <w:bookmarkStart w:id="14" w:name="page15"/>
    <w:bookmarkEnd w:id="14"/>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Christian H. Hillabrant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1932940" cy="22523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32940" cy="2252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Memberships</w:t>
      </w:r>
      <w:r>
        <w:rPr>
          <w:rFonts w:ascii="Arial" w:cs="Arial" w:eastAsia="Arial" w:hAnsi="Arial"/>
          <w:sz w:val="17"/>
          <w:szCs w:val="17"/>
          <w:color w:val="auto"/>
        </w:rPr>
        <w:t>:</w:t>
      </w:r>
    </w:p>
    <w:p>
      <w:pPr>
        <w:spacing w:after="0" w:line="56" w:lineRule="exact"/>
        <w:rPr>
          <w:sz w:val="20"/>
          <w:szCs w:val="20"/>
          <w:color w:val="auto"/>
        </w:rPr>
      </w:pPr>
    </w:p>
    <w:p>
      <w:pPr>
        <w:ind w:left="320" w:hanging="158"/>
        <w:spacing w:after="0" w:line="259" w:lineRule="auto"/>
        <w:tabs>
          <w:tab w:leader="none" w:pos="312" w:val="left"/>
        </w:tabs>
        <w:numPr>
          <w:ilvl w:val="0"/>
          <w:numId w:val="35"/>
        </w:numPr>
        <w:rPr>
          <w:rFonts w:ascii="Arial" w:cs="Arial" w:eastAsia="Arial" w:hAnsi="Arial"/>
          <w:sz w:val="17"/>
          <w:szCs w:val="17"/>
          <w:b w:val="1"/>
          <w:bCs w:val="1"/>
          <w:color w:val="520B90"/>
        </w:rPr>
      </w:pPr>
      <w:r>
        <w:rPr>
          <w:rFonts w:ascii="Arial" w:cs="Arial" w:eastAsia="Arial" w:hAnsi="Arial"/>
          <w:sz w:val="17"/>
          <w:szCs w:val="17"/>
          <w:color w:val="auto"/>
        </w:rPr>
        <w:t>Non-Executive Director, Cornerstone Telecommunications Infrastructure Limited (2024-2025)</w:t>
      </w:r>
    </w:p>
    <w:p>
      <w:pPr>
        <w:spacing w:after="0" w:line="15" w:lineRule="exact"/>
        <w:rPr>
          <w:rFonts w:ascii="Arial" w:cs="Arial" w:eastAsia="Arial" w:hAnsi="Arial"/>
          <w:sz w:val="17"/>
          <w:szCs w:val="17"/>
          <w:b w:val="1"/>
          <w:bCs w:val="1"/>
          <w:color w:val="520B90"/>
        </w:rPr>
      </w:pPr>
    </w:p>
    <w:p>
      <w:pPr>
        <w:ind w:left="320" w:hanging="158"/>
        <w:spacing w:after="0"/>
        <w:tabs>
          <w:tab w:leader="none" w:pos="320" w:val="left"/>
        </w:tabs>
        <w:numPr>
          <w:ilvl w:val="0"/>
          <w:numId w:val="35"/>
        </w:numPr>
        <w:rPr>
          <w:rFonts w:ascii="Arial" w:cs="Arial" w:eastAsia="Arial" w:hAnsi="Arial"/>
          <w:sz w:val="17"/>
          <w:szCs w:val="17"/>
          <w:b w:val="1"/>
          <w:bCs w:val="1"/>
          <w:color w:val="520B90"/>
        </w:rPr>
      </w:pPr>
      <w:r>
        <w:rPr>
          <w:rFonts w:ascii="Arial" w:cs="Arial" w:eastAsia="Arial" w:hAnsi="Arial"/>
          <w:sz w:val="17"/>
          <w:szCs w:val="17"/>
          <w:color w:val="auto"/>
        </w:rPr>
        <w:t>Non-Executive Director, INWIT S.p.A (2025)</w:t>
      </w: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Education</w:t>
      </w:r>
      <w:r>
        <w:rPr>
          <w:rFonts w:ascii="Arial" w:cs="Arial" w:eastAsia="Arial" w:hAnsi="Arial"/>
          <w:sz w:val="17"/>
          <w:szCs w:val="17"/>
          <w:color w:val="auto"/>
        </w:rPr>
        <w:t>:</w:t>
      </w:r>
    </w:p>
    <w:p>
      <w:pPr>
        <w:spacing w:after="0" w:line="56" w:lineRule="exact"/>
        <w:rPr>
          <w:sz w:val="20"/>
          <w:szCs w:val="20"/>
          <w:color w:val="auto"/>
        </w:rPr>
      </w:pPr>
    </w:p>
    <w:p>
      <w:pPr>
        <w:ind w:left="320" w:hanging="158"/>
        <w:spacing w:after="0"/>
        <w:tabs>
          <w:tab w:leader="none" w:pos="320" w:val="left"/>
        </w:tabs>
        <w:numPr>
          <w:ilvl w:val="0"/>
          <w:numId w:val="36"/>
        </w:numPr>
        <w:rPr>
          <w:rFonts w:ascii="Arial" w:cs="Arial" w:eastAsia="Arial" w:hAnsi="Arial"/>
          <w:sz w:val="17"/>
          <w:szCs w:val="17"/>
          <w:b w:val="1"/>
          <w:bCs w:val="1"/>
          <w:color w:val="520B90"/>
        </w:rPr>
      </w:pPr>
      <w:r>
        <w:rPr>
          <w:rFonts w:ascii="Arial" w:cs="Arial" w:eastAsia="Arial" w:hAnsi="Arial"/>
          <w:sz w:val="17"/>
          <w:szCs w:val="17"/>
          <w:color w:val="auto"/>
        </w:rPr>
        <w:t>B.A., Skidmore College</w:t>
      </w:r>
    </w:p>
    <w:p>
      <w:pPr>
        <w:spacing w:after="0" w:line="55" w:lineRule="exact"/>
        <w:rPr>
          <w:rFonts w:ascii="Arial" w:cs="Arial" w:eastAsia="Arial" w:hAnsi="Arial"/>
          <w:sz w:val="17"/>
          <w:szCs w:val="17"/>
          <w:b w:val="1"/>
          <w:bCs w:val="1"/>
          <w:color w:val="520B90"/>
        </w:rPr>
      </w:pPr>
    </w:p>
    <w:p>
      <w:pPr>
        <w:ind w:left="320" w:hanging="158"/>
        <w:spacing w:after="0"/>
        <w:tabs>
          <w:tab w:leader="none" w:pos="320" w:val="left"/>
        </w:tabs>
        <w:numPr>
          <w:ilvl w:val="0"/>
          <w:numId w:val="36"/>
        </w:numPr>
        <w:rPr>
          <w:rFonts w:ascii="Arial" w:cs="Arial" w:eastAsia="Arial" w:hAnsi="Arial"/>
          <w:sz w:val="17"/>
          <w:szCs w:val="17"/>
          <w:b w:val="1"/>
          <w:bCs w:val="1"/>
          <w:color w:val="520B90"/>
        </w:rPr>
      </w:pPr>
      <w:r>
        <w:rPr>
          <w:rFonts w:ascii="Arial" w:cs="Arial" w:eastAsia="Arial" w:hAnsi="Arial"/>
          <w:sz w:val="17"/>
          <w:szCs w:val="17"/>
          <w:color w:val="auto"/>
        </w:rPr>
        <w:t>M.B.A., NYU Stern School of Business</w:t>
      </w:r>
    </w:p>
    <w:p>
      <w:pPr>
        <w:spacing w:after="0" w:line="20" w:lineRule="exact"/>
        <w:rPr>
          <w:sz w:val="20"/>
          <w:szCs w:val="20"/>
          <w:color w:val="auto"/>
        </w:rPr>
      </w:pPr>
      <w:r>
        <w:rPr>
          <w:sz w:val="20"/>
          <w:szCs w:val="20"/>
          <w:color w:val="auto"/>
        </w:rPr>
        <w:br w:type="column"/>
      </w:r>
    </w:p>
    <w:p>
      <w:pPr>
        <w:spacing w:after="0"/>
        <w:tabs>
          <w:tab w:leader="none" w:pos="4940" w:val="left"/>
        </w:tabs>
        <w:rPr>
          <w:sz w:val="20"/>
          <w:szCs w:val="20"/>
          <w:color w:val="auto"/>
        </w:rPr>
      </w:pPr>
      <w:r>
        <w:rPr>
          <w:rFonts w:ascii="Arial" w:cs="Arial" w:eastAsia="Arial" w:hAnsi="Arial"/>
          <w:sz w:val="18"/>
          <w:szCs w:val="18"/>
          <w:b w:val="1"/>
          <w:bCs w:val="1"/>
          <w:color w:val="FFFFFF"/>
        </w:rPr>
        <w:t>Age 60</w:t>
      </w:r>
      <w:r>
        <w:rPr>
          <w:sz w:val="20"/>
          <w:szCs w:val="20"/>
          <w:color w:val="auto"/>
        </w:rPr>
        <w:tab/>
      </w:r>
      <w:r>
        <w:rPr>
          <w:rFonts w:ascii="Arial" w:cs="Arial" w:eastAsia="Arial" w:hAnsi="Arial"/>
          <w:sz w:val="17"/>
          <w:szCs w:val="17"/>
          <w:b w:val="1"/>
          <w:bCs w:val="1"/>
          <w:color w:val="FFFFFF"/>
        </w:rPr>
        <w:t>Director Since: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-2891155</wp:posOffset>
            </wp:positionH>
            <wp:positionV relativeFrom="paragraph">
              <wp:posOffset>-127000</wp:posOffset>
            </wp:positionV>
            <wp:extent cx="7134860" cy="159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860" cy="159385"/>
                    </a:xfrm>
                    <a:prstGeom prst="rect">
                      <a:avLst/>
                    </a:prstGeom>
                    <a:noFill/>
                  </pic:spPr>
                </pic:pic>
              </a:graphicData>
            </a:graphic>
          </wp:anchor>
        </w:drawing>
        <w:drawing>
          <wp:anchor simplePos="0" relativeHeight="251657728" behindDoc="1" locked="0" layoutInCell="0" allowOverlap="1">
            <wp:simplePos x="0" y="0"/>
            <wp:positionH relativeFrom="column">
              <wp:posOffset>-2891155</wp:posOffset>
            </wp:positionH>
            <wp:positionV relativeFrom="paragraph">
              <wp:posOffset>-160655</wp:posOffset>
            </wp:positionV>
            <wp:extent cx="71348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Experience</w:t>
      </w:r>
      <w:r>
        <w:rPr>
          <w:rFonts w:ascii="Arial" w:cs="Arial" w:eastAsia="Arial" w:hAnsi="Arial"/>
          <w:sz w:val="17"/>
          <w:szCs w:val="17"/>
          <w:color w:val="auto"/>
        </w:rPr>
        <w:t>:</w:t>
      </w:r>
    </w:p>
    <w:p>
      <w:pPr>
        <w:spacing w:after="0" w:line="96" w:lineRule="exact"/>
        <w:rPr>
          <w:sz w:val="20"/>
          <w:szCs w:val="20"/>
          <w:color w:val="auto"/>
        </w:rPr>
      </w:pPr>
    </w:p>
    <w:p>
      <w:pPr>
        <w:ind w:left="400" w:hanging="159"/>
        <w:spacing w:after="0"/>
        <w:tabs>
          <w:tab w:leader="none" w:pos="400" w:val="left"/>
        </w:tabs>
        <w:numPr>
          <w:ilvl w:val="0"/>
          <w:numId w:val="37"/>
        </w:numPr>
        <w:rPr>
          <w:rFonts w:ascii="Arial" w:cs="Arial" w:eastAsia="Arial" w:hAnsi="Arial"/>
          <w:sz w:val="17"/>
          <w:szCs w:val="17"/>
          <w:b w:val="1"/>
          <w:bCs w:val="1"/>
          <w:color w:val="520B90"/>
        </w:rPr>
      </w:pPr>
      <w:r>
        <w:rPr>
          <w:rFonts w:ascii="Arial" w:cs="Arial" w:eastAsia="Arial" w:hAnsi="Arial"/>
          <w:sz w:val="17"/>
          <w:szCs w:val="17"/>
          <w:b w:val="1"/>
          <w:bCs w:val="1"/>
          <w:color w:val="auto"/>
        </w:rPr>
        <w:t>Crown Castle Inc.</w:t>
      </w:r>
    </w:p>
    <w:p>
      <w:pPr>
        <w:spacing w:after="0" w:line="55" w:lineRule="exact"/>
        <w:rPr>
          <w:rFonts w:ascii="Arial" w:cs="Arial" w:eastAsia="Arial" w:hAnsi="Arial"/>
          <w:sz w:val="17"/>
          <w:szCs w:val="17"/>
          <w:b w:val="1"/>
          <w:bCs w:val="1"/>
          <w:color w:val="520B90"/>
        </w:rPr>
      </w:pPr>
    </w:p>
    <w:p>
      <w:pPr>
        <w:ind w:left="640" w:hanging="161"/>
        <w:spacing w:after="0"/>
        <w:tabs>
          <w:tab w:leader="none" w:pos="640" w:val="left"/>
        </w:tabs>
        <w:numPr>
          <w:ilvl w:val="1"/>
          <w:numId w:val="37"/>
        </w:numPr>
        <w:rPr>
          <w:rFonts w:ascii="Arial" w:cs="Arial" w:eastAsia="Arial" w:hAnsi="Arial"/>
          <w:sz w:val="17"/>
          <w:szCs w:val="17"/>
          <w:color w:val="auto"/>
        </w:rPr>
      </w:pPr>
      <w:r>
        <w:rPr>
          <w:rFonts w:ascii="Arial" w:cs="Arial" w:eastAsia="Arial" w:hAnsi="Arial"/>
          <w:sz w:val="17"/>
          <w:szCs w:val="17"/>
          <w:color w:val="auto"/>
        </w:rPr>
        <w:t>President and CEO (since September 2025)</w:t>
      </w:r>
    </w:p>
    <w:p>
      <w:pPr>
        <w:spacing w:after="0" w:line="95" w:lineRule="exact"/>
        <w:rPr>
          <w:rFonts w:ascii="Arial" w:cs="Arial" w:eastAsia="Arial" w:hAnsi="Arial"/>
          <w:sz w:val="17"/>
          <w:szCs w:val="17"/>
          <w:color w:val="auto"/>
        </w:rPr>
      </w:pPr>
    </w:p>
    <w:p>
      <w:pPr>
        <w:ind w:left="400" w:right="620" w:hanging="159"/>
        <w:spacing w:after="0" w:line="275" w:lineRule="auto"/>
        <w:tabs>
          <w:tab w:leader="none" w:pos="392" w:val="left"/>
        </w:tabs>
        <w:numPr>
          <w:ilvl w:val="0"/>
          <w:numId w:val="37"/>
        </w:numPr>
        <w:rPr>
          <w:rFonts w:ascii="Arial" w:cs="Arial" w:eastAsia="Arial" w:hAnsi="Arial"/>
          <w:sz w:val="17"/>
          <w:szCs w:val="17"/>
          <w:b w:val="1"/>
          <w:bCs w:val="1"/>
          <w:color w:val="520B90"/>
        </w:rPr>
      </w:pPr>
      <w:r>
        <w:rPr>
          <w:rFonts w:ascii="Arial" w:cs="Arial" w:eastAsia="Arial" w:hAnsi="Arial"/>
          <w:sz w:val="17"/>
          <w:szCs w:val="17"/>
          <w:b w:val="1"/>
          <w:bCs w:val="1"/>
          <w:color w:val="auto"/>
        </w:rPr>
        <w:t>Vantage Towers AG</w:t>
      </w:r>
      <w:r>
        <w:rPr>
          <w:rFonts w:ascii="Arial" w:cs="Arial" w:eastAsia="Arial" w:hAnsi="Arial"/>
          <w:sz w:val="17"/>
          <w:szCs w:val="17"/>
          <w:color w:val="auto"/>
        </w:rPr>
        <w:t>, telecommunications infrastructure company owned by</w:t>
      </w:r>
      <w:r>
        <w:rPr>
          <w:rFonts w:ascii="Arial" w:cs="Arial" w:eastAsia="Arial" w:hAnsi="Arial"/>
          <w:sz w:val="17"/>
          <w:szCs w:val="17"/>
          <w:b w:val="1"/>
          <w:bCs w:val="1"/>
          <w:color w:val="auto"/>
        </w:rPr>
        <w:t xml:space="preserve"> </w:t>
      </w:r>
      <w:r>
        <w:rPr>
          <w:rFonts w:ascii="Arial" w:cs="Arial" w:eastAsia="Arial" w:hAnsi="Arial"/>
          <w:sz w:val="17"/>
          <w:szCs w:val="17"/>
          <w:color w:val="auto"/>
        </w:rPr>
        <w:t>Vodafone and a consortium of investors</w:t>
      </w:r>
    </w:p>
    <w:p>
      <w:pPr>
        <w:spacing w:after="0" w:line="2" w:lineRule="exact"/>
        <w:rPr>
          <w:rFonts w:ascii="Arial" w:cs="Arial" w:eastAsia="Arial" w:hAnsi="Arial"/>
          <w:sz w:val="17"/>
          <w:szCs w:val="17"/>
          <w:b w:val="1"/>
          <w:bCs w:val="1"/>
          <w:color w:val="520B90"/>
        </w:rPr>
      </w:pPr>
    </w:p>
    <w:p>
      <w:pPr>
        <w:ind w:left="640" w:hanging="161"/>
        <w:spacing w:after="0"/>
        <w:tabs>
          <w:tab w:leader="none" w:pos="640" w:val="left"/>
        </w:tabs>
        <w:numPr>
          <w:ilvl w:val="1"/>
          <w:numId w:val="37"/>
        </w:numPr>
        <w:rPr>
          <w:rFonts w:ascii="Arial" w:cs="Arial" w:eastAsia="Arial" w:hAnsi="Arial"/>
          <w:sz w:val="17"/>
          <w:szCs w:val="17"/>
          <w:color w:val="auto"/>
        </w:rPr>
      </w:pPr>
      <w:r>
        <w:rPr>
          <w:rFonts w:ascii="Arial" w:cs="Arial" w:eastAsia="Arial" w:hAnsi="Arial"/>
          <w:sz w:val="17"/>
          <w:szCs w:val="17"/>
          <w:color w:val="auto"/>
        </w:rPr>
        <w:t>CEO and Chairman of Management Board (2023 – 2025)</w:t>
      </w:r>
    </w:p>
    <w:p>
      <w:pPr>
        <w:spacing w:after="0" w:line="95" w:lineRule="exact"/>
        <w:rPr>
          <w:rFonts w:ascii="Arial" w:cs="Arial" w:eastAsia="Arial" w:hAnsi="Arial"/>
          <w:sz w:val="17"/>
          <w:szCs w:val="17"/>
          <w:color w:val="auto"/>
        </w:rPr>
      </w:pPr>
    </w:p>
    <w:p>
      <w:pPr>
        <w:ind w:left="400" w:hanging="159"/>
        <w:spacing w:after="0"/>
        <w:tabs>
          <w:tab w:leader="none" w:pos="400" w:val="left"/>
        </w:tabs>
        <w:numPr>
          <w:ilvl w:val="0"/>
          <w:numId w:val="37"/>
        </w:numPr>
        <w:rPr>
          <w:rFonts w:ascii="Arial" w:cs="Arial" w:eastAsia="Arial" w:hAnsi="Arial"/>
          <w:sz w:val="17"/>
          <w:szCs w:val="17"/>
          <w:b w:val="1"/>
          <w:bCs w:val="1"/>
          <w:color w:val="520B90"/>
        </w:rPr>
      </w:pPr>
      <w:r>
        <w:rPr>
          <w:rFonts w:ascii="Arial" w:cs="Arial" w:eastAsia="Arial" w:hAnsi="Arial"/>
          <w:sz w:val="17"/>
          <w:szCs w:val="17"/>
          <w:b w:val="1"/>
          <w:bCs w:val="1"/>
          <w:color w:val="auto"/>
        </w:rPr>
        <w:t>Tillman Infrastructure, LLC</w:t>
      </w:r>
      <w:r>
        <w:rPr>
          <w:rFonts w:ascii="Arial" w:cs="Arial" w:eastAsia="Arial" w:hAnsi="Arial"/>
          <w:sz w:val="17"/>
          <w:szCs w:val="17"/>
          <w:color w:val="auto"/>
        </w:rPr>
        <w:t>, U.S. wireless tower company</w:t>
      </w:r>
    </w:p>
    <w:p>
      <w:pPr>
        <w:spacing w:after="0" w:line="55" w:lineRule="exact"/>
        <w:rPr>
          <w:rFonts w:ascii="Arial" w:cs="Arial" w:eastAsia="Arial" w:hAnsi="Arial"/>
          <w:sz w:val="17"/>
          <w:szCs w:val="17"/>
          <w:b w:val="1"/>
          <w:bCs w:val="1"/>
          <w:color w:val="520B90"/>
        </w:rPr>
      </w:pPr>
    </w:p>
    <w:p>
      <w:pPr>
        <w:ind w:left="640" w:hanging="161"/>
        <w:spacing w:after="0"/>
        <w:tabs>
          <w:tab w:leader="none" w:pos="640" w:val="left"/>
        </w:tabs>
        <w:numPr>
          <w:ilvl w:val="1"/>
          <w:numId w:val="37"/>
        </w:numPr>
        <w:rPr>
          <w:rFonts w:ascii="Arial" w:cs="Arial" w:eastAsia="Arial" w:hAnsi="Arial"/>
          <w:sz w:val="17"/>
          <w:szCs w:val="17"/>
          <w:color w:val="auto"/>
        </w:rPr>
      </w:pPr>
      <w:r>
        <w:rPr>
          <w:rFonts w:ascii="Arial" w:cs="Arial" w:eastAsia="Arial" w:hAnsi="Arial"/>
          <w:sz w:val="17"/>
          <w:szCs w:val="17"/>
          <w:color w:val="auto"/>
        </w:rPr>
        <w:t>Chief Operating Officer ("COO") (2019 – 2023)</w:t>
      </w:r>
    </w:p>
    <w:p>
      <w:pPr>
        <w:spacing w:after="0" w:line="95" w:lineRule="exact"/>
        <w:rPr>
          <w:rFonts w:ascii="Arial" w:cs="Arial" w:eastAsia="Arial" w:hAnsi="Arial"/>
          <w:sz w:val="17"/>
          <w:szCs w:val="17"/>
          <w:color w:val="auto"/>
        </w:rPr>
      </w:pPr>
    </w:p>
    <w:p>
      <w:pPr>
        <w:ind w:left="400" w:right="240" w:hanging="159"/>
        <w:spacing w:after="0" w:line="275" w:lineRule="auto"/>
        <w:tabs>
          <w:tab w:leader="none" w:pos="392" w:val="left"/>
        </w:tabs>
        <w:numPr>
          <w:ilvl w:val="0"/>
          <w:numId w:val="37"/>
        </w:numPr>
        <w:rPr>
          <w:rFonts w:ascii="Arial" w:cs="Arial" w:eastAsia="Arial" w:hAnsi="Arial"/>
          <w:sz w:val="17"/>
          <w:szCs w:val="17"/>
          <w:b w:val="1"/>
          <w:bCs w:val="1"/>
          <w:color w:val="520B90"/>
        </w:rPr>
      </w:pPr>
      <w:r>
        <w:rPr>
          <w:rFonts w:ascii="Arial" w:cs="Arial" w:eastAsia="Arial" w:hAnsi="Arial"/>
          <w:sz w:val="17"/>
          <w:szCs w:val="17"/>
          <w:b w:val="1"/>
          <w:bCs w:val="1"/>
          <w:color w:val="auto"/>
        </w:rPr>
        <w:t>Samsung Electronics America, Inc.</w:t>
      </w:r>
      <w:r>
        <w:rPr>
          <w:rFonts w:ascii="Arial" w:cs="Arial" w:eastAsia="Arial" w:hAnsi="Arial"/>
          <w:sz w:val="17"/>
          <w:szCs w:val="17"/>
          <w:color w:val="auto"/>
        </w:rPr>
        <w:t>, provider of mobile technologies, consumer</w:t>
      </w:r>
      <w:r>
        <w:rPr>
          <w:rFonts w:ascii="Arial" w:cs="Arial" w:eastAsia="Arial" w:hAnsi="Arial"/>
          <w:sz w:val="17"/>
          <w:szCs w:val="17"/>
          <w:b w:val="1"/>
          <w:bCs w:val="1"/>
          <w:color w:val="auto"/>
        </w:rPr>
        <w:t xml:space="preserve"> </w:t>
      </w:r>
      <w:r>
        <w:rPr>
          <w:rFonts w:ascii="Arial" w:cs="Arial" w:eastAsia="Arial" w:hAnsi="Arial"/>
          <w:sz w:val="17"/>
          <w:szCs w:val="17"/>
          <w:color w:val="auto"/>
        </w:rPr>
        <w:t>electronics and appliances and network systems</w:t>
      </w:r>
    </w:p>
    <w:p>
      <w:pPr>
        <w:spacing w:after="0" w:line="2" w:lineRule="exact"/>
        <w:rPr>
          <w:rFonts w:ascii="Arial" w:cs="Arial" w:eastAsia="Arial" w:hAnsi="Arial"/>
          <w:sz w:val="17"/>
          <w:szCs w:val="17"/>
          <w:b w:val="1"/>
          <w:bCs w:val="1"/>
          <w:color w:val="520B90"/>
        </w:rPr>
      </w:pPr>
    </w:p>
    <w:p>
      <w:pPr>
        <w:ind w:left="640" w:hanging="161"/>
        <w:spacing w:after="0"/>
        <w:tabs>
          <w:tab w:leader="none" w:pos="640" w:val="left"/>
        </w:tabs>
        <w:numPr>
          <w:ilvl w:val="1"/>
          <w:numId w:val="37"/>
        </w:numPr>
        <w:rPr>
          <w:rFonts w:ascii="Arial" w:cs="Arial" w:eastAsia="Arial" w:hAnsi="Arial"/>
          <w:sz w:val="17"/>
          <w:szCs w:val="17"/>
          <w:color w:val="auto"/>
        </w:rPr>
      </w:pPr>
      <w:r>
        <w:rPr>
          <w:rFonts w:ascii="Arial" w:cs="Arial" w:eastAsia="Arial" w:hAnsi="Arial"/>
          <w:sz w:val="17"/>
          <w:szCs w:val="17"/>
          <w:color w:val="auto"/>
        </w:rPr>
        <w:t>General Manager, AT&amp;T and Verizon Accounts (2017 – 2019)</w:t>
      </w:r>
    </w:p>
    <w:p>
      <w:pPr>
        <w:spacing w:after="0" w:line="95" w:lineRule="exact"/>
        <w:rPr>
          <w:rFonts w:ascii="Arial" w:cs="Arial" w:eastAsia="Arial" w:hAnsi="Arial"/>
          <w:sz w:val="17"/>
          <w:szCs w:val="17"/>
          <w:color w:val="auto"/>
        </w:rPr>
      </w:pPr>
    </w:p>
    <w:p>
      <w:pPr>
        <w:ind w:left="400" w:right="980" w:hanging="159"/>
        <w:spacing w:after="0" w:line="275" w:lineRule="auto"/>
        <w:tabs>
          <w:tab w:leader="none" w:pos="392" w:val="left"/>
        </w:tabs>
        <w:numPr>
          <w:ilvl w:val="0"/>
          <w:numId w:val="37"/>
        </w:numPr>
        <w:rPr>
          <w:rFonts w:ascii="Arial" w:cs="Arial" w:eastAsia="Arial" w:hAnsi="Arial"/>
          <w:sz w:val="17"/>
          <w:szCs w:val="17"/>
          <w:b w:val="1"/>
          <w:bCs w:val="1"/>
          <w:color w:val="520B90"/>
        </w:rPr>
      </w:pPr>
      <w:r>
        <w:rPr>
          <w:rFonts w:ascii="Arial" w:cs="Arial" w:eastAsia="Arial" w:hAnsi="Arial"/>
          <w:sz w:val="17"/>
          <w:szCs w:val="17"/>
          <w:b w:val="1"/>
          <w:bCs w:val="1"/>
          <w:color w:val="auto"/>
        </w:rPr>
        <w:t>Ericsson AB (NASDAQ: ERIC)</w:t>
      </w:r>
      <w:r>
        <w:rPr>
          <w:rFonts w:ascii="Arial" w:cs="Arial" w:eastAsia="Arial" w:hAnsi="Arial"/>
          <w:sz w:val="17"/>
          <w:szCs w:val="17"/>
          <w:color w:val="auto"/>
        </w:rPr>
        <w:t>, provider of technology and services to</w:t>
      </w:r>
      <w:r>
        <w:rPr>
          <w:rFonts w:ascii="Arial" w:cs="Arial" w:eastAsia="Arial" w:hAnsi="Arial"/>
          <w:sz w:val="17"/>
          <w:szCs w:val="17"/>
          <w:b w:val="1"/>
          <w:bCs w:val="1"/>
          <w:color w:val="auto"/>
        </w:rPr>
        <w:t xml:space="preserve"> </w:t>
      </w:r>
      <w:r>
        <w:rPr>
          <w:rFonts w:ascii="Arial" w:cs="Arial" w:eastAsia="Arial" w:hAnsi="Arial"/>
          <w:sz w:val="17"/>
          <w:szCs w:val="17"/>
          <w:color w:val="auto"/>
        </w:rPr>
        <w:t>telecommunications companies</w:t>
      </w:r>
    </w:p>
    <w:p>
      <w:pPr>
        <w:spacing w:after="0" w:line="2" w:lineRule="exact"/>
        <w:rPr>
          <w:rFonts w:ascii="Arial" w:cs="Arial" w:eastAsia="Arial" w:hAnsi="Arial"/>
          <w:sz w:val="17"/>
          <w:szCs w:val="17"/>
          <w:b w:val="1"/>
          <w:bCs w:val="1"/>
          <w:color w:val="520B90"/>
        </w:rPr>
      </w:pPr>
    </w:p>
    <w:p>
      <w:pPr>
        <w:ind w:left="640" w:hanging="161"/>
        <w:spacing w:after="0" w:line="284" w:lineRule="auto"/>
        <w:tabs>
          <w:tab w:leader="none" w:pos="633" w:val="left"/>
        </w:tabs>
        <w:numPr>
          <w:ilvl w:val="1"/>
          <w:numId w:val="37"/>
        </w:numPr>
        <w:rPr>
          <w:rFonts w:ascii="Arial" w:cs="Arial" w:eastAsia="Arial" w:hAnsi="Arial"/>
          <w:sz w:val="17"/>
          <w:szCs w:val="17"/>
          <w:color w:val="auto"/>
        </w:rPr>
      </w:pPr>
      <w:r>
        <w:rPr>
          <w:rFonts w:ascii="Arial" w:cs="Arial" w:eastAsia="Arial" w:hAnsi="Arial"/>
          <w:sz w:val="17"/>
          <w:szCs w:val="17"/>
          <w:color w:val="auto"/>
        </w:rPr>
        <w:t>Served in various leadership positions (2012 – 2017), including as EVP and COO for North America and Europe (2014-2017)</w:t>
      </w:r>
    </w:p>
    <w:p>
      <w:pPr>
        <w:ind w:left="640" w:right="440" w:hanging="161"/>
        <w:spacing w:after="0" w:line="275" w:lineRule="auto"/>
        <w:tabs>
          <w:tab w:leader="none" w:pos="633" w:val="left"/>
        </w:tabs>
        <w:numPr>
          <w:ilvl w:val="1"/>
          <w:numId w:val="37"/>
        </w:numPr>
        <w:rPr>
          <w:rFonts w:ascii="Arial" w:cs="Arial" w:eastAsia="Arial" w:hAnsi="Arial"/>
          <w:sz w:val="17"/>
          <w:szCs w:val="17"/>
          <w:color w:val="auto"/>
        </w:rPr>
      </w:pPr>
      <w:r>
        <w:rPr>
          <w:rFonts w:ascii="Arial" w:cs="Arial" w:eastAsia="Arial" w:hAnsi="Arial"/>
          <w:sz w:val="17"/>
          <w:szCs w:val="17"/>
          <w:color w:val="auto"/>
        </w:rPr>
        <w:t>Member of Supervisory Board, Ericsson Telekommunikation GmbH (2016 – 2017)</w:t>
      </w:r>
    </w:p>
    <w:p>
      <w:pPr>
        <w:spacing w:after="0" w:line="41" w:lineRule="exact"/>
        <w:rPr>
          <w:rFonts w:ascii="Arial" w:cs="Arial" w:eastAsia="Arial" w:hAnsi="Arial"/>
          <w:sz w:val="17"/>
          <w:szCs w:val="17"/>
          <w:color w:val="auto"/>
        </w:rPr>
      </w:pPr>
    </w:p>
    <w:p>
      <w:pPr>
        <w:ind w:left="400" w:right="640" w:hanging="159"/>
        <w:spacing w:after="0" w:line="275" w:lineRule="auto"/>
        <w:tabs>
          <w:tab w:leader="none" w:pos="392" w:val="left"/>
        </w:tabs>
        <w:numPr>
          <w:ilvl w:val="0"/>
          <w:numId w:val="37"/>
        </w:numPr>
        <w:rPr>
          <w:rFonts w:ascii="Arial" w:cs="Arial" w:eastAsia="Arial" w:hAnsi="Arial"/>
          <w:sz w:val="17"/>
          <w:szCs w:val="17"/>
          <w:b w:val="1"/>
          <w:bCs w:val="1"/>
          <w:color w:val="520B90"/>
        </w:rPr>
      </w:pPr>
      <w:r>
        <w:rPr>
          <w:rFonts w:ascii="Arial" w:cs="Arial" w:eastAsia="Arial" w:hAnsi="Arial"/>
          <w:sz w:val="17"/>
          <w:szCs w:val="17"/>
          <w:color w:val="auto"/>
        </w:rPr>
        <w:t xml:space="preserve">Served in various positions at </w:t>
      </w:r>
      <w:r>
        <w:rPr>
          <w:rFonts w:ascii="Arial" w:cs="Arial" w:eastAsia="Arial" w:hAnsi="Arial"/>
          <w:sz w:val="17"/>
          <w:szCs w:val="17"/>
          <w:b w:val="1"/>
          <w:bCs w:val="1"/>
          <w:color w:val="auto"/>
        </w:rPr>
        <w:t>T-Mobile US, Inc.</w:t>
      </w:r>
      <w:r>
        <w:rPr>
          <w:rFonts w:ascii="Arial" w:cs="Arial" w:eastAsia="Arial" w:hAnsi="Arial"/>
          <w:sz w:val="17"/>
          <w:szCs w:val="17"/>
          <w:color w:val="auto"/>
        </w:rPr>
        <w:t>, including as Regional Vice President</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Skills and Qualifications</w:t>
      </w:r>
      <w:r>
        <w:rPr>
          <w:rFonts w:ascii="Arial" w:cs="Arial" w:eastAsia="Arial" w:hAnsi="Arial"/>
          <w:sz w:val="17"/>
          <w:szCs w:val="17"/>
          <w:color w:val="auto"/>
        </w:rPr>
        <w:t>:</w:t>
      </w:r>
    </w:p>
    <w:p>
      <w:pPr>
        <w:spacing w:after="0" w:line="96" w:lineRule="exact"/>
        <w:rPr>
          <w:sz w:val="20"/>
          <w:szCs w:val="20"/>
          <w:color w:val="auto"/>
        </w:rPr>
      </w:pPr>
    </w:p>
    <w:p>
      <w:pPr>
        <w:ind w:left="400" w:right="20" w:hanging="159"/>
        <w:spacing w:after="0" w:line="254" w:lineRule="auto"/>
        <w:tabs>
          <w:tab w:leader="none" w:pos="392" w:val="left"/>
        </w:tabs>
        <w:numPr>
          <w:ilvl w:val="0"/>
          <w:numId w:val="38"/>
        </w:numPr>
        <w:rPr>
          <w:rFonts w:ascii="Arial" w:cs="Arial" w:eastAsia="Arial" w:hAnsi="Arial"/>
          <w:sz w:val="17"/>
          <w:szCs w:val="17"/>
          <w:b w:val="1"/>
          <w:bCs w:val="1"/>
          <w:color w:val="520B90"/>
        </w:rPr>
      </w:pPr>
      <w:r>
        <w:rPr>
          <w:rFonts w:ascii="Arial" w:cs="Arial" w:eastAsia="Arial" w:hAnsi="Arial"/>
          <w:sz w:val="17"/>
          <w:szCs w:val="17"/>
          <w:b w:val="1"/>
          <w:bCs w:val="1"/>
          <w:color w:val="auto"/>
        </w:rPr>
        <w:t xml:space="preserve">Telecommunications </w:t>
      </w:r>
      <w:r>
        <w:rPr>
          <w:rFonts w:ascii="Arial" w:cs="Arial" w:eastAsia="Arial" w:hAnsi="Arial"/>
          <w:sz w:val="17"/>
          <w:szCs w:val="17"/>
          <w:color w:val="auto"/>
        </w:rPr>
        <w:t>and</w:t>
      </w:r>
      <w:r>
        <w:rPr>
          <w:rFonts w:ascii="Arial" w:cs="Arial" w:eastAsia="Arial" w:hAnsi="Arial"/>
          <w:sz w:val="17"/>
          <w:szCs w:val="17"/>
          <w:b w:val="1"/>
          <w:bCs w:val="1"/>
          <w:color w:val="auto"/>
        </w:rPr>
        <w:t xml:space="preserve"> Digital Infrastructure Expertise </w:t>
      </w:r>
      <w:r>
        <w:rPr>
          <w:rFonts w:ascii="Arial" w:cs="Arial" w:eastAsia="Arial" w:hAnsi="Arial"/>
          <w:sz w:val="17"/>
          <w:szCs w:val="17"/>
          <w:color w:val="auto"/>
        </w:rPr>
        <w:t>– More than three</w:t>
      </w:r>
      <w:r>
        <w:rPr>
          <w:rFonts w:ascii="Arial" w:cs="Arial" w:eastAsia="Arial" w:hAnsi="Arial"/>
          <w:sz w:val="17"/>
          <w:szCs w:val="17"/>
          <w:b w:val="1"/>
          <w:bCs w:val="1"/>
          <w:color w:val="auto"/>
        </w:rPr>
        <w:t xml:space="preserve"> </w:t>
      </w:r>
      <w:r>
        <w:rPr>
          <w:rFonts w:ascii="Arial" w:cs="Arial" w:eastAsia="Arial" w:hAnsi="Arial"/>
          <w:sz w:val="17"/>
          <w:szCs w:val="17"/>
          <w:color w:val="auto"/>
        </w:rPr>
        <w:t>decades of leadership across wireless carriers, network equipment providers and infrastructure owners, providing the Board with deep insight into industry economics, technology evolution and carrier demand trends.</w:t>
      </w:r>
    </w:p>
    <w:p>
      <w:pPr>
        <w:spacing w:after="0" w:line="59" w:lineRule="exact"/>
        <w:rPr>
          <w:rFonts w:ascii="Arial" w:cs="Arial" w:eastAsia="Arial" w:hAnsi="Arial"/>
          <w:sz w:val="17"/>
          <w:szCs w:val="17"/>
          <w:b w:val="1"/>
          <w:bCs w:val="1"/>
          <w:color w:val="520B90"/>
        </w:rPr>
      </w:pPr>
    </w:p>
    <w:p>
      <w:pPr>
        <w:ind w:left="400" w:right="20" w:hanging="159"/>
        <w:spacing w:after="0" w:line="259" w:lineRule="auto"/>
        <w:tabs>
          <w:tab w:leader="none" w:pos="392" w:val="left"/>
        </w:tabs>
        <w:numPr>
          <w:ilvl w:val="0"/>
          <w:numId w:val="38"/>
        </w:numPr>
        <w:rPr>
          <w:rFonts w:ascii="Arial" w:cs="Arial" w:eastAsia="Arial" w:hAnsi="Arial"/>
          <w:sz w:val="17"/>
          <w:szCs w:val="17"/>
          <w:b w:val="1"/>
          <w:bCs w:val="1"/>
          <w:color w:val="520B90"/>
        </w:rPr>
      </w:pPr>
      <w:r>
        <w:rPr>
          <w:rFonts w:ascii="Arial" w:cs="Arial" w:eastAsia="Arial" w:hAnsi="Arial"/>
          <w:sz w:val="17"/>
          <w:szCs w:val="17"/>
          <w:b w:val="1"/>
          <w:bCs w:val="1"/>
          <w:color w:val="auto"/>
        </w:rPr>
        <w:t xml:space="preserve">Strategic Transformation </w:t>
      </w:r>
      <w:r>
        <w:rPr>
          <w:rFonts w:ascii="Arial" w:cs="Arial" w:eastAsia="Arial" w:hAnsi="Arial"/>
          <w:sz w:val="17"/>
          <w:szCs w:val="17"/>
          <w:color w:val="auto"/>
        </w:rPr>
        <w:t>and</w:t>
      </w:r>
      <w:r>
        <w:rPr>
          <w:rFonts w:ascii="Arial" w:cs="Arial" w:eastAsia="Arial" w:hAnsi="Arial"/>
          <w:sz w:val="17"/>
          <w:szCs w:val="17"/>
          <w:b w:val="1"/>
          <w:bCs w:val="1"/>
          <w:color w:val="auto"/>
        </w:rPr>
        <w:t xml:space="preserve"> Capital Allocation </w:t>
      </w:r>
      <w:r>
        <w:rPr>
          <w:rFonts w:ascii="Arial" w:cs="Arial" w:eastAsia="Arial" w:hAnsi="Arial"/>
          <w:sz w:val="17"/>
          <w:szCs w:val="17"/>
          <w:color w:val="auto"/>
        </w:rPr>
        <w:t>– Led large-scale</w:t>
      </w:r>
      <w:r>
        <w:rPr>
          <w:rFonts w:ascii="Arial" w:cs="Arial" w:eastAsia="Arial" w:hAnsi="Arial"/>
          <w:sz w:val="17"/>
          <w:szCs w:val="17"/>
          <w:b w:val="1"/>
          <w:bCs w:val="1"/>
          <w:color w:val="auto"/>
        </w:rPr>
        <w:t xml:space="preserve"> </w:t>
      </w:r>
      <w:r>
        <w:rPr>
          <w:rFonts w:ascii="Arial" w:cs="Arial" w:eastAsia="Arial" w:hAnsi="Arial"/>
          <w:sz w:val="17"/>
          <w:szCs w:val="17"/>
          <w:color w:val="auto"/>
        </w:rPr>
        <w:t>transformations and portfolio optimization initiatives at capital intensive infrastructure companies, with direct experience balancing growth investment, returns and shareholder value creation.</w:t>
      </w:r>
    </w:p>
    <w:p>
      <w:pPr>
        <w:spacing w:after="0" w:line="42" w:lineRule="exact"/>
        <w:rPr>
          <w:rFonts w:ascii="Arial" w:cs="Arial" w:eastAsia="Arial" w:hAnsi="Arial"/>
          <w:sz w:val="17"/>
          <w:szCs w:val="17"/>
          <w:b w:val="1"/>
          <w:bCs w:val="1"/>
          <w:color w:val="520B90"/>
        </w:rPr>
      </w:pPr>
    </w:p>
    <w:p>
      <w:pPr>
        <w:ind w:left="400" w:right="80" w:hanging="159"/>
        <w:spacing w:after="0" w:line="267" w:lineRule="auto"/>
        <w:tabs>
          <w:tab w:leader="none" w:pos="392" w:val="left"/>
        </w:tabs>
        <w:numPr>
          <w:ilvl w:val="0"/>
          <w:numId w:val="38"/>
        </w:numPr>
        <w:rPr>
          <w:rFonts w:ascii="Arial" w:cs="Arial" w:eastAsia="Arial" w:hAnsi="Arial"/>
          <w:sz w:val="17"/>
          <w:szCs w:val="17"/>
          <w:b w:val="1"/>
          <w:bCs w:val="1"/>
          <w:color w:val="520B90"/>
        </w:rPr>
      </w:pPr>
      <w:r>
        <w:rPr>
          <w:rFonts w:ascii="Arial" w:cs="Arial" w:eastAsia="Arial" w:hAnsi="Arial"/>
          <w:sz w:val="17"/>
          <w:szCs w:val="17"/>
          <w:b w:val="1"/>
          <w:bCs w:val="1"/>
          <w:color w:val="auto"/>
        </w:rPr>
        <w:t xml:space="preserve">Operational Leadership </w:t>
      </w:r>
      <w:r>
        <w:rPr>
          <w:rFonts w:ascii="Arial" w:cs="Arial" w:eastAsia="Arial" w:hAnsi="Arial"/>
          <w:sz w:val="17"/>
          <w:szCs w:val="17"/>
          <w:color w:val="auto"/>
        </w:rPr>
        <w:t>– Extensive experience overseeing complex, multi market</w:t>
      </w:r>
      <w:r>
        <w:rPr>
          <w:rFonts w:ascii="Arial" w:cs="Arial" w:eastAsia="Arial" w:hAnsi="Arial"/>
          <w:sz w:val="17"/>
          <w:szCs w:val="17"/>
          <w:b w:val="1"/>
          <w:bCs w:val="1"/>
          <w:color w:val="auto"/>
        </w:rPr>
        <w:t xml:space="preserve"> </w:t>
      </w:r>
      <w:r>
        <w:rPr>
          <w:rFonts w:ascii="Arial" w:cs="Arial" w:eastAsia="Arial" w:hAnsi="Arial"/>
          <w:sz w:val="17"/>
          <w:szCs w:val="17"/>
          <w:color w:val="auto"/>
        </w:rPr>
        <w:t>operations, including network deployment, engineering, sales and asset management functions in both public and private company environments.</w:t>
      </w:r>
    </w:p>
    <w:p>
      <w:pPr>
        <w:spacing w:after="0" w:line="49" w:lineRule="exact"/>
        <w:rPr>
          <w:rFonts w:ascii="Arial" w:cs="Arial" w:eastAsia="Arial" w:hAnsi="Arial"/>
          <w:sz w:val="17"/>
          <w:szCs w:val="17"/>
          <w:b w:val="1"/>
          <w:bCs w:val="1"/>
          <w:color w:val="520B90"/>
        </w:rPr>
      </w:pPr>
    </w:p>
    <w:p>
      <w:pPr>
        <w:ind w:left="400" w:right="200" w:hanging="159"/>
        <w:spacing w:after="0" w:line="259" w:lineRule="auto"/>
        <w:tabs>
          <w:tab w:leader="none" w:pos="392" w:val="left"/>
        </w:tabs>
        <w:numPr>
          <w:ilvl w:val="0"/>
          <w:numId w:val="38"/>
        </w:numPr>
        <w:rPr>
          <w:rFonts w:ascii="Arial" w:cs="Arial" w:eastAsia="Arial" w:hAnsi="Arial"/>
          <w:sz w:val="17"/>
          <w:szCs w:val="17"/>
          <w:b w:val="1"/>
          <w:bCs w:val="1"/>
          <w:color w:val="520B90"/>
        </w:rPr>
      </w:pPr>
      <w:r>
        <w:rPr>
          <w:rFonts w:ascii="Arial" w:cs="Arial" w:eastAsia="Arial" w:hAnsi="Arial"/>
          <w:sz w:val="17"/>
          <w:szCs w:val="17"/>
          <w:b w:val="1"/>
          <w:bCs w:val="1"/>
          <w:color w:val="auto"/>
        </w:rPr>
        <w:t xml:space="preserve">Public Company Governance </w:t>
      </w:r>
      <w:r>
        <w:rPr>
          <w:rFonts w:ascii="Arial" w:cs="Arial" w:eastAsia="Arial" w:hAnsi="Arial"/>
          <w:sz w:val="17"/>
          <w:szCs w:val="17"/>
          <w:color w:val="auto"/>
        </w:rPr>
        <w:t>and</w:t>
      </w:r>
      <w:r>
        <w:rPr>
          <w:rFonts w:ascii="Arial" w:cs="Arial" w:eastAsia="Arial" w:hAnsi="Arial"/>
          <w:sz w:val="17"/>
          <w:szCs w:val="17"/>
          <w:b w:val="1"/>
          <w:bCs w:val="1"/>
          <w:color w:val="auto"/>
        </w:rPr>
        <w:t xml:space="preserve"> Risk Oversight </w:t>
      </w:r>
      <w:r>
        <w:rPr>
          <w:rFonts w:ascii="Arial" w:cs="Arial" w:eastAsia="Arial" w:hAnsi="Arial"/>
          <w:sz w:val="17"/>
          <w:szCs w:val="17"/>
          <w:color w:val="auto"/>
        </w:rPr>
        <w:t>– Service on public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boards and supervisory boards, with experience overseeing enterprise risk management, regulatory matters and executive leadership accountability.</w:t>
      </w:r>
    </w:p>
    <w:p>
      <w:pPr>
        <w:spacing w:after="0" w:line="55" w:lineRule="exact"/>
        <w:rPr>
          <w:rFonts w:ascii="Arial" w:cs="Arial" w:eastAsia="Arial" w:hAnsi="Arial"/>
          <w:sz w:val="17"/>
          <w:szCs w:val="17"/>
          <w:b w:val="1"/>
          <w:bCs w:val="1"/>
          <w:color w:val="520B90"/>
        </w:rPr>
      </w:pPr>
    </w:p>
    <w:p>
      <w:pPr>
        <w:ind w:left="400" w:right="340" w:hanging="159"/>
        <w:spacing w:after="0" w:line="259" w:lineRule="auto"/>
        <w:tabs>
          <w:tab w:leader="none" w:pos="392" w:val="left"/>
        </w:tabs>
        <w:numPr>
          <w:ilvl w:val="0"/>
          <w:numId w:val="38"/>
        </w:numPr>
        <w:rPr>
          <w:rFonts w:ascii="Arial" w:cs="Arial" w:eastAsia="Arial" w:hAnsi="Arial"/>
          <w:sz w:val="17"/>
          <w:szCs w:val="17"/>
          <w:b w:val="1"/>
          <w:bCs w:val="1"/>
          <w:color w:val="520B90"/>
        </w:rPr>
      </w:pPr>
      <w:r>
        <w:rPr>
          <w:rFonts w:ascii="Arial" w:cs="Arial" w:eastAsia="Arial" w:hAnsi="Arial"/>
          <w:sz w:val="17"/>
          <w:szCs w:val="17"/>
          <w:b w:val="1"/>
          <w:bCs w:val="1"/>
          <w:color w:val="auto"/>
        </w:rPr>
        <w:t xml:space="preserve">M&amp;A </w:t>
      </w:r>
      <w:r>
        <w:rPr>
          <w:rFonts w:ascii="Arial" w:cs="Arial" w:eastAsia="Arial" w:hAnsi="Arial"/>
          <w:sz w:val="17"/>
          <w:szCs w:val="17"/>
          <w:color w:val="auto"/>
        </w:rPr>
        <w:t>and</w:t>
      </w:r>
      <w:r>
        <w:rPr>
          <w:rFonts w:ascii="Arial" w:cs="Arial" w:eastAsia="Arial" w:hAnsi="Arial"/>
          <w:sz w:val="17"/>
          <w:szCs w:val="17"/>
          <w:b w:val="1"/>
          <w:bCs w:val="1"/>
          <w:color w:val="auto"/>
        </w:rPr>
        <w:t xml:space="preserve"> Partnership Experience </w:t>
      </w:r>
      <w:r>
        <w:rPr>
          <w:rFonts w:ascii="Arial" w:cs="Arial" w:eastAsia="Arial" w:hAnsi="Arial"/>
          <w:sz w:val="17"/>
          <w:szCs w:val="17"/>
          <w:color w:val="auto"/>
        </w:rPr>
        <w:t>– Direct involvement in acquisitions, joint</w:t>
      </w:r>
      <w:r>
        <w:rPr>
          <w:rFonts w:ascii="Arial" w:cs="Arial" w:eastAsia="Arial" w:hAnsi="Arial"/>
          <w:sz w:val="17"/>
          <w:szCs w:val="17"/>
          <w:b w:val="1"/>
          <w:bCs w:val="1"/>
          <w:color w:val="auto"/>
        </w:rPr>
        <w:t xml:space="preserve"> </w:t>
      </w:r>
      <w:r>
        <w:rPr>
          <w:rFonts w:ascii="Arial" w:cs="Arial" w:eastAsia="Arial" w:hAnsi="Arial"/>
          <w:sz w:val="17"/>
          <w:szCs w:val="17"/>
          <w:color w:val="auto"/>
        </w:rPr>
        <w:t>ventures and strategic partnerships within the telecommunications infrastructure ecosystem.</w:t>
      </w:r>
    </w:p>
    <w:p>
      <w:pPr>
        <w:spacing w:after="0" w:line="55" w:lineRule="exact"/>
        <w:rPr>
          <w:rFonts w:ascii="Arial" w:cs="Arial" w:eastAsia="Arial" w:hAnsi="Arial"/>
          <w:sz w:val="17"/>
          <w:szCs w:val="17"/>
          <w:b w:val="1"/>
          <w:bCs w:val="1"/>
          <w:color w:val="520B90"/>
        </w:rPr>
      </w:pPr>
    </w:p>
    <w:p>
      <w:pPr>
        <w:ind w:left="400" w:right="660" w:hanging="159"/>
        <w:spacing w:after="0" w:line="285" w:lineRule="auto"/>
        <w:tabs>
          <w:tab w:leader="none" w:pos="392" w:val="left"/>
        </w:tabs>
        <w:numPr>
          <w:ilvl w:val="0"/>
          <w:numId w:val="38"/>
        </w:numPr>
        <w:rPr>
          <w:rFonts w:ascii="Arial" w:cs="Arial" w:eastAsia="Arial" w:hAnsi="Arial"/>
          <w:sz w:val="17"/>
          <w:szCs w:val="17"/>
          <w:b w:val="1"/>
          <w:bCs w:val="1"/>
          <w:color w:val="520B90"/>
        </w:rPr>
      </w:pPr>
      <w:r>
        <w:rPr>
          <w:rFonts w:ascii="Arial" w:cs="Arial" w:eastAsia="Arial" w:hAnsi="Arial"/>
          <w:sz w:val="17"/>
          <w:szCs w:val="17"/>
          <w:color w:val="auto"/>
        </w:rPr>
        <w:t xml:space="preserve">Mr. Hillabrant also brings to our Board </w:t>
      </w:r>
      <w:r>
        <w:rPr>
          <w:rFonts w:ascii="Arial" w:cs="Arial" w:eastAsia="Arial" w:hAnsi="Arial"/>
          <w:sz w:val="17"/>
          <w:szCs w:val="17"/>
          <w:b w:val="1"/>
          <w:bCs w:val="1"/>
          <w:color w:val="auto"/>
        </w:rPr>
        <w:t>executive</w:t>
      </w:r>
      <w:r>
        <w:rPr>
          <w:rFonts w:ascii="Arial" w:cs="Arial" w:eastAsia="Arial" w:hAnsi="Arial"/>
          <w:sz w:val="17"/>
          <w:szCs w:val="17"/>
          <w:color w:val="auto"/>
        </w:rPr>
        <w:t xml:space="preserve">, </w:t>
      </w:r>
      <w:r>
        <w:rPr>
          <w:rFonts w:ascii="Arial" w:cs="Arial" w:eastAsia="Arial" w:hAnsi="Arial"/>
          <w:sz w:val="17"/>
          <w:szCs w:val="17"/>
          <w:b w:val="1"/>
          <w:bCs w:val="1"/>
          <w:color w:val="auto"/>
        </w:rPr>
        <w:t>finance</w:t>
      </w:r>
      <w:r>
        <w:rPr>
          <w:rFonts w:ascii="Arial" w:cs="Arial" w:eastAsia="Arial" w:hAnsi="Arial"/>
          <w:sz w:val="17"/>
          <w:szCs w:val="17"/>
          <w:color w:val="auto"/>
        </w:rPr>
        <w:t xml:space="preserve">, </w:t>
      </w:r>
      <w:r>
        <w:rPr>
          <w:rFonts w:ascii="Arial" w:cs="Arial" w:eastAsia="Arial" w:hAnsi="Arial"/>
          <w:sz w:val="17"/>
          <w:szCs w:val="17"/>
          <w:b w:val="1"/>
          <w:bCs w:val="1"/>
          <w:color w:val="auto"/>
        </w:rPr>
        <w:t>technology</w:t>
      </w:r>
      <w:r>
        <w:rPr>
          <w:rFonts w:ascii="Arial" w:cs="Arial" w:eastAsia="Arial" w:hAnsi="Arial"/>
          <w:sz w:val="17"/>
          <w:szCs w:val="17"/>
          <w:color w:val="auto"/>
        </w:rPr>
        <w:t xml:space="preserve"> and </w:t>
      </w:r>
      <w:r>
        <w:rPr>
          <w:rFonts w:ascii="Arial" w:cs="Arial" w:eastAsia="Arial" w:hAnsi="Arial"/>
          <w:sz w:val="17"/>
          <w:szCs w:val="17"/>
          <w:b w:val="1"/>
          <w:bCs w:val="1"/>
          <w:color w:val="auto"/>
        </w:rPr>
        <w:t xml:space="preserve">HR/compensation </w:t>
      </w:r>
      <w:r>
        <w:rPr>
          <w:rFonts w:ascii="Arial" w:cs="Arial" w:eastAsia="Arial" w:hAnsi="Arial"/>
          <w:sz w:val="17"/>
          <w:szCs w:val="17"/>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-2891155</wp:posOffset>
            </wp:positionH>
            <wp:positionV relativeFrom="paragraph">
              <wp:posOffset>181610</wp:posOffset>
            </wp:positionV>
            <wp:extent cx="71348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80" w:space="560"/>
            <w:col w:w="6660"/>
          </w:cols>
          <w:pgMar w:left="340" w:top="1431" w:right="35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67310</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40" w:top="1431" w:right="359" w:bottom="1440" w:gutter="0" w:footer="0" w:header="0"/>
          <w:type w:val="continuous"/>
        </w:sectPr>
      </w:pPr>
    </w:p>
    <w:bookmarkStart w:id="15" w:name="page16"/>
    <w:bookmarkEnd w:id="15"/>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Tammy K.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1798320" cy="22523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98320" cy="2252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w:t>
      </w:r>
      <w:r>
        <w:rPr>
          <w:rFonts w:ascii="Arial" w:cs="Arial" w:eastAsia="Arial" w:hAnsi="Arial"/>
          <w:sz w:val="17"/>
          <w:szCs w:val="17"/>
          <w:color w:val="auto"/>
        </w:rPr>
        <w:t>:</w:t>
      </w:r>
    </w:p>
    <w:p>
      <w:pPr>
        <w:spacing w:after="0" w:line="56" w:lineRule="exact"/>
        <w:rPr>
          <w:sz w:val="20"/>
          <w:szCs w:val="20"/>
          <w:color w:val="auto"/>
        </w:rPr>
      </w:pPr>
    </w:p>
    <w:p>
      <w:pPr>
        <w:ind w:left="320" w:hanging="158"/>
        <w:spacing w:after="0"/>
        <w:tabs>
          <w:tab w:leader="none" w:pos="320" w:val="left"/>
        </w:tabs>
        <w:numPr>
          <w:ilvl w:val="0"/>
          <w:numId w:val="39"/>
        </w:numPr>
        <w:rPr>
          <w:rFonts w:ascii="Arial" w:cs="Arial" w:eastAsia="Arial" w:hAnsi="Arial"/>
          <w:sz w:val="17"/>
          <w:szCs w:val="17"/>
          <w:b w:val="1"/>
          <w:bCs w:val="1"/>
          <w:color w:val="520B90"/>
        </w:rPr>
      </w:pPr>
      <w:r>
        <w:rPr>
          <w:rFonts w:ascii="Arial" w:cs="Arial" w:eastAsia="Arial" w:hAnsi="Arial"/>
          <w:sz w:val="17"/>
          <w:szCs w:val="17"/>
          <w:color w:val="auto"/>
        </w:rPr>
        <w:t>Audit</w:t>
      </w:r>
    </w:p>
    <w:p>
      <w:pPr>
        <w:spacing w:after="0" w:line="55" w:lineRule="exact"/>
        <w:rPr>
          <w:rFonts w:ascii="Arial" w:cs="Arial" w:eastAsia="Arial" w:hAnsi="Arial"/>
          <w:sz w:val="17"/>
          <w:szCs w:val="17"/>
          <w:b w:val="1"/>
          <w:bCs w:val="1"/>
          <w:color w:val="520B90"/>
        </w:rPr>
      </w:pPr>
    </w:p>
    <w:p>
      <w:pPr>
        <w:ind w:left="320" w:hanging="158"/>
        <w:spacing w:after="0"/>
        <w:tabs>
          <w:tab w:leader="none" w:pos="320" w:val="left"/>
        </w:tabs>
        <w:numPr>
          <w:ilvl w:val="0"/>
          <w:numId w:val="39"/>
        </w:numPr>
        <w:rPr>
          <w:rFonts w:ascii="Arial" w:cs="Arial" w:eastAsia="Arial" w:hAnsi="Arial"/>
          <w:sz w:val="17"/>
          <w:szCs w:val="17"/>
          <w:b w:val="1"/>
          <w:bCs w:val="1"/>
          <w:color w:val="520B90"/>
        </w:rPr>
      </w:pPr>
      <w:r>
        <w:rPr>
          <w:rFonts w:ascii="Arial" w:cs="Arial" w:eastAsia="Arial" w:hAnsi="Arial"/>
          <w:sz w:val="17"/>
          <w:szCs w:val="17"/>
          <w:color w:val="auto"/>
        </w:rPr>
        <w:t>Finance</w:t>
      </w:r>
    </w:p>
    <w:p>
      <w:pPr>
        <w:spacing w:after="0" w:line="69" w:lineRule="exact"/>
        <w:rPr>
          <w:rFonts w:ascii="Arial" w:cs="Arial" w:eastAsia="Arial" w:hAnsi="Arial"/>
          <w:sz w:val="17"/>
          <w:szCs w:val="17"/>
          <w:b w:val="1"/>
          <w:bCs w:val="1"/>
          <w:color w:val="520B90"/>
        </w:rPr>
      </w:pPr>
    </w:p>
    <w:p>
      <w:pPr>
        <w:ind w:left="320" w:hanging="158"/>
        <w:spacing w:after="0"/>
        <w:tabs>
          <w:tab w:leader="none" w:pos="320" w:val="left"/>
        </w:tabs>
        <w:numPr>
          <w:ilvl w:val="0"/>
          <w:numId w:val="39"/>
        </w:numPr>
        <w:rPr>
          <w:rFonts w:ascii="Arial" w:cs="Arial" w:eastAsia="Arial" w:hAnsi="Arial"/>
          <w:sz w:val="17"/>
          <w:szCs w:val="17"/>
          <w:b w:val="1"/>
          <w:bCs w:val="1"/>
          <w:color w:val="520B90"/>
        </w:rPr>
      </w:pPr>
      <w:r>
        <w:rPr>
          <w:rFonts w:ascii="Arial" w:cs="Arial" w:eastAsia="Arial" w:hAnsi="Arial"/>
          <w:sz w:val="17"/>
          <w:szCs w:val="17"/>
          <w:color w:val="auto"/>
        </w:rPr>
        <w:t xml:space="preserve">N&amp;G, </w:t>
      </w:r>
      <w:r>
        <w:rPr>
          <w:rFonts w:ascii="Arial" w:cs="Arial" w:eastAsia="Arial" w:hAnsi="Arial"/>
          <w:sz w:val="17"/>
          <w:szCs w:val="17"/>
          <w:b w:val="1"/>
          <w:bCs w:val="1"/>
          <w:color w:val="520B90"/>
        </w:rPr>
        <w:t>Chair</w:t>
      </w: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Public Company Directorships</w:t>
      </w:r>
      <w:r>
        <w:rPr>
          <w:rFonts w:ascii="Arial" w:cs="Arial" w:eastAsia="Arial" w:hAnsi="Arial"/>
          <w:sz w:val="17"/>
          <w:szCs w:val="17"/>
          <w:color w:val="auto"/>
        </w:rPr>
        <w:t>:</w:t>
      </w:r>
    </w:p>
    <w:p>
      <w:pPr>
        <w:spacing w:after="0" w:line="56" w:lineRule="exact"/>
        <w:rPr>
          <w:sz w:val="20"/>
          <w:szCs w:val="20"/>
          <w:color w:val="auto"/>
        </w:rPr>
      </w:pPr>
    </w:p>
    <w:p>
      <w:pPr>
        <w:ind w:left="320" w:hanging="158"/>
        <w:spacing w:after="0"/>
        <w:tabs>
          <w:tab w:leader="none" w:pos="320" w:val="left"/>
        </w:tabs>
        <w:numPr>
          <w:ilvl w:val="0"/>
          <w:numId w:val="40"/>
        </w:numPr>
        <w:rPr>
          <w:rFonts w:ascii="Arial" w:cs="Arial" w:eastAsia="Arial" w:hAnsi="Arial"/>
          <w:sz w:val="17"/>
          <w:szCs w:val="17"/>
          <w:b w:val="1"/>
          <w:bCs w:val="1"/>
          <w:color w:val="520B90"/>
        </w:rPr>
      </w:pPr>
      <w:r>
        <w:rPr>
          <w:rFonts w:ascii="Arial" w:cs="Arial" w:eastAsia="Arial" w:hAnsi="Arial"/>
          <w:sz w:val="17"/>
          <w:szCs w:val="17"/>
          <w:color w:val="auto"/>
        </w:rPr>
        <w:t>Veris Residential, Inc. (NYSE: VRE) ("Veris")</w:t>
      </w:r>
    </w:p>
    <w:p>
      <w:pPr>
        <w:spacing w:after="0" w:line="55" w:lineRule="exact"/>
        <w:rPr>
          <w:rFonts w:ascii="Arial" w:cs="Arial" w:eastAsia="Arial" w:hAnsi="Arial"/>
          <w:sz w:val="17"/>
          <w:szCs w:val="17"/>
          <w:b w:val="1"/>
          <w:bCs w:val="1"/>
          <w:color w:val="520B90"/>
        </w:rPr>
      </w:pPr>
    </w:p>
    <w:p>
      <w:pPr>
        <w:ind w:left="320" w:hanging="158"/>
        <w:spacing w:after="0" w:line="259" w:lineRule="auto"/>
        <w:tabs>
          <w:tab w:leader="none" w:pos="312" w:val="left"/>
        </w:tabs>
        <w:numPr>
          <w:ilvl w:val="0"/>
          <w:numId w:val="40"/>
        </w:numPr>
        <w:rPr>
          <w:rFonts w:ascii="Arial" w:cs="Arial" w:eastAsia="Arial" w:hAnsi="Arial"/>
          <w:sz w:val="17"/>
          <w:szCs w:val="17"/>
          <w:b w:val="1"/>
          <w:bCs w:val="1"/>
          <w:color w:val="520B90"/>
        </w:rPr>
      </w:pPr>
      <w:r>
        <w:rPr>
          <w:rFonts w:ascii="Arial" w:cs="Arial" w:eastAsia="Arial" w:hAnsi="Arial"/>
          <w:sz w:val="17"/>
          <w:szCs w:val="17"/>
          <w:color w:val="auto"/>
        </w:rPr>
        <w:t>Monogram Residential Trust, Inc. (NYSE: MORE) (acquired by Greystar Growth and Income Fund, LP in 2017) ("Monogram") (2016 – 2017)</w:t>
      </w: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Memberships</w:t>
      </w:r>
      <w:r>
        <w:rPr>
          <w:rFonts w:ascii="Arial" w:cs="Arial" w:eastAsia="Arial" w:hAnsi="Arial"/>
          <w:sz w:val="17"/>
          <w:szCs w:val="17"/>
          <w:color w:val="auto"/>
        </w:rPr>
        <w:t>:</w:t>
      </w:r>
    </w:p>
    <w:p>
      <w:pPr>
        <w:spacing w:after="0" w:line="56" w:lineRule="exact"/>
        <w:rPr>
          <w:sz w:val="20"/>
          <w:szCs w:val="20"/>
          <w:color w:val="auto"/>
        </w:rPr>
      </w:pPr>
    </w:p>
    <w:p>
      <w:pPr>
        <w:ind w:left="320" w:hanging="158"/>
        <w:spacing w:after="0"/>
        <w:tabs>
          <w:tab w:leader="none" w:pos="320" w:val="left"/>
        </w:tabs>
        <w:numPr>
          <w:ilvl w:val="0"/>
          <w:numId w:val="41"/>
        </w:numPr>
        <w:rPr>
          <w:rFonts w:ascii="Arial" w:cs="Arial" w:eastAsia="Arial" w:hAnsi="Arial"/>
          <w:sz w:val="17"/>
          <w:szCs w:val="17"/>
          <w:b w:val="1"/>
          <w:bCs w:val="1"/>
          <w:color w:val="520B90"/>
        </w:rPr>
      </w:pPr>
      <w:r>
        <w:rPr>
          <w:rFonts w:ascii="Arial" w:cs="Arial" w:eastAsia="Arial" w:hAnsi="Arial"/>
          <w:sz w:val="17"/>
          <w:szCs w:val="17"/>
          <w:color w:val="auto"/>
        </w:rPr>
        <w:t>Chair, Real Estate Executive Council</w:t>
      </w: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Education</w:t>
      </w:r>
      <w:r>
        <w:rPr>
          <w:rFonts w:ascii="Arial" w:cs="Arial" w:eastAsia="Arial" w:hAnsi="Arial"/>
          <w:sz w:val="17"/>
          <w:szCs w:val="17"/>
          <w:color w:val="auto"/>
        </w:rPr>
        <w:t>:</w:t>
      </w:r>
    </w:p>
    <w:p>
      <w:pPr>
        <w:spacing w:after="0" w:line="56" w:lineRule="exact"/>
        <w:rPr>
          <w:sz w:val="20"/>
          <w:szCs w:val="20"/>
          <w:color w:val="auto"/>
        </w:rPr>
      </w:pPr>
    </w:p>
    <w:p>
      <w:pPr>
        <w:ind w:left="320" w:hanging="158"/>
        <w:spacing w:after="0"/>
        <w:tabs>
          <w:tab w:leader="none" w:pos="320" w:val="left"/>
        </w:tabs>
        <w:numPr>
          <w:ilvl w:val="0"/>
          <w:numId w:val="42"/>
        </w:numPr>
        <w:rPr>
          <w:rFonts w:ascii="Arial" w:cs="Arial" w:eastAsia="Arial" w:hAnsi="Arial"/>
          <w:sz w:val="17"/>
          <w:szCs w:val="17"/>
          <w:b w:val="1"/>
          <w:bCs w:val="1"/>
          <w:color w:val="520B90"/>
        </w:rPr>
      </w:pPr>
      <w:r>
        <w:rPr>
          <w:rFonts w:ascii="Arial" w:cs="Arial" w:eastAsia="Arial" w:hAnsi="Arial"/>
          <w:sz w:val="17"/>
          <w:szCs w:val="17"/>
          <w:color w:val="auto"/>
        </w:rPr>
        <w:t>B.A., Cornell University</w:t>
      </w:r>
    </w:p>
    <w:p>
      <w:pPr>
        <w:spacing w:after="0" w:line="55" w:lineRule="exact"/>
        <w:rPr>
          <w:rFonts w:ascii="Arial" w:cs="Arial" w:eastAsia="Arial" w:hAnsi="Arial"/>
          <w:sz w:val="17"/>
          <w:szCs w:val="17"/>
          <w:b w:val="1"/>
          <w:bCs w:val="1"/>
          <w:color w:val="520B90"/>
        </w:rPr>
      </w:pPr>
    </w:p>
    <w:p>
      <w:pPr>
        <w:ind w:left="320" w:right="380" w:hanging="158"/>
        <w:spacing w:after="0" w:line="292" w:lineRule="auto"/>
        <w:tabs>
          <w:tab w:leader="none" w:pos="312" w:val="left"/>
        </w:tabs>
        <w:numPr>
          <w:ilvl w:val="0"/>
          <w:numId w:val="42"/>
        </w:numPr>
        <w:rPr>
          <w:rFonts w:ascii="Arial" w:cs="Arial" w:eastAsia="Arial" w:hAnsi="Arial"/>
          <w:sz w:val="17"/>
          <w:szCs w:val="17"/>
          <w:b w:val="1"/>
          <w:bCs w:val="1"/>
          <w:color w:val="520B90"/>
        </w:rPr>
      </w:pPr>
      <w:r>
        <w:rPr>
          <w:rFonts w:ascii="Arial" w:cs="Arial" w:eastAsia="Arial" w:hAnsi="Arial"/>
          <w:sz w:val="17"/>
          <w:szCs w:val="17"/>
          <w:color w:val="auto"/>
        </w:rPr>
        <w:t>M.B.A., J. Mack Robinson College of Business at Georgia State University</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tabs>
          <w:tab w:leader="none" w:pos="4940" w:val="left"/>
        </w:tabs>
        <w:rPr>
          <w:sz w:val="20"/>
          <w:szCs w:val="20"/>
          <w:color w:val="auto"/>
        </w:rPr>
      </w:pPr>
      <w:r>
        <w:rPr>
          <w:rFonts w:ascii="Arial" w:cs="Arial" w:eastAsia="Arial" w:hAnsi="Arial"/>
          <w:sz w:val="18"/>
          <w:szCs w:val="18"/>
          <w:b w:val="1"/>
          <w:bCs w:val="1"/>
          <w:color w:val="FFFFFF"/>
        </w:rPr>
        <w:t>Age: 60</w:t>
      </w:r>
      <w:r>
        <w:rPr>
          <w:sz w:val="20"/>
          <w:szCs w:val="20"/>
          <w:color w:val="auto"/>
        </w:rPr>
        <w:tab/>
      </w:r>
      <w:r>
        <w:rPr>
          <w:rFonts w:ascii="Arial" w:cs="Arial" w:eastAsia="Arial" w:hAnsi="Arial"/>
          <w:sz w:val="17"/>
          <w:szCs w:val="17"/>
          <w:b w:val="1"/>
          <w:bCs w:val="1"/>
          <w:color w:val="FFFFFF"/>
        </w:rPr>
        <w:t>Director Since: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-2891155</wp:posOffset>
            </wp:positionH>
            <wp:positionV relativeFrom="paragraph">
              <wp:posOffset>-127000</wp:posOffset>
            </wp:positionV>
            <wp:extent cx="7134860" cy="159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860" cy="159385"/>
                    </a:xfrm>
                    <a:prstGeom prst="rect">
                      <a:avLst/>
                    </a:prstGeom>
                    <a:noFill/>
                  </pic:spPr>
                </pic:pic>
              </a:graphicData>
            </a:graphic>
          </wp:anchor>
        </w:drawing>
        <w:drawing>
          <wp:anchor simplePos="0" relativeHeight="251657728" behindDoc="1" locked="0" layoutInCell="0" allowOverlap="1">
            <wp:simplePos x="0" y="0"/>
            <wp:positionH relativeFrom="column">
              <wp:posOffset>-2891155</wp:posOffset>
            </wp:positionH>
            <wp:positionV relativeFrom="paragraph">
              <wp:posOffset>-287020</wp:posOffset>
            </wp:positionV>
            <wp:extent cx="71348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Experience</w:t>
      </w:r>
      <w:r>
        <w:rPr>
          <w:rFonts w:ascii="Arial" w:cs="Arial" w:eastAsia="Arial" w:hAnsi="Arial"/>
          <w:sz w:val="17"/>
          <w:szCs w:val="17"/>
          <w:color w:val="auto"/>
        </w:rPr>
        <w:t>:</w:t>
      </w:r>
    </w:p>
    <w:p>
      <w:pPr>
        <w:spacing w:after="0" w:line="96" w:lineRule="exact"/>
        <w:rPr>
          <w:sz w:val="20"/>
          <w:szCs w:val="20"/>
          <w:color w:val="auto"/>
        </w:rPr>
      </w:pPr>
    </w:p>
    <w:p>
      <w:pPr>
        <w:ind w:left="400" w:right="40" w:hanging="159"/>
        <w:spacing w:after="0" w:line="275" w:lineRule="auto"/>
        <w:tabs>
          <w:tab w:leader="none" w:pos="392" w:val="left"/>
        </w:tabs>
        <w:numPr>
          <w:ilvl w:val="0"/>
          <w:numId w:val="43"/>
        </w:numPr>
        <w:rPr>
          <w:rFonts w:ascii="Arial" w:cs="Arial" w:eastAsia="Arial" w:hAnsi="Arial"/>
          <w:sz w:val="17"/>
          <w:szCs w:val="17"/>
          <w:b w:val="1"/>
          <w:bCs w:val="1"/>
          <w:color w:val="520B90"/>
        </w:rPr>
      </w:pPr>
      <w:r>
        <w:rPr>
          <w:rFonts w:ascii="Arial" w:cs="Arial" w:eastAsia="Arial" w:hAnsi="Arial"/>
          <w:sz w:val="17"/>
          <w:szCs w:val="17"/>
          <w:b w:val="1"/>
          <w:bCs w:val="1"/>
          <w:color w:val="auto"/>
        </w:rPr>
        <w:t>Basis Investment Group, LLC</w:t>
      </w:r>
      <w:r>
        <w:rPr>
          <w:rFonts w:ascii="Arial" w:cs="Arial" w:eastAsia="Arial" w:hAnsi="Arial"/>
          <w:sz w:val="17"/>
          <w:szCs w:val="17"/>
          <w:color w:val="auto"/>
        </w:rPr>
        <w:t>, multi-strategy commercial real estate private equity</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platform</w:t>
      </w:r>
    </w:p>
    <w:p>
      <w:pPr>
        <w:spacing w:after="0" w:line="2" w:lineRule="exact"/>
        <w:rPr>
          <w:rFonts w:ascii="Arial" w:cs="Arial" w:eastAsia="Arial" w:hAnsi="Arial"/>
          <w:sz w:val="17"/>
          <w:szCs w:val="17"/>
          <w:b w:val="1"/>
          <w:bCs w:val="1"/>
          <w:color w:val="520B90"/>
        </w:rPr>
      </w:pPr>
    </w:p>
    <w:p>
      <w:pPr>
        <w:ind w:left="640" w:hanging="161"/>
        <w:spacing w:after="0"/>
        <w:tabs>
          <w:tab w:leader="none" w:pos="640" w:val="left"/>
        </w:tabs>
        <w:numPr>
          <w:ilvl w:val="1"/>
          <w:numId w:val="43"/>
        </w:numPr>
        <w:rPr>
          <w:rFonts w:ascii="Arial" w:cs="Arial" w:eastAsia="Arial" w:hAnsi="Arial"/>
          <w:sz w:val="17"/>
          <w:szCs w:val="17"/>
          <w:color w:val="auto"/>
        </w:rPr>
      </w:pPr>
      <w:r>
        <w:rPr>
          <w:rFonts w:ascii="Arial" w:cs="Arial" w:eastAsia="Arial" w:hAnsi="Arial"/>
          <w:sz w:val="17"/>
          <w:szCs w:val="17"/>
          <w:color w:val="auto"/>
        </w:rPr>
        <w:t>Founder and CEO (since 2009)</w:t>
      </w:r>
    </w:p>
    <w:p>
      <w:pPr>
        <w:spacing w:after="0" w:line="95" w:lineRule="exact"/>
        <w:rPr>
          <w:rFonts w:ascii="Arial" w:cs="Arial" w:eastAsia="Arial" w:hAnsi="Arial"/>
          <w:sz w:val="17"/>
          <w:szCs w:val="17"/>
          <w:color w:val="auto"/>
        </w:rPr>
      </w:pPr>
    </w:p>
    <w:p>
      <w:pPr>
        <w:ind w:left="400" w:right="400" w:hanging="159"/>
        <w:spacing w:after="0" w:line="275" w:lineRule="auto"/>
        <w:tabs>
          <w:tab w:leader="none" w:pos="392" w:val="left"/>
        </w:tabs>
        <w:numPr>
          <w:ilvl w:val="0"/>
          <w:numId w:val="43"/>
        </w:numPr>
        <w:rPr>
          <w:rFonts w:ascii="Arial" w:cs="Arial" w:eastAsia="Arial" w:hAnsi="Arial"/>
          <w:sz w:val="17"/>
          <w:szCs w:val="17"/>
          <w:b w:val="1"/>
          <w:bCs w:val="1"/>
          <w:color w:val="520B90"/>
        </w:rPr>
      </w:pPr>
      <w:r>
        <w:rPr>
          <w:rFonts w:ascii="Arial" w:cs="Arial" w:eastAsia="Arial" w:hAnsi="Arial"/>
          <w:sz w:val="17"/>
          <w:szCs w:val="17"/>
          <w:b w:val="1"/>
          <w:bCs w:val="1"/>
          <w:color w:val="auto"/>
        </w:rPr>
        <w:t>CWCapital LLC</w:t>
      </w:r>
      <w:r>
        <w:rPr>
          <w:rFonts w:ascii="Arial" w:cs="Arial" w:eastAsia="Arial" w:hAnsi="Arial"/>
          <w:sz w:val="17"/>
          <w:szCs w:val="17"/>
          <w:color w:val="auto"/>
        </w:rPr>
        <w:t>, U.S. debt investment platform previously owned by Caisse de</w:t>
      </w:r>
      <w:r>
        <w:rPr>
          <w:rFonts w:ascii="Arial" w:cs="Arial" w:eastAsia="Arial" w:hAnsi="Arial"/>
          <w:sz w:val="17"/>
          <w:szCs w:val="17"/>
          <w:b w:val="1"/>
          <w:bCs w:val="1"/>
          <w:color w:val="auto"/>
        </w:rPr>
        <w:t xml:space="preserve"> </w:t>
      </w:r>
      <w:r>
        <w:rPr>
          <w:rFonts w:ascii="Arial" w:cs="Arial" w:eastAsia="Arial" w:hAnsi="Arial"/>
          <w:sz w:val="17"/>
          <w:szCs w:val="17"/>
          <w:color w:val="auto"/>
        </w:rPr>
        <w:t>dépôt et placement du Québec</w:t>
      </w:r>
    </w:p>
    <w:p>
      <w:pPr>
        <w:spacing w:after="0" w:line="2" w:lineRule="exact"/>
        <w:rPr>
          <w:rFonts w:ascii="Arial" w:cs="Arial" w:eastAsia="Arial" w:hAnsi="Arial"/>
          <w:sz w:val="17"/>
          <w:szCs w:val="17"/>
          <w:b w:val="1"/>
          <w:bCs w:val="1"/>
          <w:color w:val="520B90"/>
        </w:rPr>
      </w:pPr>
    </w:p>
    <w:p>
      <w:pPr>
        <w:ind w:left="640" w:right="360" w:hanging="161"/>
        <w:spacing w:after="0" w:line="275" w:lineRule="auto"/>
        <w:tabs>
          <w:tab w:leader="none" w:pos="633" w:val="left"/>
        </w:tabs>
        <w:numPr>
          <w:ilvl w:val="1"/>
          <w:numId w:val="43"/>
        </w:numPr>
        <w:rPr>
          <w:rFonts w:ascii="Arial" w:cs="Arial" w:eastAsia="Arial" w:hAnsi="Arial"/>
          <w:sz w:val="17"/>
          <w:szCs w:val="17"/>
          <w:color w:val="auto"/>
        </w:rPr>
      </w:pPr>
      <w:r>
        <w:rPr>
          <w:rFonts w:ascii="Arial" w:cs="Arial" w:eastAsia="Arial" w:hAnsi="Arial"/>
          <w:sz w:val="17"/>
          <w:szCs w:val="17"/>
          <w:color w:val="auto"/>
        </w:rPr>
        <w:t>Senior Managing Director, Head of Capital Markets Lending Division (2004 – 2009)</w:t>
      </w:r>
    </w:p>
    <w:p>
      <w:pPr>
        <w:spacing w:after="0" w:line="41" w:lineRule="exact"/>
        <w:rPr>
          <w:rFonts w:ascii="Arial" w:cs="Arial" w:eastAsia="Arial" w:hAnsi="Arial"/>
          <w:sz w:val="17"/>
          <w:szCs w:val="17"/>
          <w:color w:val="auto"/>
        </w:rPr>
      </w:pPr>
    </w:p>
    <w:p>
      <w:pPr>
        <w:ind w:left="400" w:right="80" w:hanging="159"/>
        <w:spacing w:after="0" w:line="275" w:lineRule="auto"/>
        <w:tabs>
          <w:tab w:leader="none" w:pos="392" w:val="left"/>
        </w:tabs>
        <w:numPr>
          <w:ilvl w:val="0"/>
          <w:numId w:val="43"/>
        </w:numPr>
        <w:rPr>
          <w:rFonts w:ascii="Arial" w:cs="Arial" w:eastAsia="Arial" w:hAnsi="Arial"/>
          <w:sz w:val="17"/>
          <w:szCs w:val="17"/>
          <w:b w:val="1"/>
          <w:bCs w:val="1"/>
          <w:color w:val="520B90"/>
        </w:rPr>
      </w:pPr>
      <w:r>
        <w:rPr>
          <w:rFonts w:ascii="Arial" w:cs="Arial" w:eastAsia="Arial" w:hAnsi="Arial"/>
          <w:sz w:val="17"/>
          <w:szCs w:val="17"/>
          <w:b w:val="1"/>
          <w:bCs w:val="1"/>
          <w:color w:val="auto"/>
        </w:rPr>
        <w:t xml:space="preserve">Commercial Capital Initiatives, Inc. </w:t>
      </w:r>
      <w:r>
        <w:rPr>
          <w:rFonts w:ascii="Arial" w:cs="Arial" w:eastAsia="Arial" w:hAnsi="Arial"/>
          <w:sz w:val="17"/>
          <w:szCs w:val="17"/>
          <w:color w:val="auto"/>
        </w:rPr>
        <w:t>(a subsidiary of GMAC Commercial Mortgage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a commercial real estate company</w:t>
      </w:r>
    </w:p>
    <w:p>
      <w:pPr>
        <w:spacing w:after="0" w:line="15" w:lineRule="exact"/>
        <w:rPr>
          <w:rFonts w:ascii="Arial" w:cs="Arial" w:eastAsia="Arial" w:hAnsi="Arial"/>
          <w:sz w:val="17"/>
          <w:szCs w:val="17"/>
          <w:b w:val="1"/>
          <w:bCs w:val="1"/>
          <w:color w:val="520B90"/>
        </w:rPr>
      </w:pPr>
    </w:p>
    <w:p>
      <w:pPr>
        <w:ind w:left="640" w:hanging="161"/>
        <w:spacing w:after="0"/>
        <w:tabs>
          <w:tab w:leader="none" w:pos="640" w:val="left"/>
        </w:tabs>
        <w:numPr>
          <w:ilvl w:val="1"/>
          <w:numId w:val="43"/>
        </w:numPr>
        <w:rPr>
          <w:rFonts w:ascii="Arial" w:cs="Arial" w:eastAsia="Arial" w:hAnsi="Arial"/>
          <w:sz w:val="17"/>
          <w:szCs w:val="17"/>
          <w:color w:val="auto"/>
        </w:rPr>
      </w:pPr>
      <w:r>
        <w:rPr>
          <w:rFonts w:ascii="Arial" w:cs="Arial" w:eastAsia="Arial" w:hAnsi="Arial"/>
          <w:sz w:val="17"/>
          <w:szCs w:val="17"/>
          <w:color w:val="auto"/>
        </w:rPr>
        <w:t>Senior Vice President ("SVP") (1997 – 2004)</w:t>
      </w:r>
    </w:p>
    <w:p>
      <w:pPr>
        <w:spacing w:after="0" w:line="82" w:lineRule="exact"/>
        <w:rPr>
          <w:rFonts w:ascii="Arial" w:cs="Arial" w:eastAsia="Arial" w:hAnsi="Arial"/>
          <w:sz w:val="17"/>
          <w:szCs w:val="17"/>
          <w:color w:val="auto"/>
        </w:rPr>
      </w:pPr>
    </w:p>
    <w:p>
      <w:pPr>
        <w:ind w:left="400" w:right="600" w:hanging="159"/>
        <w:spacing w:after="0" w:line="284" w:lineRule="auto"/>
        <w:tabs>
          <w:tab w:leader="none" w:pos="392" w:val="left"/>
        </w:tabs>
        <w:numPr>
          <w:ilvl w:val="0"/>
          <w:numId w:val="43"/>
        </w:numPr>
        <w:rPr>
          <w:rFonts w:ascii="Arial" w:cs="Arial" w:eastAsia="Arial" w:hAnsi="Arial"/>
          <w:sz w:val="17"/>
          <w:szCs w:val="17"/>
          <w:b w:val="1"/>
          <w:bCs w:val="1"/>
          <w:color w:val="520B90"/>
        </w:rPr>
      </w:pPr>
      <w:r>
        <w:rPr>
          <w:rFonts w:ascii="Arial" w:cs="Arial" w:eastAsia="Arial" w:hAnsi="Arial"/>
          <w:sz w:val="17"/>
          <w:szCs w:val="17"/>
          <w:b w:val="1"/>
          <w:bCs w:val="1"/>
          <w:color w:val="auto"/>
        </w:rPr>
        <w:t>Equitable Real Estate Investment Management</w:t>
      </w:r>
      <w:r>
        <w:rPr>
          <w:rFonts w:ascii="Arial" w:cs="Arial" w:eastAsia="Arial" w:hAnsi="Arial"/>
          <w:sz w:val="17"/>
          <w:szCs w:val="17"/>
          <w:color w:val="auto"/>
        </w:rPr>
        <w:t>, pension fund advisor and</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manager</w:t>
      </w:r>
    </w:p>
    <w:p>
      <w:pPr>
        <w:ind w:left="640" w:hanging="161"/>
        <w:spacing w:after="0"/>
        <w:tabs>
          <w:tab w:leader="none" w:pos="640" w:val="left"/>
        </w:tabs>
        <w:numPr>
          <w:ilvl w:val="1"/>
          <w:numId w:val="43"/>
        </w:numPr>
        <w:rPr>
          <w:rFonts w:ascii="Arial" w:cs="Arial" w:eastAsia="Arial" w:hAnsi="Arial"/>
          <w:sz w:val="17"/>
          <w:szCs w:val="17"/>
          <w:color w:val="auto"/>
        </w:rPr>
      </w:pPr>
      <w:r>
        <w:rPr>
          <w:rFonts w:ascii="Arial" w:cs="Arial" w:eastAsia="Arial" w:hAnsi="Arial"/>
          <w:sz w:val="17"/>
          <w:szCs w:val="17"/>
          <w:color w:val="auto"/>
        </w:rPr>
        <w:t>Director (1990-1997)</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Skills and Qualifications</w:t>
      </w:r>
      <w:r>
        <w:rPr>
          <w:rFonts w:ascii="Arial" w:cs="Arial" w:eastAsia="Arial" w:hAnsi="Arial"/>
          <w:sz w:val="17"/>
          <w:szCs w:val="17"/>
          <w:color w:val="auto"/>
        </w:rPr>
        <w:t>:</w:t>
      </w:r>
    </w:p>
    <w:p>
      <w:pPr>
        <w:spacing w:after="0" w:line="82" w:lineRule="exact"/>
        <w:rPr>
          <w:sz w:val="20"/>
          <w:szCs w:val="20"/>
          <w:color w:val="auto"/>
        </w:rPr>
      </w:pPr>
    </w:p>
    <w:p>
      <w:pPr>
        <w:ind w:left="400" w:right="100" w:hanging="159"/>
        <w:spacing w:after="0" w:line="250" w:lineRule="auto"/>
        <w:tabs>
          <w:tab w:leader="none" w:pos="392" w:val="left"/>
        </w:tabs>
        <w:numPr>
          <w:ilvl w:val="0"/>
          <w:numId w:val="44"/>
        </w:numPr>
        <w:rPr>
          <w:rFonts w:ascii="Arial" w:cs="Arial" w:eastAsia="Arial" w:hAnsi="Arial"/>
          <w:sz w:val="17"/>
          <w:szCs w:val="17"/>
          <w:b w:val="1"/>
          <w:bCs w:val="1"/>
          <w:color w:val="520B90"/>
        </w:rPr>
      </w:pPr>
      <w:r>
        <w:rPr>
          <w:rFonts w:ascii="Arial" w:cs="Arial" w:eastAsia="Arial" w:hAnsi="Arial"/>
          <w:sz w:val="17"/>
          <w:szCs w:val="17"/>
          <w:b w:val="1"/>
          <w:bCs w:val="1"/>
          <w:color w:val="auto"/>
        </w:rPr>
        <w:t xml:space="preserve">REIT Industry </w:t>
      </w:r>
      <w:r>
        <w:rPr>
          <w:rFonts w:ascii="Arial" w:cs="Arial" w:eastAsia="Arial" w:hAnsi="Arial"/>
          <w:sz w:val="17"/>
          <w:szCs w:val="17"/>
          <w:color w:val="auto"/>
        </w:rPr>
        <w:t>and</w:t>
      </w:r>
      <w:r>
        <w:rPr>
          <w:rFonts w:ascii="Arial" w:cs="Arial" w:eastAsia="Arial" w:hAnsi="Arial"/>
          <w:sz w:val="17"/>
          <w:szCs w:val="17"/>
          <w:b w:val="1"/>
          <w:bCs w:val="1"/>
          <w:color w:val="auto"/>
        </w:rPr>
        <w:t xml:space="preserve"> Corporate Sustainability </w:t>
      </w:r>
      <w:r>
        <w:rPr>
          <w:rFonts w:ascii="Arial" w:cs="Arial" w:eastAsia="Arial" w:hAnsi="Arial"/>
          <w:sz w:val="17"/>
          <w:szCs w:val="17"/>
          <w:color w:val="auto"/>
        </w:rPr>
        <w:t>– Demonstrated track record of</w:t>
      </w:r>
      <w:r>
        <w:rPr>
          <w:rFonts w:ascii="Arial" w:cs="Arial" w:eastAsia="Arial" w:hAnsi="Arial"/>
          <w:sz w:val="17"/>
          <w:szCs w:val="17"/>
          <w:b w:val="1"/>
          <w:bCs w:val="1"/>
          <w:color w:val="auto"/>
        </w:rPr>
        <w:t xml:space="preserve"> </w:t>
      </w:r>
      <w:r>
        <w:rPr>
          <w:rFonts w:ascii="Arial" w:cs="Arial" w:eastAsia="Arial" w:hAnsi="Arial"/>
          <w:sz w:val="17"/>
          <w:szCs w:val="17"/>
          <w:color w:val="auto"/>
        </w:rPr>
        <w:t>delivering strong returns for individual and institutional stakeholders through extensive investment experience in commercial real estate transactions and leadership roles on public REIT boards. As a member of the Strategic Review Committee of the board of Monogram, Ms. Jones oversaw the take-private sale of the company, which resulted in a 22% premium to the share price. As Chair of the board of Veris and formerly Lead Independent Director, she led the board in the company's successful transformation from a capital-intensive office owner to a pure play multifamily REIT, as well as its CEO transition, the sale of $2.5 billion of non-strategic assets and the pay down of $1 billion in debt, improving the operating platform and outperforming peers. In addition, Ms. Jones has been a driving force and leader in the implementation of sustainability strategies at Veris and Crown Castle.</w:t>
      </w:r>
    </w:p>
    <w:p>
      <w:pPr>
        <w:spacing w:after="0" w:line="66" w:lineRule="exact"/>
        <w:rPr>
          <w:rFonts w:ascii="Arial" w:cs="Arial" w:eastAsia="Arial" w:hAnsi="Arial"/>
          <w:sz w:val="17"/>
          <w:szCs w:val="17"/>
          <w:b w:val="1"/>
          <w:bCs w:val="1"/>
          <w:color w:val="520B90"/>
        </w:rPr>
      </w:pPr>
    </w:p>
    <w:p>
      <w:pPr>
        <w:ind w:left="400" w:right="180" w:hanging="159"/>
        <w:spacing w:after="0" w:line="251" w:lineRule="auto"/>
        <w:tabs>
          <w:tab w:leader="none" w:pos="392" w:val="left"/>
        </w:tabs>
        <w:numPr>
          <w:ilvl w:val="0"/>
          <w:numId w:val="44"/>
        </w:numPr>
        <w:rPr>
          <w:rFonts w:ascii="Arial" w:cs="Arial" w:eastAsia="Arial" w:hAnsi="Arial"/>
          <w:sz w:val="17"/>
          <w:szCs w:val="17"/>
          <w:b w:val="1"/>
          <w:bCs w:val="1"/>
          <w:color w:val="520B90"/>
        </w:rPr>
      </w:pPr>
      <w:r>
        <w:rPr>
          <w:rFonts w:ascii="Arial" w:cs="Arial" w:eastAsia="Arial" w:hAnsi="Arial"/>
          <w:sz w:val="17"/>
          <w:szCs w:val="17"/>
          <w:b w:val="1"/>
          <w:bCs w:val="1"/>
          <w:color w:val="auto"/>
        </w:rPr>
        <w:t xml:space="preserve">Financial </w:t>
      </w:r>
      <w:r>
        <w:rPr>
          <w:rFonts w:ascii="Arial" w:cs="Arial" w:eastAsia="Arial" w:hAnsi="Arial"/>
          <w:sz w:val="17"/>
          <w:szCs w:val="17"/>
          <w:color w:val="auto"/>
        </w:rPr>
        <w:t>and</w:t>
      </w:r>
      <w:r>
        <w:rPr>
          <w:rFonts w:ascii="Arial" w:cs="Arial" w:eastAsia="Arial" w:hAnsi="Arial"/>
          <w:sz w:val="17"/>
          <w:szCs w:val="17"/>
          <w:b w:val="1"/>
          <w:bCs w:val="1"/>
          <w:color w:val="auto"/>
        </w:rPr>
        <w:t xml:space="preserve"> M&amp;A </w:t>
      </w:r>
      <w:r>
        <w:rPr>
          <w:rFonts w:ascii="Arial" w:cs="Arial" w:eastAsia="Arial" w:hAnsi="Arial"/>
          <w:sz w:val="17"/>
          <w:szCs w:val="17"/>
          <w:color w:val="auto"/>
        </w:rPr>
        <w:t>– Gained extensive experience with strategic financial</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transactions and capital allocation throughout her career closing over $25 billion in commercial real estate transactions across the U.S., including with joint venture negotiation, capital markets, leasing, structuring and investment. Successfully deployed capital in real estate on behalf of some of the country's largest public pension plans and institutional investors while consistently achieving top quartile returns.</w:t>
      </w:r>
    </w:p>
    <w:p>
      <w:pPr>
        <w:spacing w:after="0" w:line="51" w:lineRule="exact"/>
        <w:rPr>
          <w:rFonts w:ascii="Arial" w:cs="Arial" w:eastAsia="Arial" w:hAnsi="Arial"/>
          <w:sz w:val="17"/>
          <w:szCs w:val="17"/>
          <w:b w:val="1"/>
          <w:bCs w:val="1"/>
          <w:color w:val="520B90"/>
        </w:rPr>
      </w:pPr>
    </w:p>
    <w:p>
      <w:pPr>
        <w:ind w:left="400" w:right="80" w:hanging="159"/>
        <w:spacing w:after="0" w:line="254" w:lineRule="auto"/>
        <w:tabs>
          <w:tab w:leader="none" w:pos="392" w:val="left"/>
        </w:tabs>
        <w:numPr>
          <w:ilvl w:val="0"/>
          <w:numId w:val="44"/>
        </w:numPr>
        <w:rPr>
          <w:rFonts w:ascii="Arial" w:cs="Arial" w:eastAsia="Arial" w:hAnsi="Arial"/>
          <w:sz w:val="17"/>
          <w:szCs w:val="17"/>
          <w:b w:val="1"/>
          <w:bCs w:val="1"/>
          <w:color w:val="520B90"/>
        </w:rPr>
      </w:pPr>
      <w:r>
        <w:rPr>
          <w:rFonts w:ascii="Arial" w:cs="Arial" w:eastAsia="Arial" w:hAnsi="Arial"/>
          <w:sz w:val="17"/>
          <w:szCs w:val="17"/>
          <w:b w:val="1"/>
          <w:bCs w:val="1"/>
          <w:color w:val="auto"/>
        </w:rPr>
        <w:t xml:space="preserve">Strategic Planning/Oversight </w:t>
      </w:r>
      <w:r>
        <w:rPr>
          <w:rFonts w:ascii="Arial" w:cs="Arial" w:eastAsia="Arial" w:hAnsi="Arial"/>
          <w:sz w:val="17"/>
          <w:szCs w:val="17"/>
          <w:color w:val="auto"/>
        </w:rPr>
        <w:t>– Developed throughout her career, over three</w:t>
      </w:r>
      <w:r>
        <w:rPr>
          <w:rFonts w:ascii="Arial" w:cs="Arial" w:eastAsia="Arial" w:hAnsi="Arial"/>
          <w:sz w:val="17"/>
          <w:szCs w:val="17"/>
          <w:b w:val="1"/>
          <w:bCs w:val="1"/>
          <w:color w:val="auto"/>
        </w:rPr>
        <w:t xml:space="preserve"> </w:t>
      </w:r>
      <w:r>
        <w:rPr>
          <w:rFonts w:ascii="Arial" w:cs="Arial" w:eastAsia="Arial" w:hAnsi="Arial"/>
          <w:sz w:val="17"/>
          <w:szCs w:val="17"/>
          <w:color w:val="auto"/>
        </w:rPr>
        <w:t>decades of making strategic investment decisions, and most recently as founder and CEO of one of the few woman-owned diversified commercial real estate investment platforms overseeing the development and execution of the firm's investment strategy, operations, finance and technology as well as closing $9 billion in transactions and managing a portfolio, which includes more than 30,000 multifamily units.</w:t>
      </w:r>
    </w:p>
    <w:p>
      <w:pPr>
        <w:spacing w:after="0" w:line="47" w:lineRule="exact"/>
        <w:rPr>
          <w:rFonts w:ascii="Arial" w:cs="Arial" w:eastAsia="Arial" w:hAnsi="Arial"/>
          <w:sz w:val="17"/>
          <w:szCs w:val="17"/>
          <w:b w:val="1"/>
          <w:bCs w:val="1"/>
          <w:color w:val="520B90"/>
        </w:rPr>
      </w:pPr>
    </w:p>
    <w:p>
      <w:pPr>
        <w:ind w:left="400" w:right="160" w:hanging="159"/>
        <w:spacing w:after="0" w:line="297" w:lineRule="auto"/>
        <w:tabs>
          <w:tab w:leader="none" w:pos="392" w:val="left"/>
        </w:tabs>
        <w:numPr>
          <w:ilvl w:val="0"/>
          <w:numId w:val="44"/>
        </w:numPr>
        <w:rPr>
          <w:rFonts w:ascii="Arial" w:cs="Arial" w:eastAsia="Arial" w:hAnsi="Arial"/>
          <w:sz w:val="16"/>
          <w:szCs w:val="16"/>
          <w:b w:val="1"/>
          <w:bCs w:val="1"/>
          <w:color w:val="520B90"/>
        </w:rPr>
      </w:pPr>
      <w:r>
        <w:rPr>
          <w:rFonts w:ascii="Arial" w:cs="Arial" w:eastAsia="Arial" w:hAnsi="Arial"/>
          <w:sz w:val="16"/>
          <w:szCs w:val="16"/>
          <w:color w:val="auto"/>
        </w:rPr>
        <w:t xml:space="preserve">Ms. Jones also brings to our Board </w:t>
      </w:r>
      <w:r>
        <w:rPr>
          <w:rFonts w:ascii="Arial" w:cs="Arial" w:eastAsia="Arial" w:hAnsi="Arial"/>
          <w:sz w:val="16"/>
          <w:szCs w:val="16"/>
          <w:b w:val="1"/>
          <w:bCs w:val="1"/>
          <w:color w:val="auto"/>
        </w:rPr>
        <w:t>public company board</w:t>
      </w:r>
      <w:r>
        <w:rPr>
          <w:rFonts w:ascii="Arial" w:cs="Arial" w:eastAsia="Arial" w:hAnsi="Arial"/>
          <w:sz w:val="16"/>
          <w:szCs w:val="16"/>
          <w:color w:val="auto"/>
        </w:rPr>
        <w:t xml:space="preserve"> and </w:t>
      </w:r>
      <w:r>
        <w:rPr>
          <w:rFonts w:ascii="Arial" w:cs="Arial" w:eastAsia="Arial" w:hAnsi="Arial"/>
          <w:sz w:val="16"/>
          <w:szCs w:val="16"/>
          <w:b w:val="1"/>
          <w:bCs w:val="1"/>
          <w:color w:val="auto"/>
        </w:rPr>
        <w:t>executive</w:t>
      </w:r>
      <w:r>
        <w:rPr>
          <w:rFonts w:ascii="Arial" w:cs="Arial" w:eastAsia="Arial" w:hAnsi="Arial"/>
          <w:sz w:val="16"/>
          <w:szCs w:val="16"/>
          <w:color w:val="auto"/>
        </w:rPr>
        <w:t xml:space="preserve"> </w:t>
      </w:r>
      <w:r>
        <w:rPr>
          <w:rFonts w:ascii="Arial" w:cs="Arial" w:eastAsia="Arial" w:hAnsi="Arial"/>
          <w:sz w:val="16"/>
          <w:szCs w:val="16"/>
          <w:b w:val="1"/>
          <w:bCs w:val="1"/>
          <w:color w:val="auto"/>
        </w:rPr>
        <w:t>experience</w:t>
      </w:r>
      <w:r>
        <w:rPr>
          <w:rFonts w:ascii="Arial" w:cs="Arial" w:eastAsia="Arial" w:hAnsi="Arial"/>
          <w:sz w:val="16"/>
          <w:szCs w:val="16"/>
          <w:color w:val="auto"/>
        </w:rPr>
        <w:t>, as well as</w:t>
      </w:r>
      <w:r>
        <w:rPr>
          <w:rFonts w:ascii="Arial" w:cs="Arial" w:eastAsia="Arial" w:hAnsi="Arial"/>
          <w:sz w:val="16"/>
          <w:szCs w:val="16"/>
          <w:b w:val="1"/>
          <w:bCs w:val="1"/>
          <w:color w:val="auto"/>
        </w:rPr>
        <w:t xml:space="preserve"> corporate governance/ethics</w:t>
      </w:r>
      <w:r>
        <w:rPr>
          <w:rFonts w:ascii="Arial" w:cs="Arial" w:eastAsia="Arial" w:hAnsi="Arial"/>
          <w:sz w:val="16"/>
          <w:szCs w:val="16"/>
          <w:color w:val="auto"/>
        </w:rPr>
        <w:t>,</w:t>
      </w:r>
      <w:r>
        <w:rPr>
          <w:rFonts w:ascii="Arial" w:cs="Arial" w:eastAsia="Arial" w:hAnsi="Arial"/>
          <w:sz w:val="16"/>
          <w:szCs w:val="16"/>
          <w:b w:val="1"/>
          <w:bCs w:val="1"/>
          <w:color w:val="auto"/>
        </w:rPr>
        <w:t xml:space="preserve"> risk management</w:t>
      </w:r>
      <w:r>
        <w:rPr>
          <w:rFonts w:ascii="Arial" w:cs="Arial" w:eastAsia="Arial" w:hAnsi="Arial"/>
          <w:sz w:val="16"/>
          <w:szCs w:val="16"/>
          <w:color w:val="auto"/>
        </w:rPr>
        <w:t>,</w:t>
      </w:r>
      <w:r>
        <w:rPr>
          <w:rFonts w:ascii="Arial" w:cs="Arial" w:eastAsia="Arial" w:hAnsi="Arial"/>
          <w:sz w:val="16"/>
          <w:szCs w:val="16"/>
          <w:b w:val="1"/>
          <w:bCs w:val="1"/>
          <w:color w:val="auto"/>
        </w:rPr>
        <w:t xml:space="preserve"> operations</w:t>
      </w:r>
      <w:r>
        <w:rPr>
          <w:rFonts w:ascii="Arial" w:cs="Arial" w:eastAsia="Arial" w:hAnsi="Arial"/>
          <w:sz w:val="16"/>
          <w:szCs w:val="16"/>
          <w:color w:val="auto"/>
        </w:rPr>
        <w:t>,</w:t>
      </w:r>
      <w:r>
        <w:rPr>
          <w:rFonts w:ascii="Arial" w:cs="Arial" w:eastAsia="Arial" w:hAnsi="Arial"/>
          <w:sz w:val="16"/>
          <w:szCs w:val="16"/>
          <w:b w:val="1"/>
          <w:bCs w:val="1"/>
          <w:color w:val="auto"/>
        </w:rPr>
        <w:t xml:space="preserve"> accounting</w:t>
      </w:r>
      <w:r>
        <w:rPr>
          <w:rFonts w:ascii="Arial" w:cs="Arial" w:eastAsia="Arial" w:hAnsi="Arial"/>
          <w:sz w:val="16"/>
          <w:szCs w:val="16"/>
          <w:color w:val="auto"/>
        </w:rPr>
        <w:t>,</w:t>
      </w:r>
      <w:r>
        <w:rPr>
          <w:rFonts w:ascii="Arial" w:cs="Arial" w:eastAsia="Arial" w:hAnsi="Arial"/>
          <w:sz w:val="16"/>
          <w:szCs w:val="16"/>
          <w:b w:val="1"/>
          <w:bCs w:val="1"/>
          <w:color w:val="auto"/>
        </w:rPr>
        <w:t xml:space="preserve"> academia/education </w:t>
      </w:r>
      <w:r>
        <w:rPr>
          <w:rFonts w:ascii="Arial" w:cs="Arial" w:eastAsia="Arial" w:hAnsi="Arial"/>
          <w:sz w:val="16"/>
          <w:szCs w:val="16"/>
          <w:color w:val="auto"/>
        </w:rPr>
        <w:t>and</w:t>
      </w:r>
      <w:r>
        <w:rPr>
          <w:rFonts w:ascii="Arial" w:cs="Arial" w:eastAsia="Arial" w:hAnsi="Arial"/>
          <w:sz w:val="16"/>
          <w:szCs w:val="16"/>
          <w:b w:val="1"/>
          <w:bCs w:val="1"/>
          <w:color w:val="auto"/>
        </w:rPr>
        <w:t xml:space="preserve"> HR/compensation </w:t>
      </w:r>
      <w:r>
        <w:rPr>
          <w:rFonts w:ascii="Arial" w:cs="Arial" w:eastAsia="Arial" w:hAnsi="Arial"/>
          <w:sz w:val="16"/>
          <w:szCs w:val="16"/>
          <w:color w:val="auto"/>
        </w:rPr>
        <w:t>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-2891155</wp:posOffset>
            </wp:positionH>
            <wp:positionV relativeFrom="paragraph">
              <wp:posOffset>17145</wp:posOffset>
            </wp:positionV>
            <wp:extent cx="71348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40" w:space="200"/>
            <w:col w:w="6660"/>
          </w:cols>
          <w:pgMar w:left="340" w:top="1440" w:right="359" w:bottom="1440" w:gutter="0" w:footer="0" w:header="0"/>
        </w:sectPr>
      </w:pPr>
    </w:p>
    <w:p>
      <w:pPr>
        <w:spacing w:after="0" w:line="304"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67310</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type w:val="continuous"/>
        </w:sectPr>
      </w:pPr>
    </w:p>
    <w:bookmarkStart w:id="16" w:name="page17"/>
    <w:bookmarkEnd w:id="16"/>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Kevin T. Kabat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1798320" cy="22523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98320" cy="2252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w:t>
      </w:r>
      <w:r>
        <w:rPr>
          <w:rFonts w:ascii="Arial" w:cs="Arial" w:eastAsia="Arial" w:hAnsi="Arial"/>
          <w:sz w:val="17"/>
          <w:szCs w:val="17"/>
          <w:color w:val="auto"/>
        </w:rPr>
        <w:t>:</w:t>
      </w:r>
    </w:p>
    <w:p>
      <w:pPr>
        <w:spacing w:after="0" w:line="56" w:lineRule="exact"/>
        <w:rPr>
          <w:sz w:val="20"/>
          <w:szCs w:val="20"/>
          <w:color w:val="auto"/>
        </w:rPr>
      </w:pPr>
    </w:p>
    <w:p>
      <w:pPr>
        <w:ind w:left="320" w:hanging="158"/>
        <w:spacing w:after="0"/>
        <w:tabs>
          <w:tab w:leader="none" w:pos="320" w:val="left"/>
        </w:tabs>
        <w:numPr>
          <w:ilvl w:val="0"/>
          <w:numId w:val="45"/>
        </w:numPr>
        <w:rPr>
          <w:rFonts w:ascii="Arial" w:cs="Arial" w:eastAsia="Arial" w:hAnsi="Arial"/>
          <w:sz w:val="17"/>
          <w:szCs w:val="17"/>
          <w:b w:val="1"/>
          <w:bCs w:val="1"/>
          <w:color w:val="520B90"/>
        </w:rPr>
      </w:pPr>
      <w:r>
        <w:rPr>
          <w:rFonts w:ascii="Arial" w:cs="Arial" w:eastAsia="Arial" w:hAnsi="Arial"/>
          <w:sz w:val="17"/>
          <w:szCs w:val="17"/>
          <w:color w:val="auto"/>
        </w:rPr>
        <w:t>CHC</w:t>
      </w:r>
    </w:p>
    <w:p>
      <w:pPr>
        <w:spacing w:after="0" w:line="55" w:lineRule="exact"/>
        <w:rPr>
          <w:rFonts w:ascii="Arial" w:cs="Arial" w:eastAsia="Arial" w:hAnsi="Arial"/>
          <w:sz w:val="17"/>
          <w:szCs w:val="17"/>
          <w:b w:val="1"/>
          <w:bCs w:val="1"/>
          <w:color w:val="520B90"/>
        </w:rPr>
      </w:pPr>
    </w:p>
    <w:p>
      <w:pPr>
        <w:ind w:left="320" w:hanging="158"/>
        <w:spacing w:after="0"/>
        <w:tabs>
          <w:tab w:leader="none" w:pos="320" w:val="left"/>
        </w:tabs>
        <w:numPr>
          <w:ilvl w:val="0"/>
          <w:numId w:val="45"/>
        </w:numPr>
        <w:rPr>
          <w:rFonts w:ascii="Arial" w:cs="Arial" w:eastAsia="Arial" w:hAnsi="Arial"/>
          <w:sz w:val="17"/>
          <w:szCs w:val="17"/>
          <w:b w:val="1"/>
          <w:bCs w:val="1"/>
          <w:color w:val="520B90"/>
        </w:rPr>
      </w:pPr>
      <w:r>
        <w:rPr>
          <w:rFonts w:ascii="Arial" w:cs="Arial" w:eastAsia="Arial" w:hAnsi="Arial"/>
          <w:sz w:val="17"/>
          <w:szCs w:val="17"/>
          <w:color w:val="auto"/>
        </w:rPr>
        <w:t>N&amp;G</w:t>
      </w: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Public Company Directorships</w:t>
      </w:r>
      <w:r>
        <w:rPr>
          <w:rFonts w:ascii="Arial" w:cs="Arial" w:eastAsia="Arial" w:hAnsi="Arial"/>
          <w:sz w:val="17"/>
          <w:szCs w:val="17"/>
          <w:color w:val="auto"/>
        </w:rPr>
        <w:t>:</w:t>
      </w:r>
    </w:p>
    <w:p>
      <w:pPr>
        <w:spacing w:after="0" w:line="56" w:lineRule="exact"/>
        <w:rPr>
          <w:sz w:val="20"/>
          <w:szCs w:val="20"/>
          <w:color w:val="auto"/>
        </w:rPr>
      </w:pPr>
    </w:p>
    <w:p>
      <w:pPr>
        <w:ind w:left="320" w:hanging="158"/>
        <w:spacing w:after="0"/>
        <w:tabs>
          <w:tab w:leader="none" w:pos="320" w:val="left"/>
        </w:tabs>
        <w:numPr>
          <w:ilvl w:val="0"/>
          <w:numId w:val="46"/>
        </w:numPr>
        <w:rPr>
          <w:rFonts w:ascii="Arial" w:cs="Arial" w:eastAsia="Arial" w:hAnsi="Arial"/>
          <w:sz w:val="17"/>
          <w:szCs w:val="17"/>
          <w:b w:val="1"/>
          <w:bCs w:val="1"/>
          <w:color w:val="520B90"/>
        </w:rPr>
      </w:pPr>
      <w:r>
        <w:rPr>
          <w:rFonts w:ascii="Arial" w:cs="Arial" w:eastAsia="Arial" w:hAnsi="Arial"/>
          <w:sz w:val="17"/>
          <w:szCs w:val="17"/>
          <w:color w:val="auto"/>
        </w:rPr>
        <w:t>NiSource Inc. (NYSE: NI) (since 2015)</w:t>
      </w:r>
    </w:p>
    <w:p>
      <w:pPr>
        <w:spacing w:after="0" w:line="69" w:lineRule="exact"/>
        <w:rPr>
          <w:rFonts w:ascii="Arial" w:cs="Arial" w:eastAsia="Arial" w:hAnsi="Arial"/>
          <w:sz w:val="17"/>
          <w:szCs w:val="17"/>
          <w:b w:val="1"/>
          <w:bCs w:val="1"/>
          <w:color w:val="520B90"/>
        </w:rPr>
      </w:pPr>
    </w:p>
    <w:p>
      <w:pPr>
        <w:ind w:left="320" w:hanging="158"/>
        <w:spacing w:after="0"/>
        <w:tabs>
          <w:tab w:leader="none" w:pos="320" w:val="left"/>
        </w:tabs>
        <w:numPr>
          <w:ilvl w:val="0"/>
          <w:numId w:val="46"/>
        </w:numPr>
        <w:rPr>
          <w:rFonts w:ascii="Arial" w:cs="Arial" w:eastAsia="Arial" w:hAnsi="Arial"/>
          <w:sz w:val="17"/>
          <w:szCs w:val="17"/>
          <w:b w:val="1"/>
          <w:bCs w:val="1"/>
          <w:color w:val="520B90"/>
        </w:rPr>
      </w:pPr>
      <w:r>
        <w:rPr>
          <w:rFonts w:ascii="Arial" w:cs="Arial" w:eastAsia="Arial" w:hAnsi="Arial"/>
          <w:sz w:val="17"/>
          <w:szCs w:val="17"/>
          <w:color w:val="auto"/>
        </w:rPr>
        <w:t>Unum Group (NYSE: UNM) (since 2008)</w:t>
      </w:r>
    </w:p>
    <w:p>
      <w:pPr>
        <w:spacing w:after="0" w:line="55" w:lineRule="exact"/>
        <w:rPr>
          <w:rFonts w:ascii="Arial" w:cs="Arial" w:eastAsia="Arial" w:hAnsi="Arial"/>
          <w:sz w:val="17"/>
          <w:szCs w:val="17"/>
          <w:b w:val="1"/>
          <w:bCs w:val="1"/>
          <w:color w:val="520B90"/>
        </w:rPr>
      </w:pPr>
    </w:p>
    <w:p>
      <w:pPr>
        <w:ind w:left="320" w:right="100" w:hanging="158"/>
        <w:spacing w:after="0" w:line="275" w:lineRule="auto"/>
        <w:tabs>
          <w:tab w:leader="none" w:pos="312" w:val="left"/>
        </w:tabs>
        <w:numPr>
          <w:ilvl w:val="0"/>
          <w:numId w:val="46"/>
        </w:numPr>
        <w:rPr>
          <w:rFonts w:ascii="Arial" w:cs="Arial" w:eastAsia="Arial" w:hAnsi="Arial"/>
          <w:sz w:val="17"/>
          <w:szCs w:val="17"/>
          <w:b w:val="1"/>
          <w:bCs w:val="1"/>
          <w:color w:val="520B90"/>
        </w:rPr>
      </w:pPr>
      <w:r>
        <w:rPr>
          <w:rFonts w:ascii="Arial" w:cs="Arial" w:eastAsia="Arial" w:hAnsi="Arial"/>
          <w:sz w:val="17"/>
          <w:szCs w:val="17"/>
          <w:color w:val="auto"/>
        </w:rPr>
        <w:t>AlTi Global Inc. (NASDAQ: ALTI) (January 2023 – August 2023)</w:t>
      </w:r>
    </w:p>
    <w:p>
      <w:pPr>
        <w:spacing w:after="0" w:line="2" w:lineRule="exact"/>
        <w:rPr>
          <w:rFonts w:ascii="Arial" w:cs="Arial" w:eastAsia="Arial" w:hAnsi="Arial"/>
          <w:sz w:val="17"/>
          <w:szCs w:val="17"/>
          <w:b w:val="1"/>
          <w:bCs w:val="1"/>
          <w:color w:val="520B90"/>
        </w:rPr>
      </w:pPr>
    </w:p>
    <w:p>
      <w:pPr>
        <w:ind w:left="320" w:hanging="158"/>
        <w:spacing w:after="0" w:line="275" w:lineRule="auto"/>
        <w:tabs>
          <w:tab w:leader="none" w:pos="312" w:val="left"/>
        </w:tabs>
        <w:numPr>
          <w:ilvl w:val="0"/>
          <w:numId w:val="46"/>
        </w:numPr>
        <w:rPr>
          <w:rFonts w:ascii="Arial" w:cs="Arial" w:eastAsia="Arial" w:hAnsi="Arial"/>
          <w:sz w:val="17"/>
          <w:szCs w:val="17"/>
          <w:b w:val="1"/>
          <w:bCs w:val="1"/>
          <w:color w:val="520B90"/>
        </w:rPr>
      </w:pPr>
      <w:r>
        <w:rPr>
          <w:rFonts w:ascii="Arial" w:cs="Arial" w:eastAsia="Arial" w:hAnsi="Arial"/>
          <w:sz w:val="17"/>
          <w:szCs w:val="17"/>
          <w:color w:val="auto"/>
        </w:rPr>
        <w:t>E*TRADE Financial Corporation (NASDAQ: ETFC) ("E*TRADE") (2016 – 2020)</w:t>
      </w: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Education</w:t>
      </w:r>
      <w:r>
        <w:rPr>
          <w:rFonts w:ascii="Arial" w:cs="Arial" w:eastAsia="Arial" w:hAnsi="Arial"/>
          <w:sz w:val="17"/>
          <w:szCs w:val="17"/>
          <w:color w:val="auto"/>
        </w:rPr>
        <w:t>:</w:t>
      </w:r>
    </w:p>
    <w:p>
      <w:pPr>
        <w:spacing w:after="0" w:line="56" w:lineRule="exact"/>
        <w:rPr>
          <w:sz w:val="20"/>
          <w:szCs w:val="20"/>
          <w:color w:val="auto"/>
        </w:rPr>
      </w:pPr>
    </w:p>
    <w:p>
      <w:pPr>
        <w:ind w:left="320" w:hanging="158"/>
        <w:spacing w:after="0"/>
        <w:tabs>
          <w:tab w:leader="none" w:pos="320" w:val="left"/>
        </w:tabs>
        <w:numPr>
          <w:ilvl w:val="0"/>
          <w:numId w:val="47"/>
        </w:numPr>
        <w:rPr>
          <w:rFonts w:ascii="Arial" w:cs="Arial" w:eastAsia="Arial" w:hAnsi="Arial"/>
          <w:sz w:val="17"/>
          <w:szCs w:val="17"/>
          <w:b w:val="1"/>
          <w:bCs w:val="1"/>
          <w:color w:val="520B90"/>
        </w:rPr>
      </w:pPr>
      <w:r>
        <w:rPr>
          <w:rFonts w:ascii="Arial" w:cs="Arial" w:eastAsia="Arial" w:hAnsi="Arial"/>
          <w:sz w:val="17"/>
          <w:szCs w:val="17"/>
          <w:color w:val="auto"/>
        </w:rPr>
        <w:t>B.S., John Hopkins University</w:t>
      </w:r>
    </w:p>
    <w:p>
      <w:pPr>
        <w:spacing w:after="0" w:line="55" w:lineRule="exact"/>
        <w:rPr>
          <w:rFonts w:ascii="Arial" w:cs="Arial" w:eastAsia="Arial" w:hAnsi="Arial"/>
          <w:sz w:val="17"/>
          <w:szCs w:val="17"/>
          <w:b w:val="1"/>
          <w:bCs w:val="1"/>
          <w:color w:val="520B90"/>
        </w:rPr>
      </w:pPr>
    </w:p>
    <w:p>
      <w:pPr>
        <w:ind w:left="320" w:hanging="158"/>
        <w:spacing w:after="0"/>
        <w:tabs>
          <w:tab w:leader="none" w:pos="320" w:val="left"/>
        </w:tabs>
        <w:numPr>
          <w:ilvl w:val="0"/>
          <w:numId w:val="47"/>
        </w:numPr>
        <w:rPr>
          <w:rFonts w:ascii="Arial" w:cs="Arial" w:eastAsia="Arial" w:hAnsi="Arial"/>
          <w:sz w:val="17"/>
          <w:szCs w:val="17"/>
          <w:b w:val="1"/>
          <w:bCs w:val="1"/>
          <w:color w:val="520B90"/>
        </w:rPr>
      </w:pPr>
      <w:r>
        <w:rPr>
          <w:rFonts w:ascii="Arial" w:cs="Arial" w:eastAsia="Arial" w:hAnsi="Arial"/>
          <w:sz w:val="17"/>
          <w:szCs w:val="17"/>
          <w:color w:val="auto"/>
        </w:rPr>
        <w:t>M.S., Purdue University</w:t>
      </w:r>
    </w:p>
    <w:p>
      <w:pPr>
        <w:spacing w:after="0" w:line="20" w:lineRule="exact"/>
        <w:rPr>
          <w:sz w:val="20"/>
          <w:szCs w:val="20"/>
          <w:color w:val="auto"/>
        </w:rPr>
      </w:pPr>
      <w:r>
        <w:rPr>
          <w:sz w:val="20"/>
          <w:szCs w:val="20"/>
          <w:color w:val="auto"/>
        </w:rPr>
        <w:br w:type="column"/>
      </w:r>
    </w:p>
    <w:p>
      <w:pPr>
        <w:spacing w:after="0"/>
        <w:tabs>
          <w:tab w:leader="none" w:pos="4940" w:val="left"/>
        </w:tabs>
        <w:rPr>
          <w:sz w:val="20"/>
          <w:szCs w:val="20"/>
          <w:color w:val="auto"/>
        </w:rPr>
      </w:pPr>
      <w:r>
        <w:rPr>
          <w:rFonts w:ascii="Arial" w:cs="Arial" w:eastAsia="Arial" w:hAnsi="Arial"/>
          <w:sz w:val="18"/>
          <w:szCs w:val="18"/>
          <w:b w:val="1"/>
          <w:bCs w:val="1"/>
          <w:color w:val="FFFFFF"/>
        </w:rPr>
        <w:t>Age: 69</w:t>
      </w:r>
      <w:r>
        <w:rPr>
          <w:sz w:val="20"/>
          <w:szCs w:val="20"/>
          <w:color w:val="auto"/>
        </w:rPr>
        <w:tab/>
      </w:r>
      <w:r>
        <w:rPr>
          <w:rFonts w:ascii="Arial" w:cs="Arial" w:eastAsia="Arial" w:hAnsi="Arial"/>
          <w:sz w:val="17"/>
          <w:szCs w:val="17"/>
          <w:b w:val="1"/>
          <w:bCs w:val="1"/>
          <w:color w:val="FFFFFF"/>
        </w:rPr>
        <w:t>Director Since: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-2891155</wp:posOffset>
            </wp:positionH>
            <wp:positionV relativeFrom="paragraph">
              <wp:posOffset>-127000</wp:posOffset>
            </wp:positionV>
            <wp:extent cx="7134860" cy="1593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860" cy="159385"/>
                    </a:xfrm>
                    <a:prstGeom prst="rect">
                      <a:avLst/>
                    </a:prstGeom>
                    <a:noFill/>
                  </pic:spPr>
                </pic:pic>
              </a:graphicData>
            </a:graphic>
          </wp:anchor>
        </w:drawing>
        <w:drawing>
          <wp:anchor simplePos="0" relativeHeight="251657728" behindDoc="1" locked="0" layoutInCell="0" allowOverlap="1">
            <wp:simplePos x="0" y="0"/>
            <wp:positionH relativeFrom="column">
              <wp:posOffset>-2891155</wp:posOffset>
            </wp:positionH>
            <wp:positionV relativeFrom="paragraph">
              <wp:posOffset>-160655</wp:posOffset>
            </wp:positionV>
            <wp:extent cx="71348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Experience</w:t>
      </w:r>
      <w:r>
        <w:rPr>
          <w:rFonts w:ascii="Arial" w:cs="Arial" w:eastAsia="Arial" w:hAnsi="Arial"/>
          <w:sz w:val="17"/>
          <w:szCs w:val="17"/>
          <w:color w:val="auto"/>
        </w:rPr>
        <w:t>:</w:t>
      </w:r>
    </w:p>
    <w:p>
      <w:pPr>
        <w:spacing w:after="0" w:line="96" w:lineRule="exact"/>
        <w:rPr>
          <w:sz w:val="20"/>
          <w:szCs w:val="20"/>
          <w:color w:val="auto"/>
        </w:rPr>
      </w:pPr>
    </w:p>
    <w:p>
      <w:pPr>
        <w:ind w:left="400" w:hanging="159"/>
        <w:spacing w:after="0"/>
        <w:tabs>
          <w:tab w:leader="none" w:pos="400" w:val="left"/>
        </w:tabs>
        <w:numPr>
          <w:ilvl w:val="0"/>
          <w:numId w:val="48"/>
        </w:numPr>
        <w:rPr>
          <w:rFonts w:ascii="Arial" w:cs="Arial" w:eastAsia="Arial" w:hAnsi="Arial"/>
          <w:sz w:val="17"/>
          <w:szCs w:val="17"/>
          <w:b w:val="1"/>
          <w:bCs w:val="1"/>
          <w:color w:val="520B90"/>
        </w:rPr>
      </w:pPr>
      <w:r>
        <w:rPr>
          <w:rFonts w:ascii="Arial" w:cs="Arial" w:eastAsia="Arial" w:hAnsi="Arial"/>
          <w:sz w:val="17"/>
          <w:szCs w:val="17"/>
          <w:b w:val="1"/>
          <w:bCs w:val="1"/>
          <w:color w:val="auto"/>
        </w:rPr>
        <w:t xml:space="preserve">Fifth Third Bancorp </w:t>
      </w:r>
      <w:r>
        <w:rPr>
          <w:rFonts w:ascii="Arial" w:cs="Arial" w:eastAsia="Arial" w:hAnsi="Arial"/>
          <w:sz w:val="17"/>
          <w:szCs w:val="17"/>
          <w:color w:val="auto"/>
        </w:rPr>
        <w:t>(NASDAQ: FITB), diversified financial services company</w:t>
      </w:r>
    </w:p>
    <w:p>
      <w:pPr>
        <w:spacing w:after="0" w:line="55" w:lineRule="exact"/>
        <w:rPr>
          <w:rFonts w:ascii="Arial" w:cs="Arial" w:eastAsia="Arial" w:hAnsi="Arial"/>
          <w:sz w:val="17"/>
          <w:szCs w:val="17"/>
          <w:b w:val="1"/>
          <w:bCs w:val="1"/>
          <w:color w:val="520B90"/>
        </w:rPr>
      </w:pPr>
    </w:p>
    <w:p>
      <w:pPr>
        <w:ind w:left="640" w:hanging="161"/>
        <w:spacing w:after="0"/>
        <w:tabs>
          <w:tab w:leader="none" w:pos="640" w:val="left"/>
        </w:tabs>
        <w:numPr>
          <w:ilvl w:val="1"/>
          <w:numId w:val="48"/>
        </w:numPr>
        <w:rPr>
          <w:rFonts w:ascii="Arial" w:cs="Arial" w:eastAsia="Arial" w:hAnsi="Arial"/>
          <w:sz w:val="17"/>
          <w:szCs w:val="17"/>
          <w:color w:val="auto"/>
        </w:rPr>
      </w:pPr>
      <w:r>
        <w:rPr>
          <w:rFonts w:ascii="Arial" w:cs="Arial" w:eastAsia="Arial" w:hAnsi="Arial"/>
          <w:sz w:val="17"/>
          <w:szCs w:val="17"/>
          <w:color w:val="auto"/>
        </w:rPr>
        <w:t>CEO and Vice Chairman of the Board (2012 – 2016)</w:t>
      </w:r>
    </w:p>
    <w:p>
      <w:pPr>
        <w:spacing w:after="0" w:line="55" w:lineRule="exact"/>
        <w:rPr>
          <w:rFonts w:ascii="Arial" w:cs="Arial" w:eastAsia="Arial" w:hAnsi="Arial"/>
          <w:sz w:val="17"/>
          <w:szCs w:val="17"/>
          <w:color w:val="auto"/>
        </w:rPr>
      </w:pPr>
    </w:p>
    <w:p>
      <w:pPr>
        <w:ind w:left="640" w:hanging="161"/>
        <w:spacing w:after="0"/>
        <w:tabs>
          <w:tab w:leader="none" w:pos="640" w:val="left"/>
        </w:tabs>
        <w:numPr>
          <w:ilvl w:val="1"/>
          <w:numId w:val="48"/>
        </w:numPr>
        <w:rPr>
          <w:rFonts w:ascii="Arial" w:cs="Arial" w:eastAsia="Arial" w:hAnsi="Arial"/>
          <w:sz w:val="17"/>
          <w:szCs w:val="17"/>
          <w:color w:val="auto"/>
        </w:rPr>
      </w:pPr>
      <w:r>
        <w:rPr>
          <w:rFonts w:ascii="Arial" w:cs="Arial" w:eastAsia="Arial" w:hAnsi="Arial"/>
          <w:sz w:val="17"/>
          <w:szCs w:val="17"/>
          <w:color w:val="auto"/>
        </w:rPr>
        <w:t>CEO (2007 – 2012)</w:t>
      </w:r>
    </w:p>
    <w:p>
      <w:pPr>
        <w:spacing w:after="0" w:line="55" w:lineRule="exact"/>
        <w:rPr>
          <w:rFonts w:ascii="Arial" w:cs="Arial" w:eastAsia="Arial" w:hAnsi="Arial"/>
          <w:sz w:val="17"/>
          <w:szCs w:val="17"/>
          <w:color w:val="auto"/>
        </w:rPr>
      </w:pPr>
    </w:p>
    <w:p>
      <w:pPr>
        <w:ind w:left="640" w:hanging="161"/>
        <w:spacing w:after="0"/>
        <w:tabs>
          <w:tab w:leader="none" w:pos="640" w:val="left"/>
        </w:tabs>
        <w:numPr>
          <w:ilvl w:val="1"/>
          <w:numId w:val="48"/>
        </w:numPr>
        <w:rPr>
          <w:rFonts w:ascii="Arial" w:cs="Arial" w:eastAsia="Arial" w:hAnsi="Arial"/>
          <w:sz w:val="17"/>
          <w:szCs w:val="17"/>
          <w:color w:val="auto"/>
        </w:rPr>
      </w:pPr>
      <w:r>
        <w:rPr>
          <w:rFonts w:ascii="Arial" w:cs="Arial" w:eastAsia="Arial" w:hAnsi="Arial"/>
          <w:sz w:val="17"/>
          <w:szCs w:val="17"/>
          <w:color w:val="auto"/>
        </w:rPr>
        <w:t>CEO and Chairman (2008 – 2010)</w:t>
      </w:r>
    </w:p>
    <w:p>
      <w:pPr>
        <w:spacing w:after="0" w:line="55" w:lineRule="exact"/>
        <w:rPr>
          <w:rFonts w:ascii="Arial" w:cs="Arial" w:eastAsia="Arial" w:hAnsi="Arial"/>
          <w:sz w:val="17"/>
          <w:szCs w:val="17"/>
          <w:color w:val="auto"/>
        </w:rPr>
      </w:pPr>
    </w:p>
    <w:p>
      <w:pPr>
        <w:ind w:left="640" w:hanging="161"/>
        <w:spacing w:after="0"/>
        <w:tabs>
          <w:tab w:leader="none" w:pos="640" w:val="left"/>
        </w:tabs>
        <w:numPr>
          <w:ilvl w:val="1"/>
          <w:numId w:val="48"/>
        </w:numPr>
        <w:rPr>
          <w:rFonts w:ascii="Arial" w:cs="Arial" w:eastAsia="Arial" w:hAnsi="Arial"/>
          <w:sz w:val="17"/>
          <w:szCs w:val="17"/>
          <w:color w:val="auto"/>
        </w:rPr>
      </w:pPr>
      <w:r>
        <w:rPr>
          <w:rFonts w:ascii="Arial" w:cs="Arial" w:eastAsia="Arial" w:hAnsi="Arial"/>
          <w:sz w:val="17"/>
          <w:szCs w:val="17"/>
          <w:color w:val="auto"/>
        </w:rPr>
        <w:t>EVP (2003 – 2006)</w:t>
      </w:r>
    </w:p>
    <w:p>
      <w:pPr>
        <w:spacing w:after="0" w:line="55" w:lineRule="exact"/>
        <w:rPr>
          <w:rFonts w:ascii="Arial" w:cs="Arial" w:eastAsia="Arial" w:hAnsi="Arial"/>
          <w:sz w:val="17"/>
          <w:szCs w:val="17"/>
          <w:color w:val="auto"/>
        </w:rPr>
      </w:pPr>
    </w:p>
    <w:p>
      <w:pPr>
        <w:ind w:left="640" w:hanging="161"/>
        <w:spacing w:after="0"/>
        <w:tabs>
          <w:tab w:leader="none" w:pos="640" w:val="left"/>
        </w:tabs>
        <w:numPr>
          <w:ilvl w:val="1"/>
          <w:numId w:val="48"/>
        </w:numPr>
        <w:rPr>
          <w:rFonts w:ascii="Arial" w:cs="Arial" w:eastAsia="Arial" w:hAnsi="Arial"/>
          <w:sz w:val="17"/>
          <w:szCs w:val="17"/>
          <w:color w:val="auto"/>
        </w:rPr>
      </w:pPr>
      <w:r>
        <w:rPr>
          <w:rFonts w:ascii="Arial" w:cs="Arial" w:eastAsia="Arial" w:hAnsi="Arial"/>
          <w:sz w:val="17"/>
          <w:szCs w:val="17"/>
          <w:color w:val="auto"/>
        </w:rPr>
        <w:t>President and CEO, Fifth Third Bank Michigan (2001 – 2003)</w:t>
      </w:r>
    </w:p>
    <w:p>
      <w:pPr>
        <w:spacing w:after="0" w:line="95" w:lineRule="exact"/>
        <w:rPr>
          <w:rFonts w:ascii="Arial" w:cs="Arial" w:eastAsia="Arial" w:hAnsi="Arial"/>
          <w:sz w:val="17"/>
          <w:szCs w:val="17"/>
          <w:color w:val="auto"/>
        </w:rPr>
      </w:pPr>
    </w:p>
    <w:p>
      <w:pPr>
        <w:ind w:left="400" w:right="320" w:hanging="159"/>
        <w:spacing w:after="0" w:line="275" w:lineRule="auto"/>
        <w:tabs>
          <w:tab w:leader="none" w:pos="392" w:val="left"/>
        </w:tabs>
        <w:numPr>
          <w:ilvl w:val="0"/>
          <w:numId w:val="48"/>
        </w:numPr>
        <w:rPr>
          <w:rFonts w:ascii="Arial" w:cs="Arial" w:eastAsia="Arial" w:hAnsi="Arial"/>
          <w:sz w:val="17"/>
          <w:szCs w:val="17"/>
          <w:b w:val="1"/>
          <w:bCs w:val="1"/>
          <w:color w:val="520B90"/>
        </w:rPr>
      </w:pPr>
      <w:r>
        <w:rPr>
          <w:rFonts w:ascii="Arial" w:cs="Arial" w:eastAsia="Arial" w:hAnsi="Arial"/>
          <w:sz w:val="17"/>
          <w:szCs w:val="17"/>
          <w:b w:val="1"/>
          <w:bCs w:val="1"/>
          <w:color w:val="auto"/>
        </w:rPr>
        <w:t>Old Kent Financial Corporation</w:t>
      </w:r>
      <w:r>
        <w:rPr>
          <w:rFonts w:ascii="Arial" w:cs="Arial" w:eastAsia="Arial" w:hAnsi="Arial"/>
          <w:sz w:val="17"/>
          <w:szCs w:val="17"/>
          <w:color w:val="auto"/>
        </w:rPr>
        <w:t>, bank holding company acquired by Fifth Third</w:t>
      </w:r>
      <w:r>
        <w:rPr>
          <w:rFonts w:ascii="Arial" w:cs="Arial" w:eastAsia="Arial" w:hAnsi="Arial"/>
          <w:sz w:val="17"/>
          <w:szCs w:val="17"/>
          <w:b w:val="1"/>
          <w:bCs w:val="1"/>
          <w:color w:val="auto"/>
        </w:rPr>
        <w:t xml:space="preserve"> </w:t>
      </w:r>
      <w:r>
        <w:rPr>
          <w:rFonts w:ascii="Arial" w:cs="Arial" w:eastAsia="Arial" w:hAnsi="Arial"/>
          <w:sz w:val="17"/>
          <w:szCs w:val="17"/>
          <w:color w:val="auto"/>
        </w:rPr>
        <w:t>Bank in 2021</w:t>
      </w:r>
    </w:p>
    <w:p>
      <w:pPr>
        <w:spacing w:after="0" w:line="15" w:lineRule="exact"/>
        <w:rPr>
          <w:rFonts w:ascii="Arial" w:cs="Arial" w:eastAsia="Arial" w:hAnsi="Arial"/>
          <w:sz w:val="17"/>
          <w:szCs w:val="17"/>
          <w:b w:val="1"/>
          <w:bCs w:val="1"/>
          <w:color w:val="520B90"/>
        </w:rPr>
      </w:pPr>
    </w:p>
    <w:p>
      <w:pPr>
        <w:ind w:left="640" w:right="640" w:hanging="161"/>
        <w:spacing w:after="0" w:line="275" w:lineRule="auto"/>
        <w:tabs>
          <w:tab w:leader="none" w:pos="633" w:val="left"/>
        </w:tabs>
        <w:numPr>
          <w:ilvl w:val="1"/>
          <w:numId w:val="48"/>
        </w:numPr>
        <w:rPr>
          <w:rFonts w:ascii="Arial" w:cs="Arial" w:eastAsia="Arial" w:hAnsi="Arial"/>
          <w:sz w:val="17"/>
          <w:szCs w:val="17"/>
          <w:color w:val="auto"/>
        </w:rPr>
      </w:pPr>
      <w:r>
        <w:rPr>
          <w:rFonts w:ascii="Arial" w:cs="Arial" w:eastAsia="Arial" w:hAnsi="Arial"/>
          <w:sz w:val="17"/>
          <w:szCs w:val="17"/>
          <w:color w:val="auto"/>
        </w:rPr>
        <w:t>Held a number of management and executive positions including as Vice Chairman and President (1982 – 2001)</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Skills and Qualifications</w:t>
      </w:r>
      <w:r>
        <w:rPr>
          <w:rFonts w:ascii="Arial" w:cs="Arial" w:eastAsia="Arial" w:hAnsi="Arial"/>
          <w:sz w:val="17"/>
          <w:szCs w:val="17"/>
          <w:color w:val="auto"/>
        </w:rPr>
        <w:t>:</w:t>
      </w:r>
    </w:p>
    <w:p>
      <w:pPr>
        <w:spacing w:after="0" w:line="96" w:lineRule="exact"/>
        <w:rPr>
          <w:sz w:val="20"/>
          <w:szCs w:val="20"/>
          <w:color w:val="auto"/>
        </w:rPr>
      </w:pPr>
    </w:p>
    <w:p>
      <w:pPr>
        <w:ind w:left="400" w:right="40" w:hanging="159"/>
        <w:spacing w:after="0" w:line="249" w:lineRule="auto"/>
        <w:tabs>
          <w:tab w:leader="none" w:pos="392" w:val="left"/>
        </w:tabs>
        <w:numPr>
          <w:ilvl w:val="0"/>
          <w:numId w:val="49"/>
        </w:numPr>
        <w:rPr>
          <w:rFonts w:ascii="Arial" w:cs="Arial" w:eastAsia="Arial" w:hAnsi="Arial"/>
          <w:sz w:val="17"/>
          <w:szCs w:val="17"/>
          <w:b w:val="1"/>
          <w:bCs w:val="1"/>
          <w:color w:val="520B90"/>
        </w:rPr>
      </w:pPr>
      <w:r>
        <w:rPr>
          <w:rFonts w:ascii="Arial" w:cs="Arial" w:eastAsia="Arial" w:hAnsi="Arial"/>
          <w:sz w:val="17"/>
          <w:szCs w:val="17"/>
          <w:b w:val="1"/>
          <w:bCs w:val="1"/>
          <w:color w:val="auto"/>
        </w:rPr>
        <w:t xml:space="preserve">Financial </w:t>
      </w:r>
      <w:r>
        <w:rPr>
          <w:rFonts w:ascii="Arial" w:cs="Arial" w:eastAsia="Arial" w:hAnsi="Arial"/>
          <w:sz w:val="17"/>
          <w:szCs w:val="17"/>
          <w:color w:val="auto"/>
        </w:rPr>
        <w:t>and</w:t>
      </w:r>
      <w:r>
        <w:rPr>
          <w:rFonts w:ascii="Arial" w:cs="Arial" w:eastAsia="Arial" w:hAnsi="Arial"/>
          <w:sz w:val="17"/>
          <w:szCs w:val="17"/>
          <w:b w:val="1"/>
          <w:bCs w:val="1"/>
          <w:color w:val="auto"/>
        </w:rPr>
        <w:t xml:space="preserve"> M&amp;A </w:t>
      </w:r>
      <w:r>
        <w:rPr>
          <w:rFonts w:ascii="Arial" w:cs="Arial" w:eastAsia="Arial" w:hAnsi="Arial"/>
          <w:sz w:val="17"/>
          <w:szCs w:val="17"/>
          <w:color w:val="auto"/>
        </w:rPr>
        <w:t>– Obtained financial acumen through his more than a three-decade career in the financial services sector, leading one of the largest U.S. diversified financial services companies, which contributed to his deep understanding of financial markets. During his tenure at Fifth Third Bancorp, Mr. Kabat oversaw a successful spin-off of the company's processing division, which was pivotal to the successful execution of its recapitalization strategy. He also served as Lead Independent Director of E*TRADE, overseeing the acquisition of the company by Morgan Stanley in an all-stock transaction valued at approximately $13 billion.</w:t>
      </w:r>
    </w:p>
    <w:p>
      <w:pPr>
        <w:spacing w:after="0" w:line="67" w:lineRule="exact"/>
        <w:rPr>
          <w:rFonts w:ascii="Arial" w:cs="Arial" w:eastAsia="Arial" w:hAnsi="Arial"/>
          <w:sz w:val="17"/>
          <w:szCs w:val="17"/>
          <w:b w:val="1"/>
          <w:bCs w:val="1"/>
          <w:color w:val="520B90"/>
        </w:rPr>
      </w:pPr>
    </w:p>
    <w:p>
      <w:pPr>
        <w:ind w:left="400" w:right="100" w:hanging="159"/>
        <w:spacing w:after="0" w:line="251" w:lineRule="auto"/>
        <w:tabs>
          <w:tab w:leader="none" w:pos="392" w:val="left"/>
        </w:tabs>
        <w:numPr>
          <w:ilvl w:val="0"/>
          <w:numId w:val="49"/>
        </w:numPr>
        <w:rPr>
          <w:rFonts w:ascii="Arial" w:cs="Arial" w:eastAsia="Arial" w:hAnsi="Arial"/>
          <w:sz w:val="17"/>
          <w:szCs w:val="17"/>
          <w:b w:val="1"/>
          <w:bCs w:val="1"/>
          <w:color w:val="520B90"/>
        </w:rPr>
      </w:pPr>
      <w:r>
        <w:rPr>
          <w:rFonts w:ascii="Arial" w:cs="Arial" w:eastAsia="Arial" w:hAnsi="Arial"/>
          <w:sz w:val="17"/>
          <w:szCs w:val="17"/>
          <w:b w:val="1"/>
          <w:bCs w:val="1"/>
          <w:color w:val="auto"/>
        </w:rPr>
        <w:t xml:space="preserve">Risk Management </w:t>
      </w:r>
      <w:r>
        <w:rPr>
          <w:rFonts w:ascii="Arial" w:cs="Arial" w:eastAsia="Arial" w:hAnsi="Arial"/>
          <w:sz w:val="17"/>
          <w:szCs w:val="17"/>
          <w:color w:val="auto"/>
        </w:rPr>
        <w:t>– Developed valuable risk management skills through his</w:t>
      </w:r>
      <w:r>
        <w:rPr>
          <w:rFonts w:ascii="Arial" w:cs="Arial" w:eastAsia="Arial" w:hAnsi="Arial"/>
          <w:sz w:val="17"/>
          <w:szCs w:val="17"/>
          <w:b w:val="1"/>
          <w:bCs w:val="1"/>
          <w:color w:val="auto"/>
        </w:rPr>
        <w:t xml:space="preserve"> </w:t>
      </w:r>
      <w:r>
        <w:rPr>
          <w:rFonts w:ascii="Arial" w:cs="Arial" w:eastAsia="Arial" w:hAnsi="Arial"/>
          <w:sz w:val="17"/>
          <w:szCs w:val="17"/>
          <w:color w:val="auto"/>
        </w:rPr>
        <w:t>operational and executive leadership roles with an increasing amount of complexity in the financial services industry, as demonstrated by his CEO tenure at Fifth Third Bancorp, which he successfully navigated through a volatile market environment during the 2008 financial crisis and subsequent economic recovery. His extensive experience serving on public company boards contributes to the Board's risk oversight.</w:t>
      </w:r>
    </w:p>
    <w:p>
      <w:pPr>
        <w:spacing w:after="0" w:line="64" w:lineRule="exact"/>
        <w:rPr>
          <w:rFonts w:ascii="Arial" w:cs="Arial" w:eastAsia="Arial" w:hAnsi="Arial"/>
          <w:sz w:val="17"/>
          <w:szCs w:val="17"/>
          <w:b w:val="1"/>
          <w:bCs w:val="1"/>
          <w:color w:val="520B90"/>
        </w:rPr>
      </w:pPr>
    </w:p>
    <w:p>
      <w:pPr>
        <w:ind w:left="400" w:right="100" w:hanging="159"/>
        <w:spacing w:after="0" w:line="272" w:lineRule="auto"/>
        <w:tabs>
          <w:tab w:leader="none" w:pos="392" w:val="left"/>
        </w:tabs>
        <w:numPr>
          <w:ilvl w:val="0"/>
          <w:numId w:val="49"/>
        </w:numPr>
        <w:rPr>
          <w:rFonts w:ascii="Arial" w:cs="Arial" w:eastAsia="Arial" w:hAnsi="Arial"/>
          <w:sz w:val="16"/>
          <w:szCs w:val="16"/>
          <w:b w:val="1"/>
          <w:bCs w:val="1"/>
          <w:color w:val="520B90"/>
        </w:rPr>
      </w:pPr>
      <w:r>
        <w:rPr>
          <w:rFonts w:ascii="Arial" w:cs="Arial" w:eastAsia="Arial" w:hAnsi="Arial"/>
          <w:sz w:val="16"/>
          <w:szCs w:val="16"/>
          <w:b w:val="1"/>
          <w:bCs w:val="1"/>
          <w:color w:val="auto"/>
        </w:rPr>
        <w:t xml:space="preserve">Strategic Planning/Oversight </w:t>
      </w:r>
      <w:r>
        <w:rPr>
          <w:rFonts w:ascii="Arial" w:cs="Arial" w:eastAsia="Arial" w:hAnsi="Arial"/>
          <w:sz w:val="16"/>
          <w:szCs w:val="16"/>
          <w:color w:val="auto"/>
        </w:rPr>
        <w:t>and</w:t>
      </w:r>
      <w:r>
        <w:rPr>
          <w:rFonts w:ascii="Arial" w:cs="Arial" w:eastAsia="Arial" w:hAnsi="Arial"/>
          <w:sz w:val="16"/>
          <w:szCs w:val="16"/>
          <w:b w:val="1"/>
          <w:bCs w:val="1"/>
          <w:color w:val="auto"/>
        </w:rPr>
        <w:t xml:space="preserve"> Operations </w:t>
      </w:r>
      <w:r>
        <w:rPr>
          <w:rFonts w:ascii="Arial" w:cs="Arial" w:eastAsia="Arial" w:hAnsi="Arial"/>
          <w:sz w:val="16"/>
          <w:szCs w:val="16"/>
          <w:color w:val="auto"/>
        </w:rPr>
        <w:t>– Gained a deep understanding of</w:t>
      </w:r>
      <w:r>
        <w:rPr>
          <w:rFonts w:ascii="Arial" w:cs="Arial" w:eastAsia="Arial" w:hAnsi="Arial"/>
          <w:sz w:val="16"/>
          <w:szCs w:val="16"/>
          <w:b w:val="1"/>
          <w:bCs w:val="1"/>
          <w:color w:val="auto"/>
        </w:rPr>
        <w:t xml:space="preserve"> </w:t>
      </w:r>
      <w:r>
        <w:rPr>
          <w:rFonts w:ascii="Arial" w:cs="Arial" w:eastAsia="Arial" w:hAnsi="Arial"/>
          <w:sz w:val="16"/>
          <w:szCs w:val="16"/>
          <w:color w:val="auto"/>
        </w:rPr>
        <w:t>operating in a highly regulated operational environment and balancing the interests of many stakeholders while serving as CEO of Fifth Third Bancorp, where he was responsible for overseeing the strategic direction of the company, leading a shift toward a customer-centric culture and introduction of robust digital service offerings in response to customer demand for efficient digital payment options.</w:t>
      </w:r>
    </w:p>
    <w:p>
      <w:pPr>
        <w:spacing w:after="0" w:line="45" w:lineRule="exact"/>
        <w:rPr>
          <w:rFonts w:ascii="Arial" w:cs="Arial" w:eastAsia="Arial" w:hAnsi="Arial"/>
          <w:sz w:val="16"/>
          <w:szCs w:val="16"/>
          <w:b w:val="1"/>
          <w:bCs w:val="1"/>
          <w:color w:val="520B90"/>
        </w:rPr>
      </w:pPr>
    </w:p>
    <w:p>
      <w:pPr>
        <w:ind w:left="400" w:right="40" w:hanging="159"/>
        <w:spacing w:after="0" w:line="264" w:lineRule="auto"/>
        <w:tabs>
          <w:tab w:leader="none" w:pos="392" w:val="left"/>
        </w:tabs>
        <w:numPr>
          <w:ilvl w:val="0"/>
          <w:numId w:val="49"/>
        </w:numPr>
        <w:rPr>
          <w:rFonts w:ascii="Arial" w:cs="Arial" w:eastAsia="Arial" w:hAnsi="Arial"/>
          <w:sz w:val="17"/>
          <w:szCs w:val="17"/>
          <w:b w:val="1"/>
          <w:bCs w:val="1"/>
          <w:color w:val="520B90"/>
        </w:rPr>
      </w:pPr>
      <w:r>
        <w:rPr>
          <w:rFonts w:ascii="Arial" w:cs="Arial" w:eastAsia="Arial" w:hAnsi="Arial"/>
          <w:sz w:val="17"/>
          <w:szCs w:val="17"/>
          <w:color w:val="auto"/>
        </w:rPr>
        <w:t xml:space="preserve">Mr. Kabat also brings to our Board knowledge of </w:t>
      </w:r>
      <w:r>
        <w:rPr>
          <w:rFonts w:ascii="Arial" w:cs="Arial" w:eastAsia="Arial" w:hAnsi="Arial"/>
          <w:sz w:val="17"/>
          <w:szCs w:val="17"/>
          <w:b w:val="1"/>
          <w:bCs w:val="1"/>
          <w:color w:val="auto"/>
        </w:rPr>
        <w:t>accounting</w:t>
      </w:r>
      <w:r>
        <w:rPr>
          <w:rFonts w:ascii="Arial" w:cs="Arial" w:eastAsia="Arial" w:hAnsi="Arial"/>
          <w:sz w:val="17"/>
          <w:szCs w:val="17"/>
          <w:color w:val="auto"/>
        </w:rPr>
        <w:t xml:space="preserve">, </w:t>
      </w:r>
      <w:r>
        <w:rPr>
          <w:rFonts w:ascii="Arial" w:cs="Arial" w:eastAsia="Arial" w:hAnsi="Arial"/>
          <w:sz w:val="17"/>
          <w:szCs w:val="17"/>
          <w:b w:val="1"/>
          <w:bCs w:val="1"/>
          <w:color w:val="auto"/>
        </w:rPr>
        <w:t>HR/compensation</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academia/education </w:t>
      </w:r>
      <w:r>
        <w:rPr>
          <w:rFonts w:ascii="Arial" w:cs="Arial" w:eastAsia="Arial" w:hAnsi="Arial"/>
          <w:sz w:val="17"/>
          <w:szCs w:val="17"/>
          <w:color w:val="auto"/>
        </w:rPr>
        <w:t>and</w:t>
      </w:r>
      <w:r>
        <w:rPr>
          <w:rFonts w:ascii="Arial" w:cs="Arial" w:eastAsia="Arial" w:hAnsi="Arial"/>
          <w:sz w:val="17"/>
          <w:szCs w:val="17"/>
          <w:b w:val="1"/>
          <w:bCs w:val="1"/>
          <w:color w:val="auto"/>
        </w:rPr>
        <w:t xml:space="preserve"> corporate governance/ethics</w:t>
      </w:r>
      <w:r>
        <w:rPr>
          <w:rFonts w:ascii="Arial" w:cs="Arial" w:eastAsia="Arial" w:hAnsi="Arial"/>
          <w:sz w:val="17"/>
          <w:szCs w:val="17"/>
          <w:color w:val="auto"/>
        </w:rPr>
        <w:t>, as well as</w:t>
      </w:r>
      <w:r>
        <w:rPr>
          <w:rFonts w:ascii="Arial" w:cs="Arial" w:eastAsia="Arial" w:hAnsi="Arial"/>
          <w:sz w:val="17"/>
          <w:szCs w:val="17"/>
          <w:b w:val="1"/>
          <w:bCs w:val="1"/>
          <w:color w:val="auto"/>
        </w:rPr>
        <w:t xml:space="preserve"> executive </w:t>
      </w:r>
      <w:r>
        <w:rPr>
          <w:rFonts w:ascii="Arial" w:cs="Arial" w:eastAsia="Arial" w:hAnsi="Arial"/>
          <w:sz w:val="17"/>
          <w:szCs w:val="17"/>
          <w:color w:val="auto"/>
        </w:rPr>
        <w:t>and</w:t>
      </w:r>
      <w:r>
        <w:rPr>
          <w:rFonts w:ascii="Arial" w:cs="Arial" w:eastAsia="Arial" w:hAnsi="Arial"/>
          <w:sz w:val="17"/>
          <w:szCs w:val="17"/>
          <w:b w:val="1"/>
          <w:bCs w:val="1"/>
          <w:color w:val="auto"/>
        </w:rPr>
        <w:t xml:space="preserve"> public company board </w:t>
      </w:r>
      <w:r>
        <w:rPr>
          <w:rFonts w:ascii="Arial" w:cs="Arial" w:eastAsia="Arial" w:hAnsi="Arial"/>
          <w:sz w:val="17"/>
          <w:szCs w:val="17"/>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-2891155</wp:posOffset>
            </wp:positionH>
            <wp:positionV relativeFrom="paragraph">
              <wp:posOffset>33020</wp:posOffset>
            </wp:positionV>
            <wp:extent cx="71348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00" w:space="440"/>
            <w:col w:w="6660"/>
          </w:cols>
          <w:pgMar w:left="340" w:top="1431" w:right="359" w:bottom="1440" w:gutter="0" w:footer="0" w:header="0"/>
        </w:sectPr>
      </w:pPr>
    </w:p>
    <w:p>
      <w:pPr>
        <w:spacing w:after="0" w:line="328"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67310</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40" w:top="1431" w:right="359" w:bottom="1440" w:gutter="0" w:footer="0" w:header="0"/>
          <w:type w:val="continuous"/>
        </w:sectPr>
      </w:pPr>
    </w:p>
    <w:bookmarkStart w:id="17" w:name="page18"/>
    <w:bookmarkEnd w:id="17"/>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Anthony J. Melone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1798320" cy="22523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98320" cy="2252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w:t>
      </w:r>
      <w:r>
        <w:rPr>
          <w:rFonts w:ascii="Arial" w:cs="Arial" w:eastAsia="Arial" w:hAnsi="Arial"/>
          <w:sz w:val="17"/>
          <w:szCs w:val="17"/>
          <w:color w:val="auto"/>
        </w:rPr>
        <w:t>:</w:t>
      </w:r>
    </w:p>
    <w:p>
      <w:pPr>
        <w:spacing w:after="0" w:line="56" w:lineRule="exact"/>
        <w:rPr>
          <w:sz w:val="20"/>
          <w:szCs w:val="20"/>
          <w:color w:val="auto"/>
        </w:rPr>
      </w:pPr>
    </w:p>
    <w:p>
      <w:pPr>
        <w:ind w:left="320" w:hanging="158"/>
        <w:spacing w:after="0"/>
        <w:tabs>
          <w:tab w:leader="none" w:pos="320" w:val="left"/>
        </w:tabs>
        <w:numPr>
          <w:ilvl w:val="0"/>
          <w:numId w:val="50"/>
        </w:numPr>
        <w:rPr>
          <w:rFonts w:ascii="Arial" w:cs="Arial" w:eastAsia="Arial" w:hAnsi="Arial"/>
          <w:sz w:val="17"/>
          <w:szCs w:val="17"/>
          <w:b w:val="1"/>
          <w:bCs w:val="1"/>
          <w:color w:val="520B90"/>
        </w:rPr>
      </w:pPr>
      <w:r>
        <w:rPr>
          <w:rFonts w:ascii="Arial" w:cs="Arial" w:eastAsia="Arial" w:hAnsi="Arial"/>
          <w:sz w:val="17"/>
          <w:szCs w:val="17"/>
          <w:color w:val="auto"/>
        </w:rPr>
        <w:t xml:space="preserve">Audit, </w:t>
      </w:r>
      <w:r>
        <w:rPr>
          <w:rFonts w:ascii="Arial" w:cs="Arial" w:eastAsia="Arial" w:hAnsi="Arial"/>
          <w:sz w:val="17"/>
          <w:szCs w:val="17"/>
          <w:b w:val="1"/>
          <w:bCs w:val="1"/>
          <w:color w:val="520B90"/>
        </w:rPr>
        <w:t>Chair</w:t>
      </w:r>
    </w:p>
    <w:p>
      <w:pPr>
        <w:spacing w:after="0" w:line="55" w:lineRule="exact"/>
        <w:rPr>
          <w:rFonts w:ascii="Arial" w:cs="Arial" w:eastAsia="Arial" w:hAnsi="Arial"/>
          <w:sz w:val="17"/>
          <w:szCs w:val="17"/>
          <w:b w:val="1"/>
          <w:bCs w:val="1"/>
          <w:color w:val="520B90"/>
        </w:rPr>
      </w:pPr>
    </w:p>
    <w:p>
      <w:pPr>
        <w:ind w:left="320" w:hanging="158"/>
        <w:spacing w:after="0"/>
        <w:tabs>
          <w:tab w:leader="none" w:pos="320" w:val="left"/>
        </w:tabs>
        <w:numPr>
          <w:ilvl w:val="0"/>
          <w:numId w:val="50"/>
        </w:numPr>
        <w:rPr>
          <w:rFonts w:ascii="Arial" w:cs="Arial" w:eastAsia="Arial" w:hAnsi="Arial"/>
          <w:sz w:val="17"/>
          <w:szCs w:val="17"/>
          <w:b w:val="1"/>
          <w:bCs w:val="1"/>
          <w:color w:val="642DAA"/>
        </w:rPr>
      </w:pPr>
      <w:r>
        <w:rPr>
          <w:rFonts w:ascii="Arial" w:cs="Arial" w:eastAsia="Arial" w:hAnsi="Arial"/>
          <w:sz w:val="17"/>
          <w:szCs w:val="17"/>
          <w:color w:val="auto"/>
        </w:rPr>
        <w:t>Fiber Review</w:t>
      </w:r>
    </w:p>
    <w:p>
      <w:pPr>
        <w:spacing w:after="0" w:line="55" w:lineRule="exact"/>
        <w:rPr>
          <w:rFonts w:ascii="Arial" w:cs="Arial" w:eastAsia="Arial" w:hAnsi="Arial"/>
          <w:sz w:val="17"/>
          <w:szCs w:val="17"/>
          <w:b w:val="1"/>
          <w:bCs w:val="1"/>
          <w:color w:val="642DAA"/>
        </w:rPr>
      </w:pPr>
    </w:p>
    <w:p>
      <w:pPr>
        <w:ind w:left="320" w:hanging="158"/>
        <w:spacing w:after="0"/>
        <w:tabs>
          <w:tab w:leader="none" w:pos="320" w:val="left"/>
        </w:tabs>
        <w:numPr>
          <w:ilvl w:val="0"/>
          <w:numId w:val="50"/>
        </w:numPr>
        <w:rPr>
          <w:rFonts w:ascii="Arial" w:cs="Arial" w:eastAsia="Arial" w:hAnsi="Arial"/>
          <w:sz w:val="17"/>
          <w:szCs w:val="17"/>
          <w:b w:val="1"/>
          <w:bCs w:val="1"/>
          <w:color w:val="642DAA"/>
        </w:rPr>
      </w:pPr>
      <w:r>
        <w:rPr>
          <w:rFonts w:ascii="Arial" w:cs="Arial" w:eastAsia="Arial" w:hAnsi="Arial"/>
          <w:sz w:val="17"/>
          <w:szCs w:val="17"/>
          <w:color w:val="auto"/>
        </w:rPr>
        <w:t>N&amp;G</w:t>
      </w: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Public Company Directorships</w:t>
      </w:r>
      <w:r>
        <w:rPr>
          <w:rFonts w:ascii="Arial" w:cs="Arial" w:eastAsia="Arial" w:hAnsi="Arial"/>
          <w:sz w:val="17"/>
          <w:szCs w:val="17"/>
          <w:color w:val="auto"/>
        </w:rPr>
        <w:t>:</w:t>
      </w:r>
    </w:p>
    <w:p>
      <w:pPr>
        <w:spacing w:after="0" w:line="69" w:lineRule="exact"/>
        <w:rPr>
          <w:sz w:val="20"/>
          <w:szCs w:val="20"/>
          <w:color w:val="auto"/>
        </w:rPr>
      </w:pPr>
    </w:p>
    <w:p>
      <w:pPr>
        <w:ind w:left="320" w:hanging="158"/>
        <w:spacing w:after="0"/>
        <w:tabs>
          <w:tab w:leader="none" w:pos="320" w:val="left"/>
        </w:tabs>
        <w:numPr>
          <w:ilvl w:val="0"/>
          <w:numId w:val="51"/>
        </w:numPr>
        <w:rPr>
          <w:rFonts w:ascii="Arial" w:cs="Arial" w:eastAsia="Arial" w:hAnsi="Arial"/>
          <w:sz w:val="16"/>
          <w:szCs w:val="16"/>
          <w:b w:val="1"/>
          <w:bCs w:val="1"/>
          <w:color w:val="520B90"/>
        </w:rPr>
      </w:pPr>
      <w:r>
        <w:rPr>
          <w:rFonts w:ascii="Arial" w:cs="Arial" w:eastAsia="Arial" w:hAnsi="Arial"/>
          <w:sz w:val="16"/>
          <w:szCs w:val="16"/>
          <w:color w:val="auto"/>
        </w:rPr>
        <w:t>ADTRAN, Inc. (NASDAQ: ADTN) (2016 – 2020)</w:t>
      </w: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Education</w:t>
      </w:r>
      <w:r>
        <w:rPr>
          <w:rFonts w:ascii="Arial" w:cs="Arial" w:eastAsia="Arial" w:hAnsi="Arial"/>
          <w:sz w:val="17"/>
          <w:szCs w:val="17"/>
          <w:color w:val="auto"/>
        </w:rPr>
        <w:t>:</w:t>
      </w:r>
    </w:p>
    <w:p>
      <w:pPr>
        <w:spacing w:after="0" w:line="56" w:lineRule="exact"/>
        <w:rPr>
          <w:sz w:val="20"/>
          <w:szCs w:val="20"/>
          <w:color w:val="auto"/>
        </w:rPr>
      </w:pPr>
    </w:p>
    <w:p>
      <w:pPr>
        <w:ind w:left="320" w:hanging="158"/>
        <w:spacing w:after="0"/>
        <w:tabs>
          <w:tab w:leader="none" w:pos="320" w:val="left"/>
        </w:tabs>
        <w:numPr>
          <w:ilvl w:val="0"/>
          <w:numId w:val="52"/>
        </w:numPr>
        <w:rPr>
          <w:rFonts w:ascii="Arial" w:cs="Arial" w:eastAsia="Arial" w:hAnsi="Arial"/>
          <w:sz w:val="17"/>
          <w:szCs w:val="17"/>
          <w:b w:val="1"/>
          <w:bCs w:val="1"/>
          <w:color w:val="520B90"/>
        </w:rPr>
      </w:pPr>
      <w:r>
        <w:rPr>
          <w:rFonts w:ascii="Arial" w:cs="Arial" w:eastAsia="Arial" w:hAnsi="Arial"/>
          <w:sz w:val="17"/>
          <w:szCs w:val="17"/>
          <w:color w:val="auto"/>
        </w:rPr>
        <w:t>B.S., Villanova University</w:t>
      </w:r>
    </w:p>
    <w:p>
      <w:pPr>
        <w:spacing w:after="0" w:line="55" w:lineRule="exact"/>
        <w:rPr>
          <w:rFonts w:ascii="Arial" w:cs="Arial" w:eastAsia="Arial" w:hAnsi="Arial"/>
          <w:sz w:val="17"/>
          <w:szCs w:val="17"/>
          <w:b w:val="1"/>
          <w:bCs w:val="1"/>
          <w:color w:val="520B90"/>
        </w:rPr>
      </w:pPr>
    </w:p>
    <w:p>
      <w:pPr>
        <w:ind w:left="320" w:hanging="158"/>
        <w:spacing w:after="0"/>
        <w:tabs>
          <w:tab w:leader="none" w:pos="320" w:val="left"/>
        </w:tabs>
        <w:numPr>
          <w:ilvl w:val="0"/>
          <w:numId w:val="52"/>
        </w:numPr>
        <w:rPr>
          <w:rFonts w:ascii="Arial" w:cs="Arial" w:eastAsia="Arial" w:hAnsi="Arial"/>
          <w:sz w:val="17"/>
          <w:szCs w:val="17"/>
          <w:b w:val="1"/>
          <w:bCs w:val="1"/>
          <w:color w:val="520B90"/>
        </w:rPr>
      </w:pPr>
      <w:r>
        <w:rPr>
          <w:rFonts w:ascii="Arial" w:cs="Arial" w:eastAsia="Arial" w:hAnsi="Arial"/>
          <w:sz w:val="17"/>
          <w:szCs w:val="17"/>
          <w:color w:val="auto"/>
        </w:rPr>
        <w:t>M.S.E., University of Pennsylvania</w:t>
      </w:r>
    </w:p>
    <w:p>
      <w:pPr>
        <w:spacing w:after="0" w:line="20" w:lineRule="exact"/>
        <w:rPr>
          <w:sz w:val="20"/>
          <w:szCs w:val="20"/>
          <w:color w:val="auto"/>
        </w:rPr>
      </w:pPr>
      <w:r>
        <w:rPr>
          <w:sz w:val="20"/>
          <w:szCs w:val="20"/>
          <w:color w:val="auto"/>
        </w:rPr>
        <w:br w:type="column"/>
      </w:r>
    </w:p>
    <w:p>
      <w:pPr>
        <w:spacing w:after="0"/>
        <w:tabs>
          <w:tab w:leader="none" w:pos="4940" w:val="left"/>
        </w:tabs>
        <w:rPr>
          <w:sz w:val="20"/>
          <w:szCs w:val="20"/>
          <w:color w:val="auto"/>
        </w:rPr>
      </w:pPr>
      <w:r>
        <w:rPr>
          <w:rFonts w:ascii="Arial" w:cs="Arial" w:eastAsia="Arial" w:hAnsi="Arial"/>
          <w:sz w:val="18"/>
          <w:szCs w:val="18"/>
          <w:b w:val="1"/>
          <w:bCs w:val="1"/>
          <w:color w:val="FFFFFF"/>
        </w:rPr>
        <w:t>Age: 65</w:t>
      </w:r>
      <w:r>
        <w:rPr>
          <w:sz w:val="20"/>
          <w:szCs w:val="20"/>
          <w:color w:val="auto"/>
        </w:rPr>
        <w:tab/>
      </w:r>
      <w:r>
        <w:rPr>
          <w:rFonts w:ascii="Arial" w:cs="Arial" w:eastAsia="Arial" w:hAnsi="Arial"/>
          <w:sz w:val="17"/>
          <w:szCs w:val="17"/>
          <w:b w:val="1"/>
          <w:bCs w:val="1"/>
          <w:color w:val="FFFFFF"/>
        </w:rPr>
        <w:t>Director Since: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-2891155</wp:posOffset>
            </wp:positionH>
            <wp:positionV relativeFrom="paragraph">
              <wp:posOffset>-127000</wp:posOffset>
            </wp:positionV>
            <wp:extent cx="7134860" cy="159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860" cy="159385"/>
                    </a:xfrm>
                    <a:prstGeom prst="rect">
                      <a:avLst/>
                    </a:prstGeom>
                    <a:noFill/>
                  </pic:spPr>
                </pic:pic>
              </a:graphicData>
            </a:graphic>
          </wp:anchor>
        </w:drawing>
        <w:drawing>
          <wp:anchor simplePos="0" relativeHeight="251657728" behindDoc="1" locked="0" layoutInCell="0" allowOverlap="1">
            <wp:simplePos x="0" y="0"/>
            <wp:positionH relativeFrom="column">
              <wp:posOffset>-2891155</wp:posOffset>
            </wp:positionH>
            <wp:positionV relativeFrom="paragraph">
              <wp:posOffset>-160655</wp:posOffset>
            </wp:positionV>
            <wp:extent cx="71348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Experience</w:t>
      </w:r>
      <w:r>
        <w:rPr>
          <w:rFonts w:ascii="Arial" w:cs="Arial" w:eastAsia="Arial" w:hAnsi="Arial"/>
          <w:sz w:val="17"/>
          <w:szCs w:val="17"/>
          <w:color w:val="auto"/>
        </w:rPr>
        <w:t>:</w:t>
      </w:r>
    </w:p>
    <w:p>
      <w:pPr>
        <w:spacing w:after="0" w:line="96" w:lineRule="exact"/>
        <w:rPr>
          <w:sz w:val="20"/>
          <w:szCs w:val="20"/>
          <w:color w:val="auto"/>
        </w:rPr>
      </w:pPr>
    </w:p>
    <w:p>
      <w:pPr>
        <w:ind w:left="400" w:hanging="159"/>
        <w:spacing w:after="0"/>
        <w:tabs>
          <w:tab w:leader="none" w:pos="400" w:val="left"/>
        </w:tabs>
        <w:numPr>
          <w:ilvl w:val="0"/>
          <w:numId w:val="53"/>
        </w:numPr>
        <w:rPr>
          <w:rFonts w:ascii="Arial" w:cs="Arial" w:eastAsia="Arial" w:hAnsi="Arial"/>
          <w:sz w:val="17"/>
          <w:szCs w:val="17"/>
          <w:b w:val="1"/>
          <w:bCs w:val="1"/>
          <w:color w:val="520B90"/>
        </w:rPr>
      </w:pPr>
      <w:r>
        <w:rPr>
          <w:rFonts w:ascii="Arial" w:cs="Arial" w:eastAsia="Arial" w:hAnsi="Arial"/>
          <w:sz w:val="17"/>
          <w:szCs w:val="17"/>
          <w:b w:val="1"/>
          <w:bCs w:val="1"/>
          <w:color w:val="auto"/>
        </w:rPr>
        <w:t>Crown Castle Inc.</w:t>
      </w:r>
    </w:p>
    <w:p>
      <w:pPr>
        <w:spacing w:after="0" w:line="55" w:lineRule="exact"/>
        <w:rPr>
          <w:rFonts w:ascii="Arial" w:cs="Arial" w:eastAsia="Arial" w:hAnsi="Arial"/>
          <w:sz w:val="17"/>
          <w:szCs w:val="17"/>
          <w:b w:val="1"/>
          <w:bCs w:val="1"/>
          <w:color w:val="520B90"/>
        </w:rPr>
      </w:pPr>
    </w:p>
    <w:p>
      <w:pPr>
        <w:ind w:left="640" w:hanging="161"/>
        <w:spacing w:after="0"/>
        <w:tabs>
          <w:tab w:leader="none" w:pos="640" w:val="left"/>
        </w:tabs>
        <w:numPr>
          <w:ilvl w:val="1"/>
          <w:numId w:val="53"/>
        </w:numPr>
        <w:rPr>
          <w:rFonts w:ascii="Arial" w:cs="Arial" w:eastAsia="Arial" w:hAnsi="Arial"/>
          <w:sz w:val="17"/>
          <w:szCs w:val="17"/>
          <w:color w:val="auto"/>
        </w:rPr>
      </w:pPr>
      <w:r>
        <w:rPr>
          <w:rFonts w:ascii="Arial" w:cs="Arial" w:eastAsia="Arial" w:hAnsi="Arial"/>
          <w:sz w:val="17"/>
          <w:szCs w:val="17"/>
          <w:color w:val="auto"/>
        </w:rPr>
        <w:t>Special Advisor (April 2024 – May 2024)</w:t>
      </w:r>
    </w:p>
    <w:p>
      <w:pPr>
        <w:spacing w:after="0" w:line="55" w:lineRule="exact"/>
        <w:rPr>
          <w:rFonts w:ascii="Arial" w:cs="Arial" w:eastAsia="Arial" w:hAnsi="Arial"/>
          <w:sz w:val="17"/>
          <w:szCs w:val="17"/>
          <w:color w:val="auto"/>
        </w:rPr>
      </w:pPr>
    </w:p>
    <w:p>
      <w:pPr>
        <w:ind w:left="640" w:hanging="161"/>
        <w:spacing w:after="0"/>
        <w:tabs>
          <w:tab w:leader="none" w:pos="640" w:val="left"/>
        </w:tabs>
        <w:numPr>
          <w:ilvl w:val="1"/>
          <w:numId w:val="53"/>
        </w:numPr>
        <w:rPr>
          <w:rFonts w:ascii="Arial" w:cs="Arial" w:eastAsia="Arial" w:hAnsi="Arial"/>
          <w:sz w:val="17"/>
          <w:szCs w:val="17"/>
          <w:color w:val="auto"/>
        </w:rPr>
      </w:pPr>
      <w:r>
        <w:rPr>
          <w:rFonts w:ascii="Arial" w:cs="Arial" w:eastAsia="Arial" w:hAnsi="Arial"/>
          <w:sz w:val="17"/>
          <w:szCs w:val="17"/>
          <w:color w:val="auto"/>
        </w:rPr>
        <w:t>Interim President and CEO (January 2024 – April 2024)</w:t>
      </w:r>
    </w:p>
    <w:p>
      <w:pPr>
        <w:spacing w:after="0" w:line="95" w:lineRule="exact"/>
        <w:rPr>
          <w:rFonts w:ascii="Arial" w:cs="Arial" w:eastAsia="Arial" w:hAnsi="Arial"/>
          <w:sz w:val="17"/>
          <w:szCs w:val="17"/>
          <w:color w:val="auto"/>
        </w:rPr>
      </w:pPr>
    </w:p>
    <w:p>
      <w:pPr>
        <w:ind w:left="400" w:right="320" w:hanging="159"/>
        <w:spacing w:after="0" w:line="275" w:lineRule="auto"/>
        <w:tabs>
          <w:tab w:leader="none" w:pos="392" w:val="left"/>
        </w:tabs>
        <w:numPr>
          <w:ilvl w:val="0"/>
          <w:numId w:val="53"/>
        </w:numPr>
        <w:rPr>
          <w:rFonts w:ascii="Arial" w:cs="Arial" w:eastAsia="Arial" w:hAnsi="Arial"/>
          <w:sz w:val="17"/>
          <w:szCs w:val="17"/>
          <w:b w:val="1"/>
          <w:bCs w:val="1"/>
          <w:color w:val="520B90"/>
        </w:rPr>
      </w:pPr>
      <w:r>
        <w:rPr>
          <w:rFonts w:ascii="Arial" w:cs="Arial" w:eastAsia="Arial" w:hAnsi="Arial"/>
          <w:sz w:val="17"/>
          <w:szCs w:val="17"/>
          <w:b w:val="1"/>
          <w:bCs w:val="1"/>
          <w:color w:val="auto"/>
        </w:rPr>
        <w:t xml:space="preserve">Verizon Communications Inc. </w:t>
      </w:r>
      <w:r>
        <w:rPr>
          <w:rFonts w:ascii="Arial" w:cs="Arial" w:eastAsia="Arial" w:hAnsi="Arial"/>
          <w:sz w:val="17"/>
          <w:szCs w:val="17"/>
          <w:color w:val="auto"/>
        </w:rPr>
        <w:t>(NYSE, NASDAQ: VZ), leading communications</w:t>
      </w:r>
      <w:r>
        <w:rPr>
          <w:rFonts w:ascii="Arial" w:cs="Arial" w:eastAsia="Arial" w:hAnsi="Arial"/>
          <w:sz w:val="17"/>
          <w:szCs w:val="17"/>
          <w:b w:val="1"/>
          <w:bCs w:val="1"/>
          <w:color w:val="auto"/>
        </w:rPr>
        <w:t xml:space="preserve"> </w:t>
      </w:r>
      <w:r>
        <w:rPr>
          <w:rFonts w:ascii="Arial" w:cs="Arial" w:eastAsia="Arial" w:hAnsi="Arial"/>
          <w:sz w:val="17"/>
          <w:szCs w:val="17"/>
          <w:color w:val="auto"/>
        </w:rPr>
        <w:t>technology company and network provider</w:t>
      </w:r>
    </w:p>
    <w:p>
      <w:pPr>
        <w:spacing w:after="0" w:line="2" w:lineRule="exact"/>
        <w:rPr>
          <w:rFonts w:ascii="Arial" w:cs="Arial" w:eastAsia="Arial" w:hAnsi="Arial"/>
          <w:sz w:val="17"/>
          <w:szCs w:val="17"/>
          <w:b w:val="1"/>
          <w:bCs w:val="1"/>
          <w:color w:val="520B90"/>
        </w:rPr>
      </w:pPr>
    </w:p>
    <w:p>
      <w:pPr>
        <w:ind w:left="640" w:hanging="161"/>
        <w:spacing w:after="0"/>
        <w:tabs>
          <w:tab w:leader="none" w:pos="640" w:val="left"/>
        </w:tabs>
        <w:numPr>
          <w:ilvl w:val="1"/>
          <w:numId w:val="53"/>
        </w:numPr>
        <w:rPr>
          <w:rFonts w:ascii="Arial" w:cs="Arial" w:eastAsia="Arial" w:hAnsi="Arial"/>
          <w:sz w:val="17"/>
          <w:szCs w:val="17"/>
          <w:color w:val="auto"/>
        </w:rPr>
      </w:pPr>
      <w:r>
        <w:rPr>
          <w:rFonts w:ascii="Arial" w:cs="Arial" w:eastAsia="Arial" w:hAnsi="Arial"/>
          <w:sz w:val="17"/>
          <w:szCs w:val="17"/>
          <w:color w:val="auto"/>
        </w:rPr>
        <w:t>EVP and CTO (2010 – 2015)</w:t>
      </w:r>
    </w:p>
    <w:p>
      <w:pPr>
        <w:spacing w:after="0" w:line="55" w:lineRule="exact"/>
        <w:rPr>
          <w:rFonts w:ascii="Arial" w:cs="Arial" w:eastAsia="Arial" w:hAnsi="Arial"/>
          <w:sz w:val="17"/>
          <w:szCs w:val="17"/>
          <w:color w:val="auto"/>
        </w:rPr>
      </w:pPr>
    </w:p>
    <w:p>
      <w:pPr>
        <w:ind w:left="640" w:right="340" w:hanging="161"/>
        <w:spacing w:after="0" w:line="275" w:lineRule="auto"/>
        <w:tabs>
          <w:tab w:leader="none" w:pos="633" w:val="left"/>
        </w:tabs>
        <w:numPr>
          <w:ilvl w:val="1"/>
          <w:numId w:val="53"/>
        </w:numPr>
        <w:rPr>
          <w:rFonts w:ascii="Arial" w:cs="Arial" w:eastAsia="Arial" w:hAnsi="Arial"/>
          <w:sz w:val="17"/>
          <w:szCs w:val="17"/>
          <w:color w:val="auto"/>
        </w:rPr>
      </w:pPr>
      <w:r>
        <w:rPr>
          <w:rFonts w:ascii="Arial" w:cs="Arial" w:eastAsia="Arial" w:hAnsi="Arial"/>
          <w:sz w:val="17"/>
          <w:szCs w:val="17"/>
          <w:color w:val="auto"/>
        </w:rPr>
        <w:t>Served in a variety of positions with Verizon Wireless, a subsidiary of Verizon (2000 – 2010), including as SVP and CTO (2007 – 2010)</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Skills and Qualifications</w:t>
      </w:r>
      <w:r>
        <w:rPr>
          <w:rFonts w:ascii="Arial" w:cs="Arial" w:eastAsia="Arial" w:hAnsi="Arial"/>
          <w:sz w:val="17"/>
          <w:szCs w:val="17"/>
          <w:color w:val="auto"/>
        </w:rPr>
        <w:t>:</w:t>
      </w:r>
    </w:p>
    <w:p>
      <w:pPr>
        <w:spacing w:after="0" w:line="96" w:lineRule="exact"/>
        <w:rPr>
          <w:sz w:val="20"/>
          <w:szCs w:val="20"/>
          <w:color w:val="auto"/>
        </w:rPr>
      </w:pPr>
    </w:p>
    <w:p>
      <w:pPr>
        <w:ind w:left="400" w:right="80" w:hanging="159"/>
        <w:spacing w:after="0" w:line="275" w:lineRule="auto"/>
        <w:tabs>
          <w:tab w:leader="none" w:pos="392" w:val="left"/>
        </w:tabs>
        <w:numPr>
          <w:ilvl w:val="0"/>
          <w:numId w:val="54"/>
        </w:numPr>
        <w:rPr>
          <w:rFonts w:ascii="Arial" w:cs="Arial" w:eastAsia="Arial" w:hAnsi="Arial"/>
          <w:sz w:val="16"/>
          <w:szCs w:val="16"/>
          <w:b w:val="1"/>
          <w:bCs w:val="1"/>
          <w:color w:val="520B90"/>
        </w:rPr>
      </w:pPr>
      <w:r>
        <w:rPr>
          <w:rFonts w:ascii="Arial" w:cs="Arial" w:eastAsia="Arial" w:hAnsi="Arial"/>
          <w:sz w:val="16"/>
          <w:szCs w:val="16"/>
          <w:b w:val="1"/>
          <w:bCs w:val="1"/>
          <w:color w:val="auto"/>
        </w:rPr>
        <w:t xml:space="preserve">Wireless/Telecom Industry </w:t>
      </w:r>
      <w:r>
        <w:rPr>
          <w:rFonts w:ascii="Arial" w:cs="Arial" w:eastAsia="Arial" w:hAnsi="Arial"/>
          <w:sz w:val="16"/>
          <w:szCs w:val="16"/>
          <w:color w:val="auto"/>
        </w:rPr>
        <w:t>– Gained understanding of our business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communications infrastructure industry, along with extensive knowledge of our customers and their evolving expectations over his more than 35 years in the telecommunications industry, including responsibility for managing infrastructure assets and over 20,000 communications towers and over 50,000 wireless cell sites.</w:t>
      </w:r>
    </w:p>
    <w:p>
      <w:pPr>
        <w:spacing w:after="0" w:line="44" w:lineRule="exact"/>
        <w:rPr>
          <w:rFonts w:ascii="Arial" w:cs="Arial" w:eastAsia="Arial" w:hAnsi="Arial"/>
          <w:sz w:val="16"/>
          <w:szCs w:val="16"/>
          <w:b w:val="1"/>
          <w:bCs w:val="1"/>
          <w:color w:val="520B90"/>
        </w:rPr>
      </w:pPr>
    </w:p>
    <w:p>
      <w:pPr>
        <w:ind w:left="400" w:right="100" w:hanging="159"/>
        <w:spacing w:after="0" w:line="268" w:lineRule="auto"/>
        <w:tabs>
          <w:tab w:leader="none" w:pos="392" w:val="left"/>
        </w:tabs>
        <w:numPr>
          <w:ilvl w:val="0"/>
          <w:numId w:val="54"/>
        </w:numPr>
        <w:rPr>
          <w:rFonts w:ascii="Arial" w:cs="Arial" w:eastAsia="Arial" w:hAnsi="Arial"/>
          <w:sz w:val="16"/>
          <w:szCs w:val="16"/>
          <w:b w:val="1"/>
          <w:bCs w:val="1"/>
          <w:color w:val="520B90"/>
        </w:rPr>
      </w:pPr>
      <w:r>
        <w:rPr>
          <w:rFonts w:ascii="Arial" w:cs="Arial" w:eastAsia="Arial" w:hAnsi="Arial"/>
          <w:sz w:val="16"/>
          <w:szCs w:val="16"/>
          <w:b w:val="1"/>
          <w:bCs w:val="1"/>
          <w:color w:val="auto"/>
        </w:rPr>
        <w:t xml:space="preserve">Technology </w:t>
      </w:r>
      <w:r>
        <w:rPr>
          <w:rFonts w:ascii="Arial" w:cs="Arial" w:eastAsia="Arial" w:hAnsi="Arial"/>
          <w:sz w:val="16"/>
          <w:szCs w:val="16"/>
          <w:color w:val="auto"/>
        </w:rPr>
        <w:t>– Acquired an advanced understanding of telecommunications</w:t>
      </w:r>
      <w:r>
        <w:rPr>
          <w:rFonts w:ascii="Arial" w:cs="Arial" w:eastAsia="Arial" w:hAnsi="Arial"/>
          <w:sz w:val="16"/>
          <w:szCs w:val="16"/>
          <w:b w:val="1"/>
          <w:bCs w:val="1"/>
          <w:color w:val="auto"/>
        </w:rPr>
        <w:t xml:space="preserve"> </w:t>
      </w:r>
      <w:r>
        <w:rPr>
          <w:rFonts w:ascii="Arial" w:cs="Arial" w:eastAsia="Arial" w:hAnsi="Arial"/>
          <w:sz w:val="16"/>
          <w:szCs w:val="16"/>
          <w:color w:val="auto"/>
        </w:rPr>
        <w:t>technologies, regulatory compliance requirements and related emerging technological trends while serving in leadership positions at Verizon, including his role as CTO for Verizon, and its subsidiary Verizon Wireless, where he successfully oversaw the transition of the wireless network from 3G to 4G standard and the launch of the nation's first wireless broadband wide-area network. He played a pivotal role in overseeing multiple platform integrations in support of Verizon's M&amp;A strategy, facilitating interoperability to support reliable network service.</w:t>
      </w:r>
    </w:p>
    <w:p>
      <w:pPr>
        <w:spacing w:after="0" w:line="50" w:lineRule="exact"/>
        <w:rPr>
          <w:rFonts w:ascii="Arial" w:cs="Arial" w:eastAsia="Arial" w:hAnsi="Arial"/>
          <w:sz w:val="16"/>
          <w:szCs w:val="16"/>
          <w:b w:val="1"/>
          <w:bCs w:val="1"/>
          <w:color w:val="520B90"/>
        </w:rPr>
      </w:pPr>
    </w:p>
    <w:p>
      <w:pPr>
        <w:ind w:left="400" w:right="20" w:hanging="159"/>
        <w:spacing w:after="0" w:line="255" w:lineRule="auto"/>
        <w:tabs>
          <w:tab w:leader="none" w:pos="392" w:val="left"/>
        </w:tabs>
        <w:numPr>
          <w:ilvl w:val="0"/>
          <w:numId w:val="54"/>
        </w:numPr>
        <w:rPr>
          <w:rFonts w:ascii="Arial" w:cs="Arial" w:eastAsia="Arial" w:hAnsi="Arial"/>
          <w:sz w:val="17"/>
          <w:szCs w:val="17"/>
          <w:b w:val="1"/>
          <w:bCs w:val="1"/>
          <w:color w:val="520B90"/>
        </w:rPr>
      </w:pPr>
      <w:r>
        <w:rPr>
          <w:rFonts w:ascii="Arial" w:cs="Arial" w:eastAsia="Arial" w:hAnsi="Arial"/>
          <w:sz w:val="17"/>
          <w:szCs w:val="17"/>
          <w:b w:val="1"/>
          <w:bCs w:val="1"/>
          <w:color w:val="auto"/>
        </w:rPr>
        <w:t xml:space="preserve">Strategic Planning/Oversight </w:t>
      </w:r>
      <w:r>
        <w:rPr>
          <w:rFonts w:ascii="Arial" w:cs="Arial" w:eastAsia="Arial" w:hAnsi="Arial"/>
          <w:sz w:val="17"/>
          <w:szCs w:val="17"/>
          <w:color w:val="auto"/>
        </w:rPr>
        <w:t>– Developed through his direct responsibility as CTO</w:t>
      </w:r>
      <w:r>
        <w:rPr>
          <w:rFonts w:ascii="Arial" w:cs="Arial" w:eastAsia="Arial" w:hAnsi="Arial"/>
          <w:sz w:val="17"/>
          <w:szCs w:val="17"/>
          <w:b w:val="1"/>
          <w:bCs w:val="1"/>
          <w:color w:val="auto"/>
        </w:rPr>
        <w:t xml:space="preserve"> </w:t>
      </w:r>
      <w:r>
        <w:rPr>
          <w:rFonts w:ascii="Arial" w:cs="Arial" w:eastAsia="Arial" w:hAnsi="Arial"/>
          <w:sz w:val="17"/>
          <w:szCs w:val="17"/>
          <w:color w:val="auto"/>
        </w:rPr>
        <w:t>at Verizon, where he oversaw a large-scale capital investment program designed to enhance and expand the company's nationwide wireless network, including his leadership role in planning and implementing network quality and coverage performance initiatives.</w:t>
      </w:r>
    </w:p>
    <w:p>
      <w:pPr>
        <w:spacing w:after="0" w:line="60" w:lineRule="exact"/>
        <w:rPr>
          <w:rFonts w:ascii="Arial" w:cs="Arial" w:eastAsia="Arial" w:hAnsi="Arial"/>
          <w:sz w:val="17"/>
          <w:szCs w:val="17"/>
          <w:b w:val="1"/>
          <w:bCs w:val="1"/>
          <w:color w:val="520B90"/>
        </w:rPr>
      </w:pPr>
    </w:p>
    <w:p>
      <w:pPr>
        <w:ind w:left="400" w:hanging="159"/>
        <w:spacing w:after="0" w:line="264" w:lineRule="auto"/>
        <w:tabs>
          <w:tab w:leader="none" w:pos="392" w:val="left"/>
        </w:tabs>
        <w:numPr>
          <w:ilvl w:val="0"/>
          <w:numId w:val="54"/>
        </w:numPr>
        <w:rPr>
          <w:rFonts w:ascii="Arial" w:cs="Arial" w:eastAsia="Arial" w:hAnsi="Arial"/>
          <w:sz w:val="17"/>
          <w:szCs w:val="17"/>
          <w:b w:val="1"/>
          <w:bCs w:val="1"/>
          <w:color w:val="520B90"/>
        </w:rPr>
      </w:pPr>
      <w:r>
        <w:rPr>
          <w:rFonts w:ascii="Arial" w:cs="Arial" w:eastAsia="Arial" w:hAnsi="Arial"/>
          <w:sz w:val="17"/>
          <w:szCs w:val="17"/>
          <w:color w:val="auto"/>
        </w:rPr>
        <w:t xml:space="preserve">Mr. Melone also brings to our Board knowledge of </w:t>
      </w:r>
      <w:r>
        <w:rPr>
          <w:rFonts w:ascii="Arial" w:cs="Arial" w:eastAsia="Arial" w:hAnsi="Arial"/>
          <w:sz w:val="17"/>
          <w:szCs w:val="17"/>
          <w:b w:val="1"/>
          <w:bCs w:val="1"/>
          <w:color w:val="auto"/>
        </w:rPr>
        <w:t>finance</w:t>
      </w:r>
      <w:r>
        <w:rPr>
          <w:rFonts w:ascii="Arial" w:cs="Arial" w:eastAsia="Arial" w:hAnsi="Arial"/>
          <w:sz w:val="17"/>
          <w:szCs w:val="17"/>
          <w:color w:val="auto"/>
        </w:rPr>
        <w:t xml:space="preserve">, </w:t>
      </w:r>
      <w:r>
        <w:rPr>
          <w:rFonts w:ascii="Arial" w:cs="Arial" w:eastAsia="Arial" w:hAnsi="Arial"/>
          <w:sz w:val="17"/>
          <w:szCs w:val="17"/>
          <w:b w:val="1"/>
          <w:bCs w:val="1"/>
          <w:color w:val="auto"/>
        </w:rPr>
        <w:t>operations</w:t>
      </w:r>
      <w:r>
        <w:rPr>
          <w:rFonts w:ascii="Arial" w:cs="Arial" w:eastAsia="Arial" w:hAnsi="Arial"/>
          <w:sz w:val="17"/>
          <w:szCs w:val="17"/>
          <w:color w:val="auto"/>
        </w:rPr>
        <w:t xml:space="preserve">, </w:t>
      </w:r>
      <w:r>
        <w:rPr>
          <w:rFonts w:ascii="Arial" w:cs="Arial" w:eastAsia="Arial" w:hAnsi="Arial"/>
          <w:sz w:val="17"/>
          <w:szCs w:val="17"/>
          <w:b w:val="1"/>
          <w:bCs w:val="1"/>
          <w:color w:val="auto"/>
        </w:rPr>
        <w:t>risk</w:t>
      </w:r>
      <w:r>
        <w:rPr>
          <w:rFonts w:ascii="Arial" w:cs="Arial" w:eastAsia="Arial" w:hAnsi="Arial"/>
          <w:sz w:val="17"/>
          <w:szCs w:val="17"/>
          <w:color w:val="auto"/>
        </w:rPr>
        <w:t xml:space="preserve"> </w:t>
      </w:r>
      <w:r>
        <w:rPr>
          <w:rFonts w:ascii="Arial" w:cs="Arial" w:eastAsia="Arial" w:hAnsi="Arial"/>
          <w:sz w:val="17"/>
          <w:szCs w:val="17"/>
          <w:b w:val="1"/>
          <w:bCs w:val="1"/>
          <w:color w:val="auto"/>
        </w:rPr>
        <w:t>management</w:t>
      </w:r>
      <w:r>
        <w:rPr>
          <w:rFonts w:ascii="Arial" w:cs="Arial" w:eastAsia="Arial" w:hAnsi="Arial"/>
          <w:sz w:val="17"/>
          <w:szCs w:val="17"/>
          <w:color w:val="auto"/>
        </w:rPr>
        <w:t>,</w:t>
      </w:r>
      <w:r>
        <w:rPr>
          <w:rFonts w:ascii="Arial" w:cs="Arial" w:eastAsia="Arial" w:hAnsi="Arial"/>
          <w:sz w:val="17"/>
          <w:szCs w:val="17"/>
          <w:b w:val="1"/>
          <w:bCs w:val="1"/>
          <w:color w:val="auto"/>
        </w:rPr>
        <w:t xml:space="preserve"> HR/compensation </w:t>
      </w:r>
      <w:r>
        <w:rPr>
          <w:rFonts w:ascii="Arial" w:cs="Arial" w:eastAsia="Arial" w:hAnsi="Arial"/>
          <w:sz w:val="17"/>
          <w:szCs w:val="17"/>
          <w:color w:val="auto"/>
        </w:rPr>
        <w:t>and</w:t>
      </w:r>
      <w:r>
        <w:rPr>
          <w:rFonts w:ascii="Arial" w:cs="Arial" w:eastAsia="Arial" w:hAnsi="Arial"/>
          <w:sz w:val="17"/>
          <w:szCs w:val="17"/>
          <w:b w:val="1"/>
          <w:bCs w:val="1"/>
          <w:color w:val="auto"/>
        </w:rPr>
        <w:t xml:space="preserve"> corporate governance/ethics, </w:t>
      </w:r>
      <w:r>
        <w:rPr>
          <w:rFonts w:ascii="Arial" w:cs="Arial" w:eastAsia="Arial" w:hAnsi="Arial"/>
          <w:sz w:val="17"/>
          <w:szCs w:val="17"/>
          <w:color w:val="auto"/>
        </w:rPr>
        <w:t>in addition to</w:t>
      </w:r>
      <w:r>
        <w:rPr>
          <w:rFonts w:ascii="Arial" w:cs="Arial" w:eastAsia="Arial" w:hAnsi="Arial"/>
          <w:sz w:val="17"/>
          <w:szCs w:val="17"/>
          <w:b w:val="1"/>
          <w:bCs w:val="1"/>
          <w:color w:val="auto"/>
        </w:rPr>
        <w:t xml:space="preserve"> public company board </w:t>
      </w:r>
      <w:r>
        <w:rPr>
          <w:rFonts w:ascii="Arial" w:cs="Arial" w:eastAsia="Arial" w:hAnsi="Arial"/>
          <w:sz w:val="17"/>
          <w:szCs w:val="17"/>
          <w:color w:val="auto"/>
        </w:rPr>
        <w:t>and</w:t>
      </w:r>
      <w:r>
        <w:rPr>
          <w:rFonts w:ascii="Arial" w:cs="Arial" w:eastAsia="Arial" w:hAnsi="Arial"/>
          <w:sz w:val="17"/>
          <w:szCs w:val="17"/>
          <w:b w:val="1"/>
          <w:bCs w:val="1"/>
          <w:color w:val="auto"/>
        </w:rPr>
        <w:t xml:space="preserve"> executive </w:t>
      </w:r>
      <w:r>
        <w:rPr>
          <w:rFonts w:ascii="Arial" w:cs="Arial" w:eastAsia="Arial" w:hAnsi="Arial"/>
          <w:sz w:val="17"/>
          <w:szCs w:val="17"/>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-2891155</wp:posOffset>
            </wp:positionH>
            <wp:positionV relativeFrom="paragraph">
              <wp:posOffset>33020</wp:posOffset>
            </wp:positionV>
            <wp:extent cx="71348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60" w:space="680"/>
            <w:col w:w="6660"/>
          </w:cols>
          <w:pgMar w:left="340" w:top="1431" w:right="359" w:bottom="1440" w:gutter="0" w:footer="0" w:header="0"/>
        </w:sectPr>
      </w:pPr>
    </w:p>
    <w:p>
      <w:pPr>
        <w:spacing w:after="0" w:line="328"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67310</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40" w:top="1431" w:right="359" w:bottom="1440" w:gutter="0" w:footer="0" w:header="0"/>
          <w:type w:val="continuous"/>
        </w:sectPr>
      </w:pPr>
    </w:p>
    <w:bookmarkStart w:id="18" w:name="page19"/>
    <w:bookmarkEnd w:id="18"/>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Katherine Motlagh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1806575" cy="22523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06575" cy="2252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w:t>
      </w:r>
      <w:r>
        <w:rPr>
          <w:rFonts w:ascii="Arial" w:cs="Arial" w:eastAsia="Arial" w:hAnsi="Arial"/>
          <w:sz w:val="17"/>
          <w:szCs w:val="17"/>
          <w:color w:val="auto"/>
        </w:rPr>
        <w:t>:</w:t>
      </w:r>
    </w:p>
    <w:p>
      <w:pPr>
        <w:spacing w:after="0" w:line="56" w:lineRule="exact"/>
        <w:rPr>
          <w:sz w:val="20"/>
          <w:szCs w:val="20"/>
          <w:color w:val="auto"/>
        </w:rPr>
      </w:pPr>
    </w:p>
    <w:p>
      <w:pPr>
        <w:ind w:left="320" w:hanging="158"/>
        <w:spacing w:after="0"/>
        <w:tabs>
          <w:tab w:leader="none" w:pos="320" w:val="left"/>
        </w:tabs>
        <w:numPr>
          <w:ilvl w:val="0"/>
          <w:numId w:val="55"/>
        </w:numPr>
        <w:rPr>
          <w:rFonts w:ascii="Arial" w:cs="Arial" w:eastAsia="Arial" w:hAnsi="Arial"/>
          <w:sz w:val="17"/>
          <w:szCs w:val="17"/>
          <w:b w:val="1"/>
          <w:bCs w:val="1"/>
          <w:color w:val="520B90"/>
        </w:rPr>
      </w:pPr>
      <w:r>
        <w:rPr>
          <w:rFonts w:ascii="Arial" w:cs="Arial" w:eastAsia="Arial" w:hAnsi="Arial"/>
          <w:sz w:val="17"/>
          <w:szCs w:val="17"/>
          <w:color w:val="auto"/>
        </w:rPr>
        <w:t>Audit</w:t>
      </w:r>
    </w:p>
    <w:p>
      <w:pPr>
        <w:spacing w:after="0" w:line="55" w:lineRule="exact"/>
        <w:rPr>
          <w:rFonts w:ascii="Arial" w:cs="Arial" w:eastAsia="Arial" w:hAnsi="Arial"/>
          <w:sz w:val="17"/>
          <w:szCs w:val="17"/>
          <w:b w:val="1"/>
          <w:bCs w:val="1"/>
          <w:color w:val="520B90"/>
        </w:rPr>
      </w:pPr>
    </w:p>
    <w:p>
      <w:pPr>
        <w:ind w:left="320" w:hanging="158"/>
        <w:spacing w:after="0"/>
        <w:tabs>
          <w:tab w:leader="none" w:pos="320" w:val="left"/>
        </w:tabs>
        <w:numPr>
          <w:ilvl w:val="0"/>
          <w:numId w:val="55"/>
        </w:numPr>
        <w:rPr>
          <w:rFonts w:ascii="Arial" w:cs="Arial" w:eastAsia="Arial" w:hAnsi="Arial"/>
          <w:sz w:val="17"/>
          <w:szCs w:val="17"/>
          <w:b w:val="1"/>
          <w:bCs w:val="1"/>
          <w:color w:val="520B90"/>
        </w:rPr>
      </w:pPr>
      <w:r>
        <w:rPr>
          <w:rFonts w:ascii="Arial" w:cs="Arial" w:eastAsia="Arial" w:hAnsi="Arial"/>
          <w:sz w:val="17"/>
          <w:szCs w:val="17"/>
          <w:color w:val="auto"/>
        </w:rPr>
        <w:t>CHC</w:t>
      </w:r>
    </w:p>
    <w:p>
      <w:pPr>
        <w:spacing w:after="0" w:line="55" w:lineRule="exact"/>
        <w:rPr>
          <w:rFonts w:ascii="Arial" w:cs="Arial" w:eastAsia="Arial" w:hAnsi="Arial"/>
          <w:sz w:val="17"/>
          <w:szCs w:val="17"/>
          <w:b w:val="1"/>
          <w:bCs w:val="1"/>
          <w:color w:val="520B90"/>
        </w:rPr>
      </w:pPr>
    </w:p>
    <w:p>
      <w:pPr>
        <w:ind w:left="320" w:hanging="158"/>
        <w:spacing w:after="0"/>
        <w:tabs>
          <w:tab w:leader="none" w:pos="320" w:val="left"/>
        </w:tabs>
        <w:numPr>
          <w:ilvl w:val="0"/>
          <w:numId w:val="55"/>
        </w:numPr>
        <w:rPr>
          <w:rFonts w:ascii="Arial" w:cs="Arial" w:eastAsia="Arial" w:hAnsi="Arial"/>
          <w:sz w:val="17"/>
          <w:szCs w:val="17"/>
          <w:b w:val="1"/>
          <w:bCs w:val="1"/>
          <w:color w:val="520B90"/>
        </w:rPr>
      </w:pPr>
      <w:r>
        <w:rPr>
          <w:rFonts w:ascii="Arial" w:cs="Arial" w:eastAsia="Arial" w:hAnsi="Arial"/>
          <w:sz w:val="17"/>
          <w:szCs w:val="17"/>
          <w:color w:val="auto"/>
        </w:rPr>
        <w:t xml:space="preserve">Finance, </w:t>
      </w:r>
      <w:r>
        <w:rPr>
          <w:rFonts w:ascii="Arial" w:cs="Arial" w:eastAsia="Arial" w:hAnsi="Arial"/>
          <w:sz w:val="17"/>
          <w:szCs w:val="17"/>
          <w:b w:val="1"/>
          <w:bCs w:val="1"/>
          <w:color w:val="520B90"/>
        </w:rPr>
        <w:t>Chair</w:t>
      </w: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Public Company Directorships</w:t>
      </w:r>
      <w:r>
        <w:rPr>
          <w:rFonts w:ascii="Arial" w:cs="Arial" w:eastAsia="Arial" w:hAnsi="Arial"/>
          <w:sz w:val="17"/>
          <w:szCs w:val="17"/>
          <w:color w:val="auto"/>
        </w:rPr>
        <w:t>:</w:t>
      </w:r>
    </w:p>
    <w:p>
      <w:pPr>
        <w:spacing w:after="0" w:line="69" w:lineRule="exact"/>
        <w:rPr>
          <w:sz w:val="20"/>
          <w:szCs w:val="20"/>
          <w:color w:val="auto"/>
        </w:rPr>
      </w:pPr>
    </w:p>
    <w:p>
      <w:pPr>
        <w:ind w:left="320" w:hanging="158"/>
        <w:spacing w:after="0"/>
        <w:tabs>
          <w:tab w:leader="none" w:pos="320" w:val="left"/>
        </w:tabs>
        <w:numPr>
          <w:ilvl w:val="0"/>
          <w:numId w:val="56"/>
        </w:numPr>
        <w:rPr>
          <w:rFonts w:ascii="Arial" w:cs="Arial" w:eastAsia="Arial" w:hAnsi="Arial"/>
          <w:sz w:val="17"/>
          <w:szCs w:val="17"/>
          <w:b w:val="1"/>
          <w:bCs w:val="1"/>
          <w:color w:val="520B90"/>
        </w:rPr>
      </w:pPr>
      <w:r>
        <w:rPr>
          <w:rFonts w:ascii="Arial" w:cs="Arial" w:eastAsia="Arial" w:hAnsi="Arial"/>
          <w:sz w:val="17"/>
          <w:szCs w:val="17"/>
          <w:color w:val="auto"/>
        </w:rPr>
        <w:t>EVgo, Inc. (NASDAQ: EVGO) (since 2022)</w:t>
      </w:r>
    </w:p>
    <w:p>
      <w:pPr>
        <w:spacing w:after="0" w:line="55" w:lineRule="exact"/>
        <w:rPr>
          <w:rFonts w:ascii="Arial" w:cs="Arial" w:eastAsia="Arial" w:hAnsi="Arial"/>
          <w:sz w:val="17"/>
          <w:szCs w:val="17"/>
          <w:b w:val="1"/>
          <w:bCs w:val="1"/>
          <w:color w:val="520B90"/>
        </w:rPr>
      </w:pPr>
    </w:p>
    <w:p>
      <w:pPr>
        <w:ind w:left="320" w:hanging="158"/>
        <w:spacing w:after="0" w:line="275" w:lineRule="auto"/>
        <w:tabs>
          <w:tab w:leader="none" w:pos="312" w:val="left"/>
        </w:tabs>
        <w:numPr>
          <w:ilvl w:val="0"/>
          <w:numId w:val="56"/>
        </w:numPr>
        <w:rPr>
          <w:rFonts w:ascii="Arial" w:cs="Arial" w:eastAsia="Arial" w:hAnsi="Arial"/>
          <w:sz w:val="17"/>
          <w:szCs w:val="17"/>
          <w:b w:val="1"/>
          <w:bCs w:val="1"/>
          <w:color w:val="520B90"/>
        </w:rPr>
      </w:pPr>
      <w:r>
        <w:rPr>
          <w:rFonts w:ascii="Arial" w:cs="Arial" w:eastAsia="Arial" w:hAnsi="Arial"/>
          <w:sz w:val="17"/>
          <w:szCs w:val="17"/>
          <w:color w:val="auto"/>
        </w:rPr>
        <w:t>Aeva Technologies, Inc. (NASDAQ: AEVA) (since 2025)</w:t>
      </w:r>
    </w:p>
    <w:p>
      <w:pPr>
        <w:spacing w:after="0" w:line="20" w:lineRule="exact"/>
        <w:rPr>
          <w:sz w:val="20"/>
          <w:szCs w:val="20"/>
          <w:color w:val="auto"/>
        </w:rPr>
      </w:pPr>
      <w:r>
        <w:rPr>
          <w:sz w:val="20"/>
          <w:szCs w:val="20"/>
          <w:color w:val="auto"/>
        </w:rPr>
        <w:br w:type="column"/>
      </w:r>
    </w:p>
    <w:p>
      <w:pPr>
        <w:spacing w:after="0"/>
        <w:tabs>
          <w:tab w:leader="none" w:pos="4940" w:val="left"/>
        </w:tabs>
        <w:rPr>
          <w:sz w:val="20"/>
          <w:szCs w:val="20"/>
          <w:color w:val="auto"/>
        </w:rPr>
      </w:pPr>
      <w:r>
        <w:rPr>
          <w:rFonts w:ascii="Arial" w:cs="Arial" w:eastAsia="Arial" w:hAnsi="Arial"/>
          <w:sz w:val="18"/>
          <w:szCs w:val="18"/>
          <w:b w:val="1"/>
          <w:bCs w:val="1"/>
          <w:color w:val="FFFFFF"/>
        </w:rPr>
        <w:t>Age: 52</w:t>
      </w:r>
      <w:r>
        <w:rPr>
          <w:sz w:val="20"/>
          <w:szCs w:val="20"/>
          <w:color w:val="auto"/>
        </w:rPr>
        <w:tab/>
      </w:r>
      <w:r>
        <w:rPr>
          <w:rFonts w:ascii="Arial" w:cs="Arial" w:eastAsia="Arial" w:hAnsi="Arial"/>
          <w:sz w:val="17"/>
          <w:szCs w:val="17"/>
          <w:b w:val="1"/>
          <w:bCs w:val="1"/>
          <w:color w:val="FFFFFF"/>
        </w:rPr>
        <w:t>Director Since: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-2891155</wp:posOffset>
            </wp:positionH>
            <wp:positionV relativeFrom="paragraph">
              <wp:posOffset>-127000</wp:posOffset>
            </wp:positionV>
            <wp:extent cx="7134860" cy="1593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860" cy="159385"/>
                    </a:xfrm>
                    <a:prstGeom prst="rect">
                      <a:avLst/>
                    </a:prstGeom>
                    <a:noFill/>
                  </pic:spPr>
                </pic:pic>
              </a:graphicData>
            </a:graphic>
          </wp:anchor>
        </w:drawing>
        <w:drawing>
          <wp:anchor simplePos="0" relativeHeight="251657728" behindDoc="1" locked="0" layoutInCell="0" allowOverlap="1">
            <wp:simplePos x="0" y="0"/>
            <wp:positionH relativeFrom="column">
              <wp:posOffset>-2891155</wp:posOffset>
            </wp:positionH>
            <wp:positionV relativeFrom="paragraph">
              <wp:posOffset>-160655</wp:posOffset>
            </wp:positionV>
            <wp:extent cx="71348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Experience</w:t>
      </w:r>
      <w:r>
        <w:rPr>
          <w:rFonts w:ascii="Arial" w:cs="Arial" w:eastAsia="Arial" w:hAnsi="Arial"/>
          <w:sz w:val="17"/>
          <w:szCs w:val="17"/>
          <w:color w:val="auto"/>
        </w:rPr>
        <w:t>:</w:t>
      </w:r>
    </w:p>
    <w:p>
      <w:pPr>
        <w:spacing w:after="0" w:line="96" w:lineRule="exact"/>
        <w:rPr>
          <w:sz w:val="20"/>
          <w:szCs w:val="20"/>
          <w:color w:val="auto"/>
        </w:rPr>
      </w:pPr>
    </w:p>
    <w:p>
      <w:pPr>
        <w:ind w:left="400" w:right="280" w:hanging="159"/>
        <w:spacing w:after="0" w:line="275" w:lineRule="auto"/>
        <w:tabs>
          <w:tab w:leader="none" w:pos="392" w:val="left"/>
        </w:tabs>
        <w:numPr>
          <w:ilvl w:val="0"/>
          <w:numId w:val="57"/>
        </w:numPr>
        <w:rPr>
          <w:rFonts w:ascii="Arial" w:cs="Arial" w:eastAsia="Arial" w:hAnsi="Arial"/>
          <w:sz w:val="17"/>
          <w:szCs w:val="17"/>
          <w:b w:val="1"/>
          <w:bCs w:val="1"/>
          <w:color w:val="520B90"/>
        </w:rPr>
      </w:pPr>
      <w:r>
        <w:rPr>
          <w:rFonts w:ascii="Arial" w:cs="Arial" w:eastAsia="Arial" w:hAnsi="Arial"/>
          <w:sz w:val="17"/>
          <w:szCs w:val="17"/>
          <w:b w:val="1"/>
          <w:bCs w:val="1"/>
          <w:color w:val="auto"/>
        </w:rPr>
        <w:t xml:space="preserve">CyrusOne LLC </w:t>
      </w:r>
      <w:r>
        <w:rPr>
          <w:rFonts w:ascii="Arial" w:cs="Arial" w:eastAsia="Arial" w:hAnsi="Arial"/>
          <w:sz w:val="17"/>
          <w:szCs w:val="17"/>
          <w:color w:val="auto"/>
        </w:rPr>
        <w:t>(NASDAQ: CONE) ("CyrusOne"), a global data center developer</w:t>
      </w:r>
      <w:r>
        <w:rPr>
          <w:rFonts w:ascii="Arial" w:cs="Arial" w:eastAsia="Arial" w:hAnsi="Arial"/>
          <w:sz w:val="17"/>
          <w:szCs w:val="17"/>
          <w:b w:val="1"/>
          <w:bCs w:val="1"/>
          <w:color w:val="auto"/>
        </w:rPr>
        <w:t xml:space="preserve"> </w:t>
      </w:r>
      <w:r>
        <w:rPr>
          <w:rFonts w:ascii="Arial" w:cs="Arial" w:eastAsia="Arial" w:hAnsi="Arial"/>
          <w:sz w:val="17"/>
          <w:szCs w:val="17"/>
          <w:color w:val="auto"/>
        </w:rPr>
        <w:t>and operator delivering digital infrastructure solutions</w:t>
      </w:r>
    </w:p>
    <w:p>
      <w:pPr>
        <w:spacing w:after="0" w:line="2" w:lineRule="exact"/>
        <w:rPr>
          <w:rFonts w:ascii="Arial" w:cs="Arial" w:eastAsia="Arial" w:hAnsi="Arial"/>
          <w:sz w:val="17"/>
          <w:szCs w:val="17"/>
          <w:b w:val="1"/>
          <w:bCs w:val="1"/>
          <w:color w:val="520B90"/>
        </w:rPr>
      </w:pPr>
    </w:p>
    <w:p>
      <w:pPr>
        <w:ind w:left="640" w:hanging="161"/>
        <w:spacing w:after="0"/>
        <w:tabs>
          <w:tab w:leader="none" w:pos="640" w:val="left"/>
        </w:tabs>
        <w:numPr>
          <w:ilvl w:val="1"/>
          <w:numId w:val="57"/>
        </w:numPr>
        <w:rPr>
          <w:rFonts w:ascii="Arial" w:cs="Arial" w:eastAsia="Arial" w:hAnsi="Arial"/>
          <w:sz w:val="17"/>
          <w:szCs w:val="17"/>
          <w:color w:val="auto"/>
        </w:rPr>
      </w:pPr>
      <w:r>
        <w:rPr>
          <w:rFonts w:ascii="Arial" w:cs="Arial" w:eastAsia="Arial" w:hAnsi="Arial"/>
          <w:sz w:val="17"/>
          <w:szCs w:val="17"/>
          <w:color w:val="auto"/>
        </w:rPr>
        <w:t>EVP and Chief Financial Officer ("CFO") (2020 – 2023)</w:t>
      </w:r>
    </w:p>
    <w:p>
      <w:pPr>
        <w:spacing w:after="0" w:line="95" w:lineRule="exact"/>
        <w:rPr>
          <w:rFonts w:ascii="Arial" w:cs="Arial" w:eastAsia="Arial" w:hAnsi="Arial"/>
          <w:sz w:val="17"/>
          <w:szCs w:val="17"/>
          <w:color w:val="auto"/>
        </w:rPr>
      </w:pPr>
    </w:p>
    <w:p>
      <w:pPr>
        <w:ind w:left="400" w:right="260" w:hanging="159"/>
        <w:spacing w:after="0" w:line="275" w:lineRule="auto"/>
        <w:tabs>
          <w:tab w:leader="none" w:pos="392" w:val="left"/>
        </w:tabs>
        <w:numPr>
          <w:ilvl w:val="0"/>
          <w:numId w:val="57"/>
        </w:numPr>
        <w:rPr>
          <w:rFonts w:ascii="Arial" w:cs="Arial" w:eastAsia="Arial" w:hAnsi="Arial"/>
          <w:sz w:val="17"/>
          <w:szCs w:val="17"/>
          <w:b w:val="1"/>
          <w:bCs w:val="1"/>
          <w:color w:val="520B90"/>
        </w:rPr>
      </w:pPr>
      <w:r>
        <w:rPr>
          <w:rFonts w:ascii="Arial" w:cs="Arial" w:eastAsia="Arial" w:hAnsi="Arial"/>
          <w:sz w:val="17"/>
          <w:szCs w:val="17"/>
          <w:b w:val="1"/>
          <w:bCs w:val="1"/>
          <w:color w:val="auto"/>
        </w:rPr>
        <w:t xml:space="preserve">American Tower Corporation </w:t>
      </w:r>
      <w:r>
        <w:rPr>
          <w:rFonts w:ascii="Arial" w:cs="Arial" w:eastAsia="Arial" w:hAnsi="Arial"/>
          <w:sz w:val="17"/>
          <w:szCs w:val="17"/>
          <w:color w:val="auto"/>
        </w:rPr>
        <w:t>(NYSE: AMT) ("AMT"), global provider of wireless</w:t>
      </w:r>
      <w:r>
        <w:rPr>
          <w:rFonts w:ascii="Arial" w:cs="Arial" w:eastAsia="Arial" w:hAnsi="Arial"/>
          <w:sz w:val="17"/>
          <w:szCs w:val="17"/>
          <w:b w:val="1"/>
          <w:bCs w:val="1"/>
          <w:color w:val="auto"/>
        </w:rPr>
        <w:t xml:space="preserve"> </w:t>
      </w:r>
      <w:r>
        <w:rPr>
          <w:rFonts w:ascii="Arial" w:cs="Arial" w:eastAsia="Arial" w:hAnsi="Arial"/>
          <w:sz w:val="17"/>
          <w:szCs w:val="17"/>
          <w:color w:val="auto"/>
        </w:rPr>
        <w:t>infrastructure</w:t>
      </w:r>
    </w:p>
    <w:p>
      <w:pPr>
        <w:spacing w:after="0" w:line="2" w:lineRule="exact"/>
        <w:rPr>
          <w:rFonts w:ascii="Arial" w:cs="Arial" w:eastAsia="Arial" w:hAnsi="Arial"/>
          <w:sz w:val="17"/>
          <w:szCs w:val="17"/>
          <w:b w:val="1"/>
          <w:bCs w:val="1"/>
          <w:color w:val="520B90"/>
        </w:rPr>
      </w:pPr>
    </w:p>
    <w:p>
      <w:pPr>
        <w:ind w:left="640" w:hanging="161"/>
        <w:spacing w:after="0"/>
        <w:tabs>
          <w:tab w:leader="none" w:pos="640" w:val="left"/>
        </w:tabs>
        <w:numPr>
          <w:ilvl w:val="1"/>
          <w:numId w:val="57"/>
        </w:numPr>
        <w:rPr>
          <w:rFonts w:ascii="Arial" w:cs="Arial" w:eastAsia="Arial" w:hAnsi="Arial"/>
          <w:sz w:val="17"/>
          <w:szCs w:val="17"/>
          <w:color w:val="auto"/>
        </w:rPr>
      </w:pPr>
      <w:r>
        <w:rPr>
          <w:rFonts w:ascii="Arial" w:cs="Arial" w:eastAsia="Arial" w:hAnsi="Arial"/>
          <w:sz w:val="17"/>
          <w:szCs w:val="17"/>
          <w:color w:val="auto"/>
        </w:rPr>
        <w:t>CFO, Europe, Middle East and Africa and Latin America (2015 – 2020)</w:t>
      </w:r>
    </w:p>
    <w:p>
      <w:pPr>
        <w:spacing w:after="0" w:line="95" w:lineRule="exact"/>
        <w:rPr>
          <w:rFonts w:ascii="Arial" w:cs="Arial" w:eastAsia="Arial" w:hAnsi="Arial"/>
          <w:sz w:val="17"/>
          <w:szCs w:val="17"/>
          <w:color w:val="auto"/>
        </w:rPr>
      </w:pPr>
    </w:p>
    <w:p>
      <w:pPr>
        <w:ind w:left="400" w:right="640" w:hanging="159"/>
        <w:spacing w:after="0" w:line="275" w:lineRule="auto"/>
        <w:tabs>
          <w:tab w:leader="none" w:pos="392" w:val="left"/>
        </w:tabs>
        <w:numPr>
          <w:ilvl w:val="0"/>
          <w:numId w:val="57"/>
        </w:numPr>
        <w:rPr>
          <w:rFonts w:ascii="Arial" w:cs="Arial" w:eastAsia="Arial" w:hAnsi="Arial"/>
          <w:sz w:val="17"/>
          <w:szCs w:val="17"/>
          <w:b w:val="1"/>
          <w:bCs w:val="1"/>
          <w:color w:val="520B90"/>
        </w:rPr>
      </w:pPr>
      <w:r>
        <w:rPr>
          <w:rFonts w:ascii="Arial" w:cs="Arial" w:eastAsia="Arial" w:hAnsi="Arial"/>
          <w:sz w:val="17"/>
          <w:szCs w:val="17"/>
          <w:b w:val="1"/>
          <w:bCs w:val="1"/>
          <w:color w:val="auto"/>
        </w:rPr>
        <w:t xml:space="preserve">Ericsson AB </w:t>
      </w:r>
      <w:r>
        <w:rPr>
          <w:rFonts w:ascii="Arial" w:cs="Arial" w:eastAsia="Arial" w:hAnsi="Arial"/>
          <w:sz w:val="17"/>
          <w:szCs w:val="17"/>
          <w:color w:val="auto"/>
        </w:rPr>
        <w:t>(NASDAQ: ERIC) ("Ericsson"), a multinational networking and</w:t>
      </w:r>
      <w:r>
        <w:rPr>
          <w:rFonts w:ascii="Arial" w:cs="Arial" w:eastAsia="Arial" w:hAnsi="Arial"/>
          <w:sz w:val="17"/>
          <w:szCs w:val="17"/>
          <w:b w:val="1"/>
          <w:bCs w:val="1"/>
          <w:color w:val="auto"/>
        </w:rPr>
        <w:t xml:space="preserve"> </w:t>
      </w:r>
      <w:r>
        <w:rPr>
          <w:rFonts w:ascii="Arial" w:cs="Arial" w:eastAsia="Arial" w:hAnsi="Arial"/>
          <w:sz w:val="17"/>
          <w:szCs w:val="17"/>
          <w:color w:val="auto"/>
        </w:rPr>
        <w:t>telecommunications company</w:t>
      </w:r>
    </w:p>
    <w:p>
      <w:pPr>
        <w:spacing w:after="0" w:line="2" w:lineRule="exact"/>
        <w:rPr>
          <w:rFonts w:ascii="Arial" w:cs="Arial" w:eastAsia="Arial" w:hAnsi="Arial"/>
          <w:sz w:val="17"/>
          <w:szCs w:val="17"/>
          <w:b w:val="1"/>
          <w:bCs w:val="1"/>
          <w:color w:val="520B90"/>
        </w:rPr>
      </w:pPr>
    </w:p>
    <w:p>
      <w:pPr>
        <w:ind w:left="640" w:hanging="161"/>
        <w:spacing w:after="0"/>
        <w:tabs>
          <w:tab w:leader="none" w:pos="640" w:val="left"/>
        </w:tabs>
        <w:numPr>
          <w:ilvl w:val="1"/>
          <w:numId w:val="57"/>
        </w:numPr>
        <w:rPr>
          <w:rFonts w:ascii="Arial" w:cs="Arial" w:eastAsia="Arial" w:hAnsi="Arial"/>
          <w:sz w:val="17"/>
          <w:szCs w:val="17"/>
          <w:color w:val="auto"/>
        </w:rPr>
      </w:pPr>
      <w:r>
        <w:rPr>
          <w:rFonts w:ascii="Arial" w:cs="Arial" w:eastAsia="Arial" w:hAnsi="Arial"/>
          <w:sz w:val="17"/>
          <w:szCs w:val="17"/>
          <w:color w:val="auto"/>
        </w:rPr>
        <w:t>Customer Unit and Delivery Unit CFO (2011 – 2015)</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Skills and Qualifications</w:t>
      </w:r>
      <w:r>
        <w:rPr>
          <w:rFonts w:ascii="Arial" w:cs="Arial" w:eastAsia="Arial" w:hAnsi="Arial"/>
          <w:sz w:val="17"/>
          <w:szCs w:val="17"/>
          <w:color w:val="auto"/>
        </w:rPr>
        <w:t>:</w:t>
      </w:r>
    </w:p>
    <w:p>
      <w:pPr>
        <w:spacing w:after="0" w:line="96" w:lineRule="exact"/>
        <w:rPr>
          <w:sz w:val="20"/>
          <w:szCs w:val="20"/>
          <w:color w:val="auto"/>
        </w:rPr>
      </w:pPr>
    </w:p>
    <w:p>
      <w:pPr>
        <w:ind w:left="400" w:right="120" w:hanging="159"/>
        <w:spacing w:after="0" w:line="255" w:lineRule="auto"/>
        <w:tabs>
          <w:tab w:leader="none" w:pos="392" w:val="left"/>
        </w:tabs>
        <w:numPr>
          <w:ilvl w:val="0"/>
          <w:numId w:val="58"/>
        </w:numPr>
        <w:rPr>
          <w:rFonts w:ascii="Arial" w:cs="Arial" w:eastAsia="Arial" w:hAnsi="Arial"/>
          <w:sz w:val="17"/>
          <w:szCs w:val="17"/>
          <w:b w:val="1"/>
          <w:bCs w:val="1"/>
          <w:color w:val="520B90"/>
        </w:rPr>
      </w:pPr>
      <w:r>
        <w:rPr>
          <w:rFonts w:ascii="Arial" w:cs="Arial" w:eastAsia="Arial" w:hAnsi="Arial"/>
          <w:sz w:val="17"/>
          <w:szCs w:val="17"/>
          <w:b w:val="1"/>
          <w:bCs w:val="1"/>
          <w:color w:val="auto"/>
        </w:rPr>
        <w:t xml:space="preserve">Wireless/Telecom Industry </w:t>
      </w:r>
      <w:r>
        <w:rPr>
          <w:rFonts w:ascii="Arial" w:cs="Arial" w:eastAsia="Arial" w:hAnsi="Arial"/>
          <w:sz w:val="17"/>
          <w:szCs w:val="17"/>
          <w:color w:val="auto"/>
        </w:rPr>
        <w:t>– Gained an understanding of our business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wireless communications infrastructure industry over her more than 20 year career in the telecommunications industry, where she held various finance and accounting leadership roles at CyrusOne, AMT, Ericsson, Nokia Corporation and Nextel Communications, Inc. (acquired by Sprint Corporation in 2013).</w:t>
      </w:r>
    </w:p>
    <w:p>
      <w:pPr>
        <w:spacing w:after="0" w:line="60" w:lineRule="exact"/>
        <w:rPr>
          <w:rFonts w:ascii="Arial" w:cs="Arial" w:eastAsia="Arial" w:hAnsi="Arial"/>
          <w:sz w:val="17"/>
          <w:szCs w:val="17"/>
          <w:b w:val="1"/>
          <w:bCs w:val="1"/>
          <w:color w:val="520B90"/>
        </w:rPr>
      </w:pPr>
    </w:p>
    <w:p>
      <w:pPr>
        <w:ind w:left="400" w:right="120" w:hanging="159"/>
        <w:spacing w:after="0" w:line="254" w:lineRule="auto"/>
        <w:tabs>
          <w:tab w:leader="none" w:pos="392" w:val="left"/>
        </w:tabs>
        <w:numPr>
          <w:ilvl w:val="0"/>
          <w:numId w:val="58"/>
        </w:numPr>
        <w:rPr>
          <w:rFonts w:ascii="Arial" w:cs="Arial" w:eastAsia="Arial" w:hAnsi="Arial"/>
          <w:sz w:val="17"/>
          <w:szCs w:val="17"/>
          <w:b w:val="1"/>
          <w:bCs w:val="1"/>
          <w:color w:val="520B90"/>
        </w:rPr>
      </w:pPr>
      <w:r>
        <w:rPr>
          <w:rFonts w:ascii="Arial" w:cs="Arial" w:eastAsia="Arial" w:hAnsi="Arial"/>
          <w:sz w:val="17"/>
          <w:szCs w:val="17"/>
          <w:b w:val="1"/>
          <w:bCs w:val="1"/>
          <w:color w:val="auto"/>
        </w:rPr>
        <w:t xml:space="preserve">Finance </w:t>
      </w:r>
      <w:r>
        <w:rPr>
          <w:rFonts w:ascii="Arial" w:cs="Arial" w:eastAsia="Arial" w:hAnsi="Arial"/>
          <w:sz w:val="17"/>
          <w:szCs w:val="17"/>
          <w:color w:val="auto"/>
        </w:rPr>
        <w:t>and</w:t>
      </w:r>
      <w:r>
        <w:rPr>
          <w:rFonts w:ascii="Arial" w:cs="Arial" w:eastAsia="Arial" w:hAnsi="Arial"/>
          <w:sz w:val="17"/>
          <w:szCs w:val="17"/>
          <w:b w:val="1"/>
          <w:bCs w:val="1"/>
          <w:color w:val="auto"/>
        </w:rPr>
        <w:t xml:space="preserve"> Accounting </w:t>
      </w:r>
      <w:r>
        <w:rPr>
          <w:rFonts w:ascii="Arial" w:cs="Arial" w:eastAsia="Arial" w:hAnsi="Arial"/>
          <w:sz w:val="17"/>
          <w:szCs w:val="17"/>
          <w:color w:val="auto"/>
        </w:rPr>
        <w:t>– Served as a member of the executive management</w:t>
      </w:r>
      <w:r>
        <w:rPr>
          <w:rFonts w:ascii="Arial" w:cs="Arial" w:eastAsia="Arial" w:hAnsi="Arial"/>
          <w:sz w:val="17"/>
          <w:szCs w:val="17"/>
          <w:b w:val="1"/>
          <w:bCs w:val="1"/>
          <w:color w:val="auto"/>
        </w:rPr>
        <w:t xml:space="preserve"> </w:t>
      </w:r>
      <w:r>
        <w:rPr>
          <w:rFonts w:ascii="Arial" w:cs="Arial" w:eastAsia="Arial" w:hAnsi="Arial"/>
          <w:sz w:val="17"/>
          <w:szCs w:val="17"/>
          <w:color w:val="auto"/>
        </w:rPr>
        <w:t>team of CyrusOne and was responsible for its accounting, finance, capital markets, tax, procurement and investor relations. She is also a licensed Certified Public Accountant.</w:t>
      </w:r>
    </w:p>
    <w:p>
      <w:pPr>
        <w:spacing w:after="0" w:line="59" w:lineRule="exact"/>
        <w:rPr>
          <w:rFonts w:ascii="Arial" w:cs="Arial" w:eastAsia="Arial" w:hAnsi="Arial"/>
          <w:sz w:val="17"/>
          <w:szCs w:val="17"/>
          <w:b w:val="1"/>
          <w:bCs w:val="1"/>
          <w:color w:val="520B90"/>
        </w:rPr>
      </w:pPr>
    </w:p>
    <w:p>
      <w:pPr>
        <w:ind w:left="400" w:right="80" w:hanging="159"/>
        <w:spacing w:after="0" w:line="253" w:lineRule="auto"/>
        <w:tabs>
          <w:tab w:leader="none" w:pos="392" w:val="left"/>
        </w:tabs>
        <w:numPr>
          <w:ilvl w:val="0"/>
          <w:numId w:val="58"/>
        </w:numPr>
        <w:rPr>
          <w:rFonts w:ascii="Arial" w:cs="Arial" w:eastAsia="Arial" w:hAnsi="Arial"/>
          <w:sz w:val="17"/>
          <w:szCs w:val="17"/>
          <w:b w:val="1"/>
          <w:bCs w:val="1"/>
          <w:color w:val="520B90"/>
        </w:rPr>
      </w:pPr>
      <w:r>
        <w:rPr>
          <w:rFonts w:ascii="Arial" w:cs="Arial" w:eastAsia="Arial" w:hAnsi="Arial"/>
          <w:sz w:val="17"/>
          <w:szCs w:val="17"/>
          <w:b w:val="1"/>
          <w:bCs w:val="1"/>
          <w:color w:val="auto"/>
        </w:rPr>
        <w:t xml:space="preserve">Strategic Planning/Oversight </w:t>
      </w:r>
      <w:r>
        <w:rPr>
          <w:rFonts w:ascii="Arial" w:cs="Arial" w:eastAsia="Arial" w:hAnsi="Arial"/>
          <w:sz w:val="17"/>
          <w:szCs w:val="17"/>
          <w:color w:val="auto"/>
        </w:rPr>
        <w:t>– Gained extensive expertise during her tenure as</w:t>
      </w:r>
      <w:r>
        <w:rPr>
          <w:rFonts w:ascii="Arial" w:cs="Arial" w:eastAsia="Arial" w:hAnsi="Arial"/>
          <w:sz w:val="17"/>
          <w:szCs w:val="17"/>
          <w:b w:val="1"/>
          <w:bCs w:val="1"/>
          <w:color w:val="auto"/>
        </w:rPr>
        <w:t xml:space="preserve"> </w:t>
      </w:r>
      <w:r>
        <w:rPr>
          <w:rFonts w:ascii="Arial" w:cs="Arial" w:eastAsia="Arial" w:hAnsi="Arial"/>
          <w:sz w:val="17"/>
          <w:szCs w:val="17"/>
          <w:color w:val="auto"/>
        </w:rPr>
        <w:t>CFO at CyrusOne and as a divisional CFO at AMT in strategic leadership and oversight of financial activities and financial reporting, management of international tax policy and planning and internal control compliance. While at AMT, she oversaw international businesses in 18 countries and led a global finance organization of over 300 employees.</w:t>
      </w:r>
    </w:p>
    <w:p>
      <w:pPr>
        <w:spacing w:after="0" w:line="61" w:lineRule="exact"/>
        <w:rPr>
          <w:sz w:val="20"/>
          <w:szCs w:val="20"/>
          <w:color w:val="auto"/>
        </w:rPr>
      </w:pPr>
    </w:p>
    <w:p>
      <w:pPr>
        <w:sectPr>
          <w:pgSz w:w="11900" w:h="16838" w:orient="portrait"/>
          <w:cols w:equalWidth="0" w:num="2">
            <w:col w:w="3960" w:space="580"/>
            <w:col w:w="6660"/>
          </w:cols>
          <w:pgMar w:left="340" w:top="1431" w:right="359" w:bottom="1440" w:gutter="0" w:footer="0" w:header="0"/>
        </w:sectPr>
      </w:pP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Memberships</w:t>
      </w:r>
      <w:r>
        <w:rPr>
          <w:rFonts w:ascii="Arial" w:cs="Arial" w:eastAsia="Arial" w:hAnsi="Arial"/>
          <w:sz w:val="17"/>
          <w:szCs w:val="17"/>
          <w:color w:val="auto"/>
        </w:rPr>
        <w:t>:</w:t>
      </w:r>
    </w:p>
    <w:p>
      <w:pPr>
        <w:spacing w:after="0" w:line="56" w:lineRule="exact"/>
        <w:rPr>
          <w:sz w:val="20"/>
          <w:szCs w:val="20"/>
          <w:color w:val="auto"/>
        </w:rPr>
      </w:pPr>
    </w:p>
    <w:p>
      <w:pPr>
        <w:ind w:left="320" w:hanging="158"/>
        <w:spacing w:after="0" w:line="267" w:lineRule="auto"/>
        <w:tabs>
          <w:tab w:leader="none" w:pos="312" w:val="left"/>
        </w:tabs>
        <w:numPr>
          <w:ilvl w:val="0"/>
          <w:numId w:val="59"/>
        </w:numPr>
        <w:rPr>
          <w:rFonts w:ascii="Arial" w:cs="Arial" w:eastAsia="Arial" w:hAnsi="Arial"/>
          <w:sz w:val="17"/>
          <w:szCs w:val="17"/>
          <w:b w:val="1"/>
          <w:bCs w:val="1"/>
          <w:color w:val="520B90"/>
        </w:rPr>
      </w:pPr>
      <w:r>
        <w:rPr>
          <w:rFonts w:ascii="Arial" w:cs="Arial" w:eastAsia="Arial" w:hAnsi="Arial"/>
          <w:sz w:val="17"/>
          <w:szCs w:val="17"/>
          <w:color w:val="auto"/>
        </w:rPr>
        <w:t>Director, Institute of Management Accountants - National and European Board (2007 – 2009; 2016 – 2018)</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Certifications</w:t>
      </w:r>
      <w:r>
        <w:rPr>
          <w:rFonts w:ascii="Arial" w:cs="Arial" w:eastAsia="Arial" w:hAnsi="Arial"/>
          <w:sz w:val="17"/>
          <w:szCs w:val="17"/>
          <w:color w:val="auto"/>
        </w:rPr>
        <w:t>:</w:t>
      </w:r>
    </w:p>
    <w:p>
      <w:pPr>
        <w:spacing w:after="0" w:line="56" w:lineRule="exact"/>
        <w:rPr>
          <w:sz w:val="20"/>
          <w:szCs w:val="20"/>
          <w:color w:val="auto"/>
        </w:rPr>
      </w:pPr>
    </w:p>
    <w:p>
      <w:pPr>
        <w:ind w:left="160"/>
        <w:spacing w:after="0"/>
        <w:rPr>
          <w:sz w:val="20"/>
          <w:szCs w:val="20"/>
          <w:color w:val="auto"/>
        </w:rPr>
      </w:pPr>
      <w:r>
        <w:rPr>
          <w:rFonts w:ascii="Arial" w:cs="Arial" w:eastAsia="Arial" w:hAnsi="Arial"/>
          <w:sz w:val="17"/>
          <w:szCs w:val="17"/>
          <w:color w:val="auto"/>
        </w:rPr>
        <w:t>• NACD Directorship Certification</w:t>
      </w: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Education</w:t>
      </w:r>
      <w:r>
        <w:rPr>
          <w:rFonts w:ascii="Arial" w:cs="Arial" w:eastAsia="Arial" w:hAnsi="Arial"/>
          <w:sz w:val="17"/>
          <w:szCs w:val="17"/>
          <w:color w:val="auto"/>
        </w:rPr>
        <w:t>:</w:t>
      </w:r>
    </w:p>
    <w:p>
      <w:pPr>
        <w:spacing w:after="0" w:line="56" w:lineRule="exact"/>
        <w:rPr>
          <w:sz w:val="20"/>
          <w:szCs w:val="20"/>
          <w:color w:val="auto"/>
        </w:rPr>
      </w:pPr>
    </w:p>
    <w:p>
      <w:pPr>
        <w:ind w:left="320" w:hanging="158"/>
        <w:spacing w:after="0"/>
        <w:tabs>
          <w:tab w:leader="none" w:pos="320" w:val="left"/>
        </w:tabs>
        <w:numPr>
          <w:ilvl w:val="0"/>
          <w:numId w:val="60"/>
        </w:numPr>
        <w:rPr>
          <w:rFonts w:ascii="Arial" w:cs="Arial" w:eastAsia="Arial" w:hAnsi="Arial"/>
          <w:sz w:val="17"/>
          <w:szCs w:val="17"/>
          <w:b w:val="1"/>
          <w:bCs w:val="1"/>
          <w:color w:val="520B90"/>
        </w:rPr>
      </w:pPr>
      <w:r>
        <w:rPr>
          <w:rFonts w:ascii="Arial" w:cs="Arial" w:eastAsia="Arial" w:hAnsi="Arial"/>
          <w:sz w:val="17"/>
          <w:szCs w:val="17"/>
          <w:color w:val="auto"/>
        </w:rPr>
        <w:t>B.S., Financial University (Moscow, Russia)</w:t>
      </w:r>
    </w:p>
    <w:p>
      <w:pPr>
        <w:spacing w:after="0" w:line="69" w:lineRule="exact"/>
        <w:rPr>
          <w:rFonts w:ascii="Arial" w:cs="Arial" w:eastAsia="Arial" w:hAnsi="Arial"/>
          <w:sz w:val="17"/>
          <w:szCs w:val="17"/>
          <w:b w:val="1"/>
          <w:bCs w:val="1"/>
          <w:color w:val="520B90"/>
        </w:rPr>
      </w:pPr>
    </w:p>
    <w:p>
      <w:pPr>
        <w:ind w:left="320" w:hanging="158"/>
        <w:spacing w:after="0"/>
        <w:tabs>
          <w:tab w:leader="none" w:pos="320" w:val="left"/>
        </w:tabs>
        <w:numPr>
          <w:ilvl w:val="0"/>
          <w:numId w:val="60"/>
        </w:numPr>
        <w:rPr>
          <w:rFonts w:ascii="Arial" w:cs="Arial" w:eastAsia="Arial" w:hAnsi="Arial"/>
          <w:sz w:val="17"/>
          <w:szCs w:val="17"/>
          <w:b w:val="1"/>
          <w:bCs w:val="1"/>
          <w:color w:val="520B90"/>
        </w:rPr>
      </w:pPr>
      <w:r>
        <w:rPr>
          <w:rFonts w:ascii="Arial" w:cs="Arial" w:eastAsia="Arial" w:hAnsi="Arial"/>
          <w:sz w:val="17"/>
          <w:szCs w:val="17"/>
          <w:color w:val="auto"/>
        </w:rPr>
        <w:t>M.S., Financial University (Moscow, Russia)</w:t>
      </w:r>
    </w:p>
    <w:p>
      <w:pPr>
        <w:spacing w:after="0" w:line="20" w:lineRule="exact"/>
        <w:rPr>
          <w:sz w:val="20"/>
          <w:szCs w:val="20"/>
          <w:color w:val="auto"/>
        </w:rPr>
      </w:pPr>
      <w:r>
        <w:rPr>
          <w:sz w:val="20"/>
          <w:szCs w:val="20"/>
          <w:color w:val="auto"/>
        </w:rPr>
        <w:br w:type="column"/>
      </w:r>
    </w:p>
    <w:p>
      <w:pPr>
        <w:ind w:left="159" w:right="200" w:hanging="159"/>
        <w:spacing w:after="0" w:line="288" w:lineRule="auto"/>
        <w:tabs>
          <w:tab w:leader="none" w:pos="151" w:val="left"/>
        </w:tabs>
        <w:numPr>
          <w:ilvl w:val="0"/>
          <w:numId w:val="61"/>
        </w:numPr>
        <w:rPr>
          <w:rFonts w:ascii="Arial" w:cs="Arial" w:eastAsia="Arial" w:hAnsi="Arial"/>
          <w:sz w:val="16"/>
          <w:szCs w:val="16"/>
          <w:b w:val="1"/>
          <w:bCs w:val="1"/>
          <w:color w:val="520B90"/>
        </w:rPr>
      </w:pPr>
      <w:r>
        <w:rPr>
          <w:rFonts w:ascii="Arial" w:cs="Arial" w:eastAsia="Arial" w:hAnsi="Arial"/>
          <w:sz w:val="16"/>
          <w:szCs w:val="16"/>
          <w:color w:val="auto"/>
        </w:rPr>
        <w:t xml:space="preserve">Ms. Motlagh also brings to our Board knowledge of </w:t>
      </w:r>
      <w:r>
        <w:rPr>
          <w:rFonts w:ascii="Arial" w:cs="Arial" w:eastAsia="Arial" w:hAnsi="Arial"/>
          <w:sz w:val="16"/>
          <w:szCs w:val="16"/>
          <w:b w:val="1"/>
          <w:bCs w:val="1"/>
          <w:color w:val="auto"/>
        </w:rPr>
        <w:t>risk management</w:t>
      </w:r>
      <w:r>
        <w:rPr>
          <w:rFonts w:ascii="Arial" w:cs="Arial" w:eastAsia="Arial" w:hAnsi="Arial"/>
          <w:sz w:val="16"/>
          <w:szCs w:val="16"/>
          <w:color w:val="auto"/>
        </w:rPr>
        <w:t xml:space="preserve">, </w:t>
      </w:r>
      <w:r>
        <w:rPr>
          <w:rFonts w:ascii="Arial" w:cs="Arial" w:eastAsia="Arial" w:hAnsi="Arial"/>
          <w:sz w:val="16"/>
          <w:szCs w:val="16"/>
          <w:b w:val="1"/>
          <w:bCs w:val="1"/>
          <w:color w:val="auto"/>
        </w:rPr>
        <w:t>corporate</w:t>
      </w:r>
      <w:r>
        <w:rPr>
          <w:rFonts w:ascii="Arial" w:cs="Arial" w:eastAsia="Arial" w:hAnsi="Arial"/>
          <w:sz w:val="16"/>
          <w:szCs w:val="16"/>
          <w:color w:val="auto"/>
        </w:rPr>
        <w:t xml:space="preserve"> </w:t>
      </w:r>
      <w:r>
        <w:rPr>
          <w:rFonts w:ascii="Arial" w:cs="Arial" w:eastAsia="Arial" w:hAnsi="Arial"/>
          <w:sz w:val="16"/>
          <w:szCs w:val="16"/>
          <w:b w:val="1"/>
          <w:bCs w:val="1"/>
          <w:color w:val="auto"/>
        </w:rPr>
        <w:t>governance</w:t>
      </w:r>
      <w:r>
        <w:rPr>
          <w:rFonts w:ascii="Arial" w:cs="Arial" w:eastAsia="Arial" w:hAnsi="Arial"/>
          <w:sz w:val="16"/>
          <w:szCs w:val="16"/>
          <w:color w:val="auto"/>
        </w:rPr>
        <w:t>,</w:t>
      </w:r>
      <w:r>
        <w:rPr>
          <w:rFonts w:ascii="Arial" w:cs="Arial" w:eastAsia="Arial" w:hAnsi="Arial"/>
          <w:sz w:val="16"/>
          <w:szCs w:val="16"/>
          <w:b w:val="1"/>
          <w:bCs w:val="1"/>
          <w:color w:val="auto"/>
        </w:rPr>
        <w:t xml:space="preserve"> cyber/information security</w:t>
      </w:r>
      <w:r>
        <w:rPr>
          <w:rFonts w:ascii="Arial" w:cs="Arial" w:eastAsia="Arial" w:hAnsi="Arial"/>
          <w:sz w:val="16"/>
          <w:szCs w:val="16"/>
          <w:color w:val="auto"/>
        </w:rPr>
        <w:t>,</w:t>
      </w:r>
      <w:r>
        <w:rPr>
          <w:rFonts w:ascii="Arial" w:cs="Arial" w:eastAsia="Arial" w:hAnsi="Arial"/>
          <w:sz w:val="16"/>
          <w:szCs w:val="16"/>
          <w:b w:val="1"/>
          <w:bCs w:val="1"/>
          <w:color w:val="auto"/>
        </w:rPr>
        <w:t xml:space="preserve"> HR/compensation</w:t>
      </w:r>
      <w:r>
        <w:rPr>
          <w:rFonts w:ascii="Arial" w:cs="Arial" w:eastAsia="Arial" w:hAnsi="Arial"/>
          <w:sz w:val="16"/>
          <w:szCs w:val="16"/>
          <w:color w:val="auto"/>
        </w:rPr>
        <w:t>,</w:t>
      </w:r>
      <w:r>
        <w:rPr>
          <w:rFonts w:ascii="Arial" w:cs="Arial" w:eastAsia="Arial" w:hAnsi="Arial"/>
          <w:sz w:val="16"/>
          <w:szCs w:val="16"/>
          <w:b w:val="1"/>
          <w:bCs w:val="1"/>
          <w:color w:val="auto"/>
        </w:rPr>
        <w:t xml:space="preserve"> operations </w:t>
      </w:r>
      <w:r>
        <w:rPr>
          <w:rFonts w:ascii="Arial" w:cs="Arial" w:eastAsia="Arial" w:hAnsi="Arial"/>
          <w:sz w:val="16"/>
          <w:szCs w:val="16"/>
          <w:color w:val="auto"/>
        </w:rPr>
        <w:t>and</w:t>
      </w:r>
      <w:r>
        <w:rPr>
          <w:rFonts w:ascii="Arial" w:cs="Arial" w:eastAsia="Arial" w:hAnsi="Arial"/>
          <w:sz w:val="16"/>
          <w:szCs w:val="16"/>
          <w:b w:val="1"/>
          <w:bCs w:val="1"/>
          <w:color w:val="auto"/>
        </w:rPr>
        <w:t xml:space="preserve"> M&amp;A </w:t>
      </w:r>
      <w:r>
        <w:rPr>
          <w:rFonts w:ascii="Arial" w:cs="Arial" w:eastAsia="Arial" w:hAnsi="Arial"/>
          <w:sz w:val="16"/>
          <w:szCs w:val="16"/>
          <w:color w:val="auto"/>
        </w:rPr>
        <w:t>and also brings</w:t>
      </w:r>
      <w:r>
        <w:rPr>
          <w:rFonts w:ascii="Arial" w:cs="Arial" w:eastAsia="Arial" w:hAnsi="Arial"/>
          <w:sz w:val="16"/>
          <w:szCs w:val="16"/>
          <w:b w:val="1"/>
          <w:bCs w:val="1"/>
          <w:color w:val="auto"/>
        </w:rPr>
        <w:t xml:space="preserve"> executive </w:t>
      </w:r>
      <w:r>
        <w:rPr>
          <w:rFonts w:ascii="Arial" w:cs="Arial" w:eastAsia="Arial" w:hAnsi="Arial"/>
          <w:sz w:val="16"/>
          <w:szCs w:val="16"/>
          <w:color w:val="auto"/>
        </w:rPr>
        <w:t>and</w:t>
      </w:r>
      <w:r>
        <w:rPr>
          <w:rFonts w:ascii="Arial" w:cs="Arial" w:eastAsia="Arial" w:hAnsi="Arial"/>
          <w:sz w:val="16"/>
          <w:szCs w:val="16"/>
          <w:b w:val="1"/>
          <w:bCs w:val="1"/>
          <w:color w:val="auto"/>
        </w:rPr>
        <w:t xml:space="preserve"> public company board </w:t>
      </w:r>
      <w:r>
        <w:rPr>
          <w:rFonts w:ascii="Arial" w:cs="Arial" w:eastAsia="Arial" w:hAnsi="Arial"/>
          <w:sz w:val="16"/>
          <w:szCs w:val="16"/>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-3044190</wp:posOffset>
            </wp:positionH>
            <wp:positionV relativeFrom="paragraph">
              <wp:posOffset>1374775</wp:posOffset>
            </wp:positionV>
            <wp:extent cx="71348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260" w:lineRule="exact"/>
        <w:rPr>
          <w:sz w:val="20"/>
          <w:szCs w:val="20"/>
          <w:color w:val="auto"/>
        </w:rPr>
      </w:pPr>
    </w:p>
    <w:p>
      <w:pPr>
        <w:sectPr>
          <w:pgSz w:w="11900" w:h="16838" w:orient="portrait"/>
          <w:cols w:equalWidth="0" w:num="2">
            <w:col w:w="4160" w:space="621"/>
            <w:col w:w="6419"/>
          </w:cols>
          <w:pgMar w:left="340" w:top="1431" w:right="359" w:bottom="1440" w:gutter="0" w:footer="0" w:header="0"/>
          <w:type w:val="continuous"/>
        </w:sectPr>
      </w:pPr>
    </w:p>
    <w:p>
      <w:pPr>
        <w:spacing w:after="0" w:line="381"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67310</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40" w:top="1431" w:right="359" w:bottom="1440" w:gutter="0" w:footer="0" w:header="0"/>
          <w:type w:val="continuous"/>
        </w:sectPr>
      </w:pPr>
    </w:p>
    <w:bookmarkStart w:id="19" w:name="page20"/>
    <w:bookmarkEnd w:id="19"/>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Kevin A. Stephens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1798320" cy="22606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98320" cy="2260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w:t>
      </w:r>
      <w:r>
        <w:rPr>
          <w:rFonts w:ascii="Arial" w:cs="Arial" w:eastAsia="Arial" w:hAnsi="Arial"/>
          <w:sz w:val="17"/>
          <w:szCs w:val="17"/>
          <w:color w:val="auto"/>
        </w:rPr>
        <w:t>:</w:t>
      </w:r>
    </w:p>
    <w:p>
      <w:pPr>
        <w:spacing w:after="0" w:line="56" w:lineRule="exact"/>
        <w:rPr>
          <w:sz w:val="20"/>
          <w:szCs w:val="20"/>
          <w:color w:val="auto"/>
        </w:rPr>
      </w:pPr>
    </w:p>
    <w:p>
      <w:pPr>
        <w:ind w:left="320" w:hanging="158"/>
        <w:spacing w:after="0"/>
        <w:tabs>
          <w:tab w:leader="none" w:pos="320" w:val="left"/>
        </w:tabs>
        <w:numPr>
          <w:ilvl w:val="0"/>
          <w:numId w:val="62"/>
        </w:numPr>
        <w:rPr>
          <w:rFonts w:ascii="Arial" w:cs="Arial" w:eastAsia="Arial" w:hAnsi="Arial"/>
          <w:sz w:val="17"/>
          <w:szCs w:val="17"/>
          <w:b w:val="1"/>
          <w:bCs w:val="1"/>
          <w:color w:val="520B90"/>
        </w:rPr>
      </w:pPr>
      <w:r>
        <w:rPr>
          <w:rFonts w:ascii="Arial" w:cs="Arial" w:eastAsia="Arial" w:hAnsi="Arial"/>
          <w:sz w:val="17"/>
          <w:szCs w:val="17"/>
          <w:color w:val="auto"/>
        </w:rPr>
        <w:t>Audit</w:t>
      </w:r>
    </w:p>
    <w:p>
      <w:pPr>
        <w:spacing w:after="0" w:line="55" w:lineRule="exact"/>
        <w:rPr>
          <w:rFonts w:ascii="Arial" w:cs="Arial" w:eastAsia="Arial" w:hAnsi="Arial"/>
          <w:sz w:val="17"/>
          <w:szCs w:val="17"/>
          <w:b w:val="1"/>
          <w:bCs w:val="1"/>
          <w:color w:val="520B90"/>
        </w:rPr>
      </w:pPr>
    </w:p>
    <w:p>
      <w:pPr>
        <w:ind w:left="320" w:hanging="158"/>
        <w:spacing w:after="0"/>
        <w:tabs>
          <w:tab w:leader="none" w:pos="320" w:val="left"/>
        </w:tabs>
        <w:numPr>
          <w:ilvl w:val="0"/>
          <w:numId w:val="62"/>
        </w:numPr>
        <w:rPr>
          <w:rFonts w:ascii="Arial" w:cs="Arial" w:eastAsia="Arial" w:hAnsi="Arial"/>
          <w:sz w:val="17"/>
          <w:szCs w:val="17"/>
          <w:b w:val="1"/>
          <w:bCs w:val="1"/>
          <w:color w:val="520B90"/>
        </w:rPr>
      </w:pPr>
      <w:r>
        <w:rPr>
          <w:rFonts w:ascii="Arial" w:cs="Arial" w:eastAsia="Arial" w:hAnsi="Arial"/>
          <w:sz w:val="17"/>
          <w:szCs w:val="17"/>
          <w:color w:val="auto"/>
        </w:rPr>
        <w:t>CHC</w:t>
      </w:r>
    </w:p>
    <w:p>
      <w:pPr>
        <w:spacing w:after="0" w:line="55" w:lineRule="exact"/>
        <w:rPr>
          <w:rFonts w:ascii="Arial" w:cs="Arial" w:eastAsia="Arial" w:hAnsi="Arial"/>
          <w:sz w:val="17"/>
          <w:szCs w:val="17"/>
          <w:b w:val="1"/>
          <w:bCs w:val="1"/>
          <w:color w:val="520B90"/>
        </w:rPr>
      </w:pPr>
    </w:p>
    <w:p>
      <w:pPr>
        <w:ind w:left="320" w:hanging="158"/>
        <w:spacing w:after="0"/>
        <w:tabs>
          <w:tab w:leader="none" w:pos="320" w:val="left"/>
        </w:tabs>
        <w:numPr>
          <w:ilvl w:val="0"/>
          <w:numId w:val="62"/>
        </w:numPr>
        <w:rPr>
          <w:rFonts w:ascii="Arial" w:cs="Arial" w:eastAsia="Arial" w:hAnsi="Arial"/>
          <w:sz w:val="17"/>
          <w:szCs w:val="17"/>
          <w:b w:val="1"/>
          <w:bCs w:val="1"/>
          <w:color w:val="520B90"/>
        </w:rPr>
      </w:pPr>
      <w:r>
        <w:rPr>
          <w:rFonts w:ascii="Arial" w:cs="Arial" w:eastAsia="Arial" w:hAnsi="Arial"/>
          <w:sz w:val="17"/>
          <w:szCs w:val="17"/>
          <w:color w:val="auto"/>
        </w:rPr>
        <w:t>Fiber Review</w:t>
      </w: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Public Company Directorships</w:t>
      </w:r>
      <w:r>
        <w:rPr>
          <w:rFonts w:ascii="Arial" w:cs="Arial" w:eastAsia="Arial" w:hAnsi="Arial"/>
          <w:sz w:val="17"/>
          <w:szCs w:val="17"/>
          <w:color w:val="auto"/>
        </w:rPr>
        <w:t>:</w:t>
      </w:r>
    </w:p>
    <w:p>
      <w:pPr>
        <w:spacing w:after="0" w:line="69" w:lineRule="exact"/>
        <w:rPr>
          <w:sz w:val="20"/>
          <w:szCs w:val="20"/>
          <w:color w:val="auto"/>
        </w:rPr>
      </w:pPr>
    </w:p>
    <w:p>
      <w:pPr>
        <w:ind w:left="320" w:right="140" w:hanging="158"/>
        <w:spacing w:after="0" w:line="275" w:lineRule="auto"/>
        <w:tabs>
          <w:tab w:leader="none" w:pos="312" w:val="left"/>
        </w:tabs>
        <w:numPr>
          <w:ilvl w:val="0"/>
          <w:numId w:val="63"/>
        </w:numPr>
        <w:rPr>
          <w:rFonts w:ascii="Arial" w:cs="Arial" w:eastAsia="Arial" w:hAnsi="Arial"/>
          <w:sz w:val="17"/>
          <w:szCs w:val="17"/>
          <w:b w:val="1"/>
          <w:bCs w:val="1"/>
          <w:color w:val="520B90"/>
        </w:rPr>
      </w:pPr>
      <w:r>
        <w:rPr>
          <w:rFonts w:ascii="Arial" w:cs="Arial" w:eastAsia="Arial" w:hAnsi="Arial"/>
          <w:sz w:val="17"/>
          <w:szCs w:val="17"/>
          <w:color w:val="auto"/>
        </w:rPr>
        <w:t>Keysight Technologies, Inc. (NYSE: KEYS) (since 2022)</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Memberships</w:t>
      </w:r>
      <w:r>
        <w:rPr>
          <w:rFonts w:ascii="Arial" w:cs="Arial" w:eastAsia="Arial" w:hAnsi="Arial"/>
          <w:sz w:val="17"/>
          <w:szCs w:val="17"/>
          <w:color w:val="auto"/>
        </w:rPr>
        <w:t>:</w:t>
      </w:r>
    </w:p>
    <w:p>
      <w:pPr>
        <w:spacing w:after="0" w:line="56" w:lineRule="exact"/>
        <w:rPr>
          <w:sz w:val="20"/>
          <w:szCs w:val="20"/>
          <w:color w:val="auto"/>
        </w:rPr>
      </w:pPr>
    </w:p>
    <w:p>
      <w:pPr>
        <w:ind w:left="320" w:hanging="158"/>
        <w:spacing w:after="0"/>
        <w:tabs>
          <w:tab w:leader="none" w:pos="320" w:val="left"/>
        </w:tabs>
        <w:numPr>
          <w:ilvl w:val="0"/>
          <w:numId w:val="64"/>
        </w:numPr>
        <w:rPr>
          <w:rFonts w:ascii="Arial" w:cs="Arial" w:eastAsia="Arial" w:hAnsi="Arial"/>
          <w:sz w:val="16"/>
          <w:szCs w:val="16"/>
          <w:b w:val="1"/>
          <w:bCs w:val="1"/>
          <w:color w:val="520B90"/>
        </w:rPr>
      </w:pPr>
      <w:r>
        <w:rPr>
          <w:rFonts w:ascii="Arial" w:cs="Arial" w:eastAsia="Arial" w:hAnsi="Arial"/>
          <w:sz w:val="16"/>
          <w:szCs w:val="16"/>
          <w:color w:val="auto"/>
        </w:rPr>
        <w:t>Director, Consumer Cellular Inc., a private company</w:t>
      </w:r>
    </w:p>
    <w:p>
      <w:pPr>
        <w:spacing w:after="0" w:line="67" w:lineRule="exact"/>
        <w:rPr>
          <w:rFonts w:ascii="Arial" w:cs="Arial" w:eastAsia="Arial" w:hAnsi="Arial"/>
          <w:sz w:val="16"/>
          <w:szCs w:val="16"/>
          <w:b w:val="1"/>
          <w:bCs w:val="1"/>
          <w:color w:val="520B90"/>
        </w:rPr>
      </w:pPr>
    </w:p>
    <w:p>
      <w:pPr>
        <w:ind w:left="320" w:hanging="158"/>
        <w:spacing w:after="0"/>
        <w:tabs>
          <w:tab w:leader="none" w:pos="320" w:val="left"/>
        </w:tabs>
        <w:numPr>
          <w:ilvl w:val="0"/>
          <w:numId w:val="64"/>
        </w:numPr>
        <w:rPr>
          <w:rFonts w:ascii="Arial" w:cs="Arial" w:eastAsia="Arial" w:hAnsi="Arial"/>
          <w:sz w:val="17"/>
          <w:szCs w:val="17"/>
          <w:b w:val="1"/>
          <w:bCs w:val="1"/>
          <w:color w:val="520B90"/>
        </w:rPr>
      </w:pPr>
      <w:r>
        <w:rPr>
          <w:rFonts w:ascii="Arial" w:cs="Arial" w:eastAsia="Arial" w:hAnsi="Arial"/>
          <w:sz w:val="17"/>
          <w:szCs w:val="17"/>
          <w:color w:val="auto"/>
        </w:rPr>
        <w:t>Member, The Executive Leadership Council</w:t>
      </w: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Education</w:t>
      </w:r>
      <w:r>
        <w:rPr>
          <w:rFonts w:ascii="Arial" w:cs="Arial" w:eastAsia="Arial" w:hAnsi="Arial"/>
          <w:sz w:val="17"/>
          <w:szCs w:val="17"/>
          <w:color w:val="auto"/>
        </w:rPr>
        <w:t>:</w:t>
      </w:r>
    </w:p>
    <w:p>
      <w:pPr>
        <w:spacing w:after="0" w:line="56" w:lineRule="exact"/>
        <w:rPr>
          <w:sz w:val="20"/>
          <w:szCs w:val="20"/>
          <w:color w:val="auto"/>
        </w:rPr>
      </w:pPr>
    </w:p>
    <w:p>
      <w:pPr>
        <w:ind w:left="320" w:hanging="158"/>
        <w:spacing w:after="0"/>
        <w:tabs>
          <w:tab w:leader="none" w:pos="320" w:val="left"/>
        </w:tabs>
        <w:numPr>
          <w:ilvl w:val="0"/>
          <w:numId w:val="65"/>
        </w:numPr>
        <w:rPr>
          <w:rFonts w:ascii="Arial" w:cs="Arial" w:eastAsia="Arial" w:hAnsi="Arial"/>
          <w:sz w:val="17"/>
          <w:szCs w:val="17"/>
          <w:b w:val="1"/>
          <w:bCs w:val="1"/>
          <w:color w:val="520B90"/>
        </w:rPr>
      </w:pPr>
      <w:r>
        <w:rPr>
          <w:rFonts w:ascii="Arial" w:cs="Arial" w:eastAsia="Arial" w:hAnsi="Arial"/>
          <w:sz w:val="17"/>
          <w:szCs w:val="17"/>
          <w:color w:val="auto"/>
        </w:rPr>
        <w:t>B.B.A., University of Michigan</w:t>
      </w:r>
    </w:p>
    <w:p>
      <w:pPr>
        <w:spacing w:after="0" w:line="55" w:lineRule="exact"/>
        <w:rPr>
          <w:rFonts w:ascii="Arial" w:cs="Arial" w:eastAsia="Arial" w:hAnsi="Arial"/>
          <w:sz w:val="17"/>
          <w:szCs w:val="17"/>
          <w:b w:val="1"/>
          <w:bCs w:val="1"/>
          <w:color w:val="520B90"/>
        </w:rPr>
      </w:pPr>
    </w:p>
    <w:p>
      <w:pPr>
        <w:ind w:left="320" w:hanging="158"/>
        <w:spacing w:after="0"/>
        <w:tabs>
          <w:tab w:leader="none" w:pos="320" w:val="left"/>
        </w:tabs>
        <w:numPr>
          <w:ilvl w:val="0"/>
          <w:numId w:val="65"/>
        </w:numPr>
        <w:rPr>
          <w:rFonts w:ascii="Arial" w:cs="Arial" w:eastAsia="Arial" w:hAnsi="Arial"/>
          <w:sz w:val="17"/>
          <w:szCs w:val="17"/>
          <w:b w:val="1"/>
          <w:bCs w:val="1"/>
          <w:color w:val="520B90"/>
        </w:rPr>
      </w:pPr>
      <w:r>
        <w:rPr>
          <w:rFonts w:ascii="Arial" w:cs="Arial" w:eastAsia="Arial" w:hAnsi="Arial"/>
          <w:sz w:val="17"/>
          <w:szCs w:val="17"/>
          <w:color w:val="auto"/>
        </w:rPr>
        <w:t>M.B.A., University of Southern California</w:t>
      </w:r>
    </w:p>
    <w:p>
      <w:pPr>
        <w:spacing w:after="0" w:line="20" w:lineRule="exact"/>
        <w:rPr>
          <w:sz w:val="20"/>
          <w:szCs w:val="20"/>
          <w:color w:val="auto"/>
        </w:rPr>
      </w:pPr>
      <w:r>
        <w:rPr>
          <w:sz w:val="20"/>
          <w:szCs w:val="20"/>
          <w:color w:val="auto"/>
        </w:rPr>
        <w:br w:type="column"/>
      </w:r>
    </w:p>
    <w:p>
      <w:pPr>
        <w:spacing w:after="0"/>
        <w:tabs>
          <w:tab w:leader="none" w:pos="4940" w:val="left"/>
        </w:tabs>
        <w:rPr>
          <w:sz w:val="20"/>
          <w:szCs w:val="20"/>
          <w:color w:val="auto"/>
        </w:rPr>
      </w:pPr>
      <w:r>
        <w:rPr>
          <w:rFonts w:ascii="Arial" w:cs="Arial" w:eastAsia="Arial" w:hAnsi="Arial"/>
          <w:sz w:val="18"/>
          <w:szCs w:val="18"/>
          <w:b w:val="1"/>
          <w:bCs w:val="1"/>
          <w:color w:val="FFFFFF"/>
        </w:rPr>
        <w:t>Age: 64</w:t>
      </w:r>
      <w:r>
        <w:rPr>
          <w:sz w:val="20"/>
          <w:szCs w:val="20"/>
          <w:color w:val="auto"/>
        </w:rPr>
        <w:tab/>
      </w:r>
      <w:r>
        <w:rPr>
          <w:rFonts w:ascii="Arial" w:cs="Arial" w:eastAsia="Arial" w:hAnsi="Arial"/>
          <w:sz w:val="17"/>
          <w:szCs w:val="17"/>
          <w:b w:val="1"/>
          <w:bCs w:val="1"/>
          <w:color w:val="FFFFFF"/>
        </w:rPr>
        <w:t>Director Since: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-2891155</wp:posOffset>
            </wp:positionH>
            <wp:positionV relativeFrom="paragraph">
              <wp:posOffset>-127000</wp:posOffset>
            </wp:positionV>
            <wp:extent cx="7134860" cy="1593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860" cy="159385"/>
                    </a:xfrm>
                    <a:prstGeom prst="rect">
                      <a:avLst/>
                    </a:prstGeom>
                    <a:noFill/>
                  </pic:spPr>
                </pic:pic>
              </a:graphicData>
            </a:graphic>
          </wp:anchor>
        </w:drawing>
        <w:drawing>
          <wp:anchor simplePos="0" relativeHeight="251657728" behindDoc="1" locked="0" layoutInCell="0" allowOverlap="1">
            <wp:simplePos x="0" y="0"/>
            <wp:positionH relativeFrom="column">
              <wp:posOffset>-2891155</wp:posOffset>
            </wp:positionH>
            <wp:positionV relativeFrom="paragraph">
              <wp:posOffset>-160655</wp:posOffset>
            </wp:positionV>
            <wp:extent cx="71348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Experience</w:t>
      </w:r>
      <w:r>
        <w:rPr>
          <w:rFonts w:ascii="Arial" w:cs="Arial" w:eastAsia="Arial" w:hAnsi="Arial"/>
          <w:sz w:val="17"/>
          <w:szCs w:val="17"/>
          <w:color w:val="auto"/>
        </w:rPr>
        <w:t>:</w:t>
      </w:r>
    </w:p>
    <w:p>
      <w:pPr>
        <w:spacing w:after="0" w:line="96" w:lineRule="exact"/>
        <w:rPr>
          <w:sz w:val="20"/>
          <w:szCs w:val="20"/>
          <w:color w:val="auto"/>
        </w:rPr>
      </w:pPr>
    </w:p>
    <w:p>
      <w:pPr>
        <w:ind w:left="400" w:right="220" w:hanging="159"/>
        <w:spacing w:after="0" w:line="275" w:lineRule="auto"/>
        <w:tabs>
          <w:tab w:leader="none" w:pos="392" w:val="left"/>
        </w:tabs>
        <w:numPr>
          <w:ilvl w:val="0"/>
          <w:numId w:val="66"/>
        </w:numPr>
        <w:rPr>
          <w:rFonts w:ascii="Arial" w:cs="Arial" w:eastAsia="Arial" w:hAnsi="Arial"/>
          <w:sz w:val="17"/>
          <w:szCs w:val="17"/>
          <w:b w:val="1"/>
          <w:bCs w:val="1"/>
          <w:color w:val="520B90"/>
        </w:rPr>
      </w:pPr>
      <w:r>
        <w:rPr>
          <w:rFonts w:ascii="Arial" w:cs="Arial" w:eastAsia="Arial" w:hAnsi="Arial"/>
          <w:sz w:val="17"/>
          <w:szCs w:val="17"/>
          <w:b w:val="1"/>
          <w:bCs w:val="1"/>
          <w:color w:val="auto"/>
        </w:rPr>
        <w:t xml:space="preserve">Altice USA, Inc. </w:t>
      </w:r>
      <w:r>
        <w:rPr>
          <w:rFonts w:ascii="Arial" w:cs="Arial" w:eastAsia="Arial" w:hAnsi="Arial"/>
          <w:sz w:val="17"/>
          <w:szCs w:val="17"/>
          <w:color w:val="auto"/>
        </w:rPr>
        <w:t>(NYSE: ATUS) ("Altice"), provider of broadband communications</w:t>
      </w:r>
      <w:r>
        <w:rPr>
          <w:rFonts w:ascii="Arial" w:cs="Arial" w:eastAsia="Arial" w:hAnsi="Arial"/>
          <w:sz w:val="17"/>
          <w:szCs w:val="17"/>
          <w:b w:val="1"/>
          <w:bCs w:val="1"/>
          <w:color w:val="auto"/>
        </w:rPr>
        <w:t xml:space="preserve"> </w:t>
      </w:r>
      <w:r>
        <w:rPr>
          <w:rFonts w:ascii="Arial" w:cs="Arial" w:eastAsia="Arial" w:hAnsi="Arial"/>
          <w:sz w:val="17"/>
          <w:szCs w:val="17"/>
          <w:color w:val="auto"/>
        </w:rPr>
        <w:t>and video services</w:t>
      </w:r>
    </w:p>
    <w:p>
      <w:pPr>
        <w:spacing w:after="0" w:line="2" w:lineRule="exact"/>
        <w:rPr>
          <w:rFonts w:ascii="Arial" w:cs="Arial" w:eastAsia="Arial" w:hAnsi="Arial"/>
          <w:sz w:val="17"/>
          <w:szCs w:val="17"/>
          <w:b w:val="1"/>
          <w:bCs w:val="1"/>
          <w:color w:val="520B90"/>
        </w:rPr>
      </w:pPr>
    </w:p>
    <w:p>
      <w:pPr>
        <w:ind w:left="640" w:hanging="161"/>
        <w:spacing w:after="0"/>
        <w:tabs>
          <w:tab w:leader="none" w:pos="640" w:val="left"/>
        </w:tabs>
        <w:numPr>
          <w:ilvl w:val="1"/>
          <w:numId w:val="66"/>
        </w:numPr>
        <w:rPr>
          <w:rFonts w:ascii="Arial" w:cs="Arial" w:eastAsia="Arial" w:hAnsi="Arial"/>
          <w:sz w:val="17"/>
          <w:szCs w:val="17"/>
          <w:color w:val="auto"/>
        </w:rPr>
      </w:pPr>
      <w:r>
        <w:rPr>
          <w:rFonts w:ascii="Arial" w:cs="Arial" w:eastAsia="Arial" w:hAnsi="Arial"/>
          <w:sz w:val="17"/>
          <w:szCs w:val="17"/>
          <w:color w:val="auto"/>
        </w:rPr>
        <w:t>EVP and President, Business Services Division (2015 – 2019)</w:t>
      </w:r>
    </w:p>
    <w:p>
      <w:pPr>
        <w:spacing w:after="0" w:line="95" w:lineRule="exact"/>
        <w:rPr>
          <w:rFonts w:ascii="Arial" w:cs="Arial" w:eastAsia="Arial" w:hAnsi="Arial"/>
          <w:sz w:val="17"/>
          <w:szCs w:val="17"/>
          <w:color w:val="auto"/>
        </w:rPr>
      </w:pPr>
    </w:p>
    <w:p>
      <w:pPr>
        <w:ind w:left="400" w:right="340" w:hanging="159"/>
        <w:spacing w:after="0" w:line="275" w:lineRule="auto"/>
        <w:tabs>
          <w:tab w:leader="none" w:pos="392" w:val="left"/>
        </w:tabs>
        <w:numPr>
          <w:ilvl w:val="0"/>
          <w:numId w:val="66"/>
        </w:numPr>
        <w:rPr>
          <w:rFonts w:ascii="Arial" w:cs="Arial" w:eastAsia="Arial" w:hAnsi="Arial"/>
          <w:sz w:val="17"/>
          <w:szCs w:val="17"/>
          <w:b w:val="1"/>
          <w:bCs w:val="1"/>
          <w:color w:val="520B90"/>
        </w:rPr>
      </w:pPr>
      <w:r>
        <w:rPr>
          <w:rFonts w:ascii="Arial" w:cs="Arial" w:eastAsia="Arial" w:hAnsi="Arial"/>
          <w:sz w:val="17"/>
          <w:szCs w:val="17"/>
          <w:b w:val="1"/>
          <w:bCs w:val="1"/>
          <w:color w:val="auto"/>
        </w:rPr>
        <w:t xml:space="preserve">Suddenlink Communications, Inc. </w:t>
      </w:r>
      <w:r>
        <w:rPr>
          <w:rFonts w:ascii="Arial" w:cs="Arial" w:eastAsia="Arial" w:hAnsi="Arial"/>
          <w:sz w:val="17"/>
          <w:szCs w:val="17"/>
          <w:color w:val="auto"/>
        </w:rPr>
        <w:t>("Suddenlink") (acquired by Altice in 2015),</w:t>
      </w:r>
      <w:r>
        <w:rPr>
          <w:rFonts w:ascii="Arial" w:cs="Arial" w:eastAsia="Arial" w:hAnsi="Arial"/>
          <w:sz w:val="17"/>
          <w:szCs w:val="17"/>
          <w:b w:val="1"/>
          <w:bCs w:val="1"/>
          <w:color w:val="auto"/>
        </w:rPr>
        <w:t xml:space="preserve"> </w:t>
      </w:r>
      <w:r>
        <w:rPr>
          <w:rFonts w:ascii="Arial" w:cs="Arial" w:eastAsia="Arial" w:hAnsi="Arial"/>
          <w:sz w:val="17"/>
          <w:szCs w:val="17"/>
          <w:color w:val="auto"/>
        </w:rPr>
        <w:t>internet and cable provider</w:t>
      </w:r>
    </w:p>
    <w:p>
      <w:pPr>
        <w:spacing w:after="0" w:line="2" w:lineRule="exact"/>
        <w:rPr>
          <w:rFonts w:ascii="Arial" w:cs="Arial" w:eastAsia="Arial" w:hAnsi="Arial"/>
          <w:sz w:val="17"/>
          <w:szCs w:val="17"/>
          <w:b w:val="1"/>
          <w:bCs w:val="1"/>
          <w:color w:val="520B90"/>
        </w:rPr>
      </w:pPr>
    </w:p>
    <w:p>
      <w:pPr>
        <w:ind w:left="640" w:right="880" w:hanging="161"/>
        <w:spacing w:after="0" w:line="275" w:lineRule="auto"/>
        <w:tabs>
          <w:tab w:leader="none" w:pos="633" w:val="left"/>
        </w:tabs>
        <w:numPr>
          <w:ilvl w:val="1"/>
          <w:numId w:val="66"/>
        </w:numPr>
        <w:rPr>
          <w:rFonts w:ascii="Arial" w:cs="Arial" w:eastAsia="Arial" w:hAnsi="Arial"/>
          <w:sz w:val="17"/>
          <w:szCs w:val="17"/>
          <w:color w:val="auto"/>
        </w:rPr>
      </w:pPr>
      <w:r>
        <w:rPr>
          <w:rFonts w:ascii="Arial" w:cs="Arial" w:eastAsia="Arial" w:hAnsi="Arial"/>
          <w:sz w:val="17"/>
          <w:szCs w:val="17"/>
          <w:color w:val="auto"/>
        </w:rPr>
        <w:t>Served in multiple senior leadership positions, including as President, Commercial and Advertising Operations (2006 – 2015)</w:t>
      </w:r>
    </w:p>
    <w:p>
      <w:pPr>
        <w:spacing w:after="0" w:line="41" w:lineRule="exact"/>
        <w:rPr>
          <w:rFonts w:ascii="Arial" w:cs="Arial" w:eastAsia="Arial" w:hAnsi="Arial"/>
          <w:sz w:val="17"/>
          <w:szCs w:val="17"/>
          <w:color w:val="auto"/>
        </w:rPr>
      </w:pPr>
    </w:p>
    <w:p>
      <w:pPr>
        <w:ind w:left="400" w:right="560" w:hanging="159"/>
        <w:spacing w:after="0" w:line="285" w:lineRule="auto"/>
        <w:tabs>
          <w:tab w:leader="none" w:pos="392" w:val="left"/>
        </w:tabs>
        <w:numPr>
          <w:ilvl w:val="0"/>
          <w:numId w:val="66"/>
        </w:numPr>
        <w:rPr>
          <w:rFonts w:ascii="Arial" w:cs="Arial" w:eastAsia="Arial" w:hAnsi="Arial"/>
          <w:sz w:val="17"/>
          <w:szCs w:val="17"/>
          <w:b w:val="1"/>
          <w:bCs w:val="1"/>
          <w:color w:val="520B90"/>
        </w:rPr>
      </w:pPr>
      <w:r>
        <w:rPr>
          <w:rFonts w:ascii="Arial" w:cs="Arial" w:eastAsia="Arial" w:hAnsi="Arial"/>
          <w:sz w:val="17"/>
          <w:szCs w:val="17"/>
          <w:color w:val="auto"/>
        </w:rPr>
        <w:t xml:space="preserve">Served in various senior leadership positions at </w:t>
      </w:r>
      <w:r>
        <w:rPr>
          <w:rFonts w:ascii="Arial" w:cs="Arial" w:eastAsia="Arial" w:hAnsi="Arial"/>
          <w:sz w:val="17"/>
          <w:szCs w:val="17"/>
          <w:b w:val="1"/>
          <w:bCs w:val="1"/>
          <w:color w:val="auto"/>
        </w:rPr>
        <w:t>Cox Communications, Inc.</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Choice One Communications </w:t>
      </w:r>
      <w:r>
        <w:rPr>
          <w:rFonts w:ascii="Arial" w:cs="Arial" w:eastAsia="Arial" w:hAnsi="Arial"/>
          <w:sz w:val="17"/>
          <w:szCs w:val="17"/>
          <w:color w:val="auto"/>
        </w:rPr>
        <w:t>and</w:t>
      </w:r>
      <w:r>
        <w:rPr>
          <w:rFonts w:ascii="Arial" w:cs="Arial" w:eastAsia="Arial" w:hAnsi="Arial"/>
          <w:sz w:val="17"/>
          <w:szCs w:val="17"/>
          <w:b w:val="1"/>
          <w:bCs w:val="1"/>
          <w:color w:val="auto"/>
        </w:rPr>
        <w:t xml:space="preserve"> Xerox Corporation</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Skills and Qualifications</w:t>
      </w:r>
      <w:r>
        <w:rPr>
          <w:rFonts w:ascii="Arial" w:cs="Arial" w:eastAsia="Arial" w:hAnsi="Arial"/>
          <w:sz w:val="17"/>
          <w:szCs w:val="17"/>
          <w:color w:val="auto"/>
        </w:rPr>
        <w:t>:</w:t>
      </w:r>
    </w:p>
    <w:p>
      <w:pPr>
        <w:spacing w:after="0" w:line="96" w:lineRule="exact"/>
        <w:rPr>
          <w:sz w:val="20"/>
          <w:szCs w:val="20"/>
          <w:color w:val="auto"/>
        </w:rPr>
      </w:pPr>
    </w:p>
    <w:p>
      <w:pPr>
        <w:ind w:left="400" w:right="80" w:hanging="159"/>
        <w:spacing w:after="0" w:line="253" w:lineRule="auto"/>
        <w:tabs>
          <w:tab w:leader="none" w:pos="392" w:val="left"/>
        </w:tabs>
        <w:numPr>
          <w:ilvl w:val="0"/>
          <w:numId w:val="67"/>
        </w:numPr>
        <w:rPr>
          <w:rFonts w:ascii="Arial" w:cs="Arial" w:eastAsia="Arial" w:hAnsi="Arial"/>
          <w:sz w:val="17"/>
          <w:szCs w:val="17"/>
          <w:b w:val="1"/>
          <w:bCs w:val="1"/>
          <w:color w:val="520B90"/>
        </w:rPr>
      </w:pPr>
      <w:r>
        <w:rPr>
          <w:rFonts w:ascii="Arial" w:cs="Arial" w:eastAsia="Arial" w:hAnsi="Arial"/>
          <w:sz w:val="17"/>
          <w:szCs w:val="17"/>
          <w:b w:val="1"/>
          <w:bCs w:val="1"/>
          <w:color w:val="auto"/>
        </w:rPr>
        <w:t xml:space="preserve">Telecom Industry </w:t>
      </w:r>
      <w:r>
        <w:rPr>
          <w:rFonts w:ascii="Arial" w:cs="Arial" w:eastAsia="Arial" w:hAnsi="Arial"/>
          <w:sz w:val="17"/>
          <w:szCs w:val="17"/>
          <w:color w:val="auto"/>
        </w:rPr>
        <w:t>– Gained extensive experience in the fiber and</w:t>
      </w:r>
      <w:r>
        <w:rPr>
          <w:rFonts w:ascii="Arial" w:cs="Arial" w:eastAsia="Arial" w:hAnsi="Arial"/>
          <w:sz w:val="17"/>
          <w:szCs w:val="17"/>
          <w:b w:val="1"/>
          <w:bCs w:val="1"/>
          <w:color w:val="auto"/>
        </w:rPr>
        <w:t xml:space="preserve"> </w:t>
      </w:r>
      <w:r>
        <w:rPr>
          <w:rFonts w:ascii="Arial" w:cs="Arial" w:eastAsia="Arial" w:hAnsi="Arial"/>
          <w:sz w:val="17"/>
          <w:szCs w:val="17"/>
          <w:color w:val="auto"/>
        </w:rPr>
        <w:t>telecommunications industry while serving in leadership positions at a number of companies in the sector, developing deep knowledge of customer preferences, distribution channels and industry segments, including in his most recent position at Altice, where he held responsibility for full P&amp;L and operations, as well as oversight of all functional areas.</w:t>
      </w:r>
    </w:p>
    <w:p>
      <w:pPr>
        <w:spacing w:after="0" w:line="60" w:lineRule="exact"/>
        <w:rPr>
          <w:rFonts w:ascii="Arial" w:cs="Arial" w:eastAsia="Arial" w:hAnsi="Arial"/>
          <w:sz w:val="17"/>
          <w:szCs w:val="17"/>
          <w:b w:val="1"/>
          <w:bCs w:val="1"/>
          <w:color w:val="520B90"/>
        </w:rPr>
      </w:pPr>
    </w:p>
    <w:p>
      <w:pPr>
        <w:ind w:left="400" w:hanging="159"/>
        <w:spacing w:after="0" w:line="249" w:lineRule="auto"/>
        <w:tabs>
          <w:tab w:leader="none" w:pos="392" w:val="left"/>
        </w:tabs>
        <w:numPr>
          <w:ilvl w:val="0"/>
          <w:numId w:val="67"/>
        </w:numPr>
        <w:rPr>
          <w:rFonts w:ascii="Arial" w:cs="Arial" w:eastAsia="Arial" w:hAnsi="Arial"/>
          <w:sz w:val="17"/>
          <w:szCs w:val="17"/>
          <w:b w:val="1"/>
          <w:bCs w:val="1"/>
          <w:color w:val="520B90"/>
        </w:rPr>
      </w:pPr>
      <w:r>
        <w:rPr>
          <w:rFonts w:ascii="Arial" w:cs="Arial" w:eastAsia="Arial" w:hAnsi="Arial"/>
          <w:sz w:val="17"/>
          <w:szCs w:val="17"/>
          <w:b w:val="1"/>
          <w:bCs w:val="1"/>
          <w:color w:val="auto"/>
        </w:rPr>
        <w:t xml:space="preserve">M&amp;A </w:t>
      </w:r>
      <w:r>
        <w:rPr>
          <w:rFonts w:ascii="Arial" w:cs="Arial" w:eastAsia="Arial" w:hAnsi="Arial"/>
          <w:sz w:val="17"/>
          <w:szCs w:val="17"/>
          <w:color w:val="auto"/>
        </w:rPr>
        <w:t>– Acquired significant expertise by playing a key role throughout his career in</w:t>
      </w:r>
      <w:r>
        <w:rPr>
          <w:rFonts w:ascii="Arial" w:cs="Arial" w:eastAsia="Arial" w:hAnsi="Arial"/>
          <w:sz w:val="17"/>
          <w:szCs w:val="17"/>
          <w:b w:val="1"/>
          <w:bCs w:val="1"/>
          <w:color w:val="auto"/>
        </w:rPr>
        <w:t xml:space="preserve"> </w:t>
      </w:r>
      <w:r>
        <w:rPr>
          <w:rFonts w:ascii="Arial" w:cs="Arial" w:eastAsia="Arial" w:hAnsi="Arial"/>
          <w:sz w:val="17"/>
          <w:szCs w:val="17"/>
          <w:color w:val="auto"/>
        </w:rPr>
        <w:t>all phases of the M&amp;A process, including executing 10 corporate acquisitions across three companies. Following the $20 billion acquisition of Cablevision by Altice, Mr. Stephens led the integration of three business-to-business organizations into one business, creating operational efficiencies by redefining the strategy for the combined company and reinvigorating the product pipeline, which delivered accelerated revenue growth. Mr. Stephens also served as advisor in 2020 to Morgan Stanley Infrastructure Partners in connection with a $3.2 billion acquisition of a fiber infrastructure company.</w:t>
      </w:r>
    </w:p>
    <w:p>
      <w:pPr>
        <w:spacing w:after="0" w:line="67" w:lineRule="exact"/>
        <w:rPr>
          <w:rFonts w:ascii="Arial" w:cs="Arial" w:eastAsia="Arial" w:hAnsi="Arial"/>
          <w:sz w:val="17"/>
          <w:szCs w:val="17"/>
          <w:b w:val="1"/>
          <w:bCs w:val="1"/>
          <w:color w:val="520B90"/>
        </w:rPr>
      </w:pPr>
    </w:p>
    <w:p>
      <w:pPr>
        <w:ind w:left="400" w:right="120" w:hanging="159"/>
        <w:spacing w:after="0" w:line="281" w:lineRule="auto"/>
        <w:tabs>
          <w:tab w:leader="none" w:pos="392" w:val="left"/>
        </w:tabs>
        <w:numPr>
          <w:ilvl w:val="0"/>
          <w:numId w:val="67"/>
        </w:numPr>
        <w:rPr>
          <w:rFonts w:ascii="Arial" w:cs="Arial" w:eastAsia="Arial" w:hAnsi="Arial"/>
          <w:sz w:val="16"/>
          <w:szCs w:val="16"/>
          <w:b w:val="1"/>
          <w:bCs w:val="1"/>
          <w:color w:val="520B90"/>
        </w:rPr>
      </w:pPr>
      <w:r>
        <w:rPr>
          <w:rFonts w:ascii="Arial" w:cs="Arial" w:eastAsia="Arial" w:hAnsi="Arial"/>
          <w:sz w:val="16"/>
          <w:szCs w:val="16"/>
          <w:b w:val="1"/>
          <w:bCs w:val="1"/>
          <w:color w:val="auto"/>
        </w:rPr>
        <w:t xml:space="preserve">Strategic Planning/Oversight </w:t>
      </w:r>
      <w:r>
        <w:rPr>
          <w:rFonts w:ascii="Arial" w:cs="Arial" w:eastAsia="Arial" w:hAnsi="Arial"/>
          <w:sz w:val="16"/>
          <w:szCs w:val="16"/>
          <w:color w:val="auto"/>
        </w:rPr>
        <w:t>– Developed a strong track record of designing and</w:t>
      </w:r>
      <w:r>
        <w:rPr>
          <w:rFonts w:ascii="Arial" w:cs="Arial" w:eastAsia="Arial" w:hAnsi="Arial"/>
          <w:sz w:val="16"/>
          <w:szCs w:val="16"/>
          <w:b w:val="1"/>
          <w:bCs w:val="1"/>
          <w:color w:val="auto"/>
        </w:rPr>
        <w:t xml:space="preserve"> </w:t>
      </w:r>
      <w:r>
        <w:rPr>
          <w:rFonts w:ascii="Arial" w:cs="Arial" w:eastAsia="Arial" w:hAnsi="Arial"/>
          <w:sz w:val="16"/>
          <w:szCs w:val="16"/>
          <w:color w:val="auto"/>
        </w:rPr>
        <w:t>executing profitable enterprise expansion strategies in both start-up and Fortune 500 companies, including creating a new wholesale line of business at Suddenlink, which developed into a significant revenue contributor for the company.</w:t>
      </w:r>
    </w:p>
    <w:p>
      <w:pPr>
        <w:spacing w:after="0" w:line="38" w:lineRule="exact"/>
        <w:rPr>
          <w:rFonts w:ascii="Arial" w:cs="Arial" w:eastAsia="Arial" w:hAnsi="Arial"/>
          <w:sz w:val="16"/>
          <w:szCs w:val="16"/>
          <w:b w:val="1"/>
          <w:bCs w:val="1"/>
          <w:color w:val="520B90"/>
        </w:rPr>
      </w:pPr>
    </w:p>
    <w:p>
      <w:pPr>
        <w:ind w:left="400" w:right="140" w:hanging="159"/>
        <w:spacing w:after="0" w:line="264" w:lineRule="auto"/>
        <w:tabs>
          <w:tab w:leader="none" w:pos="392" w:val="left"/>
        </w:tabs>
        <w:numPr>
          <w:ilvl w:val="0"/>
          <w:numId w:val="67"/>
        </w:numPr>
        <w:rPr>
          <w:rFonts w:ascii="Arial" w:cs="Arial" w:eastAsia="Arial" w:hAnsi="Arial"/>
          <w:sz w:val="17"/>
          <w:szCs w:val="17"/>
          <w:b w:val="1"/>
          <w:bCs w:val="1"/>
          <w:color w:val="520B90"/>
        </w:rPr>
      </w:pPr>
      <w:r>
        <w:rPr>
          <w:rFonts w:ascii="Arial" w:cs="Arial" w:eastAsia="Arial" w:hAnsi="Arial"/>
          <w:sz w:val="17"/>
          <w:szCs w:val="17"/>
          <w:color w:val="auto"/>
        </w:rPr>
        <w:t xml:space="preserve">Mr. Stephens brings to our Board </w:t>
      </w:r>
      <w:r>
        <w:rPr>
          <w:rFonts w:ascii="Arial" w:cs="Arial" w:eastAsia="Arial" w:hAnsi="Arial"/>
          <w:sz w:val="17"/>
          <w:szCs w:val="17"/>
          <w:b w:val="1"/>
          <w:bCs w:val="1"/>
          <w:color w:val="auto"/>
        </w:rPr>
        <w:t>operations</w:t>
      </w:r>
      <w:r>
        <w:rPr>
          <w:rFonts w:ascii="Arial" w:cs="Arial" w:eastAsia="Arial" w:hAnsi="Arial"/>
          <w:sz w:val="17"/>
          <w:szCs w:val="17"/>
          <w:color w:val="auto"/>
        </w:rPr>
        <w:t xml:space="preserve">, </w:t>
      </w:r>
      <w:r>
        <w:rPr>
          <w:rFonts w:ascii="Arial" w:cs="Arial" w:eastAsia="Arial" w:hAnsi="Arial"/>
          <w:sz w:val="17"/>
          <w:szCs w:val="17"/>
          <w:b w:val="1"/>
          <w:bCs w:val="1"/>
          <w:color w:val="auto"/>
        </w:rPr>
        <w:t>financial, corporate</w:t>
      </w:r>
      <w:r>
        <w:rPr>
          <w:rFonts w:ascii="Arial" w:cs="Arial" w:eastAsia="Arial" w:hAnsi="Arial"/>
          <w:sz w:val="17"/>
          <w:szCs w:val="17"/>
          <w:color w:val="auto"/>
        </w:rPr>
        <w:t xml:space="preserve"> </w:t>
      </w:r>
      <w:r>
        <w:rPr>
          <w:rFonts w:ascii="Arial" w:cs="Arial" w:eastAsia="Arial" w:hAnsi="Arial"/>
          <w:sz w:val="17"/>
          <w:szCs w:val="17"/>
          <w:b w:val="1"/>
          <w:bCs w:val="1"/>
          <w:color w:val="auto"/>
        </w:rPr>
        <w:t>governance/ethics</w:t>
      </w:r>
      <w:r>
        <w:rPr>
          <w:rFonts w:ascii="Arial" w:cs="Arial" w:eastAsia="Arial" w:hAnsi="Arial"/>
          <w:sz w:val="17"/>
          <w:szCs w:val="17"/>
          <w:color w:val="auto"/>
        </w:rPr>
        <w:t>,</w:t>
      </w:r>
      <w:r>
        <w:rPr>
          <w:rFonts w:ascii="Arial" w:cs="Arial" w:eastAsia="Arial" w:hAnsi="Arial"/>
          <w:sz w:val="17"/>
          <w:szCs w:val="17"/>
          <w:b w:val="1"/>
          <w:bCs w:val="1"/>
          <w:color w:val="auto"/>
        </w:rPr>
        <w:t xml:space="preserve"> HR/compensation </w:t>
      </w:r>
      <w:r>
        <w:rPr>
          <w:rFonts w:ascii="Arial" w:cs="Arial" w:eastAsia="Arial" w:hAnsi="Arial"/>
          <w:sz w:val="17"/>
          <w:szCs w:val="17"/>
          <w:color w:val="auto"/>
        </w:rPr>
        <w:t>and</w:t>
      </w:r>
      <w:r>
        <w:rPr>
          <w:rFonts w:ascii="Arial" w:cs="Arial" w:eastAsia="Arial" w:hAnsi="Arial"/>
          <w:sz w:val="17"/>
          <w:szCs w:val="17"/>
          <w:b w:val="1"/>
          <w:bCs w:val="1"/>
          <w:color w:val="auto"/>
        </w:rPr>
        <w:t xml:space="preserve"> technology </w:t>
      </w:r>
      <w:r>
        <w:rPr>
          <w:rFonts w:ascii="Arial" w:cs="Arial" w:eastAsia="Arial" w:hAnsi="Arial"/>
          <w:sz w:val="17"/>
          <w:szCs w:val="17"/>
          <w:color w:val="auto"/>
        </w:rPr>
        <w:t>expertise and</w:t>
      </w:r>
      <w:r>
        <w:rPr>
          <w:rFonts w:ascii="Arial" w:cs="Arial" w:eastAsia="Arial" w:hAnsi="Arial"/>
          <w:sz w:val="17"/>
          <w:szCs w:val="17"/>
          <w:b w:val="1"/>
          <w:bCs w:val="1"/>
          <w:color w:val="auto"/>
        </w:rPr>
        <w:t xml:space="preserve"> executive </w:t>
      </w:r>
      <w:r>
        <w:rPr>
          <w:rFonts w:ascii="Arial" w:cs="Arial" w:eastAsia="Arial" w:hAnsi="Arial"/>
          <w:sz w:val="17"/>
          <w:szCs w:val="17"/>
          <w:color w:val="auto"/>
        </w:rPr>
        <w:t xml:space="preserve">and </w:t>
      </w:r>
      <w:r>
        <w:rPr>
          <w:rFonts w:ascii="Arial" w:cs="Arial" w:eastAsia="Arial" w:hAnsi="Arial"/>
          <w:sz w:val="17"/>
          <w:szCs w:val="17"/>
          <w:b w:val="1"/>
          <w:bCs w:val="1"/>
          <w:color w:val="auto"/>
        </w:rPr>
        <w:t>public company board</w:t>
      </w:r>
      <w:r>
        <w:rPr>
          <w:rFonts w:ascii="Arial" w:cs="Arial" w:eastAsia="Arial" w:hAnsi="Arial"/>
          <w:sz w:val="17"/>
          <w:szCs w:val="17"/>
          <w:color w:val="auto"/>
        </w:rPr>
        <w:t xml:space="preserve">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-2891155</wp:posOffset>
            </wp:positionH>
            <wp:positionV relativeFrom="paragraph">
              <wp:posOffset>184150</wp:posOffset>
            </wp:positionV>
            <wp:extent cx="71348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85" w:lineRule="exact"/>
        <w:rPr>
          <w:sz w:val="20"/>
          <w:szCs w:val="20"/>
          <w:color w:val="auto"/>
        </w:rPr>
      </w:pPr>
    </w:p>
    <w:p>
      <w:pPr>
        <w:sectPr>
          <w:pgSz w:w="11900" w:h="16838" w:orient="portrait"/>
          <w:cols w:equalWidth="0" w:num="2">
            <w:col w:w="4140" w:space="400"/>
            <w:col w:w="6660"/>
          </w:cols>
          <w:pgMar w:left="340" w:top="1431" w:right="359" w:bottom="1440" w:gutter="0" w:footer="0" w:header="0"/>
        </w:sectPr>
      </w:pPr>
    </w:p>
    <w:p>
      <w:pPr>
        <w:spacing w:after="0" w:line="381"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67310</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40" w:top="1431" w:right="359" w:bottom="1440" w:gutter="0" w:footer="0" w:header="0"/>
          <w:type w:val="continuous"/>
        </w:sectPr>
      </w:pPr>
    </w:p>
    <w:bookmarkStart w:id="20" w:name="page21"/>
    <w:bookmarkEnd w:id="20"/>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Matthew Thornton,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1798320" cy="20923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98320" cy="2092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w:t>
      </w:r>
      <w:r>
        <w:rPr>
          <w:rFonts w:ascii="Arial" w:cs="Arial" w:eastAsia="Arial" w:hAnsi="Arial"/>
          <w:sz w:val="17"/>
          <w:szCs w:val="17"/>
          <w:color w:val="auto"/>
        </w:rPr>
        <w:t>:</w:t>
      </w:r>
    </w:p>
    <w:p>
      <w:pPr>
        <w:spacing w:after="0" w:line="56" w:lineRule="exact"/>
        <w:rPr>
          <w:sz w:val="20"/>
          <w:szCs w:val="20"/>
          <w:color w:val="auto"/>
        </w:rPr>
      </w:pPr>
    </w:p>
    <w:p>
      <w:pPr>
        <w:ind w:left="320" w:hanging="158"/>
        <w:spacing w:after="0"/>
        <w:tabs>
          <w:tab w:leader="none" w:pos="320" w:val="left"/>
        </w:tabs>
        <w:numPr>
          <w:ilvl w:val="0"/>
          <w:numId w:val="68"/>
        </w:numPr>
        <w:rPr>
          <w:rFonts w:ascii="Arial" w:cs="Arial" w:eastAsia="Arial" w:hAnsi="Arial"/>
          <w:sz w:val="17"/>
          <w:szCs w:val="17"/>
          <w:b w:val="1"/>
          <w:bCs w:val="1"/>
          <w:color w:val="520B90"/>
        </w:rPr>
      </w:pPr>
      <w:r>
        <w:rPr>
          <w:rFonts w:ascii="Arial" w:cs="Arial" w:eastAsia="Arial" w:hAnsi="Arial"/>
          <w:sz w:val="17"/>
          <w:szCs w:val="17"/>
          <w:color w:val="auto"/>
        </w:rPr>
        <w:t>Audit</w:t>
      </w:r>
    </w:p>
    <w:p>
      <w:pPr>
        <w:spacing w:after="0" w:line="55" w:lineRule="exact"/>
        <w:rPr>
          <w:rFonts w:ascii="Arial" w:cs="Arial" w:eastAsia="Arial" w:hAnsi="Arial"/>
          <w:sz w:val="17"/>
          <w:szCs w:val="17"/>
          <w:b w:val="1"/>
          <w:bCs w:val="1"/>
          <w:color w:val="520B90"/>
        </w:rPr>
      </w:pPr>
    </w:p>
    <w:p>
      <w:pPr>
        <w:ind w:left="320" w:hanging="158"/>
        <w:spacing w:after="0"/>
        <w:tabs>
          <w:tab w:leader="none" w:pos="320" w:val="left"/>
        </w:tabs>
        <w:numPr>
          <w:ilvl w:val="0"/>
          <w:numId w:val="68"/>
        </w:numPr>
        <w:rPr>
          <w:rFonts w:ascii="Arial" w:cs="Arial" w:eastAsia="Arial" w:hAnsi="Arial"/>
          <w:sz w:val="17"/>
          <w:szCs w:val="17"/>
          <w:b w:val="1"/>
          <w:bCs w:val="1"/>
          <w:color w:val="520B90"/>
        </w:rPr>
      </w:pPr>
      <w:r>
        <w:rPr>
          <w:rFonts w:ascii="Arial" w:cs="Arial" w:eastAsia="Arial" w:hAnsi="Arial"/>
          <w:sz w:val="17"/>
          <w:szCs w:val="17"/>
          <w:color w:val="auto"/>
        </w:rPr>
        <w:t xml:space="preserve">CHC, </w:t>
      </w:r>
      <w:r>
        <w:rPr>
          <w:rFonts w:ascii="Arial" w:cs="Arial" w:eastAsia="Arial" w:hAnsi="Arial"/>
          <w:sz w:val="17"/>
          <w:szCs w:val="17"/>
          <w:b w:val="1"/>
          <w:bCs w:val="1"/>
          <w:color w:val="520B90"/>
        </w:rPr>
        <w:t>Chair</w:t>
      </w:r>
    </w:p>
    <w:p>
      <w:pPr>
        <w:spacing w:after="0" w:line="55" w:lineRule="exact"/>
        <w:rPr>
          <w:rFonts w:ascii="Arial" w:cs="Arial" w:eastAsia="Arial" w:hAnsi="Arial"/>
          <w:sz w:val="17"/>
          <w:szCs w:val="17"/>
          <w:b w:val="1"/>
          <w:bCs w:val="1"/>
          <w:color w:val="520B90"/>
        </w:rPr>
      </w:pPr>
    </w:p>
    <w:p>
      <w:pPr>
        <w:ind w:left="320" w:hanging="158"/>
        <w:spacing w:after="0"/>
        <w:tabs>
          <w:tab w:leader="none" w:pos="320" w:val="left"/>
        </w:tabs>
        <w:numPr>
          <w:ilvl w:val="0"/>
          <w:numId w:val="68"/>
        </w:numPr>
        <w:rPr>
          <w:rFonts w:ascii="Arial" w:cs="Arial" w:eastAsia="Arial" w:hAnsi="Arial"/>
          <w:sz w:val="17"/>
          <w:szCs w:val="17"/>
          <w:b w:val="1"/>
          <w:bCs w:val="1"/>
          <w:color w:val="520B90"/>
        </w:rPr>
      </w:pPr>
      <w:r>
        <w:rPr>
          <w:rFonts w:ascii="Arial" w:cs="Arial" w:eastAsia="Arial" w:hAnsi="Arial"/>
          <w:sz w:val="17"/>
          <w:szCs w:val="17"/>
          <w:color w:val="auto"/>
        </w:rPr>
        <w:t>N&amp;G</w:t>
      </w: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Public Company Directorships</w:t>
      </w:r>
      <w:r>
        <w:rPr>
          <w:rFonts w:ascii="Arial" w:cs="Arial" w:eastAsia="Arial" w:hAnsi="Arial"/>
          <w:sz w:val="17"/>
          <w:szCs w:val="17"/>
          <w:color w:val="auto"/>
        </w:rPr>
        <w:t>:</w:t>
      </w:r>
    </w:p>
    <w:p>
      <w:pPr>
        <w:spacing w:after="0" w:line="69" w:lineRule="exact"/>
        <w:rPr>
          <w:sz w:val="20"/>
          <w:szCs w:val="20"/>
          <w:color w:val="auto"/>
        </w:rPr>
      </w:pPr>
    </w:p>
    <w:p>
      <w:pPr>
        <w:ind w:left="320" w:right="80" w:hanging="158"/>
        <w:spacing w:after="0" w:line="275" w:lineRule="auto"/>
        <w:tabs>
          <w:tab w:leader="none" w:pos="312" w:val="left"/>
        </w:tabs>
        <w:numPr>
          <w:ilvl w:val="0"/>
          <w:numId w:val="69"/>
        </w:numPr>
        <w:rPr>
          <w:rFonts w:ascii="Arial" w:cs="Arial" w:eastAsia="Arial" w:hAnsi="Arial"/>
          <w:sz w:val="17"/>
          <w:szCs w:val="17"/>
          <w:b w:val="1"/>
          <w:bCs w:val="1"/>
          <w:color w:val="520B90"/>
        </w:rPr>
      </w:pPr>
      <w:r>
        <w:rPr>
          <w:rFonts w:ascii="Arial" w:cs="Arial" w:eastAsia="Arial" w:hAnsi="Arial"/>
          <w:sz w:val="17"/>
          <w:szCs w:val="17"/>
          <w:color w:val="auto"/>
        </w:rPr>
        <w:t>Sherwin Williams Company (NYSE: SHW) (since 2014)</w:t>
      </w:r>
    </w:p>
    <w:p>
      <w:pPr>
        <w:spacing w:after="0" w:line="2" w:lineRule="exact"/>
        <w:rPr>
          <w:rFonts w:ascii="Arial" w:cs="Arial" w:eastAsia="Arial" w:hAnsi="Arial"/>
          <w:sz w:val="17"/>
          <w:szCs w:val="17"/>
          <w:b w:val="1"/>
          <w:bCs w:val="1"/>
          <w:color w:val="520B90"/>
        </w:rPr>
      </w:pPr>
    </w:p>
    <w:p>
      <w:pPr>
        <w:ind w:left="320" w:hanging="158"/>
        <w:spacing w:after="0" w:line="275" w:lineRule="auto"/>
        <w:tabs>
          <w:tab w:leader="none" w:pos="312" w:val="left"/>
        </w:tabs>
        <w:numPr>
          <w:ilvl w:val="0"/>
          <w:numId w:val="69"/>
        </w:numPr>
        <w:rPr>
          <w:rFonts w:ascii="Arial" w:cs="Arial" w:eastAsia="Arial" w:hAnsi="Arial"/>
          <w:sz w:val="17"/>
          <w:szCs w:val="17"/>
          <w:b w:val="1"/>
          <w:bCs w:val="1"/>
          <w:color w:val="520B90"/>
        </w:rPr>
      </w:pPr>
      <w:r>
        <w:rPr>
          <w:rFonts w:ascii="Arial" w:cs="Arial" w:eastAsia="Arial" w:hAnsi="Arial"/>
          <w:sz w:val="17"/>
          <w:szCs w:val="17"/>
          <w:color w:val="auto"/>
        </w:rPr>
        <w:t>Trustee of registered investment companies in the Nuveen funds complex (since 2020)</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Memberships</w:t>
      </w:r>
      <w:r>
        <w:rPr>
          <w:rFonts w:ascii="Arial" w:cs="Arial" w:eastAsia="Arial" w:hAnsi="Arial"/>
          <w:sz w:val="17"/>
          <w:szCs w:val="17"/>
          <w:color w:val="auto"/>
        </w:rPr>
        <w:t>:</w:t>
      </w:r>
    </w:p>
    <w:p>
      <w:pPr>
        <w:spacing w:after="0" w:line="69" w:lineRule="exact"/>
        <w:rPr>
          <w:sz w:val="20"/>
          <w:szCs w:val="20"/>
          <w:color w:val="auto"/>
        </w:rPr>
      </w:pPr>
    </w:p>
    <w:p>
      <w:pPr>
        <w:ind w:left="320" w:hanging="158"/>
        <w:spacing w:after="0"/>
        <w:tabs>
          <w:tab w:leader="none" w:pos="320" w:val="left"/>
        </w:tabs>
        <w:numPr>
          <w:ilvl w:val="0"/>
          <w:numId w:val="70"/>
        </w:numPr>
        <w:rPr>
          <w:rFonts w:ascii="Arial" w:cs="Arial" w:eastAsia="Arial" w:hAnsi="Arial"/>
          <w:sz w:val="17"/>
          <w:szCs w:val="17"/>
          <w:b w:val="1"/>
          <w:bCs w:val="1"/>
          <w:color w:val="520B90"/>
        </w:rPr>
      </w:pPr>
      <w:r>
        <w:rPr>
          <w:rFonts w:ascii="Arial" w:cs="Arial" w:eastAsia="Arial" w:hAnsi="Arial"/>
          <w:sz w:val="17"/>
          <w:szCs w:val="17"/>
          <w:color w:val="auto"/>
        </w:rPr>
        <w:t>Member, The Executive Leadership Council</w:t>
      </w: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Education</w:t>
      </w:r>
      <w:r>
        <w:rPr>
          <w:rFonts w:ascii="Arial" w:cs="Arial" w:eastAsia="Arial" w:hAnsi="Arial"/>
          <w:sz w:val="17"/>
          <w:szCs w:val="17"/>
          <w:color w:val="auto"/>
        </w:rPr>
        <w:t>:</w:t>
      </w:r>
    </w:p>
    <w:p>
      <w:pPr>
        <w:spacing w:after="0" w:line="56" w:lineRule="exact"/>
        <w:rPr>
          <w:sz w:val="20"/>
          <w:szCs w:val="20"/>
          <w:color w:val="auto"/>
        </w:rPr>
      </w:pPr>
    </w:p>
    <w:p>
      <w:pPr>
        <w:ind w:left="320" w:hanging="158"/>
        <w:spacing w:after="0"/>
        <w:tabs>
          <w:tab w:leader="none" w:pos="320" w:val="left"/>
        </w:tabs>
        <w:numPr>
          <w:ilvl w:val="0"/>
          <w:numId w:val="71"/>
        </w:numPr>
        <w:rPr>
          <w:rFonts w:ascii="Arial" w:cs="Arial" w:eastAsia="Arial" w:hAnsi="Arial"/>
          <w:sz w:val="17"/>
          <w:szCs w:val="17"/>
          <w:b w:val="1"/>
          <w:bCs w:val="1"/>
          <w:color w:val="520B90"/>
        </w:rPr>
      </w:pPr>
      <w:r>
        <w:rPr>
          <w:rFonts w:ascii="Arial" w:cs="Arial" w:eastAsia="Arial" w:hAnsi="Arial"/>
          <w:sz w:val="17"/>
          <w:szCs w:val="17"/>
          <w:color w:val="auto"/>
        </w:rPr>
        <w:t>B.A., University of Memphis</w:t>
      </w:r>
    </w:p>
    <w:p>
      <w:pPr>
        <w:spacing w:after="0" w:line="55" w:lineRule="exact"/>
        <w:rPr>
          <w:rFonts w:ascii="Arial" w:cs="Arial" w:eastAsia="Arial" w:hAnsi="Arial"/>
          <w:sz w:val="17"/>
          <w:szCs w:val="17"/>
          <w:b w:val="1"/>
          <w:bCs w:val="1"/>
          <w:color w:val="520B90"/>
        </w:rPr>
      </w:pPr>
    </w:p>
    <w:p>
      <w:pPr>
        <w:ind w:left="320" w:hanging="158"/>
        <w:spacing w:after="0"/>
        <w:tabs>
          <w:tab w:leader="none" w:pos="320" w:val="left"/>
        </w:tabs>
        <w:numPr>
          <w:ilvl w:val="0"/>
          <w:numId w:val="71"/>
        </w:numPr>
        <w:rPr>
          <w:rFonts w:ascii="Arial" w:cs="Arial" w:eastAsia="Arial" w:hAnsi="Arial"/>
          <w:sz w:val="17"/>
          <w:szCs w:val="17"/>
          <w:b w:val="1"/>
          <w:bCs w:val="1"/>
          <w:color w:val="520B90"/>
        </w:rPr>
      </w:pPr>
      <w:r>
        <w:rPr>
          <w:rFonts w:ascii="Arial" w:cs="Arial" w:eastAsia="Arial" w:hAnsi="Arial"/>
          <w:sz w:val="17"/>
          <w:szCs w:val="17"/>
          <w:color w:val="auto"/>
        </w:rPr>
        <w:t>M.B.A., University of Tennessee, Knoxville</w:t>
      </w:r>
    </w:p>
    <w:p>
      <w:pPr>
        <w:spacing w:after="0" w:line="20" w:lineRule="exact"/>
        <w:rPr>
          <w:sz w:val="20"/>
          <w:szCs w:val="20"/>
          <w:color w:val="auto"/>
        </w:rPr>
      </w:pPr>
      <w:r>
        <w:rPr>
          <w:sz w:val="20"/>
          <w:szCs w:val="20"/>
          <w:color w:val="auto"/>
        </w:rPr>
        <w:br w:type="column"/>
      </w:r>
    </w:p>
    <w:p>
      <w:pPr>
        <w:spacing w:after="0"/>
        <w:tabs>
          <w:tab w:leader="none" w:pos="4940" w:val="left"/>
        </w:tabs>
        <w:rPr>
          <w:sz w:val="20"/>
          <w:szCs w:val="20"/>
          <w:color w:val="auto"/>
        </w:rPr>
      </w:pPr>
      <w:r>
        <w:rPr>
          <w:rFonts w:ascii="Arial" w:cs="Arial" w:eastAsia="Arial" w:hAnsi="Arial"/>
          <w:sz w:val="18"/>
          <w:szCs w:val="18"/>
          <w:b w:val="1"/>
          <w:bCs w:val="1"/>
          <w:color w:val="FFFFFF"/>
        </w:rPr>
        <w:t>Age: 67</w:t>
      </w:r>
      <w:r>
        <w:rPr>
          <w:sz w:val="20"/>
          <w:szCs w:val="20"/>
          <w:color w:val="auto"/>
        </w:rPr>
        <w:tab/>
      </w:r>
      <w:r>
        <w:rPr>
          <w:rFonts w:ascii="Arial" w:cs="Arial" w:eastAsia="Arial" w:hAnsi="Arial"/>
          <w:sz w:val="17"/>
          <w:szCs w:val="17"/>
          <w:b w:val="1"/>
          <w:bCs w:val="1"/>
          <w:color w:val="FFFFFF"/>
        </w:rPr>
        <w:t>Director Since: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-2891155</wp:posOffset>
            </wp:positionH>
            <wp:positionV relativeFrom="paragraph">
              <wp:posOffset>-127000</wp:posOffset>
            </wp:positionV>
            <wp:extent cx="7134860" cy="1593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860" cy="159385"/>
                    </a:xfrm>
                    <a:prstGeom prst="rect">
                      <a:avLst/>
                    </a:prstGeom>
                    <a:noFill/>
                  </pic:spPr>
                </pic:pic>
              </a:graphicData>
            </a:graphic>
          </wp:anchor>
        </w:drawing>
        <w:drawing>
          <wp:anchor simplePos="0" relativeHeight="251657728" behindDoc="1" locked="0" layoutInCell="0" allowOverlap="1">
            <wp:simplePos x="0" y="0"/>
            <wp:positionH relativeFrom="column">
              <wp:posOffset>-2891155</wp:posOffset>
            </wp:positionH>
            <wp:positionV relativeFrom="paragraph">
              <wp:posOffset>-160655</wp:posOffset>
            </wp:positionV>
            <wp:extent cx="71348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Experience</w:t>
      </w:r>
      <w:r>
        <w:rPr>
          <w:rFonts w:ascii="Arial" w:cs="Arial" w:eastAsia="Arial" w:hAnsi="Arial"/>
          <w:sz w:val="17"/>
          <w:szCs w:val="17"/>
          <w:color w:val="auto"/>
        </w:rPr>
        <w:t>:</w:t>
      </w:r>
    </w:p>
    <w:p>
      <w:pPr>
        <w:spacing w:after="0" w:line="96" w:lineRule="exact"/>
        <w:rPr>
          <w:sz w:val="20"/>
          <w:szCs w:val="20"/>
          <w:color w:val="auto"/>
        </w:rPr>
      </w:pPr>
    </w:p>
    <w:p>
      <w:pPr>
        <w:ind w:left="400" w:right="60" w:hanging="159"/>
        <w:spacing w:after="0" w:line="275" w:lineRule="auto"/>
        <w:tabs>
          <w:tab w:leader="none" w:pos="392" w:val="left"/>
        </w:tabs>
        <w:numPr>
          <w:ilvl w:val="0"/>
          <w:numId w:val="72"/>
        </w:numPr>
        <w:rPr>
          <w:rFonts w:ascii="Arial" w:cs="Arial" w:eastAsia="Arial" w:hAnsi="Arial"/>
          <w:sz w:val="17"/>
          <w:szCs w:val="17"/>
          <w:b w:val="1"/>
          <w:bCs w:val="1"/>
          <w:color w:val="520B90"/>
        </w:rPr>
      </w:pPr>
      <w:r>
        <w:rPr>
          <w:rFonts w:ascii="Arial" w:cs="Arial" w:eastAsia="Arial" w:hAnsi="Arial"/>
          <w:sz w:val="17"/>
          <w:szCs w:val="17"/>
          <w:b w:val="1"/>
          <w:bCs w:val="1"/>
          <w:color w:val="auto"/>
        </w:rPr>
        <w:t xml:space="preserve">FedEx Corporation </w:t>
      </w:r>
      <w:r>
        <w:rPr>
          <w:rFonts w:ascii="Arial" w:cs="Arial" w:eastAsia="Arial" w:hAnsi="Arial"/>
          <w:sz w:val="17"/>
          <w:szCs w:val="17"/>
          <w:color w:val="auto"/>
        </w:rPr>
        <w:t>(NYSE: FDX), leading transportation, ecommerce and services</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(1978 – 2019)</w:t>
      </w:r>
    </w:p>
    <w:p>
      <w:pPr>
        <w:spacing w:after="0" w:line="2" w:lineRule="exact"/>
        <w:rPr>
          <w:rFonts w:ascii="Arial" w:cs="Arial" w:eastAsia="Arial" w:hAnsi="Arial"/>
          <w:sz w:val="17"/>
          <w:szCs w:val="17"/>
          <w:b w:val="1"/>
          <w:bCs w:val="1"/>
          <w:color w:val="520B90"/>
        </w:rPr>
      </w:pPr>
    </w:p>
    <w:p>
      <w:pPr>
        <w:ind w:left="640" w:hanging="161"/>
        <w:spacing w:after="0"/>
        <w:tabs>
          <w:tab w:leader="none" w:pos="640" w:val="left"/>
        </w:tabs>
        <w:numPr>
          <w:ilvl w:val="1"/>
          <w:numId w:val="72"/>
        </w:numPr>
        <w:rPr>
          <w:rFonts w:ascii="Arial" w:cs="Arial" w:eastAsia="Arial" w:hAnsi="Arial"/>
          <w:sz w:val="17"/>
          <w:szCs w:val="17"/>
          <w:color w:val="auto"/>
        </w:rPr>
      </w:pPr>
      <w:r>
        <w:rPr>
          <w:rFonts w:ascii="Arial" w:cs="Arial" w:eastAsia="Arial" w:hAnsi="Arial"/>
          <w:sz w:val="17"/>
          <w:szCs w:val="17"/>
          <w:color w:val="auto"/>
        </w:rPr>
        <w:t>EVP and COO, FedEx Freight Corporation (2018 – 2019)</w:t>
      </w:r>
    </w:p>
    <w:p>
      <w:pPr>
        <w:spacing w:after="0" w:line="55" w:lineRule="exact"/>
        <w:rPr>
          <w:rFonts w:ascii="Arial" w:cs="Arial" w:eastAsia="Arial" w:hAnsi="Arial"/>
          <w:sz w:val="17"/>
          <w:szCs w:val="17"/>
          <w:color w:val="auto"/>
        </w:rPr>
      </w:pPr>
    </w:p>
    <w:p>
      <w:pPr>
        <w:ind w:left="640" w:right="600" w:hanging="161"/>
        <w:spacing w:after="0" w:line="275" w:lineRule="auto"/>
        <w:tabs>
          <w:tab w:leader="none" w:pos="633" w:val="left"/>
        </w:tabs>
        <w:numPr>
          <w:ilvl w:val="1"/>
          <w:numId w:val="72"/>
        </w:numPr>
        <w:rPr>
          <w:rFonts w:ascii="Arial" w:cs="Arial" w:eastAsia="Arial" w:hAnsi="Arial"/>
          <w:sz w:val="17"/>
          <w:szCs w:val="17"/>
          <w:color w:val="auto"/>
        </w:rPr>
      </w:pPr>
      <w:r>
        <w:rPr>
          <w:rFonts w:ascii="Arial" w:cs="Arial" w:eastAsia="Arial" w:hAnsi="Arial"/>
          <w:sz w:val="17"/>
          <w:szCs w:val="17"/>
          <w:color w:val="auto"/>
        </w:rPr>
        <w:t>SVP, U.S. Operations, Federal Express Corporation ("FedEx Express"), a subsidiary (2006 – 2018)</w:t>
      </w:r>
    </w:p>
    <w:p>
      <w:pPr>
        <w:spacing w:after="0" w:line="2" w:lineRule="exact"/>
        <w:rPr>
          <w:rFonts w:ascii="Arial" w:cs="Arial" w:eastAsia="Arial" w:hAnsi="Arial"/>
          <w:sz w:val="17"/>
          <w:szCs w:val="17"/>
          <w:color w:val="auto"/>
        </w:rPr>
      </w:pPr>
    </w:p>
    <w:p>
      <w:pPr>
        <w:ind w:left="640" w:hanging="161"/>
        <w:spacing w:after="0"/>
        <w:tabs>
          <w:tab w:leader="none" w:pos="640" w:val="left"/>
        </w:tabs>
        <w:numPr>
          <w:ilvl w:val="1"/>
          <w:numId w:val="72"/>
        </w:numPr>
        <w:rPr>
          <w:rFonts w:ascii="Arial" w:cs="Arial" w:eastAsia="Arial" w:hAnsi="Arial"/>
          <w:sz w:val="17"/>
          <w:szCs w:val="17"/>
          <w:color w:val="auto"/>
        </w:rPr>
      </w:pPr>
      <w:r>
        <w:rPr>
          <w:rFonts w:ascii="Arial" w:cs="Arial" w:eastAsia="Arial" w:hAnsi="Arial"/>
          <w:sz w:val="17"/>
          <w:szCs w:val="17"/>
          <w:color w:val="auto"/>
        </w:rPr>
        <w:t>SVP, Air, Ground and Freight Services, FedEx Express (2004 – 2006)</w:t>
      </w:r>
    </w:p>
    <w:p>
      <w:pPr>
        <w:spacing w:after="0" w:line="69" w:lineRule="exact"/>
        <w:rPr>
          <w:rFonts w:ascii="Arial" w:cs="Arial" w:eastAsia="Arial" w:hAnsi="Arial"/>
          <w:sz w:val="17"/>
          <w:szCs w:val="17"/>
          <w:color w:val="auto"/>
        </w:rPr>
      </w:pPr>
    </w:p>
    <w:p>
      <w:pPr>
        <w:ind w:left="640" w:hanging="161"/>
        <w:spacing w:after="0"/>
        <w:tabs>
          <w:tab w:leader="none" w:pos="640" w:val="left"/>
        </w:tabs>
        <w:numPr>
          <w:ilvl w:val="1"/>
          <w:numId w:val="72"/>
        </w:numPr>
        <w:rPr>
          <w:rFonts w:ascii="Arial" w:cs="Arial" w:eastAsia="Arial" w:hAnsi="Arial"/>
          <w:sz w:val="17"/>
          <w:szCs w:val="17"/>
          <w:color w:val="auto"/>
        </w:rPr>
      </w:pPr>
      <w:r>
        <w:rPr>
          <w:rFonts w:ascii="Arial" w:cs="Arial" w:eastAsia="Arial" w:hAnsi="Arial"/>
          <w:sz w:val="17"/>
          <w:szCs w:val="17"/>
          <w:color w:val="auto"/>
        </w:rPr>
        <w:t>VP, Regional Operations (Central Region), FedEx Express (1998 – 2004)</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Skills and Qualifications</w:t>
      </w:r>
      <w:r>
        <w:rPr>
          <w:rFonts w:ascii="Arial" w:cs="Arial" w:eastAsia="Arial" w:hAnsi="Arial"/>
          <w:sz w:val="17"/>
          <w:szCs w:val="17"/>
          <w:color w:val="auto"/>
        </w:rPr>
        <w:t>:</w:t>
      </w:r>
    </w:p>
    <w:p>
      <w:pPr>
        <w:spacing w:after="0" w:line="96" w:lineRule="exact"/>
        <w:rPr>
          <w:sz w:val="20"/>
          <w:szCs w:val="20"/>
          <w:color w:val="auto"/>
        </w:rPr>
      </w:pPr>
    </w:p>
    <w:p>
      <w:pPr>
        <w:ind w:left="400" w:right="100" w:hanging="159"/>
        <w:spacing w:after="0" w:line="252" w:lineRule="auto"/>
        <w:tabs>
          <w:tab w:leader="none" w:pos="392" w:val="left"/>
        </w:tabs>
        <w:numPr>
          <w:ilvl w:val="0"/>
          <w:numId w:val="73"/>
        </w:numPr>
        <w:rPr>
          <w:rFonts w:ascii="Arial" w:cs="Arial" w:eastAsia="Arial" w:hAnsi="Arial"/>
          <w:sz w:val="17"/>
          <w:szCs w:val="17"/>
          <w:b w:val="1"/>
          <w:bCs w:val="1"/>
          <w:color w:val="520B90"/>
        </w:rPr>
      </w:pPr>
      <w:r>
        <w:rPr>
          <w:rFonts w:ascii="Arial" w:cs="Arial" w:eastAsia="Arial" w:hAnsi="Arial"/>
          <w:sz w:val="17"/>
          <w:szCs w:val="17"/>
          <w:b w:val="1"/>
          <w:bCs w:val="1"/>
          <w:color w:val="auto"/>
        </w:rPr>
        <w:t xml:space="preserve">Operations </w:t>
      </w:r>
      <w:r>
        <w:rPr>
          <w:rFonts w:ascii="Arial" w:cs="Arial" w:eastAsia="Arial" w:hAnsi="Arial"/>
          <w:sz w:val="17"/>
          <w:szCs w:val="17"/>
          <w:color w:val="auto"/>
        </w:rPr>
        <w:t>– Gained significant strategic operations and logistics management</w:t>
      </w:r>
      <w:r>
        <w:rPr>
          <w:rFonts w:ascii="Arial" w:cs="Arial" w:eastAsia="Arial" w:hAnsi="Arial"/>
          <w:sz w:val="17"/>
          <w:szCs w:val="17"/>
          <w:b w:val="1"/>
          <w:bCs w:val="1"/>
          <w:color w:val="auto"/>
        </w:rPr>
        <w:t xml:space="preserve"> </w:t>
      </w:r>
      <w:r>
        <w:rPr>
          <w:rFonts w:ascii="Arial" w:cs="Arial" w:eastAsia="Arial" w:hAnsi="Arial"/>
          <w:sz w:val="17"/>
          <w:szCs w:val="17"/>
          <w:color w:val="auto"/>
        </w:rPr>
        <w:t>experience through his broad range of positions over a more than four-decade career at FedEx, where he was responsible for domestic and international P&amp;L and improved the operational performance of multiple business segments. In his most recent role as COO of FedEx Freight, he managed nearly 380 service centers, which included international efforts, transportation, field operations and customer service among other crucial business areas, with an annual revenue of nearly $8 billion.</w:t>
      </w:r>
    </w:p>
    <w:p>
      <w:pPr>
        <w:spacing w:after="0" w:line="52" w:lineRule="exact"/>
        <w:rPr>
          <w:rFonts w:ascii="Arial" w:cs="Arial" w:eastAsia="Arial" w:hAnsi="Arial"/>
          <w:sz w:val="17"/>
          <w:szCs w:val="17"/>
          <w:b w:val="1"/>
          <w:bCs w:val="1"/>
          <w:color w:val="520B90"/>
        </w:rPr>
      </w:pPr>
    </w:p>
    <w:p>
      <w:pPr>
        <w:ind w:left="400" w:right="100" w:hanging="159"/>
        <w:spacing w:after="0" w:line="272" w:lineRule="auto"/>
        <w:tabs>
          <w:tab w:leader="none" w:pos="392" w:val="left"/>
        </w:tabs>
        <w:numPr>
          <w:ilvl w:val="0"/>
          <w:numId w:val="73"/>
        </w:numPr>
        <w:rPr>
          <w:rFonts w:ascii="Arial" w:cs="Arial" w:eastAsia="Arial" w:hAnsi="Arial"/>
          <w:sz w:val="16"/>
          <w:szCs w:val="16"/>
          <w:b w:val="1"/>
          <w:bCs w:val="1"/>
          <w:color w:val="520B90"/>
        </w:rPr>
      </w:pPr>
      <w:r>
        <w:rPr>
          <w:rFonts w:ascii="Arial" w:cs="Arial" w:eastAsia="Arial" w:hAnsi="Arial"/>
          <w:sz w:val="16"/>
          <w:szCs w:val="16"/>
          <w:b w:val="1"/>
          <w:bCs w:val="1"/>
          <w:color w:val="auto"/>
        </w:rPr>
        <w:t xml:space="preserve">Strategic Planning/Oversight </w:t>
      </w:r>
      <w:r>
        <w:rPr>
          <w:rFonts w:ascii="Arial" w:cs="Arial" w:eastAsia="Arial" w:hAnsi="Arial"/>
          <w:sz w:val="16"/>
          <w:szCs w:val="16"/>
          <w:color w:val="auto"/>
        </w:rPr>
        <w:t>– Obtained extensive strategic planning experience</w:t>
      </w:r>
      <w:r>
        <w:rPr>
          <w:rFonts w:ascii="Arial" w:cs="Arial" w:eastAsia="Arial" w:hAnsi="Arial"/>
          <w:sz w:val="16"/>
          <w:szCs w:val="16"/>
          <w:b w:val="1"/>
          <w:bCs w:val="1"/>
          <w:color w:val="auto"/>
        </w:rPr>
        <w:t xml:space="preserve"> </w:t>
      </w:r>
      <w:r>
        <w:rPr>
          <w:rFonts w:ascii="Arial" w:cs="Arial" w:eastAsia="Arial" w:hAnsi="Arial"/>
          <w:sz w:val="16"/>
          <w:szCs w:val="16"/>
          <w:color w:val="auto"/>
        </w:rPr>
        <w:t>leading transformational growth initiatives at FedEx, including the development and implementation of an E-commerce platform to facilitate growth, improve service reliability and operational efficiency. This experience was further expanded through his service on the board of Sherwin Williams Company, where he oversaw multiple strategic acquisitions and divestitures to drive value creation opportunities.</w:t>
      </w:r>
    </w:p>
    <w:p>
      <w:pPr>
        <w:spacing w:after="0" w:line="45" w:lineRule="exact"/>
        <w:rPr>
          <w:rFonts w:ascii="Arial" w:cs="Arial" w:eastAsia="Arial" w:hAnsi="Arial"/>
          <w:sz w:val="16"/>
          <w:szCs w:val="16"/>
          <w:b w:val="1"/>
          <w:bCs w:val="1"/>
          <w:color w:val="520B90"/>
        </w:rPr>
      </w:pPr>
    </w:p>
    <w:p>
      <w:pPr>
        <w:ind w:left="400" w:right="180" w:hanging="159"/>
        <w:spacing w:after="0" w:line="253" w:lineRule="auto"/>
        <w:tabs>
          <w:tab w:leader="none" w:pos="392" w:val="left"/>
        </w:tabs>
        <w:numPr>
          <w:ilvl w:val="0"/>
          <w:numId w:val="73"/>
        </w:numPr>
        <w:rPr>
          <w:rFonts w:ascii="Arial" w:cs="Arial" w:eastAsia="Arial" w:hAnsi="Arial"/>
          <w:sz w:val="17"/>
          <w:szCs w:val="17"/>
          <w:b w:val="1"/>
          <w:bCs w:val="1"/>
          <w:color w:val="520B90"/>
        </w:rPr>
      </w:pPr>
      <w:r>
        <w:rPr>
          <w:rFonts w:ascii="Arial" w:cs="Arial" w:eastAsia="Arial" w:hAnsi="Arial"/>
          <w:sz w:val="17"/>
          <w:szCs w:val="17"/>
          <w:b w:val="1"/>
          <w:bCs w:val="1"/>
          <w:color w:val="auto"/>
        </w:rPr>
        <w:t xml:space="preserve">HR/Compensation </w:t>
      </w:r>
      <w:r>
        <w:rPr>
          <w:rFonts w:ascii="Arial" w:cs="Arial" w:eastAsia="Arial" w:hAnsi="Arial"/>
          <w:sz w:val="17"/>
          <w:szCs w:val="17"/>
          <w:color w:val="auto"/>
        </w:rPr>
        <w:t>– Acquired over his career, including in his most recent</w:t>
      </w:r>
      <w:r>
        <w:rPr>
          <w:rFonts w:ascii="Arial" w:cs="Arial" w:eastAsia="Arial" w:hAnsi="Arial"/>
          <w:sz w:val="17"/>
          <w:szCs w:val="17"/>
          <w:b w:val="1"/>
          <w:bCs w:val="1"/>
          <w:color w:val="auto"/>
        </w:rPr>
        <w:t xml:space="preserve"> </w:t>
      </w:r>
      <w:r>
        <w:rPr>
          <w:rFonts w:ascii="Arial" w:cs="Arial" w:eastAsia="Arial" w:hAnsi="Arial"/>
          <w:sz w:val="17"/>
          <w:szCs w:val="17"/>
          <w:color w:val="auto"/>
        </w:rPr>
        <w:t>positions, where he oversaw more than 45,000 employees and initiated company-wide efforts to improve network health, on time performance and operational improvements. He was able to achieve record level employee engagement ratings and productivity under his tenure, while maintaining industry-leading practices in driver and workplace safety.</w:t>
      </w:r>
    </w:p>
    <w:p>
      <w:pPr>
        <w:spacing w:after="0" w:line="60" w:lineRule="exact"/>
        <w:rPr>
          <w:rFonts w:ascii="Arial" w:cs="Arial" w:eastAsia="Arial" w:hAnsi="Arial"/>
          <w:sz w:val="17"/>
          <w:szCs w:val="17"/>
          <w:b w:val="1"/>
          <w:bCs w:val="1"/>
          <w:color w:val="520B90"/>
        </w:rPr>
      </w:pPr>
    </w:p>
    <w:p>
      <w:pPr>
        <w:ind w:left="400" w:right="40" w:hanging="159"/>
        <w:spacing w:after="0" w:line="264" w:lineRule="auto"/>
        <w:tabs>
          <w:tab w:leader="none" w:pos="392" w:val="left"/>
        </w:tabs>
        <w:numPr>
          <w:ilvl w:val="0"/>
          <w:numId w:val="73"/>
        </w:numPr>
        <w:rPr>
          <w:rFonts w:ascii="Arial" w:cs="Arial" w:eastAsia="Arial" w:hAnsi="Arial"/>
          <w:sz w:val="17"/>
          <w:szCs w:val="17"/>
          <w:b w:val="1"/>
          <w:bCs w:val="1"/>
          <w:color w:val="520B90"/>
        </w:rPr>
      </w:pPr>
      <w:r>
        <w:rPr>
          <w:rFonts w:ascii="Arial" w:cs="Arial" w:eastAsia="Arial" w:hAnsi="Arial"/>
          <w:sz w:val="17"/>
          <w:szCs w:val="17"/>
          <w:color w:val="auto"/>
        </w:rPr>
        <w:t xml:space="preserve">Mr. Thornton also brings to our Board knowledge of </w:t>
      </w:r>
      <w:r>
        <w:rPr>
          <w:rFonts w:ascii="Arial" w:cs="Arial" w:eastAsia="Arial" w:hAnsi="Arial"/>
          <w:sz w:val="17"/>
          <w:szCs w:val="17"/>
          <w:b w:val="1"/>
          <w:bCs w:val="1"/>
          <w:color w:val="auto"/>
        </w:rPr>
        <w:t>risk management</w:t>
      </w:r>
      <w:r>
        <w:rPr>
          <w:rFonts w:ascii="Arial" w:cs="Arial" w:eastAsia="Arial" w:hAnsi="Arial"/>
          <w:sz w:val="17"/>
          <w:szCs w:val="17"/>
          <w:color w:val="auto"/>
        </w:rPr>
        <w:t xml:space="preserve">, </w:t>
      </w:r>
      <w:r>
        <w:rPr>
          <w:rFonts w:ascii="Arial" w:cs="Arial" w:eastAsia="Arial" w:hAnsi="Arial"/>
          <w:sz w:val="17"/>
          <w:szCs w:val="17"/>
          <w:b w:val="1"/>
          <w:bCs w:val="1"/>
          <w:color w:val="auto"/>
        </w:rPr>
        <w:t>technology</w:t>
      </w:r>
      <w:r>
        <w:rPr>
          <w:rFonts w:ascii="Arial" w:cs="Arial" w:eastAsia="Arial" w:hAnsi="Arial"/>
          <w:sz w:val="17"/>
          <w:szCs w:val="17"/>
          <w:color w:val="auto"/>
        </w:rPr>
        <w:t xml:space="preserve"> and </w:t>
      </w:r>
      <w:r>
        <w:rPr>
          <w:rFonts w:ascii="Arial" w:cs="Arial" w:eastAsia="Arial" w:hAnsi="Arial"/>
          <w:sz w:val="17"/>
          <w:szCs w:val="17"/>
          <w:b w:val="1"/>
          <w:bCs w:val="1"/>
          <w:color w:val="auto"/>
        </w:rPr>
        <w:t>corporate governance/ethics</w:t>
      </w:r>
      <w:r>
        <w:rPr>
          <w:rFonts w:ascii="Arial" w:cs="Arial" w:eastAsia="Arial" w:hAnsi="Arial"/>
          <w:sz w:val="17"/>
          <w:szCs w:val="17"/>
          <w:color w:val="auto"/>
        </w:rPr>
        <w:t xml:space="preserve">, as well as </w:t>
      </w:r>
      <w:r>
        <w:rPr>
          <w:rFonts w:ascii="Arial" w:cs="Arial" w:eastAsia="Arial" w:hAnsi="Arial"/>
          <w:sz w:val="17"/>
          <w:szCs w:val="17"/>
          <w:b w:val="1"/>
          <w:bCs w:val="1"/>
          <w:color w:val="auto"/>
        </w:rPr>
        <w:t>financial</w:t>
      </w:r>
      <w:r>
        <w:rPr>
          <w:rFonts w:ascii="Arial" w:cs="Arial" w:eastAsia="Arial" w:hAnsi="Arial"/>
          <w:sz w:val="17"/>
          <w:szCs w:val="17"/>
          <w:color w:val="auto"/>
        </w:rPr>
        <w:t xml:space="preserve">, </w:t>
      </w:r>
      <w:r>
        <w:rPr>
          <w:rFonts w:ascii="Arial" w:cs="Arial" w:eastAsia="Arial" w:hAnsi="Arial"/>
          <w:sz w:val="17"/>
          <w:szCs w:val="17"/>
          <w:b w:val="1"/>
          <w:bCs w:val="1"/>
          <w:color w:val="auto"/>
        </w:rPr>
        <w:t>executive</w:t>
      </w:r>
      <w:r>
        <w:rPr>
          <w:rFonts w:ascii="Arial" w:cs="Arial" w:eastAsia="Arial" w:hAnsi="Arial"/>
          <w:sz w:val="17"/>
          <w:szCs w:val="17"/>
          <w:color w:val="auto"/>
        </w:rPr>
        <w:t xml:space="preserve"> and </w:t>
      </w:r>
      <w:r>
        <w:rPr>
          <w:rFonts w:ascii="Arial" w:cs="Arial" w:eastAsia="Arial" w:hAnsi="Arial"/>
          <w:sz w:val="17"/>
          <w:szCs w:val="17"/>
          <w:b w:val="1"/>
          <w:bCs w:val="1"/>
          <w:color w:val="auto"/>
        </w:rPr>
        <w:t>public</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company board </w:t>
      </w:r>
      <w:r>
        <w:rPr>
          <w:rFonts w:ascii="Arial" w:cs="Arial" w:eastAsia="Arial" w:hAnsi="Arial"/>
          <w:sz w:val="17"/>
          <w:szCs w:val="17"/>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-2891155</wp:posOffset>
            </wp:positionH>
            <wp:positionV relativeFrom="paragraph">
              <wp:posOffset>352425</wp:posOffset>
            </wp:positionV>
            <wp:extent cx="71348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650" w:lineRule="exact"/>
        <w:rPr>
          <w:sz w:val="20"/>
          <w:szCs w:val="20"/>
          <w:color w:val="auto"/>
        </w:rPr>
      </w:pPr>
    </w:p>
    <w:p>
      <w:pPr>
        <w:sectPr>
          <w:pgSz w:w="11900" w:h="16838" w:orient="portrait"/>
          <w:cols w:equalWidth="0" w:num="2">
            <w:col w:w="4020" w:space="520"/>
            <w:col w:w="6660"/>
          </w:cols>
          <w:pgMar w:left="340" w:top="1431" w:right="359" w:bottom="1440" w:gutter="0" w:footer="0" w:header="0"/>
        </w:sectPr>
      </w:pPr>
    </w:p>
    <w:p>
      <w:pPr>
        <w:spacing w:after="0" w:line="381"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67310</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40" w:top="1431" w:right="35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Board Matrix</w:t>
      </w:r>
    </w:p>
    <w:p>
      <w:pPr>
        <w:spacing w:after="0" w:line="166"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The following matrix provides information regarding the nominees for director, including certain types of knowledge, skills, experiences and attributes possessed by one or more of our directors which the Board believes are relevant to our business, industry or REIT structure. The matrix does not encompass all of the knowledge, skills, experiences or attributes of our directors, and the fact that a particular knowledge, skill, experience or attribute is not listed does not mean that a director does not possess it. In addition, the absence of a particular knowledge, skill, experience or attribute with respect to any of our directors does not mean that the director in question lacks such knowledge, skill or expertise or is unable to contribute to the decision-making process in that area and indicates instead that such director does not satisfy the Company's definition associated with such designated skill or expertise. The type and degree of knowledge, skill and experience listed below may vary among the members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-3810</wp:posOffset>
            </wp:positionV>
            <wp:extent cx="4756785" cy="60255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756785" cy="6025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ectPr>
          <w:pgSz w:w="11900" w:h="16838" w:orient="portrait"/>
          <w:cols w:equalWidth="0" w:num="1">
            <w:col w:w="11240"/>
          </w:cols>
          <w:pgMar w:left="320" w:top="1074" w:right="339"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74"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Board Leadership Structure</w:t>
      </w:r>
    </w:p>
    <w:p>
      <w:pPr>
        <w:spacing w:after="0" w:line="166"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For over 20 years, the roles of our Board Chair and CEO have been filled by two different persons. Notwithstanding the foregoing, our Corporate Governance Guidelines provide that the Board does not maintain a firm policy with respect to the separation of the offices of Board Chair and CEO. The Board believes that it is in the best interests of our stockholders for the Board to make a determination regarding the separation or combination of these roles each time it elects a new Board Chair or CEO based on the relevant facts and circumstances applicable at such time.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w:t>
      </w:r>
    </w:p>
    <w:p>
      <w:pPr>
        <w:spacing w:after="0" w:line="1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2025, the Board held 12 meetings (four regularly scheduled and eight special). In 2025, each incumbent director attended at least 75% of the aggregate of (1) the total number of meetings of the Board during the period in which he or she was a director and (2) the total number of meetings of all Board committees ("Committees") on which he or she served during the period in which he or she was a director.</w:t>
      </w:r>
    </w:p>
    <w:p>
      <w:pPr>
        <w:spacing w:after="0" w:line="12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Our Corporate Governance Guidelines provide that, while the Board understands that scheduling conflicts may arise resulting in absences, the Board strongly encourages each director to attend our annual meeting of stockholders. Each of the directors serving on the Board at the time of our 2025 Annual Meeting attended the 2025 Annual Meeting.</w:t>
      </w:r>
    </w:p>
    <w:p>
      <w:pPr>
        <w:spacing w:after="0" w:line="124"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non-management directors generally meet in executive session at each regularly scheduled meeting of the Board (typically four times per year). In addition, the Board meets at least once a year in executive session with only independent directors present. The independent Board Chair, Mr. Bartolo, presides at the executive sessions of non-management directors and of independent directors.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Time Commitments</w:t>
      </w:r>
    </w:p>
    <w:p>
      <w:pPr>
        <w:spacing w:after="0" w:line="166"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As further described under "—Board Committees—Standing Committees—Nominating and Governance Committee—Consideration of Director Nominees" below, as part of its annual review of director nominees for election, the N&amp;G Committee reviews, among other factors, the attendance and other commitments of individual directors. Under our Corporate Governance Guidelines, directors are expected to notify the Chair of the N&amp;G Committee, the Company's General Counsel and the Company's Corporate Secretary in advance of accepting (1) an invitation to serve on the board of directors of any other company and (2) if a director serves on the audit committee of three or more public companies (including our Audit Committee of the Board ("Audit Committee")), an appointment to serve on an additional audit committee of another public company's board of directors. Our Corporate Governance Guidelines further provide that, without the approval and consent of the N&amp;G Committee or the Board, a director will not serve (1) on the boards of more than four public companies (including the Company) or (2) if the director serves as a sitting CEO (or equivalent) or executive officer of a public company (including the Company), on the board of more than one public company in addition to the board of the public company for which such director serves as CEO (or equivalent) or executive officer. The N&amp;G Committee and the Board may take into account the nature of and time involved in a director's service on other boards (and committees thereof) in evaluating the suitability of individual directors and making its recommendations to the Company's stockholders. Service on boards of other companies (or committees thereof) should be consistent with the Company's conflict of interest policies.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N&amp;G Committee conducts an annual review of director commitment levels and affirms that each director complies with the levels set forth in our Corporate Governance Guidelines at such time. All directors and director nominees currently comply with the director commitment levels set forth in our Corporate Governance Guidelines.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166"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Management is primarily responsible for assessing and managing our various exposures to risk on a day-to-day basis. Our Internal Audit department serves as the primary monitoring and testing function for company-wide policies and procedures, including policies and procedures regarding our risk management strategy. Such strategy includes identifying, evaluating and addressing potential risks that may exist at the enterprise, strategic, financial, operational, compliance and reporting levels. The Board is responsible for overseeing and assessing our risk management strategy. In addition, at least annually, the Board, through its Committees, and management engage in an interactive review and evaluation of the risks that are essential and mission critical to our business</w:t>
      </w:r>
    </w:p>
    <w:p>
      <w:pPr>
        <w:spacing w:after="0" w:line="359"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391" w:right="359" w:bottom="1440" w:gutter="0" w:footer="0" w:header="0"/>
        </w:sectPr>
      </w:pPr>
    </w:p>
    <w:bookmarkStart w:id="23" w:name="page24"/>
    <w:bookmarkEnd w:id="23"/>
    <w:p>
      <w:pPr>
        <w:ind w:right="360"/>
        <w:spacing w:after="0" w:line="274" w:lineRule="auto"/>
        <w:rPr>
          <w:sz w:val="20"/>
          <w:szCs w:val="20"/>
          <w:color w:val="auto"/>
        </w:rPr>
      </w:pPr>
      <w:r>
        <w:rPr>
          <w:rFonts w:ascii="Arial" w:cs="Arial" w:eastAsia="Arial" w:hAnsi="Arial"/>
          <w:sz w:val="18"/>
          <w:szCs w:val="18"/>
          <w:color w:val="auto"/>
        </w:rPr>
        <w:t>and operations ("Mission Critical Risks"). The Board exercises these responsibilities periodically as part of its meetings and also through its Committees, each of which examines various components of risk in connection with its responsibilities.</w:t>
      </w:r>
    </w:p>
    <w:p>
      <w:pPr>
        <w:spacing w:after="0" w:line="110"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Our Vice President—Audit and Security reports to the Audit Committee and provides periodic updates (generally quarterly) to the Audit Committee with respect to the Internal Audit department's activities, including with respect to risk management matters and the audit agenda. In addition, an overall review of risk is inherent in the Board's consideration of our long-term strategies and in the transactions and other matters presented to the Board, including capital expenditures, acquisitions and divestitures and financial matters. The Board's role in risk oversight is consistent with the Board's current leadership structure, with the CEO and other members of senior management having responsibility for assessing, managing and mitigating, when appropriate, risk exposure, and the Board and its Committees providing oversight and review in connection with those efforts.</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Oversight of Cybersecurity Risk</w:t>
      </w:r>
    </w:p>
    <w:p>
      <w:pPr>
        <w:spacing w:after="0" w:line="164"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Our Chief Information Security Officer reports on a periodic basis (generally semi-annually, or more frequently, as needed) to the Audit Committee regarding cybersecurity risk exposure and cybersecurity risk management strategy. The Board also may review and assess cybersecurity risks as part of its oversight of the Company's enterprise risk management, including in connection with its review of the Company's Mission Critical Risks. For more information regarding cybersecurity matters, please refer to "Item 1C. Cybersecurity" in our 2025 Form 10-K.</w:t>
      </w:r>
    </w:p>
    <w:p>
      <w:pPr>
        <w:spacing w:after="0" w:line="359"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393" w:right="399" w:bottom="1440" w:gutter="0" w:footer="0" w:header="0"/>
        </w:sectPr>
      </w:pPr>
    </w:p>
    <w:bookmarkStart w:id="24" w:name="page25"/>
    <w:bookmarkEnd w:id="24"/>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66"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The Board has four standing Committees: Audit Committee, CHC Committee, N&amp;G Committee and Finance Committee. In December of 2023, we entered into a Cooperation Agreement, as amended, with Elliott Investment Management L.P., pursuant to which (among other things) we agreed to establish a Fiber Review Committee and a CEO Search Committee, which were each formed in January 2024. At its meeting in May of 2024, and following the appointment of Steven J. Moskowitz as the Company's President and CEO effective April 11, 2024, the Board took action to dissolve the CEO Search Committee. In connection with the departure of Mr. Moskowitz as the Company's President and CEO effective March 23, 2025, the Board reinstated the CEO Search Committee. Following the announcement by the Company in August of 2025 of the appointment of Mr. Hillabrant as the Company's President and CEO effective September 15, 2025, the Board dissolved the CEO Search Committee. The following pages summarize the responsibilities and function of each of the standing Committees and ad-hoc Committees, including the dissolved CEO Search Committee and the Fiber Review Committee, in 2025.</w:t>
      </w:r>
    </w:p>
    <w:p>
      <w:pPr>
        <w:spacing w:after="0" w:line="132" w:lineRule="exact"/>
        <w:rPr>
          <w:sz w:val="20"/>
          <w:szCs w:val="20"/>
          <w:color w:val="auto"/>
        </w:rPr>
      </w:pPr>
    </w:p>
    <w:p>
      <w:pPr>
        <w:ind w:right="420"/>
        <w:spacing w:after="0" w:line="274" w:lineRule="auto"/>
        <w:rPr>
          <w:sz w:val="20"/>
          <w:szCs w:val="20"/>
          <w:color w:val="auto"/>
        </w:rPr>
      </w:pPr>
      <w:r>
        <w:rPr>
          <w:rFonts w:ascii="Arial" w:cs="Arial" w:eastAsia="Arial" w:hAnsi="Arial"/>
          <w:sz w:val="18"/>
          <w:szCs w:val="18"/>
          <w:color w:val="auto"/>
        </w:rPr>
        <w:t>The following table shows the current chairs and members of each of the current Committees and the independence status of each Board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751840</wp:posOffset>
            </wp:positionH>
            <wp:positionV relativeFrom="paragraph">
              <wp:posOffset>80645</wp:posOffset>
            </wp:positionV>
            <wp:extent cx="5647690" cy="24288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47690" cy="2428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right="160"/>
        <w:spacing w:after="0" w:line="252" w:lineRule="auto"/>
        <w:rPr>
          <w:sz w:val="20"/>
          <w:szCs w:val="20"/>
          <w:color w:val="auto"/>
        </w:rPr>
      </w:pPr>
      <w:r>
        <w:rPr>
          <w:rFonts w:ascii="Arial" w:cs="Arial" w:eastAsia="Arial" w:hAnsi="Arial"/>
          <w:sz w:val="18"/>
          <w:szCs w:val="18"/>
          <w:color w:val="auto"/>
        </w:rPr>
        <w:t xml:space="preserve">Copies of the Committee charters of each of the Audit Committee, CHC Committee, N&amp;G Committee, Finance Committee and Fiber Review Committee can be found on our website at </w:t>
      </w:r>
      <w:r>
        <w:rPr>
          <w:rFonts w:ascii="Arial" w:cs="Arial" w:eastAsia="Arial" w:hAnsi="Arial"/>
          <w:sz w:val="18"/>
          <w:szCs w:val="18"/>
          <w:u w:val="single" w:color="auto"/>
          <w:color w:val="520B90"/>
        </w:rPr>
        <w:t>https://investor.crowncastle.com</w:t>
      </w:r>
      <w:r>
        <w:rPr>
          <w:rFonts w:ascii="Arial" w:cs="Arial" w:eastAsia="Arial" w:hAnsi="Arial"/>
          <w:sz w:val="18"/>
          <w:szCs w:val="18"/>
          <w:color w:val="auto"/>
        </w:rPr>
        <w:t>, and such information is also available in print to any stockholder who requests it through our Corporate Secretary. The information on our website, including such Committee charters, is not, and shall not be deemed to be, incorporated by reference into this Proxy Statement or any other filings with the SEC unless expressly noted in any such other filings.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Standing Committees</w:t>
      </w:r>
    </w:p>
    <w:p>
      <w:pPr>
        <w:spacing w:after="0" w:line="215" w:lineRule="exact"/>
        <w:rPr>
          <w:sz w:val="20"/>
          <w:szCs w:val="20"/>
          <w:color w:val="auto"/>
        </w:rPr>
      </w:pPr>
    </w:p>
    <w:p>
      <w:pPr>
        <w:ind w:left="300" w:hanging="254"/>
        <w:spacing w:after="0"/>
        <w:tabs>
          <w:tab w:leader="none" w:pos="300" w:val="left"/>
        </w:tabs>
        <w:numPr>
          <w:ilvl w:val="0"/>
          <w:numId w:val="74"/>
        </w:numPr>
        <w:rPr>
          <w:rFonts w:ascii="Arial" w:cs="Arial" w:eastAsia="Arial" w:hAnsi="Arial"/>
          <w:sz w:val="18"/>
          <w:szCs w:val="18"/>
          <w:b w:val="1"/>
          <w:bCs w:val="1"/>
          <w:color w:val="520B90"/>
        </w:rPr>
      </w:pPr>
      <w:r>
        <w:rPr>
          <w:rFonts w:ascii="Arial" w:cs="Arial" w:eastAsia="Arial" w:hAnsi="Arial"/>
          <w:sz w:val="18"/>
          <w:szCs w:val="18"/>
          <w:b w:val="1"/>
          <w:bCs w:val="1"/>
          <w:color w:val="auto"/>
        </w:rPr>
        <w:t>Audit Committee</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Number of Meetings in 2025</w:t>
      </w:r>
      <w:r>
        <w:rPr>
          <w:rFonts w:ascii="Arial" w:cs="Arial" w:eastAsia="Arial" w:hAnsi="Arial"/>
          <w:sz w:val="18"/>
          <w:szCs w:val="18"/>
          <w:color w:val="auto"/>
        </w:rPr>
        <w:t>: 8</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Functions and Authority</w:t>
      </w:r>
      <w:r>
        <w:rPr>
          <w:rFonts w:ascii="Arial" w:cs="Arial" w:eastAsia="Arial" w:hAnsi="Arial"/>
          <w:sz w:val="18"/>
          <w:szCs w:val="18"/>
          <w:color w:val="auto"/>
        </w:rPr>
        <w:t>:</w:t>
      </w:r>
    </w:p>
    <w:p>
      <w:pPr>
        <w:spacing w:after="0" w:line="84" w:lineRule="exact"/>
        <w:rPr>
          <w:sz w:val="20"/>
          <w:szCs w:val="20"/>
          <w:color w:val="auto"/>
        </w:rPr>
      </w:pPr>
    </w:p>
    <w:p>
      <w:pPr>
        <w:ind w:left="700" w:hanging="257"/>
        <w:spacing w:after="0"/>
        <w:tabs>
          <w:tab w:leader="none" w:pos="700" w:val="left"/>
        </w:tabs>
        <w:numPr>
          <w:ilvl w:val="0"/>
          <w:numId w:val="75"/>
        </w:numPr>
        <w:rPr>
          <w:rFonts w:ascii="Arial" w:cs="Arial" w:eastAsia="Arial" w:hAnsi="Arial"/>
          <w:sz w:val="18"/>
          <w:szCs w:val="18"/>
          <w:color w:val="520B90"/>
        </w:rPr>
      </w:pPr>
      <w:r>
        <w:rPr>
          <w:rFonts w:ascii="Arial" w:cs="Arial" w:eastAsia="Arial" w:hAnsi="Arial"/>
          <w:sz w:val="18"/>
          <w:szCs w:val="18"/>
          <w:color w:val="auto"/>
        </w:rPr>
        <w:t>providing oversight of:</w:t>
      </w:r>
    </w:p>
    <w:p>
      <w:pPr>
        <w:spacing w:after="0" w:line="97" w:lineRule="exact"/>
        <w:rPr>
          <w:rFonts w:ascii="Arial" w:cs="Arial" w:eastAsia="Arial" w:hAnsi="Arial"/>
          <w:sz w:val="18"/>
          <w:szCs w:val="18"/>
          <w:color w:val="520B90"/>
        </w:rPr>
      </w:pPr>
    </w:p>
    <w:p>
      <w:pPr>
        <w:ind w:left="1140" w:hanging="261"/>
        <w:spacing w:after="0"/>
        <w:tabs>
          <w:tab w:leader="none" w:pos="1140" w:val="left"/>
        </w:tabs>
        <w:numPr>
          <w:ilvl w:val="1"/>
          <w:numId w:val="75"/>
        </w:numPr>
        <w:rPr>
          <w:rFonts w:ascii="Arial" w:cs="Arial" w:eastAsia="Arial" w:hAnsi="Arial"/>
          <w:sz w:val="18"/>
          <w:szCs w:val="18"/>
          <w:color w:val="520B90"/>
        </w:rPr>
      </w:pPr>
      <w:r>
        <w:rPr>
          <w:rFonts w:ascii="Arial" w:cs="Arial" w:eastAsia="Arial" w:hAnsi="Arial"/>
          <w:sz w:val="18"/>
          <w:szCs w:val="18"/>
          <w:color w:val="auto"/>
        </w:rPr>
        <w:t>our financial statements and accounting practices;</w:t>
      </w:r>
    </w:p>
    <w:p>
      <w:pPr>
        <w:spacing w:after="0" w:line="97" w:lineRule="exact"/>
        <w:rPr>
          <w:rFonts w:ascii="Arial" w:cs="Arial" w:eastAsia="Arial" w:hAnsi="Arial"/>
          <w:sz w:val="18"/>
          <w:szCs w:val="18"/>
          <w:color w:val="520B90"/>
        </w:rPr>
      </w:pPr>
    </w:p>
    <w:p>
      <w:pPr>
        <w:ind w:left="1160" w:right="220" w:hanging="281"/>
        <w:spacing w:after="0" w:line="274" w:lineRule="auto"/>
        <w:tabs>
          <w:tab w:leader="none" w:pos="1140" w:val="left"/>
        </w:tabs>
        <w:numPr>
          <w:ilvl w:val="1"/>
          <w:numId w:val="75"/>
        </w:numPr>
        <w:rPr>
          <w:rFonts w:ascii="Arial" w:cs="Arial" w:eastAsia="Arial" w:hAnsi="Arial"/>
          <w:sz w:val="18"/>
          <w:szCs w:val="18"/>
          <w:color w:val="520B90"/>
        </w:rPr>
      </w:pPr>
      <w:r>
        <w:rPr>
          <w:rFonts w:ascii="Arial" w:cs="Arial" w:eastAsia="Arial" w:hAnsi="Arial"/>
          <w:sz w:val="18"/>
          <w:szCs w:val="18"/>
          <w:color w:val="auto"/>
        </w:rPr>
        <w:t>the quality and integrity of the financial statements and other financial information we provide to any governmental body or the public;</w:t>
      </w:r>
    </w:p>
    <w:p>
      <w:pPr>
        <w:spacing w:after="0" w:line="30" w:lineRule="exact"/>
        <w:rPr>
          <w:rFonts w:ascii="Arial" w:cs="Arial" w:eastAsia="Arial" w:hAnsi="Arial"/>
          <w:sz w:val="18"/>
          <w:szCs w:val="18"/>
          <w:color w:val="520B90"/>
        </w:rPr>
      </w:pPr>
    </w:p>
    <w:p>
      <w:pPr>
        <w:ind w:left="1140" w:hanging="261"/>
        <w:spacing w:after="0"/>
        <w:tabs>
          <w:tab w:leader="none" w:pos="1140" w:val="left"/>
        </w:tabs>
        <w:numPr>
          <w:ilvl w:val="1"/>
          <w:numId w:val="75"/>
        </w:numPr>
        <w:rPr>
          <w:rFonts w:ascii="Arial" w:cs="Arial" w:eastAsia="Arial" w:hAnsi="Arial"/>
          <w:sz w:val="18"/>
          <w:szCs w:val="18"/>
          <w:color w:val="520B90"/>
        </w:rPr>
      </w:pPr>
      <w:r>
        <w:rPr>
          <w:rFonts w:ascii="Arial" w:cs="Arial" w:eastAsia="Arial" w:hAnsi="Arial"/>
          <w:sz w:val="18"/>
          <w:szCs w:val="18"/>
          <w:color w:val="auto"/>
        </w:rPr>
        <w:t>our compliance with legal and regulatory requirements;</w:t>
      </w:r>
    </w:p>
    <w:p>
      <w:pPr>
        <w:spacing w:after="0" w:line="97" w:lineRule="exact"/>
        <w:rPr>
          <w:rFonts w:ascii="Arial" w:cs="Arial" w:eastAsia="Arial" w:hAnsi="Arial"/>
          <w:sz w:val="18"/>
          <w:szCs w:val="18"/>
          <w:color w:val="520B90"/>
        </w:rPr>
      </w:pPr>
    </w:p>
    <w:p>
      <w:pPr>
        <w:ind w:left="1140" w:hanging="261"/>
        <w:spacing w:after="0"/>
        <w:tabs>
          <w:tab w:leader="none" w:pos="1140" w:val="left"/>
        </w:tabs>
        <w:numPr>
          <w:ilvl w:val="1"/>
          <w:numId w:val="75"/>
        </w:numPr>
        <w:rPr>
          <w:rFonts w:ascii="Arial" w:cs="Arial" w:eastAsia="Arial" w:hAnsi="Arial"/>
          <w:sz w:val="18"/>
          <w:szCs w:val="18"/>
          <w:color w:val="520B90"/>
        </w:rPr>
      </w:pPr>
      <w:r>
        <w:rPr>
          <w:rFonts w:ascii="Arial" w:cs="Arial" w:eastAsia="Arial" w:hAnsi="Arial"/>
          <w:sz w:val="18"/>
          <w:szCs w:val="18"/>
          <w:color w:val="auto"/>
        </w:rPr>
        <w:t>the qualifications and independence of our independent registered public accountants ("Auditors");</w:t>
      </w:r>
    </w:p>
    <w:p>
      <w:pPr>
        <w:spacing w:after="0" w:line="392"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ectPr>
          <w:pgSz w:w="11900" w:h="16838" w:orient="portrait"/>
          <w:cols w:equalWidth="0" w:num="1">
            <w:col w:w="11160"/>
          </w:cols>
          <w:pgMar w:left="320" w:top="1440" w:right="419" w:bottom="1440" w:gutter="0" w:footer="0" w:header="0"/>
        </w:sectPr>
      </w:pP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type w:val="continuous"/>
        </w:sectPr>
      </w:pPr>
    </w:p>
    <w:bookmarkStart w:id="25" w:name="page26"/>
    <w:bookmarkEnd w:id="25"/>
    <w:p>
      <w:pPr>
        <w:ind w:left="1140" w:hanging="261"/>
        <w:spacing w:after="0"/>
        <w:tabs>
          <w:tab w:leader="none" w:pos="1140" w:val="left"/>
        </w:tabs>
        <w:numPr>
          <w:ilvl w:val="1"/>
          <w:numId w:val="76"/>
        </w:numPr>
        <w:rPr>
          <w:rFonts w:ascii="Arial" w:cs="Arial" w:eastAsia="Arial" w:hAnsi="Arial"/>
          <w:sz w:val="18"/>
          <w:szCs w:val="18"/>
          <w:color w:val="520B90"/>
        </w:rPr>
      </w:pPr>
      <w:r>
        <w:rPr>
          <w:rFonts w:ascii="Arial" w:cs="Arial" w:eastAsia="Arial" w:hAnsi="Arial"/>
          <w:sz w:val="18"/>
          <w:szCs w:val="18"/>
          <w:color w:val="auto"/>
        </w:rPr>
        <w:t>the performance of our internal audit function and the Auditors; and</w:t>
      </w:r>
    </w:p>
    <w:p>
      <w:pPr>
        <w:spacing w:after="0" w:line="84" w:lineRule="exact"/>
        <w:rPr>
          <w:rFonts w:ascii="Arial" w:cs="Arial" w:eastAsia="Arial" w:hAnsi="Arial"/>
          <w:sz w:val="18"/>
          <w:szCs w:val="18"/>
          <w:color w:val="520B90"/>
        </w:rPr>
      </w:pPr>
    </w:p>
    <w:p>
      <w:pPr>
        <w:ind w:left="1140" w:hanging="261"/>
        <w:spacing w:after="0"/>
        <w:tabs>
          <w:tab w:leader="none" w:pos="1140" w:val="left"/>
        </w:tabs>
        <w:numPr>
          <w:ilvl w:val="1"/>
          <w:numId w:val="76"/>
        </w:numPr>
        <w:rPr>
          <w:rFonts w:ascii="Arial" w:cs="Arial" w:eastAsia="Arial" w:hAnsi="Arial"/>
          <w:sz w:val="18"/>
          <w:szCs w:val="18"/>
          <w:color w:val="520B90"/>
        </w:rPr>
      </w:pPr>
      <w:r>
        <w:rPr>
          <w:rFonts w:ascii="Arial" w:cs="Arial" w:eastAsia="Arial" w:hAnsi="Arial"/>
          <w:sz w:val="18"/>
          <w:szCs w:val="18"/>
          <w:color w:val="auto"/>
        </w:rPr>
        <w:t>our systems of internal controls regarding finance, accounting, cybersecurity, legal compliance and ethics;</w:t>
      </w:r>
    </w:p>
    <w:p>
      <w:pPr>
        <w:spacing w:after="0" w:line="97" w:lineRule="exact"/>
        <w:rPr>
          <w:rFonts w:ascii="Arial" w:cs="Arial" w:eastAsia="Arial" w:hAnsi="Arial"/>
          <w:sz w:val="18"/>
          <w:szCs w:val="18"/>
          <w:color w:val="520B90"/>
        </w:rPr>
      </w:pPr>
    </w:p>
    <w:p>
      <w:pPr>
        <w:ind w:left="640" w:right="580" w:hanging="197"/>
        <w:spacing w:after="0" w:line="274" w:lineRule="auto"/>
        <w:tabs>
          <w:tab w:leader="none" w:pos="699" w:val="left"/>
        </w:tabs>
        <w:numPr>
          <w:ilvl w:val="0"/>
          <w:numId w:val="76"/>
        </w:numPr>
        <w:rPr>
          <w:rFonts w:ascii="Arial" w:cs="Arial" w:eastAsia="Arial" w:hAnsi="Arial"/>
          <w:sz w:val="18"/>
          <w:szCs w:val="18"/>
          <w:color w:val="520B90"/>
        </w:rPr>
      </w:pPr>
      <w:r>
        <w:rPr>
          <w:rFonts w:ascii="Arial" w:cs="Arial" w:eastAsia="Arial" w:hAnsi="Arial"/>
          <w:sz w:val="18"/>
          <w:szCs w:val="18"/>
          <w:color w:val="auto"/>
        </w:rPr>
        <w:t>assisting the Board in overseeing and assessing our risk management strategy by examining risks within the Audit Committee's purview;</w:t>
      </w:r>
    </w:p>
    <w:p>
      <w:pPr>
        <w:spacing w:after="0" w:line="43" w:lineRule="exact"/>
        <w:rPr>
          <w:rFonts w:ascii="Arial" w:cs="Arial" w:eastAsia="Arial" w:hAnsi="Arial"/>
          <w:sz w:val="18"/>
          <w:szCs w:val="18"/>
          <w:color w:val="520B90"/>
        </w:rPr>
      </w:pPr>
    </w:p>
    <w:p>
      <w:pPr>
        <w:ind w:left="640" w:right="100" w:hanging="197"/>
        <w:spacing w:after="0" w:line="274" w:lineRule="auto"/>
        <w:tabs>
          <w:tab w:leader="none" w:pos="699" w:val="left"/>
        </w:tabs>
        <w:numPr>
          <w:ilvl w:val="0"/>
          <w:numId w:val="76"/>
        </w:numPr>
        <w:rPr>
          <w:rFonts w:ascii="Arial" w:cs="Arial" w:eastAsia="Arial" w:hAnsi="Arial"/>
          <w:sz w:val="18"/>
          <w:szCs w:val="18"/>
          <w:color w:val="520B90"/>
        </w:rPr>
      </w:pPr>
      <w:r>
        <w:rPr>
          <w:rFonts w:ascii="Arial" w:cs="Arial" w:eastAsia="Arial" w:hAnsi="Arial"/>
          <w:sz w:val="18"/>
          <w:szCs w:val="18"/>
          <w:color w:val="auto"/>
        </w:rPr>
        <w:t>reviewing with management the Company's significant cybersecurity and other information technology risks, controls and procedures, including internal policies, plans and processes to monitor, mitigate and remediate such risks;</w:t>
      </w:r>
    </w:p>
    <w:p>
      <w:pPr>
        <w:spacing w:after="0" w:line="30" w:lineRule="exact"/>
        <w:rPr>
          <w:rFonts w:ascii="Arial" w:cs="Arial" w:eastAsia="Arial" w:hAnsi="Arial"/>
          <w:sz w:val="18"/>
          <w:szCs w:val="18"/>
          <w:color w:val="520B90"/>
        </w:rPr>
      </w:pPr>
    </w:p>
    <w:p>
      <w:pPr>
        <w:ind w:left="700" w:hanging="257"/>
        <w:spacing w:after="0"/>
        <w:tabs>
          <w:tab w:leader="none" w:pos="700" w:val="left"/>
        </w:tabs>
        <w:numPr>
          <w:ilvl w:val="0"/>
          <w:numId w:val="76"/>
        </w:numPr>
        <w:rPr>
          <w:rFonts w:ascii="Arial" w:cs="Arial" w:eastAsia="Arial" w:hAnsi="Arial"/>
          <w:sz w:val="18"/>
          <w:szCs w:val="18"/>
          <w:color w:val="520B90"/>
        </w:rPr>
      </w:pPr>
      <w:r>
        <w:rPr>
          <w:rFonts w:ascii="Arial" w:cs="Arial" w:eastAsia="Arial" w:hAnsi="Arial"/>
          <w:sz w:val="18"/>
          <w:szCs w:val="18"/>
          <w:color w:val="auto"/>
        </w:rPr>
        <w:t>selecting and appointing the Auditors; and</w:t>
      </w:r>
    </w:p>
    <w:p>
      <w:pPr>
        <w:spacing w:after="0" w:line="97" w:lineRule="exact"/>
        <w:rPr>
          <w:rFonts w:ascii="Arial" w:cs="Arial" w:eastAsia="Arial" w:hAnsi="Arial"/>
          <w:sz w:val="18"/>
          <w:szCs w:val="18"/>
          <w:color w:val="520B90"/>
        </w:rPr>
      </w:pPr>
    </w:p>
    <w:p>
      <w:pPr>
        <w:ind w:left="700" w:hanging="257"/>
        <w:spacing w:after="0"/>
        <w:tabs>
          <w:tab w:leader="none" w:pos="700" w:val="left"/>
        </w:tabs>
        <w:numPr>
          <w:ilvl w:val="0"/>
          <w:numId w:val="76"/>
        </w:numPr>
        <w:rPr>
          <w:rFonts w:ascii="Arial" w:cs="Arial" w:eastAsia="Arial" w:hAnsi="Arial"/>
          <w:sz w:val="18"/>
          <w:szCs w:val="18"/>
          <w:color w:val="520B90"/>
        </w:rPr>
      </w:pPr>
      <w:r>
        <w:rPr>
          <w:rFonts w:ascii="Arial" w:cs="Arial" w:eastAsia="Arial" w:hAnsi="Arial"/>
          <w:sz w:val="18"/>
          <w:szCs w:val="18"/>
          <w:color w:val="auto"/>
        </w:rPr>
        <w:t>reviewing and approving audit and non-audit services to be performed by the Auditors.</w:t>
      </w:r>
    </w:p>
    <w:p>
      <w:pPr>
        <w:spacing w:after="0" w:line="164"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i w:val="1"/>
          <w:iCs w:val="1"/>
          <w:color w:val="auto"/>
        </w:rPr>
        <w:t>Audit Committee Financial Expert</w:t>
      </w:r>
      <w:r>
        <w:rPr>
          <w:rFonts w:ascii="Arial" w:cs="Arial" w:eastAsia="Arial" w:hAnsi="Arial"/>
          <w:sz w:val="18"/>
          <w:szCs w:val="18"/>
          <w:color w:val="auto"/>
        </w:rPr>
        <w:t>: The Board has determined that (1) Mses. Jones and Motlagh meet the requirements of an audit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expert pursuant to applicable SEC rules, (2) each of the current members of the Audit Committee meets the requirements of an independent director pursuant to the New York Stock Exchange ("NYSE") listing standards and (3) each of the current members of the Audit Committee is also financially literate. For information regarding each Audit Committee member's business experience, see "II. Election of Directors—Nominees for Director."</w:t>
      </w:r>
    </w:p>
    <w:p>
      <w:pPr>
        <w:spacing w:after="0" w:line="131"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color w:val="auto"/>
        </w:rPr>
        <w:t>For additional information regarding the Audit Committee, see "III. Ratification of Appointment of Independent Registered Public Accountants— Audit Committee Matters."</w:t>
      </w:r>
    </w:p>
    <w:p>
      <w:pPr>
        <w:spacing w:after="0" w:line="161" w:lineRule="exact"/>
        <w:rPr>
          <w:sz w:val="20"/>
          <w:szCs w:val="20"/>
          <w:color w:val="auto"/>
        </w:rPr>
      </w:pPr>
    </w:p>
    <w:p>
      <w:pPr>
        <w:ind w:left="300" w:hanging="254"/>
        <w:spacing w:after="0"/>
        <w:tabs>
          <w:tab w:leader="none" w:pos="300" w:val="left"/>
        </w:tabs>
        <w:numPr>
          <w:ilvl w:val="0"/>
          <w:numId w:val="77"/>
        </w:numPr>
        <w:rPr>
          <w:rFonts w:ascii="Arial" w:cs="Arial" w:eastAsia="Arial" w:hAnsi="Arial"/>
          <w:sz w:val="18"/>
          <w:szCs w:val="18"/>
          <w:b w:val="1"/>
          <w:bCs w:val="1"/>
          <w:color w:val="520B90"/>
        </w:rPr>
      </w:pPr>
      <w:r>
        <w:rPr>
          <w:rFonts w:ascii="Arial" w:cs="Arial" w:eastAsia="Arial" w:hAnsi="Arial"/>
          <w:sz w:val="18"/>
          <w:szCs w:val="18"/>
          <w:b w:val="1"/>
          <w:bCs w:val="1"/>
          <w:color w:val="auto"/>
        </w:rPr>
        <w:t>Compensation and Human Capital Committee</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Number of Meetings in 2025</w:t>
      </w:r>
      <w:r>
        <w:rPr>
          <w:rFonts w:ascii="Arial" w:cs="Arial" w:eastAsia="Arial" w:hAnsi="Arial"/>
          <w:sz w:val="18"/>
          <w:szCs w:val="18"/>
          <w:color w:val="auto"/>
        </w:rPr>
        <w:t>: 7</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Functions and Authority</w:t>
      </w:r>
      <w:r>
        <w:rPr>
          <w:rFonts w:ascii="Arial" w:cs="Arial" w:eastAsia="Arial" w:hAnsi="Arial"/>
          <w:sz w:val="18"/>
          <w:szCs w:val="18"/>
          <w:color w:val="auto"/>
        </w:rPr>
        <w:t>:</w:t>
      </w:r>
    </w:p>
    <w:p>
      <w:pPr>
        <w:spacing w:after="0" w:line="97" w:lineRule="exact"/>
        <w:rPr>
          <w:sz w:val="20"/>
          <w:szCs w:val="20"/>
          <w:color w:val="auto"/>
        </w:rPr>
      </w:pPr>
    </w:p>
    <w:p>
      <w:pPr>
        <w:ind w:left="700" w:hanging="257"/>
        <w:spacing w:after="0"/>
        <w:tabs>
          <w:tab w:leader="none" w:pos="700" w:val="left"/>
        </w:tabs>
        <w:numPr>
          <w:ilvl w:val="0"/>
          <w:numId w:val="78"/>
        </w:numPr>
        <w:rPr>
          <w:rFonts w:ascii="Arial" w:cs="Arial" w:eastAsia="Arial" w:hAnsi="Arial"/>
          <w:sz w:val="18"/>
          <w:szCs w:val="18"/>
          <w:color w:val="520B90"/>
        </w:rPr>
      </w:pPr>
      <w:r>
        <w:rPr>
          <w:rFonts w:ascii="Arial" w:cs="Arial" w:eastAsia="Arial" w:hAnsi="Arial"/>
          <w:sz w:val="18"/>
          <w:szCs w:val="18"/>
          <w:color w:val="auto"/>
        </w:rPr>
        <w:t>assisting the Board with its responsibilities relating to compensation of our executives;</w:t>
      </w:r>
    </w:p>
    <w:p>
      <w:pPr>
        <w:spacing w:after="0" w:line="84" w:lineRule="exact"/>
        <w:rPr>
          <w:rFonts w:ascii="Arial" w:cs="Arial" w:eastAsia="Arial" w:hAnsi="Arial"/>
          <w:sz w:val="18"/>
          <w:szCs w:val="18"/>
          <w:color w:val="520B90"/>
        </w:rPr>
      </w:pPr>
    </w:p>
    <w:p>
      <w:pPr>
        <w:ind w:left="640" w:right="900" w:hanging="197"/>
        <w:spacing w:after="0" w:line="274" w:lineRule="auto"/>
        <w:tabs>
          <w:tab w:leader="none" w:pos="699" w:val="left"/>
        </w:tabs>
        <w:numPr>
          <w:ilvl w:val="0"/>
          <w:numId w:val="78"/>
        </w:numPr>
        <w:rPr>
          <w:rFonts w:ascii="Arial" w:cs="Arial" w:eastAsia="Arial" w:hAnsi="Arial"/>
          <w:sz w:val="18"/>
          <w:szCs w:val="18"/>
          <w:color w:val="520B90"/>
        </w:rPr>
      </w:pPr>
      <w:r>
        <w:rPr>
          <w:rFonts w:ascii="Arial" w:cs="Arial" w:eastAsia="Arial" w:hAnsi="Arial"/>
          <w:sz w:val="18"/>
          <w:szCs w:val="18"/>
          <w:color w:val="auto"/>
        </w:rPr>
        <w:t>developing an overall executive compensation philosophy, strategy and framework consistent with corporate objectives and stockholder interests;</w:t>
      </w:r>
    </w:p>
    <w:p>
      <w:pPr>
        <w:spacing w:after="0" w:line="43" w:lineRule="exact"/>
        <w:rPr>
          <w:rFonts w:ascii="Arial" w:cs="Arial" w:eastAsia="Arial" w:hAnsi="Arial"/>
          <w:sz w:val="18"/>
          <w:szCs w:val="18"/>
          <w:color w:val="520B90"/>
        </w:rPr>
      </w:pPr>
    </w:p>
    <w:p>
      <w:pPr>
        <w:ind w:left="700" w:hanging="257"/>
        <w:spacing w:after="0"/>
        <w:tabs>
          <w:tab w:leader="none" w:pos="700" w:val="left"/>
        </w:tabs>
        <w:numPr>
          <w:ilvl w:val="0"/>
          <w:numId w:val="78"/>
        </w:numPr>
        <w:rPr>
          <w:rFonts w:ascii="Arial" w:cs="Arial" w:eastAsia="Arial" w:hAnsi="Arial"/>
          <w:sz w:val="18"/>
          <w:szCs w:val="18"/>
          <w:color w:val="520B90"/>
        </w:rPr>
      </w:pPr>
      <w:r>
        <w:rPr>
          <w:rFonts w:ascii="Arial" w:cs="Arial" w:eastAsia="Arial" w:hAnsi="Arial"/>
          <w:sz w:val="18"/>
          <w:szCs w:val="18"/>
          <w:color w:val="auto"/>
        </w:rPr>
        <w:t>designing, recommending to the Board, administering and evaluating our executive compensation plans, policies and programs;</w:t>
      </w:r>
    </w:p>
    <w:p>
      <w:pPr>
        <w:spacing w:after="0" w:line="97" w:lineRule="exact"/>
        <w:rPr>
          <w:rFonts w:ascii="Arial" w:cs="Arial" w:eastAsia="Arial" w:hAnsi="Arial"/>
          <w:sz w:val="18"/>
          <w:szCs w:val="18"/>
          <w:color w:val="520B90"/>
        </w:rPr>
      </w:pPr>
    </w:p>
    <w:p>
      <w:pPr>
        <w:ind w:left="700" w:hanging="257"/>
        <w:spacing w:after="0"/>
        <w:tabs>
          <w:tab w:leader="none" w:pos="700" w:val="left"/>
        </w:tabs>
        <w:numPr>
          <w:ilvl w:val="0"/>
          <w:numId w:val="78"/>
        </w:numPr>
        <w:rPr>
          <w:rFonts w:ascii="Arial" w:cs="Arial" w:eastAsia="Arial" w:hAnsi="Arial"/>
          <w:sz w:val="18"/>
          <w:szCs w:val="18"/>
          <w:color w:val="520B90"/>
        </w:rPr>
      </w:pPr>
      <w:r>
        <w:rPr>
          <w:rFonts w:ascii="Arial" w:cs="Arial" w:eastAsia="Arial" w:hAnsi="Arial"/>
          <w:sz w:val="18"/>
          <w:szCs w:val="18"/>
          <w:color w:val="auto"/>
        </w:rPr>
        <w:t>overseeing the administration of our incentive compensation and equity-based compensation plans;</w:t>
      </w:r>
    </w:p>
    <w:p>
      <w:pPr>
        <w:spacing w:after="0" w:line="84" w:lineRule="exact"/>
        <w:rPr>
          <w:rFonts w:ascii="Arial" w:cs="Arial" w:eastAsia="Arial" w:hAnsi="Arial"/>
          <w:sz w:val="18"/>
          <w:szCs w:val="18"/>
          <w:color w:val="520B90"/>
        </w:rPr>
      </w:pPr>
    </w:p>
    <w:p>
      <w:pPr>
        <w:ind w:left="640" w:right="480" w:hanging="197"/>
        <w:spacing w:after="0" w:line="274" w:lineRule="auto"/>
        <w:tabs>
          <w:tab w:leader="none" w:pos="699" w:val="left"/>
        </w:tabs>
        <w:numPr>
          <w:ilvl w:val="0"/>
          <w:numId w:val="78"/>
        </w:numPr>
        <w:rPr>
          <w:rFonts w:ascii="Arial" w:cs="Arial" w:eastAsia="Arial" w:hAnsi="Arial"/>
          <w:sz w:val="18"/>
          <w:szCs w:val="18"/>
          <w:color w:val="520B90"/>
        </w:rPr>
      </w:pPr>
      <w:r>
        <w:rPr>
          <w:rFonts w:ascii="Arial" w:cs="Arial" w:eastAsia="Arial" w:hAnsi="Arial"/>
          <w:sz w:val="18"/>
          <w:szCs w:val="18"/>
          <w:color w:val="auto"/>
        </w:rPr>
        <w:t>approving and recommending to the independent directors of the Board the CEO's goals and objectives, including conducting an annual evaluation of the CEO's performance considering those goals and objectives, and the compensation of the CEO;</w:t>
      </w:r>
    </w:p>
    <w:p>
      <w:pPr>
        <w:spacing w:after="0" w:line="43" w:lineRule="exact"/>
        <w:rPr>
          <w:rFonts w:ascii="Arial" w:cs="Arial" w:eastAsia="Arial" w:hAnsi="Arial"/>
          <w:sz w:val="18"/>
          <w:szCs w:val="18"/>
          <w:color w:val="520B90"/>
        </w:rPr>
      </w:pPr>
    </w:p>
    <w:p>
      <w:pPr>
        <w:ind w:left="700" w:hanging="257"/>
        <w:spacing w:after="0"/>
        <w:tabs>
          <w:tab w:leader="none" w:pos="700" w:val="left"/>
        </w:tabs>
        <w:numPr>
          <w:ilvl w:val="0"/>
          <w:numId w:val="78"/>
        </w:numPr>
        <w:rPr>
          <w:rFonts w:ascii="Arial" w:cs="Arial" w:eastAsia="Arial" w:hAnsi="Arial"/>
          <w:sz w:val="18"/>
          <w:szCs w:val="18"/>
          <w:color w:val="520B90"/>
        </w:rPr>
      </w:pPr>
      <w:r>
        <w:rPr>
          <w:rFonts w:ascii="Arial" w:cs="Arial" w:eastAsia="Arial" w:hAnsi="Arial"/>
          <w:sz w:val="18"/>
          <w:szCs w:val="18"/>
          <w:color w:val="auto"/>
        </w:rPr>
        <w:t>reviewing and approving actions relating to the compensation of the executive officers reporting to the CEO;</w:t>
      </w:r>
    </w:p>
    <w:p>
      <w:pPr>
        <w:spacing w:after="0" w:line="97" w:lineRule="exact"/>
        <w:rPr>
          <w:rFonts w:ascii="Arial" w:cs="Arial" w:eastAsia="Arial" w:hAnsi="Arial"/>
          <w:sz w:val="18"/>
          <w:szCs w:val="18"/>
          <w:color w:val="520B90"/>
        </w:rPr>
      </w:pPr>
    </w:p>
    <w:p>
      <w:pPr>
        <w:ind w:left="640" w:right="720" w:hanging="197"/>
        <w:spacing w:after="0" w:line="274" w:lineRule="auto"/>
        <w:tabs>
          <w:tab w:leader="none" w:pos="699" w:val="left"/>
        </w:tabs>
        <w:numPr>
          <w:ilvl w:val="0"/>
          <w:numId w:val="78"/>
        </w:numPr>
        <w:rPr>
          <w:rFonts w:ascii="Arial" w:cs="Arial" w:eastAsia="Arial" w:hAnsi="Arial"/>
          <w:sz w:val="18"/>
          <w:szCs w:val="18"/>
          <w:color w:val="520B90"/>
        </w:rPr>
      </w:pPr>
      <w:r>
        <w:rPr>
          <w:rFonts w:ascii="Arial" w:cs="Arial" w:eastAsia="Arial" w:hAnsi="Arial"/>
          <w:sz w:val="18"/>
          <w:szCs w:val="18"/>
          <w:color w:val="auto"/>
        </w:rPr>
        <w:t>reviewing whether our compensation plans, policies and programs are competitive and consistent with our long-term strategy, corporate values and accepted legal practices;</w:t>
      </w:r>
    </w:p>
    <w:p>
      <w:pPr>
        <w:spacing w:after="0" w:line="30" w:lineRule="exact"/>
        <w:rPr>
          <w:rFonts w:ascii="Arial" w:cs="Arial" w:eastAsia="Arial" w:hAnsi="Arial"/>
          <w:sz w:val="18"/>
          <w:szCs w:val="18"/>
          <w:color w:val="520B90"/>
        </w:rPr>
      </w:pPr>
    </w:p>
    <w:p>
      <w:pPr>
        <w:ind w:left="640" w:hanging="197"/>
        <w:spacing w:after="0" w:line="274" w:lineRule="auto"/>
        <w:tabs>
          <w:tab w:leader="none" w:pos="699" w:val="left"/>
        </w:tabs>
        <w:numPr>
          <w:ilvl w:val="0"/>
          <w:numId w:val="78"/>
        </w:numPr>
        <w:rPr>
          <w:rFonts w:ascii="Arial" w:cs="Arial" w:eastAsia="Arial" w:hAnsi="Arial"/>
          <w:sz w:val="18"/>
          <w:szCs w:val="18"/>
          <w:color w:val="520B90"/>
        </w:rPr>
      </w:pPr>
      <w:r>
        <w:rPr>
          <w:rFonts w:ascii="Arial" w:cs="Arial" w:eastAsia="Arial" w:hAnsi="Arial"/>
          <w:sz w:val="18"/>
          <w:szCs w:val="18"/>
          <w:color w:val="auto"/>
        </w:rPr>
        <w:t>reviewing, approving and making recommendations to the Board with respect to incentive compensation, equity-based plans and other compensation arrangements that require approval by the Company's stockholders;</w:t>
      </w:r>
    </w:p>
    <w:p>
      <w:pPr>
        <w:spacing w:after="0" w:line="43" w:lineRule="exact"/>
        <w:rPr>
          <w:rFonts w:ascii="Arial" w:cs="Arial" w:eastAsia="Arial" w:hAnsi="Arial"/>
          <w:sz w:val="18"/>
          <w:szCs w:val="18"/>
          <w:color w:val="520B90"/>
        </w:rPr>
      </w:pPr>
    </w:p>
    <w:p>
      <w:pPr>
        <w:ind w:left="700" w:hanging="257"/>
        <w:spacing w:after="0"/>
        <w:tabs>
          <w:tab w:leader="none" w:pos="700" w:val="left"/>
        </w:tabs>
        <w:numPr>
          <w:ilvl w:val="0"/>
          <w:numId w:val="78"/>
        </w:numPr>
        <w:rPr>
          <w:rFonts w:ascii="Arial" w:cs="Arial" w:eastAsia="Arial" w:hAnsi="Arial"/>
          <w:sz w:val="18"/>
          <w:szCs w:val="18"/>
          <w:color w:val="520B90"/>
        </w:rPr>
      </w:pPr>
      <w:r>
        <w:rPr>
          <w:rFonts w:ascii="Arial" w:cs="Arial" w:eastAsia="Arial" w:hAnsi="Arial"/>
          <w:sz w:val="18"/>
          <w:szCs w:val="18"/>
          <w:color w:val="auto"/>
        </w:rPr>
        <w:t>retaining, terminating and approving the fees of any compensation consultants to assist the CHC Committee with its duties;</w:t>
      </w:r>
    </w:p>
    <w:p>
      <w:pPr>
        <w:spacing w:after="0" w:line="97" w:lineRule="exact"/>
        <w:rPr>
          <w:rFonts w:ascii="Arial" w:cs="Arial" w:eastAsia="Arial" w:hAnsi="Arial"/>
          <w:sz w:val="18"/>
          <w:szCs w:val="18"/>
          <w:color w:val="520B90"/>
        </w:rPr>
      </w:pPr>
    </w:p>
    <w:p>
      <w:pPr>
        <w:ind w:left="640" w:right="180" w:hanging="197"/>
        <w:spacing w:after="0" w:line="274" w:lineRule="auto"/>
        <w:tabs>
          <w:tab w:leader="none" w:pos="699" w:val="left"/>
        </w:tabs>
        <w:numPr>
          <w:ilvl w:val="0"/>
          <w:numId w:val="78"/>
        </w:numPr>
        <w:rPr>
          <w:rFonts w:ascii="Arial" w:cs="Arial" w:eastAsia="Arial" w:hAnsi="Arial"/>
          <w:sz w:val="18"/>
          <w:szCs w:val="18"/>
          <w:color w:val="520B90"/>
        </w:rPr>
      </w:pPr>
      <w:r>
        <w:rPr>
          <w:rFonts w:ascii="Arial" w:cs="Arial" w:eastAsia="Arial" w:hAnsi="Arial"/>
          <w:sz w:val="18"/>
          <w:szCs w:val="18"/>
          <w:color w:val="auto"/>
        </w:rPr>
        <w:t>assisting the Board in overseeing the Company's strategies and policies for human capital development and training, talent retention and recruitment, Company culture and engagement and management (other than CEO) succession planning; and</w:t>
      </w:r>
    </w:p>
    <w:p>
      <w:pPr>
        <w:spacing w:after="0" w:line="30" w:lineRule="exact"/>
        <w:rPr>
          <w:rFonts w:ascii="Arial" w:cs="Arial" w:eastAsia="Arial" w:hAnsi="Arial"/>
          <w:sz w:val="18"/>
          <w:szCs w:val="18"/>
          <w:color w:val="520B90"/>
        </w:rPr>
      </w:pPr>
    </w:p>
    <w:p>
      <w:pPr>
        <w:ind w:left="640" w:right="600" w:hanging="197"/>
        <w:spacing w:after="0" w:line="274" w:lineRule="auto"/>
        <w:tabs>
          <w:tab w:leader="none" w:pos="699" w:val="left"/>
        </w:tabs>
        <w:numPr>
          <w:ilvl w:val="0"/>
          <w:numId w:val="78"/>
        </w:numPr>
        <w:rPr>
          <w:rFonts w:ascii="Arial" w:cs="Arial" w:eastAsia="Arial" w:hAnsi="Arial"/>
          <w:sz w:val="18"/>
          <w:szCs w:val="18"/>
          <w:color w:val="520B90"/>
        </w:rPr>
      </w:pPr>
      <w:r>
        <w:rPr>
          <w:rFonts w:ascii="Arial" w:cs="Arial" w:eastAsia="Arial" w:hAnsi="Arial"/>
          <w:sz w:val="18"/>
          <w:szCs w:val="18"/>
          <w:color w:val="auto"/>
        </w:rPr>
        <w:t>assisting the Board in overseeing and assessing our risk management strategy by examining risks within the CHC Committee's purview.</w:t>
      </w:r>
    </w:p>
    <w:p>
      <w:pPr>
        <w:spacing w:after="0" w:line="338"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327" w:right="379" w:bottom="1440" w:gutter="0" w:footer="0" w:header="0"/>
        </w:sectPr>
      </w:pPr>
    </w:p>
    <w:bookmarkStart w:id="26" w:name="page27"/>
    <w:bookmarkEnd w:id="26"/>
    <w:p>
      <w:pPr>
        <w:ind w:right="40"/>
        <w:spacing w:after="0" w:line="244" w:lineRule="auto"/>
        <w:rPr>
          <w:sz w:val="20"/>
          <w:szCs w:val="20"/>
          <w:color w:val="auto"/>
        </w:rPr>
      </w:pPr>
      <w:r>
        <w:rPr>
          <w:rFonts w:ascii="Arial" w:cs="Arial" w:eastAsia="Arial" w:hAnsi="Arial"/>
          <w:sz w:val="18"/>
          <w:szCs w:val="18"/>
          <w:color w:val="auto"/>
        </w:rPr>
        <w:t>In carrying out the above functions, the CHC Committee has the authority to form and delegate any of its authorities and responsibilities to subcommittees composed of one or more of its members as it deems appropriate and to delegate responsibility for the day-to-day management of executive compensation to the senior officers of the Company.</w:t>
      </w:r>
    </w:p>
    <w:p>
      <w:pPr>
        <w:spacing w:after="0" w:line="136"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i w:val="1"/>
          <w:iCs w:val="1"/>
          <w:color w:val="auto"/>
        </w:rPr>
        <w:t>Executive Compensation Process and Procedures</w:t>
      </w:r>
      <w:r>
        <w:rPr>
          <w:rFonts w:ascii="Arial" w:cs="Arial" w:eastAsia="Arial" w:hAnsi="Arial"/>
          <w:sz w:val="18"/>
          <w:szCs w:val="18"/>
          <w:color w:val="auto"/>
        </w:rPr>
        <w:t>: Over the course of several meetings throughout the year, the CHC Committee annually</w:t>
      </w:r>
      <w:r>
        <w:rPr>
          <w:rFonts w:ascii="Arial" w:cs="Arial" w:eastAsia="Arial" w:hAnsi="Arial"/>
          <w:sz w:val="18"/>
          <w:szCs w:val="18"/>
          <w:i w:val="1"/>
          <w:iCs w:val="1"/>
          <w:color w:val="auto"/>
        </w:rPr>
        <w:t xml:space="preserve"> </w:t>
      </w:r>
      <w:r>
        <w:rPr>
          <w:rFonts w:ascii="Arial" w:cs="Arial" w:eastAsia="Arial" w:hAnsi="Arial"/>
          <w:sz w:val="18"/>
          <w:szCs w:val="18"/>
          <w:color w:val="auto"/>
        </w:rPr>
        <w:t>reviews executive compensation, including base salary, STI compensation, LTI compensation and other benefits. In performing its duties, the CHC Committee obtains advice, as it deems necessary, from an independent compensation consultant engaged directly by the CHC Committee ("Compensation Consultant"). While the Compensation Consultant is engaged by the CHC Committee, it works with management, including members of our Human Resources department and our CEO, in developing compensation studies as directed by the CHC Committee. For 2025, FW Cook served as the Compensation Consultant. In addition, in the case of compensation decisions relating to executives other than the CEO, the CHC Committee seeks and obtains input from the CEO. The CHC Committee regularly holds executive sessions at its meetings during which management, including the CEO, is not in attendance. Additional information regarding the CHC Committee's processes and procedures for consideration and determination of executive compensation is provided below at "IV. Executive Compensation—Compensation Discussion and Analysis."</w:t>
      </w:r>
    </w:p>
    <w:p>
      <w:pPr>
        <w:spacing w:after="0" w:line="217"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i w:val="1"/>
          <w:iCs w:val="1"/>
          <w:color w:val="auto"/>
        </w:rPr>
        <w:t>Compensation Committee Interlocks and Insider Participation</w:t>
      </w:r>
      <w:r>
        <w:rPr>
          <w:rFonts w:ascii="Arial" w:cs="Arial" w:eastAsia="Arial" w:hAnsi="Arial"/>
          <w:sz w:val="18"/>
          <w:szCs w:val="18"/>
          <w:color w:val="auto"/>
        </w:rPr>
        <w:t>: None of the members of the CHC Committee during 2025, or as of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Proxy Statement, is or has been one of our officers or employees. In addition, during 2025, none of our executive officers served on the compensation committee (or board, in the absence of a compensation committee) of any company that employed any member of our CHC Committee or Board.</w:t>
      </w:r>
    </w:p>
    <w:p>
      <w:pPr>
        <w:spacing w:after="0" w:line="177" w:lineRule="exact"/>
        <w:rPr>
          <w:sz w:val="20"/>
          <w:szCs w:val="20"/>
          <w:color w:val="auto"/>
        </w:rPr>
      </w:pPr>
    </w:p>
    <w:p>
      <w:pPr>
        <w:ind w:left="300" w:hanging="254"/>
        <w:spacing w:after="0"/>
        <w:tabs>
          <w:tab w:leader="none" w:pos="300" w:val="left"/>
        </w:tabs>
        <w:numPr>
          <w:ilvl w:val="0"/>
          <w:numId w:val="79"/>
        </w:numPr>
        <w:rPr>
          <w:rFonts w:ascii="Arial" w:cs="Arial" w:eastAsia="Arial" w:hAnsi="Arial"/>
          <w:sz w:val="18"/>
          <w:szCs w:val="18"/>
          <w:b w:val="1"/>
          <w:bCs w:val="1"/>
          <w:color w:val="520B90"/>
        </w:rPr>
      </w:pPr>
      <w:r>
        <w:rPr>
          <w:rFonts w:ascii="Arial" w:cs="Arial" w:eastAsia="Arial" w:hAnsi="Arial"/>
          <w:sz w:val="18"/>
          <w:szCs w:val="18"/>
          <w:b w:val="1"/>
          <w:bCs w:val="1"/>
          <w:color w:val="auto"/>
        </w:rPr>
        <w:t>Nominating and Governance Committee</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Number of Meetings in 2025</w:t>
      </w:r>
      <w:r>
        <w:rPr>
          <w:rFonts w:ascii="Arial" w:cs="Arial" w:eastAsia="Arial" w:hAnsi="Arial"/>
          <w:sz w:val="18"/>
          <w:szCs w:val="18"/>
          <w:color w:val="auto"/>
        </w:rPr>
        <w:t>: 5</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Functions and Authority</w:t>
      </w:r>
      <w:r>
        <w:rPr>
          <w:rFonts w:ascii="Arial" w:cs="Arial" w:eastAsia="Arial" w:hAnsi="Arial"/>
          <w:sz w:val="18"/>
          <w:szCs w:val="18"/>
          <w:color w:val="auto"/>
        </w:rPr>
        <w:t>:</w:t>
      </w:r>
    </w:p>
    <w:p>
      <w:pPr>
        <w:spacing w:after="0" w:line="97" w:lineRule="exact"/>
        <w:rPr>
          <w:sz w:val="20"/>
          <w:szCs w:val="20"/>
          <w:color w:val="auto"/>
        </w:rPr>
      </w:pPr>
    </w:p>
    <w:p>
      <w:pPr>
        <w:ind w:left="640" w:right="40" w:hanging="197"/>
        <w:spacing w:after="0" w:line="274" w:lineRule="auto"/>
        <w:tabs>
          <w:tab w:leader="none" w:pos="699" w:val="left"/>
        </w:tabs>
        <w:numPr>
          <w:ilvl w:val="0"/>
          <w:numId w:val="80"/>
        </w:numPr>
        <w:rPr>
          <w:rFonts w:ascii="Arial" w:cs="Arial" w:eastAsia="Arial" w:hAnsi="Arial"/>
          <w:sz w:val="18"/>
          <w:szCs w:val="18"/>
          <w:color w:val="520B90"/>
        </w:rPr>
      </w:pPr>
      <w:r>
        <w:rPr>
          <w:rFonts w:ascii="Arial" w:cs="Arial" w:eastAsia="Arial" w:hAnsi="Arial"/>
          <w:sz w:val="18"/>
          <w:szCs w:val="18"/>
          <w:color w:val="auto"/>
        </w:rPr>
        <w:t>assisting the Board by identifying individuals qualified to become Board members and recommending director nominees for election by the stockholders or for appointment to fill vacancies;</w:t>
      </w:r>
    </w:p>
    <w:p>
      <w:pPr>
        <w:spacing w:after="0" w:line="43" w:lineRule="exact"/>
        <w:rPr>
          <w:rFonts w:ascii="Arial" w:cs="Arial" w:eastAsia="Arial" w:hAnsi="Arial"/>
          <w:sz w:val="18"/>
          <w:szCs w:val="18"/>
          <w:color w:val="520B90"/>
        </w:rPr>
      </w:pPr>
    </w:p>
    <w:p>
      <w:pPr>
        <w:ind w:left="700" w:hanging="257"/>
        <w:spacing w:after="0"/>
        <w:tabs>
          <w:tab w:leader="none" w:pos="700" w:val="left"/>
        </w:tabs>
        <w:numPr>
          <w:ilvl w:val="0"/>
          <w:numId w:val="80"/>
        </w:numPr>
        <w:rPr>
          <w:rFonts w:ascii="Arial" w:cs="Arial" w:eastAsia="Arial" w:hAnsi="Arial"/>
          <w:sz w:val="18"/>
          <w:szCs w:val="18"/>
          <w:color w:val="520B90"/>
        </w:rPr>
      </w:pPr>
      <w:r>
        <w:rPr>
          <w:rFonts w:ascii="Arial" w:cs="Arial" w:eastAsia="Arial" w:hAnsi="Arial"/>
          <w:sz w:val="18"/>
          <w:szCs w:val="18"/>
          <w:color w:val="auto"/>
        </w:rPr>
        <w:t>recommending to the Board director nominees for each Committee of the Board;</w:t>
      </w:r>
    </w:p>
    <w:p>
      <w:pPr>
        <w:spacing w:after="0" w:line="84" w:lineRule="exact"/>
        <w:rPr>
          <w:rFonts w:ascii="Arial" w:cs="Arial" w:eastAsia="Arial" w:hAnsi="Arial"/>
          <w:sz w:val="18"/>
          <w:szCs w:val="18"/>
          <w:color w:val="520B90"/>
        </w:rPr>
      </w:pPr>
    </w:p>
    <w:p>
      <w:pPr>
        <w:ind w:left="640" w:right="200" w:hanging="197"/>
        <w:spacing w:after="0" w:line="274" w:lineRule="auto"/>
        <w:tabs>
          <w:tab w:leader="none" w:pos="699" w:val="left"/>
        </w:tabs>
        <w:numPr>
          <w:ilvl w:val="0"/>
          <w:numId w:val="80"/>
        </w:numPr>
        <w:rPr>
          <w:rFonts w:ascii="Arial" w:cs="Arial" w:eastAsia="Arial" w:hAnsi="Arial"/>
          <w:sz w:val="18"/>
          <w:szCs w:val="18"/>
          <w:color w:val="520B90"/>
        </w:rPr>
      </w:pPr>
      <w:r>
        <w:rPr>
          <w:rFonts w:ascii="Arial" w:cs="Arial" w:eastAsia="Arial" w:hAnsi="Arial"/>
          <w:sz w:val="18"/>
          <w:szCs w:val="18"/>
          <w:color w:val="auto"/>
        </w:rPr>
        <w:t>advising the Board about the compensation of the non-employee directors of the Board, including the philosophy related thereto, and making recommendations with respect thereto;</w:t>
      </w:r>
    </w:p>
    <w:p>
      <w:pPr>
        <w:spacing w:after="0" w:line="43" w:lineRule="exact"/>
        <w:rPr>
          <w:rFonts w:ascii="Arial" w:cs="Arial" w:eastAsia="Arial" w:hAnsi="Arial"/>
          <w:sz w:val="18"/>
          <w:szCs w:val="18"/>
          <w:color w:val="520B90"/>
        </w:rPr>
      </w:pPr>
    </w:p>
    <w:p>
      <w:pPr>
        <w:ind w:left="700" w:hanging="257"/>
        <w:spacing w:after="0"/>
        <w:tabs>
          <w:tab w:leader="none" w:pos="700" w:val="left"/>
        </w:tabs>
        <w:numPr>
          <w:ilvl w:val="0"/>
          <w:numId w:val="80"/>
        </w:numPr>
        <w:rPr>
          <w:rFonts w:ascii="Arial" w:cs="Arial" w:eastAsia="Arial" w:hAnsi="Arial"/>
          <w:sz w:val="18"/>
          <w:szCs w:val="18"/>
          <w:color w:val="520B90"/>
        </w:rPr>
      </w:pPr>
      <w:r>
        <w:rPr>
          <w:rFonts w:ascii="Arial" w:cs="Arial" w:eastAsia="Arial" w:hAnsi="Arial"/>
          <w:sz w:val="18"/>
          <w:szCs w:val="18"/>
          <w:color w:val="auto"/>
        </w:rPr>
        <w:t>assisting the Board in overseeing the Company's sustainability strategy, goals and initiatives;</w:t>
      </w:r>
    </w:p>
    <w:p>
      <w:pPr>
        <w:spacing w:after="0" w:line="97" w:lineRule="exact"/>
        <w:rPr>
          <w:rFonts w:ascii="Arial" w:cs="Arial" w:eastAsia="Arial" w:hAnsi="Arial"/>
          <w:sz w:val="18"/>
          <w:szCs w:val="18"/>
          <w:color w:val="520B90"/>
        </w:rPr>
      </w:pPr>
    </w:p>
    <w:p>
      <w:pPr>
        <w:ind w:left="700" w:hanging="257"/>
        <w:spacing w:after="0"/>
        <w:tabs>
          <w:tab w:leader="none" w:pos="700" w:val="left"/>
        </w:tabs>
        <w:numPr>
          <w:ilvl w:val="0"/>
          <w:numId w:val="80"/>
        </w:numPr>
        <w:rPr>
          <w:rFonts w:ascii="Arial" w:cs="Arial" w:eastAsia="Arial" w:hAnsi="Arial"/>
          <w:sz w:val="18"/>
          <w:szCs w:val="18"/>
          <w:color w:val="520B90"/>
        </w:rPr>
      </w:pPr>
      <w:r>
        <w:rPr>
          <w:rFonts w:ascii="Arial" w:cs="Arial" w:eastAsia="Arial" w:hAnsi="Arial"/>
          <w:sz w:val="18"/>
          <w:szCs w:val="18"/>
          <w:color w:val="auto"/>
        </w:rPr>
        <w:t>advising the Board about appropriate composition of the Board and its Committees;</w:t>
      </w:r>
    </w:p>
    <w:p>
      <w:pPr>
        <w:spacing w:after="0" w:line="84" w:lineRule="exact"/>
        <w:rPr>
          <w:rFonts w:ascii="Arial" w:cs="Arial" w:eastAsia="Arial" w:hAnsi="Arial"/>
          <w:sz w:val="18"/>
          <w:szCs w:val="18"/>
          <w:color w:val="520B90"/>
        </w:rPr>
      </w:pPr>
    </w:p>
    <w:p>
      <w:pPr>
        <w:ind w:left="640" w:right="480" w:hanging="197"/>
        <w:spacing w:after="0" w:line="274" w:lineRule="auto"/>
        <w:tabs>
          <w:tab w:leader="none" w:pos="699" w:val="left"/>
        </w:tabs>
        <w:numPr>
          <w:ilvl w:val="0"/>
          <w:numId w:val="80"/>
        </w:numPr>
        <w:rPr>
          <w:rFonts w:ascii="Arial" w:cs="Arial" w:eastAsia="Arial" w:hAnsi="Arial"/>
          <w:sz w:val="18"/>
          <w:szCs w:val="18"/>
          <w:color w:val="520B90"/>
        </w:rPr>
      </w:pPr>
      <w:r>
        <w:rPr>
          <w:rFonts w:ascii="Arial" w:cs="Arial" w:eastAsia="Arial" w:hAnsi="Arial"/>
          <w:sz w:val="18"/>
          <w:szCs w:val="18"/>
          <w:color w:val="auto"/>
        </w:rPr>
        <w:t>advising the Board about and recommending to the Board appropriate corporate governance practices and assisting the Board in implementing those practices;</w:t>
      </w:r>
    </w:p>
    <w:p>
      <w:pPr>
        <w:spacing w:after="0" w:line="43" w:lineRule="exact"/>
        <w:rPr>
          <w:rFonts w:ascii="Arial" w:cs="Arial" w:eastAsia="Arial" w:hAnsi="Arial"/>
          <w:sz w:val="18"/>
          <w:szCs w:val="18"/>
          <w:color w:val="520B90"/>
        </w:rPr>
      </w:pPr>
    </w:p>
    <w:p>
      <w:pPr>
        <w:ind w:left="640" w:right="760" w:hanging="197"/>
        <w:spacing w:after="0" w:line="274" w:lineRule="auto"/>
        <w:tabs>
          <w:tab w:leader="none" w:pos="699" w:val="left"/>
        </w:tabs>
        <w:numPr>
          <w:ilvl w:val="0"/>
          <w:numId w:val="80"/>
        </w:numPr>
        <w:rPr>
          <w:rFonts w:ascii="Arial" w:cs="Arial" w:eastAsia="Arial" w:hAnsi="Arial"/>
          <w:sz w:val="18"/>
          <w:szCs w:val="18"/>
          <w:color w:val="520B90"/>
        </w:rPr>
      </w:pPr>
      <w:r>
        <w:rPr>
          <w:rFonts w:ascii="Arial" w:cs="Arial" w:eastAsia="Arial" w:hAnsi="Arial"/>
          <w:sz w:val="18"/>
          <w:szCs w:val="18"/>
          <w:color w:val="auto"/>
        </w:rPr>
        <w:t>developing and periodically reviewing and assessing the CEO succession plan and assisting the Board in evaluating potential successors to the CEO position;</w:t>
      </w:r>
    </w:p>
    <w:p>
      <w:pPr>
        <w:spacing w:after="0" w:line="43" w:lineRule="exact"/>
        <w:rPr>
          <w:rFonts w:ascii="Arial" w:cs="Arial" w:eastAsia="Arial" w:hAnsi="Arial"/>
          <w:sz w:val="18"/>
          <w:szCs w:val="18"/>
          <w:color w:val="520B90"/>
        </w:rPr>
      </w:pPr>
    </w:p>
    <w:p>
      <w:pPr>
        <w:ind w:left="700" w:hanging="257"/>
        <w:spacing w:after="0"/>
        <w:tabs>
          <w:tab w:leader="none" w:pos="700" w:val="left"/>
        </w:tabs>
        <w:numPr>
          <w:ilvl w:val="0"/>
          <w:numId w:val="80"/>
        </w:numPr>
        <w:rPr>
          <w:rFonts w:ascii="Arial" w:cs="Arial" w:eastAsia="Arial" w:hAnsi="Arial"/>
          <w:sz w:val="18"/>
          <w:szCs w:val="18"/>
          <w:color w:val="520B90"/>
        </w:rPr>
      </w:pPr>
      <w:r>
        <w:rPr>
          <w:rFonts w:ascii="Arial" w:cs="Arial" w:eastAsia="Arial" w:hAnsi="Arial"/>
          <w:sz w:val="18"/>
          <w:szCs w:val="18"/>
          <w:color w:val="auto"/>
        </w:rPr>
        <w:t>leading the annual evaluation of the Board and its Committees; and</w:t>
      </w:r>
    </w:p>
    <w:p>
      <w:pPr>
        <w:spacing w:after="0" w:line="84" w:lineRule="exact"/>
        <w:rPr>
          <w:rFonts w:ascii="Arial" w:cs="Arial" w:eastAsia="Arial" w:hAnsi="Arial"/>
          <w:sz w:val="18"/>
          <w:szCs w:val="18"/>
          <w:color w:val="520B90"/>
        </w:rPr>
      </w:pPr>
    </w:p>
    <w:p>
      <w:pPr>
        <w:ind w:left="640" w:right="640" w:hanging="197"/>
        <w:spacing w:after="0" w:line="274" w:lineRule="auto"/>
        <w:tabs>
          <w:tab w:leader="none" w:pos="699" w:val="left"/>
        </w:tabs>
        <w:numPr>
          <w:ilvl w:val="0"/>
          <w:numId w:val="80"/>
        </w:numPr>
        <w:rPr>
          <w:rFonts w:ascii="Arial" w:cs="Arial" w:eastAsia="Arial" w:hAnsi="Arial"/>
          <w:sz w:val="18"/>
          <w:szCs w:val="18"/>
          <w:color w:val="520B90"/>
        </w:rPr>
      </w:pPr>
      <w:r>
        <w:rPr>
          <w:rFonts w:ascii="Arial" w:cs="Arial" w:eastAsia="Arial" w:hAnsi="Arial"/>
          <w:sz w:val="18"/>
          <w:szCs w:val="18"/>
          <w:color w:val="auto"/>
        </w:rPr>
        <w:t>assisting the Board in overseeing and assessing our risk management strategy by examining risks within the N&amp;G Committee's purview.</w:t>
      </w:r>
    </w:p>
    <w:p>
      <w:pPr>
        <w:spacing w:after="0" w:line="110"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i w:val="1"/>
          <w:iCs w:val="1"/>
          <w:color w:val="auto"/>
        </w:rPr>
        <w:t xml:space="preserve">Consideration of Director Nominees: </w:t>
      </w:r>
      <w:r>
        <w:rPr>
          <w:rFonts w:ascii="Arial" w:cs="Arial" w:eastAsia="Arial" w:hAnsi="Arial"/>
          <w:sz w:val="18"/>
          <w:szCs w:val="18"/>
          <w:color w:val="auto"/>
        </w:rPr>
        <w:t>The N&amp;G Committee has the authority to recommend nominees for election as directors to the Board. In</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considering candidates for the Board, the N&amp;G Committee takes into account the entirety of each candidate's credentials and, subject to the discussion below, currently does not maintain any specific minimum qualifications that must be met by an N&amp;G Committee recommended nominee.</w:t>
      </w:r>
    </w:p>
    <w:p>
      <w:pPr>
        <w:spacing w:after="0" w:line="126"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While the N&amp;G Committee does not maintain a formal list of minimum qualifications in making its evaluation and recommendation of candidates, the N&amp;G Committee will generally consider, among other factors, whether prospective nominees are able to read and understand basic financial statements, have relevant business experience, have industry or other specialized expertise and have high moral character. In addition, the N&amp;G Committee considers issues of diversity, including with respect to experience, expertise, viewpoints and skills, in</w:t>
      </w:r>
    </w:p>
    <w:p>
      <w:pPr>
        <w:spacing w:after="0" w:line="342"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80" w:right="339" w:bottom="1440" w:gutter="0" w:footer="0" w:header="0"/>
        </w:sectPr>
      </w:pPr>
    </w:p>
    <w:bookmarkStart w:id="27" w:name="page28"/>
    <w:bookmarkEnd w:id="27"/>
    <w:p>
      <w:pPr>
        <w:spacing w:after="0" w:line="252" w:lineRule="auto"/>
        <w:rPr>
          <w:sz w:val="20"/>
          <w:szCs w:val="20"/>
          <w:color w:val="auto"/>
        </w:rPr>
      </w:pPr>
      <w:r>
        <w:rPr>
          <w:rFonts w:ascii="Arial" w:cs="Arial" w:eastAsia="Arial" w:hAnsi="Arial"/>
          <w:sz w:val="18"/>
          <w:szCs w:val="18"/>
          <w:color w:val="auto"/>
        </w:rPr>
        <w:t>connection with the director selection process. Further, the N&amp;G Committee reviews the director time commitments of director nominees and may take into account the nature of and time involved in a nominee's service on other boards (and committees thereof) in evaluating the suitability of individual directors and making its recommendations to the Company's stockholders, as further described above at "—Director Time Commitments." The N&amp;G Committee may attribute greater or lesser significance to different factors at particular times depending upon the needs of the Board, its composition or the N&amp;G Committee's perception about future issues and needs.</w:t>
      </w:r>
    </w:p>
    <w:p>
      <w:pPr>
        <w:spacing w:after="0" w:line="131"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The N&amp;G Committee may consider candidates for the Board from any reasonable source, including from a third party search firm engaged by the N&amp;G Committee or through stockholder recommendations (provided the procedures set forth below in "V. Other Matters—Stockholder Recommendation of Director Candidates" are followed). The N&amp;G Committee does not intend to alter the manner in which it evaluates candidates based on whether the candidate is recommended by a stockholder. However, in evaluating a candidate's relevant experience, the N&amp;G Committee may consider previous experience as a member of the Board.</w:t>
      </w:r>
    </w:p>
    <w:p>
      <w:pPr>
        <w:spacing w:after="0" w:line="13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N&amp;G Committee has structured the Board such that there are directors of varying tenures, with new directors and perspectives joining the Board as circumstances warrant, while retaining the institutional memory of longer-tenured directors. The N&amp;G Committee believes that longer-tenured directors, balanced with less-tenured directors, enhance the Board's oversight capabilities and its collective business acumen. The Company maintains a mandatory Board retirement policy, pursuant to which the Board will not nominate any non-employee director for election or re-election who has reached 72 years of age.</w:t>
      </w:r>
    </w:p>
    <w:p>
      <w:pPr>
        <w:spacing w:after="0" w:line="129" w:lineRule="exact"/>
        <w:rPr>
          <w:sz w:val="20"/>
          <w:szCs w:val="20"/>
          <w:color w:val="auto"/>
        </w:rPr>
      </w:pPr>
    </w:p>
    <w:p>
      <w:pPr>
        <w:ind w:left="300" w:hanging="254"/>
        <w:spacing w:after="0"/>
        <w:tabs>
          <w:tab w:leader="none" w:pos="300" w:val="left"/>
        </w:tabs>
        <w:numPr>
          <w:ilvl w:val="0"/>
          <w:numId w:val="81"/>
        </w:numPr>
        <w:rPr>
          <w:rFonts w:ascii="Arial" w:cs="Arial" w:eastAsia="Arial" w:hAnsi="Arial"/>
          <w:sz w:val="18"/>
          <w:szCs w:val="18"/>
          <w:color w:val="520B90"/>
        </w:rPr>
      </w:pPr>
      <w:r>
        <w:rPr>
          <w:rFonts w:ascii="Arial" w:cs="Arial" w:eastAsia="Arial" w:hAnsi="Arial"/>
          <w:sz w:val="18"/>
          <w:szCs w:val="18"/>
          <w:b w:val="1"/>
          <w:bCs w:val="1"/>
          <w:color w:val="auto"/>
        </w:rPr>
        <w:t>Finance Committee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Number of Meetings in 2025</w:t>
      </w:r>
      <w:r>
        <w:rPr>
          <w:rFonts w:ascii="Arial" w:cs="Arial" w:eastAsia="Arial" w:hAnsi="Arial"/>
          <w:sz w:val="18"/>
          <w:szCs w:val="18"/>
          <w:color w:val="auto"/>
        </w:rPr>
        <w:t>: 3</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Functions and Authority</w:t>
      </w:r>
      <w:r>
        <w:rPr>
          <w:rFonts w:ascii="Arial" w:cs="Arial" w:eastAsia="Arial" w:hAnsi="Arial"/>
          <w:sz w:val="18"/>
          <w:szCs w:val="18"/>
          <w:color w:val="auto"/>
        </w:rPr>
        <w:t>:</w:t>
      </w:r>
    </w:p>
    <w:p>
      <w:pPr>
        <w:spacing w:after="0" w:line="97" w:lineRule="exact"/>
        <w:rPr>
          <w:sz w:val="20"/>
          <w:szCs w:val="20"/>
          <w:color w:val="auto"/>
        </w:rPr>
      </w:pPr>
    </w:p>
    <w:p>
      <w:pPr>
        <w:ind w:left="640" w:right="180" w:hanging="197"/>
        <w:spacing w:after="0" w:line="259" w:lineRule="auto"/>
        <w:tabs>
          <w:tab w:leader="none" w:pos="699" w:val="left"/>
        </w:tabs>
        <w:numPr>
          <w:ilvl w:val="0"/>
          <w:numId w:val="82"/>
        </w:numPr>
        <w:rPr>
          <w:rFonts w:ascii="Arial" w:cs="Arial" w:eastAsia="Arial" w:hAnsi="Arial"/>
          <w:sz w:val="18"/>
          <w:szCs w:val="18"/>
          <w:color w:val="520B90"/>
        </w:rPr>
      </w:pPr>
      <w:r>
        <w:rPr>
          <w:rFonts w:ascii="Arial" w:cs="Arial" w:eastAsia="Arial" w:hAnsi="Arial"/>
          <w:sz w:val="18"/>
          <w:szCs w:val="18"/>
          <w:color w:val="auto"/>
        </w:rPr>
        <w:t>assisting the Board with oversight of the Company's investments, acquisitions and divestitures, capital and financing plans and activities, including dividends, share repurchases, debt financings and other borrowings and balance sheet and other related financial matters;</w:t>
      </w:r>
    </w:p>
    <w:p>
      <w:pPr>
        <w:spacing w:after="0" w:line="44" w:lineRule="exact"/>
        <w:rPr>
          <w:rFonts w:ascii="Arial" w:cs="Arial" w:eastAsia="Arial" w:hAnsi="Arial"/>
          <w:sz w:val="18"/>
          <w:szCs w:val="18"/>
          <w:color w:val="520B90"/>
        </w:rPr>
      </w:pPr>
    </w:p>
    <w:p>
      <w:pPr>
        <w:ind w:left="640" w:right="220" w:hanging="197"/>
        <w:spacing w:after="0" w:line="274" w:lineRule="auto"/>
        <w:tabs>
          <w:tab w:leader="none" w:pos="699" w:val="left"/>
        </w:tabs>
        <w:numPr>
          <w:ilvl w:val="0"/>
          <w:numId w:val="82"/>
        </w:numPr>
        <w:rPr>
          <w:rFonts w:ascii="Arial" w:cs="Arial" w:eastAsia="Arial" w:hAnsi="Arial"/>
          <w:sz w:val="18"/>
          <w:szCs w:val="18"/>
          <w:color w:val="520B90"/>
        </w:rPr>
      </w:pPr>
      <w:r>
        <w:rPr>
          <w:rFonts w:ascii="Arial" w:cs="Arial" w:eastAsia="Arial" w:hAnsi="Arial"/>
          <w:sz w:val="18"/>
          <w:szCs w:val="18"/>
          <w:color w:val="auto"/>
        </w:rPr>
        <w:t>periodically reviewing and reassessing implementation of, and compliance with, the investment strategies, guidelines and policies of the Company;</w:t>
      </w:r>
    </w:p>
    <w:p>
      <w:pPr>
        <w:spacing w:after="0" w:line="43" w:lineRule="exact"/>
        <w:rPr>
          <w:rFonts w:ascii="Arial" w:cs="Arial" w:eastAsia="Arial" w:hAnsi="Arial"/>
          <w:sz w:val="18"/>
          <w:szCs w:val="18"/>
          <w:color w:val="520B90"/>
        </w:rPr>
      </w:pPr>
    </w:p>
    <w:p>
      <w:pPr>
        <w:ind w:left="640" w:right="280" w:hanging="197"/>
        <w:spacing w:after="0" w:line="274" w:lineRule="auto"/>
        <w:tabs>
          <w:tab w:leader="none" w:pos="699" w:val="left"/>
        </w:tabs>
        <w:numPr>
          <w:ilvl w:val="0"/>
          <w:numId w:val="82"/>
        </w:numPr>
        <w:rPr>
          <w:rFonts w:ascii="Arial" w:cs="Arial" w:eastAsia="Arial" w:hAnsi="Arial"/>
          <w:sz w:val="18"/>
          <w:szCs w:val="18"/>
          <w:color w:val="520B90"/>
        </w:rPr>
      </w:pPr>
      <w:r>
        <w:rPr>
          <w:rFonts w:ascii="Arial" w:cs="Arial" w:eastAsia="Arial" w:hAnsi="Arial"/>
          <w:sz w:val="18"/>
          <w:szCs w:val="18"/>
          <w:color w:val="auto"/>
        </w:rPr>
        <w:t>authorizing borrowing and debt repurchases, refinancings and retirement by the Company in furtherance of the financial and capital plans and activities of the Company; and</w:t>
      </w:r>
    </w:p>
    <w:p>
      <w:pPr>
        <w:spacing w:after="0" w:line="43" w:lineRule="exact"/>
        <w:rPr>
          <w:rFonts w:ascii="Arial" w:cs="Arial" w:eastAsia="Arial" w:hAnsi="Arial"/>
          <w:sz w:val="18"/>
          <w:szCs w:val="18"/>
          <w:color w:val="520B90"/>
        </w:rPr>
      </w:pPr>
    </w:p>
    <w:p>
      <w:pPr>
        <w:ind w:left="640" w:right="120" w:hanging="197"/>
        <w:spacing w:after="0" w:line="274" w:lineRule="auto"/>
        <w:tabs>
          <w:tab w:leader="none" w:pos="699" w:val="left"/>
        </w:tabs>
        <w:numPr>
          <w:ilvl w:val="0"/>
          <w:numId w:val="82"/>
        </w:numPr>
        <w:rPr>
          <w:rFonts w:ascii="Arial" w:cs="Arial" w:eastAsia="Arial" w:hAnsi="Arial"/>
          <w:sz w:val="18"/>
          <w:szCs w:val="18"/>
          <w:color w:val="520B90"/>
        </w:rPr>
      </w:pPr>
      <w:r>
        <w:rPr>
          <w:rFonts w:ascii="Arial" w:cs="Arial" w:eastAsia="Arial" w:hAnsi="Arial"/>
          <w:sz w:val="18"/>
          <w:szCs w:val="18"/>
          <w:color w:val="auto"/>
        </w:rPr>
        <w:t>reviewing and discussing the credit and financial strength ratings of the Company and its subsidiaries, ratings strategy and the nature of dialogue with rating agencies.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Additional Committees</w:t>
      </w:r>
    </w:p>
    <w:p>
      <w:pPr>
        <w:spacing w:after="0" w:line="162" w:lineRule="exact"/>
        <w:rPr>
          <w:sz w:val="20"/>
          <w:szCs w:val="20"/>
          <w:color w:val="auto"/>
        </w:rPr>
      </w:pPr>
    </w:p>
    <w:p>
      <w:pPr>
        <w:ind w:left="300" w:hanging="254"/>
        <w:spacing w:after="0"/>
        <w:tabs>
          <w:tab w:leader="none" w:pos="300" w:val="left"/>
        </w:tabs>
        <w:numPr>
          <w:ilvl w:val="0"/>
          <w:numId w:val="83"/>
        </w:numPr>
        <w:rPr>
          <w:rFonts w:ascii="Arial" w:cs="Arial" w:eastAsia="Arial" w:hAnsi="Arial"/>
          <w:sz w:val="18"/>
          <w:szCs w:val="18"/>
          <w:color w:val="520B90"/>
        </w:rPr>
      </w:pPr>
      <w:r>
        <w:rPr>
          <w:rFonts w:ascii="Arial" w:cs="Arial" w:eastAsia="Arial" w:hAnsi="Arial"/>
          <w:sz w:val="18"/>
          <w:szCs w:val="18"/>
          <w:b w:val="1"/>
          <w:bCs w:val="1"/>
          <w:color w:val="auto"/>
        </w:rPr>
        <w:t>Fiber Review Committee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Number of Meetings in 2025</w:t>
      </w:r>
      <w:r>
        <w:rPr>
          <w:rFonts w:ascii="Arial" w:cs="Arial" w:eastAsia="Arial" w:hAnsi="Arial"/>
          <w:sz w:val="18"/>
          <w:szCs w:val="18"/>
          <w:color w:val="auto"/>
        </w:rPr>
        <w:t>: 7</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Functions and Authority</w:t>
      </w:r>
      <w:r>
        <w:rPr>
          <w:rFonts w:ascii="Arial" w:cs="Arial" w:eastAsia="Arial" w:hAnsi="Arial"/>
          <w:sz w:val="18"/>
          <w:szCs w:val="18"/>
          <w:color w:val="auto"/>
        </w:rPr>
        <w:t>:</w:t>
      </w:r>
    </w:p>
    <w:p>
      <w:pPr>
        <w:spacing w:after="0" w:line="84" w:lineRule="exact"/>
        <w:rPr>
          <w:sz w:val="20"/>
          <w:szCs w:val="20"/>
          <w:color w:val="auto"/>
        </w:rPr>
      </w:pPr>
    </w:p>
    <w:p>
      <w:pPr>
        <w:ind w:left="640" w:right="300" w:hanging="197"/>
        <w:spacing w:after="0" w:line="255" w:lineRule="auto"/>
        <w:tabs>
          <w:tab w:leader="none" w:pos="635" w:val="left"/>
        </w:tabs>
        <w:numPr>
          <w:ilvl w:val="0"/>
          <w:numId w:val="84"/>
        </w:numPr>
        <w:rPr>
          <w:rFonts w:ascii="Arial" w:cs="Arial" w:eastAsia="Arial" w:hAnsi="Arial"/>
          <w:sz w:val="18"/>
          <w:szCs w:val="18"/>
          <w:color w:val="520B90"/>
        </w:rPr>
      </w:pPr>
      <w:r>
        <w:rPr>
          <w:rFonts w:ascii="Arial" w:cs="Arial" w:eastAsia="Arial" w:hAnsi="Arial"/>
          <w:sz w:val="18"/>
          <w:szCs w:val="18"/>
          <w:color w:val="auto"/>
        </w:rPr>
        <w:t>assisting the Board by overseeing and directing the Board and management's review of the strategic and operational alternatives available to the Company with respect to the Company's fiber and small cells businesses, including but not limited to potential sale, merger, spin-off, joint-venture and financing transactions, as well as a range of operational opportunities for improved value creation ("Alternatives"); and</w:t>
      </w:r>
    </w:p>
    <w:p>
      <w:pPr>
        <w:spacing w:after="0" w:line="59" w:lineRule="exact"/>
        <w:rPr>
          <w:rFonts w:ascii="Arial" w:cs="Arial" w:eastAsia="Arial" w:hAnsi="Arial"/>
          <w:sz w:val="18"/>
          <w:szCs w:val="18"/>
          <w:color w:val="520B90"/>
        </w:rPr>
      </w:pPr>
    </w:p>
    <w:p>
      <w:pPr>
        <w:ind w:left="640" w:hanging="197"/>
        <w:spacing w:after="0"/>
        <w:tabs>
          <w:tab w:leader="none" w:pos="640" w:val="left"/>
        </w:tabs>
        <w:numPr>
          <w:ilvl w:val="0"/>
          <w:numId w:val="84"/>
        </w:numPr>
        <w:rPr>
          <w:rFonts w:ascii="Arial" w:cs="Arial" w:eastAsia="Arial" w:hAnsi="Arial"/>
          <w:sz w:val="18"/>
          <w:szCs w:val="18"/>
          <w:color w:val="520B90"/>
        </w:rPr>
      </w:pPr>
      <w:r>
        <w:rPr>
          <w:rFonts w:ascii="Arial" w:cs="Arial" w:eastAsia="Arial" w:hAnsi="Arial"/>
          <w:sz w:val="18"/>
          <w:szCs w:val="18"/>
          <w:color w:val="auto"/>
        </w:rPr>
        <w:t>providing to the Board recommendations based on the conclusions of its review of the Alternatives.</w:t>
      </w:r>
    </w:p>
    <w:p>
      <w:pPr>
        <w:spacing w:after="0" w:line="97"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Following a comprehensive strategic and operational review of the Company's small cells and fiber solutions businesses (collectively, "Fiber Business") by the Fiber Review Committee in March of 2025, the Company entered into an agreement to sell the Company's Fiber Business for $8.5 billion, subject to customary closing conditions and certain purchase price adjustments ("Strategic Fiber Transaction"). The Fiber Review Committee meets periodically to evaluate the status and developments relating to, and the progress of, the pending Strategic Fiber Transaction.</w:t>
      </w:r>
    </w:p>
    <w:p>
      <w:pPr>
        <w:spacing w:after="0" w:line="329"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393" w:right="379" w:bottom="1440" w:gutter="0" w:footer="0" w:header="0"/>
        </w:sectPr>
      </w:pPr>
    </w:p>
    <w:bookmarkStart w:id="28" w:name="page29"/>
    <w:bookmarkEnd w:id="28"/>
    <w:p>
      <w:pPr>
        <w:ind w:left="300" w:hanging="254"/>
        <w:spacing w:after="0"/>
        <w:tabs>
          <w:tab w:leader="none" w:pos="300" w:val="left"/>
        </w:tabs>
        <w:numPr>
          <w:ilvl w:val="0"/>
          <w:numId w:val="85"/>
        </w:numPr>
        <w:rPr>
          <w:rFonts w:ascii="Arial" w:cs="Arial" w:eastAsia="Arial" w:hAnsi="Arial"/>
          <w:sz w:val="18"/>
          <w:szCs w:val="18"/>
          <w:color w:val="520B90"/>
        </w:rPr>
      </w:pPr>
      <w:r>
        <w:rPr>
          <w:rFonts w:ascii="Arial" w:cs="Arial" w:eastAsia="Arial" w:hAnsi="Arial"/>
          <w:sz w:val="18"/>
          <w:szCs w:val="18"/>
          <w:b w:val="1"/>
          <w:bCs w:val="1"/>
          <w:color w:val="auto"/>
        </w:rPr>
        <w:t>CEO Search Committee (Dissolved August 2025)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Number of Meetings in 2025</w:t>
      </w:r>
      <w:r>
        <w:rPr>
          <w:rFonts w:ascii="Arial" w:cs="Arial" w:eastAsia="Arial" w:hAnsi="Arial"/>
          <w:sz w:val="18"/>
          <w:szCs w:val="18"/>
          <w:color w:val="auto"/>
        </w:rPr>
        <w:t>: 7</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Functions and Authority</w:t>
      </w:r>
      <w:r>
        <w:rPr>
          <w:rFonts w:ascii="Arial" w:cs="Arial" w:eastAsia="Arial" w:hAnsi="Arial"/>
          <w:sz w:val="18"/>
          <w:szCs w:val="18"/>
          <w:color w:val="auto"/>
        </w:rPr>
        <w:t>:</w:t>
      </w:r>
    </w:p>
    <w:p>
      <w:pPr>
        <w:spacing w:after="0" w:line="97" w:lineRule="exact"/>
        <w:rPr>
          <w:sz w:val="20"/>
          <w:szCs w:val="20"/>
          <w:color w:val="auto"/>
        </w:rPr>
      </w:pPr>
    </w:p>
    <w:p>
      <w:pPr>
        <w:ind w:left="640" w:right="180" w:hanging="197"/>
        <w:spacing w:after="0" w:line="274" w:lineRule="auto"/>
        <w:tabs>
          <w:tab w:leader="none" w:pos="635" w:val="left"/>
        </w:tabs>
        <w:numPr>
          <w:ilvl w:val="0"/>
          <w:numId w:val="86"/>
        </w:numPr>
        <w:rPr>
          <w:rFonts w:ascii="Arial" w:cs="Arial" w:eastAsia="Arial" w:hAnsi="Arial"/>
          <w:sz w:val="18"/>
          <w:szCs w:val="18"/>
          <w:color w:val="520B90"/>
        </w:rPr>
      </w:pPr>
      <w:r>
        <w:rPr>
          <w:rFonts w:ascii="Arial" w:cs="Arial" w:eastAsia="Arial" w:hAnsi="Arial"/>
          <w:sz w:val="18"/>
          <w:szCs w:val="18"/>
          <w:color w:val="auto"/>
        </w:rPr>
        <w:t>conduct a search to identify candidates for the Company's next President and CEO and recommend such candidates to the Board for consideration by the Board for appointment to the position of President and CEO of the Company.</w:t>
      </w:r>
    </w:p>
    <w:p>
      <w:pPr>
        <w:spacing w:after="0" w:line="3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Board reinstated the CEO Search Committee in March of 2025 as a result of the departure of Mr. Moskowitz as our President and CEO effective March 23, 2025. Subsequent to the announcement by the Company in August of 2025 of the appointment of Mr. Hillabrant as our President and CEO effective September 15, 2025, the Board dissolved the CEO Search Committee in August of 2025.</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Independence</w:t>
      </w:r>
    </w:p>
    <w:p>
      <w:pPr>
        <w:spacing w:after="0" w:line="166" w:lineRule="exact"/>
        <w:rPr>
          <w:sz w:val="20"/>
          <w:szCs w:val="20"/>
          <w:color w:val="auto"/>
        </w:rPr>
      </w:pPr>
    </w:p>
    <w:p>
      <w:pPr>
        <w:ind w:right="180"/>
        <w:spacing w:after="0" w:line="304" w:lineRule="auto"/>
        <w:rPr>
          <w:sz w:val="20"/>
          <w:szCs w:val="20"/>
          <w:color w:val="auto"/>
        </w:rPr>
      </w:pPr>
      <w:r>
        <w:rPr>
          <w:rFonts w:ascii="Arial" w:cs="Arial" w:eastAsia="Arial" w:hAnsi="Arial"/>
          <w:sz w:val="17"/>
          <w:szCs w:val="17"/>
          <w:color w:val="auto"/>
        </w:rPr>
        <w:t>The Board has affirmatively determined that each member of the Board standing for election at the Annual Meeting, except Mr. Hillabrant (our current President and CEO), has no material relationship with us and is an independent director, as defined under NYSE listing standards.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To assist in its determination of director independence, the Board has adopted certain categorical standards, as set forth on </w:t>
      </w:r>
      <w:r>
        <w:rPr>
          <w:rFonts w:ascii="Arial" w:cs="Arial" w:eastAsia="Arial" w:hAnsi="Arial"/>
          <w:sz w:val="17"/>
          <w:szCs w:val="17"/>
          <w:i w:val="1"/>
          <w:iCs w:val="1"/>
          <w:color w:val="auto"/>
        </w:rPr>
        <w:t>Appendix A</w:t>
      </w:r>
      <w:r>
        <w:rPr>
          <w:rFonts w:ascii="Arial" w:cs="Arial" w:eastAsia="Arial" w:hAnsi="Arial"/>
          <w:sz w:val="17"/>
          <w:szCs w:val="17"/>
          <w:color w:val="auto"/>
        </w:rPr>
        <w:t xml:space="preserve"> hereto.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Board determined the independence of the Company's directors and director nominees taking into account such standards.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Compensation</w:t>
      </w:r>
    </w:p>
    <w:p>
      <w:pPr>
        <w:spacing w:after="0" w:line="166"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The Board maintains a compensation arrangement for the Board's non-executive directors, subject to the N&amp;G Committee's review (a director who is also an employee of ours receives no additional compensation for services as a director). Our N&amp;G Committee reviews the competitiveness of the compensation paid to our non-executive directors at least annually. In the fourth quarter of 2024, the N&amp;G Committee, with the assistance of the Compensation Consultant, reviewed the Board's non-employee director compensation arrangement. The N&amp;G Committee reviewed a competitive market analysis prepared by such Compensation Consultant, comparing the Board's compensation arrangement to those of the companies comprising our peer group for 2024 (see "IV. Executive Compensation—Compensation Discussion and Analysis—Executive Compensation Setting—Competitive Market Analysis—Peer Group Data" for further discussion regarding our peer group). Based on its review, the N&amp;G Committee determined, and the Board ratified, that no changes be made to the compensation program for non-employee directors at such time.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For 2025, the Board compensation arrangement was composed of the following types and levels of compensation:</w:t>
      </w:r>
    </w:p>
    <w:p>
      <w:pPr>
        <w:spacing w:after="0" w:line="162" w:lineRule="exact"/>
        <w:rPr>
          <w:sz w:val="20"/>
          <w:szCs w:val="20"/>
          <w:color w:val="auto"/>
        </w:rPr>
      </w:pPr>
    </w:p>
    <w:p>
      <w:pPr>
        <w:ind w:left="320" w:hanging="274"/>
        <w:spacing w:after="0" w:line="253" w:lineRule="auto"/>
        <w:tabs>
          <w:tab w:leader="none" w:pos="300" w:val="left"/>
        </w:tabs>
        <w:numPr>
          <w:ilvl w:val="0"/>
          <w:numId w:val="87"/>
        </w:numPr>
        <w:rPr>
          <w:rFonts w:ascii="Arial" w:cs="Arial" w:eastAsia="Arial" w:hAnsi="Arial"/>
          <w:sz w:val="18"/>
          <w:szCs w:val="18"/>
          <w:b w:val="1"/>
          <w:bCs w:val="1"/>
          <w:color w:val="520B90"/>
        </w:rPr>
      </w:pPr>
      <w:r>
        <w:rPr>
          <w:rFonts w:ascii="Arial" w:cs="Arial" w:eastAsia="Arial" w:hAnsi="Arial"/>
          <w:sz w:val="18"/>
          <w:szCs w:val="18"/>
          <w:b w:val="1"/>
          <w:bCs w:val="1"/>
          <w:color w:val="auto"/>
        </w:rPr>
        <w:t xml:space="preserve">Initial Equity Grant. </w:t>
      </w:r>
      <w:r>
        <w:rPr>
          <w:rFonts w:ascii="Arial" w:cs="Arial" w:eastAsia="Arial" w:hAnsi="Arial"/>
          <w:sz w:val="18"/>
          <w:szCs w:val="18"/>
          <w:color w:val="auto"/>
        </w:rPr>
        <w:t>Each newly appointed non-employee director typically receives a grant, pursuant to our LTI plan, of a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unrestricted shares of our common stock, par value $0.01 per share ("Common Stock"), having a valuation equal to approximately $90,000, priced at the per share closing price of the Common Stock as of the effective date of the director's appointment or election ("Initial Equity Grant"); provided, that if a director is appointed or elected on or about the date of an Annual Equity Grant (defined below), the director generally receives the Annual Equity Grant in lieu of an Initial Equity Grant.</w:t>
      </w:r>
    </w:p>
    <w:p>
      <w:pPr>
        <w:spacing w:after="0" w:line="126" w:lineRule="exact"/>
        <w:rPr>
          <w:rFonts w:ascii="Arial" w:cs="Arial" w:eastAsia="Arial" w:hAnsi="Arial"/>
          <w:sz w:val="18"/>
          <w:szCs w:val="18"/>
          <w:b w:val="1"/>
          <w:bCs w:val="1"/>
          <w:color w:val="520B90"/>
        </w:rPr>
      </w:pPr>
    </w:p>
    <w:p>
      <w:pPr>
        <w:ind w:left="320" w:hanging="274"/>
        <w:spacing w:after="0" w:line="253" w:lineRule="auto"/>
        <w:tabs>
          <w:tab w:leader="none" w:pos="293" w:val="left"/>
        </w:tabs>
        <w:numPr>
          <w:ilvl w:val="0"/>
          <w:numId w:val="87"/>
        </w:numPr>
        <w:rPr>
          <w:rFonts w:ascii="Arial" w:cs="Arial" w:eastAsia="Arial" w:hAnsi="Arial"/>
          <w:sz w:val="18"/>
          <w:szCs w:val="18"/>
          <w:b w:val="1"/>
          <w:bCs w:val="1"/>
          <w:color w:val="520B90"/>
        </w:rPr>
      </w:pPr>
      <w:r>
        <w:rPr>
          <w:rFonts w:ascii="Arial" w:cs="Arial" w:eastAsia="Arial" w:hAnsi="Arial"/>
          <w:sz w:val="18"/>
          <w:szCs w:val="18"/>
          <w:b w:val="1"/>
          <w:bCs w:val="1"/>
          <w:color w:val="auto"/>
        </w:rPr>
        <w:t xml:space="preserve">Annual Equity Grant. </w:t>
      </w:r>
      <w:r>
        <w:rPr>
          <w:rFonts w:ascii="Arial" w:cs="Arial" w:eastAsia="Arial" w:hAnsi="Arial"/>
          <w:sz w:val="18"/>
          <w:szCs w:val="18"/>
          <w:color w:val="auto"/>
        </w:rPr>
        <w:t>Each year, following the Board's first regularly scheduled meeting, each non-employee director typically receives a</w:t>
      </w:r>
      <w:r>
        <w:rPr>
          <w:rFonts w:ascii="Arial" w:cs="Arial" w:eastAsia="Arial" w:hAnsi="Arial"/>
          <w:sz w:val="18"/>
          <w:szCs w:val="18"/>
          <w:b w:val="1"/>
          <w:bCs w:val="1"/>
          <w:color w:val="auto"/>
        </w:rPr>
        <w:t xml:space="preserve"> </w:t>
      </w:r>
      <w:r>
        <w:rPr>
          <w:rFonts w:ascii="Arial" w:cs="Arial" w:eastAsia="Arial" w:hAnsi="Arial"/>
          <w:sz w:val="18"/>
          <w:szCs w:val="18"/>
          <w:color w:val="auto"/>
        </w:rPr>
        <w:t>grant of unrestricted shares of Common Stock ("Annual Equity Grant"), which is pro-rated for any director not expected to serve past that year's annual meeting of stockholders. For 2025, the valuation of the Common Stock grant was equal to approximately $230,000 ($380,000 in the case of the non-executive Board Chair), based upon the per share closing price of the Common Stock as of the date of such Board meeting.</w:t>
      </w:r>
    </w:p>
    <w:p>
      <w:pPr>
        <w:spacing w:after="0" w:line="60" w:lineRule="exact"/>
        <w:rPr>
          <w:rFonts w:ascii="Arial" w:cs="Arial" w:eastAsia="Arial" w:hAnsi="Arial"/>
          <w:sz w:val="18"/>
          <w:szCs w:val="18"/>
          <w:b w:val="1"/>
          <w:bCs w:val="1"/>
          <w:color w:val="520B90"/>
        </w:rPr>
      </w:pPr>
    </w:p>
    <w:p>
      <w:pPr>
        <w:ind w:left="320" w:right="700" w:hanging="274"/>
        <w:spacing w:after="0" w:line="276" w:lineRule="auto"/>
        <w:tabs>
          <w:tab w:leader="none" w:pos="300" w:val="left"/>
        </w:tabs>
        <w:numPr>
          <w:ilvl w:val="0"/>
          <w:numId w:val="87"/>
        </w:numPr>
        <w:rPr>
          <w:rFonts w:ascii="Arial" w:cs="Arial" w:eastAsia="Arial" w:hAnsi="Arial"/>
          <w:sz w:val="18"/>
          <w:szCs w:val="18"/>
          <w:b w:val="1"/>
          <w:bCs w:val="1"/>
          <w:color w:val="520B90"/>
        </w:rPr>
      </w:pPr>
      <w:r>
        <w:rPr>
          <w:rFonts w:ascii="Arial" w:cs="Arial" w:eastAsia="Arial" w:hAnsi="Arial"/>
          <w:sz w:val="18"/>
          <w:szCs w:val="18"/>
          <w:b w:val="1"/>
          <w:bCs w:val="1"/>
          <w:color w:val="auto"/>
        </w:rPr>
        <w:t xml:space="preserve">Retainers. </w:t>
      </w:r>
      <w:r>
        <w:rPr>
          <w:rFonts w:ascii="Arial" w:cs="Arial" w:eastAsia="Arial" w:hAnsi="Arial"/>
          <w:sz w:val="18"/>
          <w:szCs w:val="18"/>
          <w:color w:val="auto"/>
        </w:rPr>
        <w:t>Each non-employee director typically receives an annual cash retainer, paid quarterly, for serving on the Board ("Board</w:t>
      </w:r>
      <w:r>
        <w:rPr>
          <w:rFonts w:ascii="Arial" w:cs="Arial" w:eastAsia="Arial" w:hAnsi="Arial"/>
          <w:sz w:val="18"/>
          <w:szCs w:val="18"/>
          <w:b w:val="1"/>
          <w:bCs w:val="1"/>
          <w:color w:val="auto"/>
        </w:rPr>
        <w:t xml:space="preserve"> </w:t>
      </w:r>
      <w:r>
        <w:rPr>
          <w:rFonts w:ascii="Arial" w:cs="Arial" w:eastAsia="Arial" w:hAnsi="Arial"/>
          <w:sz w:val="18"/>
          <w:szCs w:val="18"/>
          <w:color w:val="auto"/>
        </w:rPr>
        <w:t>Retainer"), which for 2025 was $85,000. In addition, non-employee directors are eligible</w:t>
      </w:r>
    </w:p>
    <w:p>
      <w:pPr>
        <w:spacing w:after="0" w:line="337"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391" w:right="379" w:bottom="1440" w:gutter="0" w:footer="0" w:header="0"/>
        </w:sectPr>
      </w:pPr>
    </w:p>
    <w:bookmarkStart w:id="29" w:name="page30"/>
    <w:bookmarkEnd w:id="29"/>
    <w:p>
      <w:pPr>
        <w:ind w:left="320"/>
        <w:spacing w:after="0"/>
        <w:rPr>
          <w:sz w:val="20"/>
          <w:szCs w:val="20"/>
          <w:color w:val="auto"/>
        </w:rPr>
      </w:pPr>
      <w:r>
        <w:rPr>
          <w:rFonts w:ascii="Arial" w:cs="Arial" w:eastAsia="Arial" w:hAnsi="Arial"/>
          <w:sz w:val="18"/>
          <w:szCs w:val="18"/>
          <w:color w:val="auto"/>
        </w:rPr>
        <w:t>to receive annual cash retainers, paid quarterly, for service on the Committees ("Committee Retainers") for 2025 as detailed below.</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520B90"/>
        </w:rPr>
        <w:t>2025 Committee Retainers</w:t>
      </w:r>
      <w:r>
        <w:rPr>
          <w:rFonts w:ascii="Arial" w:cs="Arial" w:eastAsia="Arial" w:hAnsi="Arial"/>
          <w:sz w:val="22"/>
          <w:szCs w:val="22"/>
          <w:b w:val="1"/>
          <w:bCs w:val="1"/>
          <w:color w:val="520B90"/>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55880</wp:posOffset>
            </wp:positionV>
            <wp:extent cx="6597015" cy="1511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597015" cy="151130"/>
                    </a:xfrm>
                    <a:prstGeom prst="rect">
                      <a:avLst/>
                    </a:prstGeom>
                    <a:noFill/>
                  </pic:spPr>
                </pic:pic>
              </a:graphicData>
            </a:graphic>
          </wp:anchor>
        </w:drawing>
      </w:r>
    </w:p>
    <w:p>
      <w:pPr>
        <w:spacing w:after="0" w:line="63"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3980" w:type="dxa"/>
            <w:vAlign w:val="bottom"/>
            <w:tcBorders>
              <w:bottom w:val="single" w:sz="8" w:color="520B90"/>
            </w:tcBorders>
          </w:tcPr>
          <w:p>
            <w:pPr>
              <w:ind w:left="40"/>
              <w:spacing w:after="0"/>
              <w:rPr>
                <w:sz w:val="20"/>
                <w:szCs w:val="20"/>
                <w:color w:val="auto"/>
              </w:rPr>
            </w:pPr>
            <w:r>
              <w:rPr>
                <w:rFonts w:ascii="Arial" w:cs="Arial" w:eastAsia="Arial" w:hAnsi="Arial"/>
                <w:sz w:val="16"/>
                <w:szCs w:val="16"/>
                <w:b w:val="1"/>
                <w:bCs w:val="1"/>
                <w:color w:val="520B90"/>
              </w:rPr>
              <w:t>Board Committee</w:t>
            </w:r>
          </w:p>
        </w:tc>
        <w:tc>
          <w:tcPr>
            <w:tcW w:w="160" w:type="dxa"/>
            <w:vAlign w:val="bottom"/>
          </w:tcPr>
          <w:p>
            <w:pPr>
              <w:spacing w:after="0"/>
              <w:rPr>
                <w:sz w:val="19"/>
                <w:szCs w:val="19"/>
                <w:color w:val="auto"/>
              </w:rPr>
            </w:pPr>
          </w:p>
        </w:tc>
        <w:tc>
          <w:tcPr>
            <w:tcW w:w="3060" w:type="dxa"/>
            <w:vAlign w:val="bottom"/>
            <w:tcBorders>
              <w:bottom w:val="single" w:sz="8" w:color="520B90"/>
            </w:tcBorders>
          </w:tcPr>
          <w:p>
            <w:pPr>
              <w:jc w:val="center"/>
              <w:spacing w:after="0"/>
              <w:rPr>
                <w:sz w:val="20"/>
                <w:szCs w:val="20"/>
                <w:color w:val="auto"/>
              </w:rPr>
            </w:pPr>
            <w:r>
              <w:rPr>
                <w:rFonts w:ascii="Arial" w:cs="Arial" w:eastAsia="Arial" w:hAnsi="Arial"/>
                <w:sz w:val="16"/>
                <w:szCs w:val="16"/>
                <w:b w:val="1"/>
                <w:bCs w:val="1"/>
                <w:color w:val="520B90"/>
                <w:w w:val="98"/>
              </w:rPr>
              <w:t>Committee Chair</w:t>
            </w:r>
          </w:p>
        </w:tc>
        <w:tc>
          <w:tcPr>
            <w:tcW w:w="20" w:type="dxa"/>
            <w:vAlign w:val="bottom"/>
            <w:tcBorders>
              <w:bottom w:val="single" w:sz="8" w:color="520B90"/>
            </w:tcBorders>
          </w:tcPr>
          <w:p>
            <w:pPr>
              <w:spacing w:after="0"/>
              <w:rPr>
                <w:sz w:val="19"/>
                <w:szCs w:val="19"/>
                <w:color w:val="auto"/>
              </w:rPr>
            </w:pPr>
          </w:p>
        </w:tc>
        <w:tc>
          <w:tcPr>
            <w:tcW w:w="140" w:type="dxa"/>
            <w:vAlign w:val="bottom"/>
          </w:tcPr>
          <w:p>
            <w:pPr>
              <w:spacing w:after="0"/>
              <w:rPr>
                <w:sz w:val="19"/>
                <w:szCs w:val="19"/>
                <w:color w:val="auto"/>
              </w:rPr>
            </w:pPr>
          </w:p>
        </w:tc>
        <w:tc>
          <w:tcPr>
            <w:tcW w:w="3020" w:type="dxa"/>
            <w:vAlign w:val="bottom"/>
            <w:tcBorders>
              <w:bottom w:val="single" w:sz="8" w:color="520B90"/>
            </w:tcBorders>
          </w:tcPr>
          <w:p>
            <w:pPr>
              <w:jc w:val="center"/>
              <w:spacing w:after="0"/>
              <w:rPr>
                <w:sz w:val="20"/>
                <w:szCs w:val="20"/>
                <w:color w:val="auto"/>
              </w:rPr>
            </w:pPr>
            <w:r>
              <w:rPr>
                <w:rFonts w:ascii="Arial" w:cs="Arial" w:eastAsia="Arial" w:hAnsi="Arial"/>
                <w:sz w:val="16"/>
                <w:szCs w:val="16"/>
                <w:b w:val="1"/>
                <w:bCs w:val="1"/>
                <w:color w:val="520B90"/>
                <w:w w:val="96"/>
              </w:rPr>
              <w:t>Committee Member</w:t>
            </w:r>
            <w:r>
              <w:rPr>
                <w:rFonts w:ascii="Arial" w:cs="Arial" w:eastAsia="Arial" w:hAnsi="Arial"/>
                <w:sz w:val="20"/>
                <w:szCs w:val="20"/>
                <w:b w:val="1"/>
                <w:bCs w:val="1"/>
                <w:color w:val="520B90"/>
                <w:w w:val="96"/>
                <w:vertAlign w:val="superscript"/>
              </w:rPr>
              <w:t>(b)</w:t>
            </w:r>
          </w:p>
        </w:tc>
        <w:tc>
          <w:tcPr>
            <w:tcW w:w="20" w:type="dxa"/>
            <w:vAlign w:val="bottom"/>
            <w:tcBorders>
              <w:bottom w:val="single" w:sz="8" w:color="520B90"/>
            </w:tcBorders>
          </w:tcPr>
          <w:p>
            <w:pPr>
              <w:spacing w:after="0"/>
              <w:rPr>
                <w:sz w:val="19"/>
                <w:szCs w:val="19"/>
                <w:color w:val="auto"/>
              </w:rPr>
            </w:pPr>
          </w:p>
        </w:tc>
      </w:tr>
      <w:tr>
        <w:trPr>
          <w:trHeight w:val="205"/>
        </w:trPr>
        <w:tc>
          <w:tcPr>
            <w:tcW w:w="3980" w:type="dxa"/>
            <w:vAlign w:val="bottom"/>
            <w:shd w:val="clear" w:color="auto" w:fill="E6E7E7"/>
          </w:tcPr>
          <w:p>
            <w:pPr>
              <w:ind w:left="20"/>
              <w:spacing w:after="0"/>
              <w:rPr>
                <w:sz w:val="20"/>
                <w:szCs w:val="20"/>
                <w:color w:val="auto"/>
              </w:rPr>
            </w:pPr>
            <w:r>
              <w:rPr>
                <w:rFonts w:ascii="Arial" w:cs="Arial" w:eastAsia="Arial" w:hAnsi="Arial"/>
                <w:sz w:val="16"/>
                <w:szCs w:val="16"/>
                <w:color w:val="auto"/>
              </w:rPr>
              <w:t>Audit Committee</w:t>
            </w:r>
          </w:p>
        </w:tc>
        <w:tc>
          <w:tcPr>
            <w:tcW w:w="160" w:type="dxa"/>
            <w:vAlign w:val="bottom"/>
          </w:tcPr>
          <w:p>
            <w:pPr>
              <w:spacing w:after="0"/>
              <w:rPr>
                <w:sz w:val="17"/>
                <w:szCs w:val="17"/>
                <w:color w:val="auto"/>
              </w:rPr>
            </w:pPr>
          </w:p>
        </w:tc>
        <w:tc>
          <w:tcPr>
            <w:tcW w:w="306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$30,000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2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$15,000</w:t>
            </w:r>
          </w:p>
        </w:tc>
        <w:tc>
          <w:tcPr>
            <w:tcW w:w="20" w:type="dxa"/>
            <w:vAlign w:val="bottom"/>
          </w:tcPr>
          <w:p>
            <w:pPr>
              <w:spacing w:after="0"/>
              <w:rPr>
                <w:sz w:val="17"/>
                <w:szCs w:val="17"/>
                <w:color w:val="auto"/>
              </w:rPr>
            </w:pPr>
          </w:p>
        </w:tc>
      </w:tr>
      <w:tr>
        <w:trPr>
          <w:trHeight w:val="210"/>
        </w:trPr>
        <w:tc>
          <w:tcPr>
            <w:tcW w:w="3980" w:type="dxa"/>
            <w:vAlign w:val="bottom"/>
          </w:tcPr>
          <w:p>
            <w:pPr>
              <w:ind w:left="20"/>
              <w:spacing w:after="0"/>
              <w:rPr>
                <w:sz w:val="20"/>
                <w:szCs w:val="20"/>
                <w:color w:val="auto"/>
              </w:rPr>
            </w:pPr>
            <w:r>
              <w:rPr>
                <w:rFonts w:ascii="Arial" w:cs="Arial" w:eastAsia="Arial" w:hAnsi="Arial"/>
                <w:sz w:val="16"/>
                <w:szCs w:val="16"/>
                <w:color w:val="auto"/>
              </w:rPr>
              <w:t>CEO Search Committee</w:t>
            </w:r>
          </w:p>
        </w:tc>
        <w:tc>
          <w:tcPr>
            <w:tcW w:w="160" w:type="dxa"/>
            <w:vAlign w:val="bottom"/>
          </w:tcPr>
          <w:p>
            <w:pPr>
              <w:spacing w:after="0"/>
              <w:rPr>
                <w:sz w:val="18"/>
                <w:szCs w:val="18"/>
                <w:color w:val="auto"/>
              </w:rPr>
            </w:pPr>
          </w:p>
        </w:tc>
        <w:tc>
          <w:tcPr>
            <w:tcW w:w="3060" w:type="dxa"/>
            <w:vAlign w:val="bottom"/>
          </w:tcPr>
          <w:p>
            <w:pPr>
              <w:jc w:val="center"/>
              <w:spacing w:after="0"/>
              <w:rPr>
                <w:sz w:val="20"/>
                <w:szCs w:val="20"/>
                <w:color w:val="auto"/>
              </w:rPr>
            </w:pPr>
            <w:r>
              <w:rPr>
                <w:rFonts w:ascii="Arial" w:cs="Arial" w:eastAsia="Arial" w:hAnsi="Arial"/>
                <w:sz w:val="16"/>
                <w:szCs w:val="16"/>
                <w:color w:val="auto"/>
              </w:rPr>
              <w:t>$20,000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Arial" w:cs="Arial" w:eastAsia="Arial" w:hAnsi="Arial"/>
                <w:sz w:val="16"/>
                <w:szCs w:val="16"/>
                <w:color w:val="auto"/>
              </w:rPr>
              <w:t>$10,000</w:t>
            </w:r>
          </w:p>
        </w:tc>
        <w:tc>
          <w:tcPr>
            <w:tcW w:w="20" w:type="dxa"/>
            <w:vAlign w:val="bottom"/>
          </w:tcPr>
          <w:p>
            <w:pPr>
              <w:spacing w:after="0"/>
              <w:rPr>
                <w:sz w:val="18"/>
                <w:szCs w:val="18"/>
                <w:color w:val="auto"/>
              </w:rPr>
            </w:pPr>
          </w:p>
        </w:tc>
      </w:tr>
      <w:tr>
        <w:trPr>
          <w:trHeight w:val="214"/>
        </w:trPr>
        <w:tc>
          <w:tcPr>
            <w:tcW w:w="3980" w:type="dxa"/>
            <w:vAlign w:val="bottom"/>
            <w:shd w:val="clear" w:color="auto" w:fill="E6E7E7"/>
          </w:tcPr>
          <w:p>
            <w:pPr>
              <w:ind w:left="20"/>
              <w:spacing w:after="0"/>
              <w:rPr>
                <w:sz w:val="20"/>
                <w:szCs w:val="20"/>
                <w:color w:val="auto"/>
              </w:rPr>
            </w:pPr>
            <w:r>
              <w:rPr>
                <w:rFonts w:ascii="Arial" w:cs="Arial" w:eastAsia="Arial" w:hAnsi="Arial"/>
                <w:sz w:val="16"/>
                <w:szCs w:val="16"/>
                <w:color w:val="auto"/>
              </w:rPr>
              <w:t>CHC Committee</w:t>
            </w:r>
          </w:p>
        </w:tc>
        <w:tc>
          <w:tcPr>
            <w:tcW w:w="160" w:type="dxa"/>
            <w:vAlign w:val="bottom"/>
          </w:tcPr>
          <w:p>
            <w:pPr>
              <w:spacing w:after="0"/>
              <w:rPr>
                <w:sz w:val="18"/>
                <w:szCs w:val="18"/>
                <w:color w:val="auto"/>
              </w:rPr>
            </w:pPr>
          </w:p>
        </w:tc>
        <w:tc>
          <w:tcPr>
            <w:tcW w:w="306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$25,000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2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$12,500</w:t>
            </w:r>
          </w:p>
        </w:tc>
        <w:tc>
          <w:tcPr>
            <w:tcW w:w="20" w:type="dxa"/>
            <w:vAlign w:val="bottom"/>
          </w:tcPr>
          <w:p>
            <w:pPr>
              <w:spacing w:after="0"/>
              <w:rPr>
                <w:sz w:val="18"/>
                <w:szCs w:val="18"/>
                <w:color w:val="auto"/>
              </w:rPr>
            </w:pPr>
          </w:p>
        </w:tc>
      </w:tr>
      <w:tr>
        <w:trPr>
          <w:trHeight w:val="210"/>
        </w:trPr>
        <w:tc>
          <w:tcPr>
            <w:tcW w:w="3980" w:type="dxa"/>
            <w:vAlign w:val="bottom"/>
          </w:tcPr>
          <w:p>
            <w:pPr>
              <w:ind w:left="20"/>
              <w:spacing w:after="0"/>
              <w:rPr>
                <w:sz w:val="20"/>
                <w:szCs w:val="20"/>
                <w:color w:val="auto"/>
              </w:rPr>
            </w:pPr>
            <w:r>
              <w:rPr>
                <w:rFonts w:ascii="Arial" w:cs="Arial" w:eastAsia="Arial" w:hAnsi="Arial"/>
                <w:sz w:val="16"/>
                <w:szCs w:val="16"/>
                <w:color w:val="auto"/>
              </w:rPr>
              <w:t>Fiber Review Committee</w:t>
            </w:r>
          </w:p>
        </w:tc>
        <w:tc>
          <w:tcPr>
            <w:tcW w:w="160" w:type="dxa"/>
            <w:vAlign w:val="bottom"/>
          </w:tcPr>
          <w:p>
            <w:pPr>
              <w:spacing w:after="0"/>
              <w:rPr>
                <w:sz w:val="18"/>
                <w:szCs w:val="18"/>
                <w:color w:val="auto"/>
              </w:rPr>
            </w:pPr>
          </w:p>
        </w:tc>
        <w:tc>
          <w:tcPr>
            <w:tcW w:w="3060" w:type="dxa"/>
            <w:vAlign w:val="bottom"/>
          </w:tcPr>
          <w:p>
            <w:pPr>
              <w:jc w:val="center"/>
              <w:spacing w:after="0"/>
              <w:rPr>
                <w:sz w:val="20"/>
                <w:szCs w:val="20"/>
                <w:color w:val="auto"/>
              </w:rPr>
            </w:pPr>
            <w:r>
              <w:rPr>
                <w:rFonts w:ascii="Arial" w:cs="Arial" w:eastAsia="Arial" w:hAnsi="Arial"/>
                <w:sz w:val="16"/>
                <w:szCs w:val="16"/>
                <w:color w:val="auto"/>
              </w:rPr>
              <w:t>$25,000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Arial" w:cs="Arial" w:eastAsia="Arial" w:hAnsi="Arial"/>
                <w:sz w:val="16"/>
                <w:szCs w:val="16"/>
                <w:color w:val="auto"/>
              </w:rPr>
              <w:t>$12,500</w:t>
            </w:r>
          </w:p>
        </w:tc>
        <w:tc>
          <w:tcPr>
            <w:tcW w:w="20" w:type="dxa"/>
            <w:vAlign w:val="bottom"/>
          </w:tcPr>
          <w:p>
            <w:pPr>
              <w:spacing w:after="0"/>
              <w:rPr>
                <w:sz w:val="18"/>
                <w:szCs w:val="18"/>
                <w:color w:val="auto"/>
              </w:rPr>
            </w:pPr>
          </w:p>
        </w:tc>
      </w:tr>
      <w:tr>
        <w:trPr>
          <w:trHeight w:val="214"/>
        </w:trPr>
        <w:tc>
          <w:tcPr>
            <w:tcW w:w="3980" w:type="dxa"/>
            <w:vAlign w:val="bottom"/>
            <w:shd w:val="clear" w:color="auto" w:fill="E6E7E7"/>
          </w:tcPr>
          <w:p>
            <w:pPr>
              <w:ind w:left="20"/>
              <w:spacing w:after="0"/>
              <w:rPr>
                <w:sz w:val="20"/>
                <w:szCs w:val="20"/>
                <w:color w:val="auto"/>
              </w:rPr>
            </w:pPr>
            <w:r>
              <w:rPr>
                <w:rFonts w:ascii="Arial" w:cs="Arial" w:eastAsia="Arial" w:hAnsi="Arial"/>
                <w:sz w:val="16"/>
                <w:szCs w:val="16"/>
                <w:color w:val="auto"/>
              </w:rPr>
              <w:t>Finance Committee</w:t>
            </w:r>
          </w:p>
        </w:tc>
        <w:tc>
          <w:tcPr>
            <w:tcW w:w="160" w:type="dxa"/>
            <w:vAlign w:val="bottom"/>
          </w:tcPr>
          <w:p>
            <w:pPr>
              <w:spacing w:after="0"/>
              <w:rPr>
                <w:sz w:val="18"/>
                <w:szCs w:val="18"/>
                <w:color w:val="auto"/>
              </w:rPr>
            </w:pPr>
          </w:p>
        </w:tc>
        <w:tc>
          <w:tcPr>
            <w:tcW w:w="306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$20,000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2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$10,000</w:t>
            </w:r>
          </w:p>
        </w:tc>
        <w:tc>
          <w:tcPr>
            <w:tcW w:w="20" w:type="dxa"/>
            <w:vAlign w:val="bottom"/>
          </w:tcPr>
          <w:p>
            <w:pPr>
              <w:spacing w:after="0"/>
              <w:rPr>
                <w:sz w:val="18"/>
                <w:szCs w:val="18"/>
                <w:color w:val="auto"/>
              </w:rPr>
            </w:pPr>
          </w:p>
        </w:tc>
      </w:tr>
      <w:tr>
        <w:trPr>
          <w:trHeight w:val="211"/>
        </w:trPr>
        <w:tc>
          <w:tcPr>
            <w:tcW w:w="3980" w:type="dxa"/>
            <w:vAlign w:val="bottom"/>
            <w:tcBorders>
              <w:bottom w:val="single" w:sz="8" w:color="E6E7E7"/>
            </w:tcBorders>
          </w:tcPr>
          <w:p>
            <w:pPr>
              <w:ind w:left="20"/>
              <w:spacing w:after="0"/>
              <w:rPr>
                <w:sz w:val="20"/>
                <w:szCs w:val="20"/>
                <w:color w:val="auto"/>
              </w:rPr>
            </w:pPr>
            <w:r>
              <w:rPr>
                <w:rFonts w:ascii="Arial" w:cs="Arial" w:eastAsia="Arial" w:hAnsi="Arial"/>
                <w:sz w:val="16"/>
                <w:szCs w:val="16"/>
                <w:color w:val="auto"/>
              </w:rPr>
              <w:t>N&amp;G Committee</w:t>
            </w:r>
          </w:p>
        </w:tc>
        <w:tc>
          <w:tcPr>
            <w:tcW w:w="160" w:type="dxa"/>
            <w:vAlign w:val="bottom"/>
          </w:tcPr>
          <w:p>
            <w:pPr>
              <w:spacing w:after="0"/>
              <w:rPr>
                <w:sz w:val="18"/>
                <w:szCs w:val="18"/>
                <w:color w:val="auto"/>
              </w:rPr>
            </w:pPr>
          </w:p>
        </w:tc>
        <w:tc>
          <w:tcPr>
            <w:tcW w:w="3060" w:type="dxa"/>
            <w:vAlign w:val="bottom"/>
            <w:tcBorders>
              <w:bottom w:val="single" w:sz="8" w:color="E6E7E7"/>
            </w:tcBorders>
          </w:tcPr>
          <w:p>
            <w:pPr>
              <w:jc w:val="center"/>
              <w:spacing w:after="0"/>
              <w:rPr>
                <w:sz w:val="20"/>
                <w:szCs w:val="20"/>
                <w:color w:val="auto"/>
              </w:rPr>
            </w:pPr>
            <w:r>
              <w:rPr>
                <w:rFonts w:ascii="Arial" w:cs="Arial" w:eastAsia="Arial" w:hAnsi="Arial"/>
                <w:sz w:val="16"/>
                <w:szCs w:val="16"/>
                <w:color w:val="auto"/>
              </w:rPr>
              <w:t>$20,000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20" w:type="dxa"/>
            <w:vAlign w:val="bottom"/>
            <w:tcBorders>
              <w:bottom w:val="single" w:sz="8" w:color="E6E7E7"/>
            </w:tcBorders>
          </w:tcPr>
          <w:p>
            <w:pPr>
              <w:jc w:val="center"/>
              <w:spacing w:after="0"/>
              <w:rPr>
                <w:sz w:val="20"/>
                <w:szCs w:val="20"/>
                <w:color w:val="auto"/>
              </w:rPr>
            </w:pPr>
            <w:r>
              <w:rPr>
                <w:rFonts w:ascii="Arial" w:cs="Arial" w:eastAsia="Arial" w:hAnsi="Arial"/>
                <w:sz w:val="16"/>
                <w:szCs w:val="16"/>
                <w:color w:val="auto"/>
              </w:rPr>
              <w:t>$10,000</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109220</wp:posOffset>
            </wp:positionV>
            <wp:extent cx="68897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8975" cy="8255"/>
                    </a:xfrm>
                    <a:prstGeom prst="rect">
                      <a:avLst/>
                    </a:prstGeom>
                    <a:noFill/>
                  </pic:spPr>
                </pic:pic>
              </a:graphicData>
            </a:graphic>
          </wp:anchor>
        </w:drawing>
      </w:r>
    </w:p>
    <w:p>
      <w:pPr>
        <w:spacing w:after="0" w:line="245" w:lineRule="exact"/>
        <w:rPr>
          <w:sz w:val="20"/>
          <w:szCs w:val="20"/>
          <w:color w:val="auto"/>
        </w:rPr>
      </w:pPr>
    </w:p>
    <w:p>
      <w:pPr>
        <w:ind w:left="560" w:hanging="236"/>
        <w:spacing w:after="0" w:line="264" w:lineRule="auto"/>
        <w:tabs>
          <w:tab w:leader="none" w:pos="628"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The Committee Retainer for the CEO Search Committee was paid to members serving for the two quarters in 2025 prior to its dissolution, with Mr. Kabat serving as Chair of the CEO Search Committee for the two quarters in 2025 prior to its dissolution.</w:t>
      </w:r>
    </w:p>
    <w:p>
      <w:pPr>
        <w:ind w:left="640" w:hanging="316"/>
        <w:spacing w:after="0"/>
        <w:tabs>
          <w:tab w:leader="none" w:pos="640" w:val="left"/>
        </w:tabs>
        <w:numPr>
          <w:ilvl w:val="0"/>
          <w:numId w:val="88"/>
        </w:numPr>
        <w:rPr>
          <w:rFonts w:ascii="Arial" w:cs="Arial" w:eastAsia="Arial" w:hAnsi="Arial"/>
          <w:sz w:val="13"/>
          <w:szCs w:val="13"/>
          <w:color w:val="auto"/>
        </w:rPr>
      </w:pPr>
      <w:r>
        <w:rPr>
          <w:rFonts w:ascii="Arial" w:cs="Arial" w:eastAsia="Arial" w:hAnsi="Arial"/>
          <w:sz w:val="13"/>
          <w:szCs w:val="13"/>
          <w:color w:val="auto"/>
        </w:rPr>
        <w:t>Represents Committee Retainers paid to members (other than chair) of the respective Committees.</w:t>
      </w:r>
    </w:p>
    <w:p>
      <w:pPr>
        <w:spacing w:after="0" w:line="152" w:lineRule="exact"/>
        <w:rPr>
          <w:sz w:val="20"/>
          <w:szCs w:val="20"/>
          <w:color w:val="auto"/>
        </w:rPr>
      </w:pPr>
    </w:p>
    <w:p>
      <w:pPr>
        <w:ind w:left="320" w:right="740"/>
        <w:spacing w:after="0" w:line="274" w:lineRule="auto"/>
        <w:rPr>
          <w:sz w:val="20"/>
          <w:szCs w:val="20"/>
          <w:color w:val="auto"/>
        </w:rPr>
      </w:pPr>
      <w:r>
        <w:rPr>
          <w:rFonts w:ascii="Arial" w:cs="Arial" w:eastAsia="Arial" w:hAnsi="Arial"/>
          <w:sz w:val="18"/>
          <w:szCs w:val="18"/>
          <w:color w:val="auto"/>
        </w:rPr>
        <w:t>For non-employee directors who serve on the Board or its Committees for less than the full fiscal year, the Board Retainer and any applicable Committee Retainer are typically paid only with respect to the quarters in which they served.</w:t>
      </w:r>
    </w:p>
    <w:p>
      <w:pPr>
        <w:spacing w:after="0" w:line="28" w:lineRule="exact"/>
        <w:rPr>
          <w:sz w:val="20"/>
          <w:szCs w:val="20"/>
          <w:color w:val="auto"/>
        </w:rPr>
      </w:pPr>
    </w:p>
    <w:p>
      <w:pPr>
        <w:ind w:left="320" w:hanging="274"/>
        <w:spacing w:after="0" w:line="276" w:lineRule="auto"/>
        <w:tabs>
          <w:tab w:leader="none" w:pos="300" w:val="left"/>
        </w:tabs>
        <w:numPr>
          <w:ilvl w:val="0"/>
          <w:numId w:val="89"/>
        </w:numPr>
        <w:rPr>
          <w:rFonts w:ascii="Arial" w:cs="Arial" w:eastAsia="Arial" w:hAnsi="Arial"/>
          <w:sz w:val="18"/>
          <w:szCs w:val="18"/>
          <w:b w:val="1"/>
          <w:bCs w:val="1"/>
          <w:color w:val="520B90"/>
        </w:rPr>
      </w:pPr>
      <w:r>
        <w:rPr>
          <w:rFonts w:ascii="Arial" w:cs="Arial" w:eastAsia="Arial" w:hAnsi="Arial"/>
          <w:sz w:val="18"/>
          <w:szCs w:val="18"/>
          <w:b w:val="1"/>
          <w:bCs w:val="1"/>
          <w:color w:val="auto"/>
        </w:rPr>
        <w:t xml:space="preserve">Other Compensation. </w:t>
      </w:r>
      <w:r>
        <w:rPr>
          <w:rFonts w:ascii="Arial" w:cs="Arial" w:eastAsia="Arial" w:hAnsi="Arial"/>
          <w:sz w:val="18"/>
          <w:szCs w:val="18"/>
          <w:color w:val="auto"/>
        </w:rPr>
        <w:t>Each non-employee director is eligible to participate, at such director's election, in our medical (including vision) and</w:t>
      </w:r>
      <w:r>
        <w:rPr>
          <w:rFonts w:ascii="Arial" w:cs="Arial" w:eastAsia="Arial" w:hAnsi="Arial"/>
          <w:sz w:val="18"/>
          <w:szCs w:val="18"/>
          <w:b w:val="1"/>
          <w:bCs w:val="1"/>
          <w:color w:val="auto"/>
        </w:rPr>
        <w:t xml:space="preserve"> </w:t>
      </w:r>
      <w:r>
        <w:rPr>
          <w:rFonts w:ascii="Arial" w:cs="Arial" w:eastAsia="Arial" w:hAnsi="Arial"/>
          <w:sz w:val="18"/>
          <w:szCs w:val="18"/>
          <w:color w:val="auto"/>
        </w:rPr>
        <w:t>dental plans.</w:t>
      </w:r>
    </w:p>
    <w:p>
      <w:pPr>
        <w:spacing w:after="0" w:line="40" w:lineRule="exact"/>
        <w:rPr>
          <w:rFonts w:ascii="Arial" w:cs="Arial" w:eastAsia="Arial" w:hAnsi="Arial"/>
          <w:sz w:val="18"/>
          <w:szCs w:val="18"/>
          <w:b w:val="1"/>
          <w:bCs w:val="1"/>
          <w:color w:val="520B90"/>
        </w:rPr>
      </w:pPr>
    </w:p>
    <w:p>
      <w:pPr>
        <w:jc w:val="both"/>
        <w:ind w:left="320" w:right="900" w:hanging="274"/>
        <w:spacing w:after="0" w:line="260" w:lineRule="auto"/>
        <w:tabs>
          <w:tab w:leader="none" w:pos="300" w:val="left"/>
        </w:tabs>
        <w:numPr>
          <w:ilvl w:val="0"/>
          <w:numId w:val="89"/>
        </w:numPr>
        <w:rPr>
          <w:rFonts w:ascii="Arial" w:cs="Arial" w:eastAsia="Arial" w:hAnsi="Arial"/>
          <w:sz w:val="18"/>
          <w:szCs w:val="18"/>
          <w:b w:val="1"/>
          <w:bCs w:val="1"/>
          <w:color w:val="520B90"/>
        </w:rPr>
      </w:pPr>
      <w:r>
        <w:rPr>
          <w:rFonts w:ascii="Arial" w:cs="Arial" w:eastAsia="Arial" w:hAnsi="Arial"/>
          <w:sz w:val="18"/>
          <w:szCs w:val="18"/>
          <w:b w:val="1"/>
          <w:bCs w:val="1"/>
          <w:color w:val="auto"/>
        </w:rPr>
        <w:t xml:space="preserve">Expense Reimbursement and Continuing Education. </w:t>
      </w:r>
      <w:r>
        <w:rPr>
          <w:rFonts w:ascii="Arial" w:cs="Arial" w:eastAsia="Arial" w:hAnsi="Arial"/>
          <w:sz w:val="18"/>
          <w:szCs w:val="18"/>
          <w:color w:val="auto"/>
        </w:rPr>
        <w:t>In addition to the foregoing, non-employee directors are reimbursed for</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reasonable expenses (1) incidental to service on the Board and (2) related to continuing education activities regarding corporate governance, director roles and responsibilities and other matters relating to director duties.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Table for 2025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compensation earned by our non-employee directors in 2025.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Arial" w:cs="Arial" w:eastAsia="Arial" w:hAnsi="Arial"/>
                <w:sz w:val="16"/>
                <w:szCs w:val="16"/>
                <w:b w:val="1"/>
                <w:bCs w:val="1"/>
                <w:color w:val="520B90"/>
                <w:w w:val="98"/>
              </w:rPr>
              <w:t>Fees Earned or</w:t>
            </w:r>
          </w:p>
        </w:tc>
        <w:tc>
          <w:tcPr>
            <w:tcW w:w="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Arial" w:cs="Arial" w:eastAsia="Arial" w:hAnsi="Arial"/>
                <w:sz w:val="16"/>
                <w:szCs w:val="16"/>
                <w:b w:val="1"/>
                <w:bCs w:val="1"/>
                <w:color w:val="520B90"/>
                <w:w w:val="97"/>
              </w:rPr>
              <w:t>All Other</w:t>
            </w:r>
          </w:p>
        </w:tc>
        <w:tc>
          <w:tcPr>
            <w:tcW w:w="100" w:type="dxa"/>
            <w:vAlign w:val="bottom"/>
          </w:tcPr>
          <w:p>
            <w:pPr>
              <w:spacing w:after="0"/>
              <w:rPr>
                <w:sz w:val="16"/>
                <w:szCs w:val="16"/>
                <w:color w:val="auto"/>
              </w:rPr>
            </w:pPr>
          </w:p>
        </w:tc>
        <w:tc>
          <w:tcPr>
            <w:tcW w:w="2120" w:type="dxa"/>
            <w:vAlign w:val="bottom"/>
          </w:tcPr>
          <w:p>
            <w:pPr>
              <w:jc w:val="center"/>
              <w:spacing w:after="0"/>
              <w:rPr>
                <w:sz w:val="20"/>
                <w:szCs w:val="20"/>
                <w:color w:val="auto"/>
              </w:rPr>
            </w:pPr>
            <w:r>
              <w:rPr>
                <w:rFonts w:ascii="Arial" w:cs="Arial" w:eastAsia="Arial" w:hAnsi="Arial"/>
                <w:sz w:val="16"/>
                <w:szCs w:val="16"/>
                <w:b w:val="1"/>
                <w:bCs w:val="1"/>
                <w:color w:val="520B90"/>
                <w:w w:val="98"/>
              </w:rPr>
              <w:t>Total Director</w:t>
            </w:r>
          </w:p>
        </w:tc>
      </w:tr>
      <w:tr>
        <w:trPr>
          <w:trHeight w:val="185"/>
        </w:trPr>
        <w:tc>
          <w:tcPr>
            <w:tcW w:w="1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Arial" w:cs="Arial" w:eastAsia="Arial" w:hAnsi="Arial"/>
                <w:sz w:val="16"/>
                <w:szCs w:val="16"/>
                <w:b w:val="1"/>
                <w:bCs w:val="1"/>
                <w:color w:val="520B90"/>
                <w:w w:val="99"/>
              </w:rPr>
              <w:t>Paid in Cash</w:t>
            </w:r>
          </w:p>
        </w:tc>
        <w:tc>
          <w:tcPr>
            <w:tcW w:w="8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Arial" w:cs="Arial" w:eastAsia="Arial" w:hAnsi="Arial"/>
                <w:sz w:val="16"/>
                <w:szCs w:val="16"/>
                <w:b w:val="1"/>
                <w:bCs w:val="1"/>
                <w:color w:val="520B90"/>
                <w:w w:val="98"/>
              </w:rPr>
              <w:t>Stock Awards</w:t>
            </w:r>
          </w:p>
        </w:tc>
        <w:tc>
          <w:tcPr>
            <w:tcW w:w="10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Arial" w:cs="Arial" w:eastAsia="Arial" w:hAnsi="Arial"/>
                <w:sz w:val="16"/>
                <w:szCs w:val="16"/>
                <w:b w:val="1"/>
                <w:bCs w:val="1"/>
                <w:color w:val="520B90"/>
                <w:w w:val="98"/>
              </w:rPr>
              <w:t>Compensation</w:t>
            </w:r>
          </w:p>
        </w:tc>
        <w:tc>
          <w:tcPr>
            <w:tcW w:w="100" w:type="dxa"/>
            <w:vAlign w:val="bottom"/>
          </w:tcPr>
          <w:p>
            <w:pPr>
              <w:spacing w:after="0"/>
              <w:rPr>
                <w:sz w:val="16"/>
                <w:szCs w:val="16"/>
                <w:color w:val="auto"/>
              </w:rPr>
            </w:pPr>
          </w:p>
        </w:tc>
        <w:tc>
          <w:tcPr>
            <w:tcW w:w="2120" w:type="dxa"/>
            <w:vAlign w:val="bottom"/>
          </w:tcPr>
          <w:p>
            <w:pPr>
              <w:jc w:val="center"/>
              <w:spacing w:after="0"/>
              <w:rPr>
                <w:sz w:val="20"/>
                <w:szCs w:val="20"/>
                <w:color w:val="auto"/>
              </w:rPr>
            </w:pPr>
            <w:r>
              <w:rPr>
                <w:rFonts w:ascii="Arial" w:cs="Arial" w:eastAsia="Arial" w:hAnsi="Arial"/>
                <w:sz w:val="16"/>
                <w:szCs w:val="16"/>
                <w:b w:val="1"/>
                <w:bCs w:val="1"/>
                <w:color w:val="520B90"/>
                <w:w w:val="98"/>
              </w:rPr>
              <w:t>Compensation</w:t>
            </w:r>
          </w:p>
        </w:tc>
      </w:tr>
      <w:tr>
        <w:trPr>
          <w:trHeight w:val="218"/>
        </w:trPr>
        <w:tc>
          <w:tcPr>
            <w:tcW w:w="1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6"/>
                <w:szCs w:val="16"/>
                <w:b w:val="1"/>
                <w:bCs w:val="1"/>
                <w:color w:val="520B90"/>
                <w:w w:val="97"/>
              </w:rPr>
              <w:t>($)(a)</w:t>
            </w:r>
          </w:p>
        </w:tc>
        <w:tc>
          <w:tcPr>
            <w:tcW w:w="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6"/>
                <w:szCs w:val="16"/>
                <w:b w:val="1"/>
                <w:bCs w:val="1"/>
                <w:color w:val="520B90"/>
                <w:w w:val="99"/>
              </w:rPr>
              <w:t>($)(b)</w:t>
            </w:r>
          </w:p>
        </w:tc>
        <w:tc>
          <w:tcPr>
            <w:tcW w:w="100" w:type="dxa"/>
            <w:vAlign w:val="bottom"/>
          </w:tcPr>
          <w:p>
            <w:pPr>
              <w:spacing w:after="0"/>
              <w:rPr>
                <w:sz w:val="18"/>
                <w:szCs w:val="18"/>
                <w:color w:val="auto"/>
              </w:rPr>
            </w:pPr>
          </w:p>
        </w:tc>
        <w:tc>
          <w:tcPr>
            <w:tcW w:w="2100" w:type="dxa"/>
            <w:vAlign w:val="bottom"/>
          </w:tcPr>
          <w:p>
            <w:pPr>
              <w:ind w:left="880"/>
              <w:spacing w:after="0"/>
              <w:rPr>
                <w:sz w:val="20"/>
                <w:szCs w:val="20"/>
                <w:color w:val="auto"/>
              </w:rPr>
            </w:pPr>
            <w:r>
              <w:rPr>
                <w:rFonts w:ascii="Arial" w:cs="Arial" w:eastAsia="Arial" w:hAnsi="Arial"/>
                <w:sz w:val="16"/>
                <w:szCs w:val="16"/>
                <w:b w:val="1"/>
                <w:bCs w:val="1"/>
                <w:color w:val="520B90"/>
              </w:rPr>
              <w:t>($)(c)</w:t>
            </w:r>
          </w:p>
        </w:tc>
        <w:tc>
          <w:tcPr>
            <w:tcW w:w="10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6"/>
                <w:szCs w:val="16"/>
                <w:b w:val="1"/>
                <w:bCs w:val="1"/>
                <w:color w:val="520B90"/>
                <w:w w:val="99"/>
              </w:rPr>
              <w:t>($)(d)</w:t>
            </w:r>
          </w:p>
        </w:tc>
      </w:tr>
      <w:tr>
        <w:trPr>
          <w:trHeight w:val="21"/>
        </w:trPr>
        <w:tc>
          <w:tcPr>
            <w:tcW w:w="1120" w:type="dxa"/>
            <w:vAlign w:val="bottom"/>
            <w:tcBorders>
              <w:bottom w:val="single" w:sz="8" w:color="520B90"/>
            </w:tcBorders>
          </w:tcPr>
          <w:p>
            <w:pPr>
              <w:spacing w:after="0" w:line="20" w:lineRule="exact"/>
              <w:rPr>
                <w:sz w:val="1"/>
                <w:szCs w:val="1"/>
                <w:color w:val="auto"/>
              </w:rPr>
            </w:pPr>
          </w:p>
        </w:tc>
        <w:tc>
          <w:tcPr>
            <w:tcW w:w="1300" w:type="dxa"/>
            <w:vAlign w:val="bottom"/>
            <w:tcBorders>
              <w:bottom w:val="single" w:sz="8" w:color="520B9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Borders>
              <w:bottom w:val="single" w:sz="8" w:color="520B9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tcBorders>
              <w:bottom w:val="single" w:sz="8" w:color="520B9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Borders>
              <w:bottom w:val="single" w:sz="8" w:color="520B9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Borders>
              <w:bottom w:val="single" w:sz="8" w:color="520B90"/>
            </w:tcBorders>
          </w:tcPr>
          <w:p>
            <w:pPr>
              <w:spacing w:after="0" w:line="20" w:lineRule="exact"/>
              <w:rPr>
                <w:sz w:val="1"/>
                <w:szCs w:val="1"/>
                <w:color w:val="auto"/>
              </w:rPr>
            </w:pPr>
          </w:p>
        </w:tc>
      </w:tr>
      <w:tr>
        <w:trPr>
          <w:trHeight w:val="205"/>
        </w:trPr>
        <w:tc>
          <w:tcPr>
            <w:tcW w:w="2420" w:type="dxa"/>
            <w:vAlign w:val="bottom"/>
            <w:gridSpan w:val="2"/>
            <w:shd w:val="clear" w:color="auto" w:fill="E6E7E7"/>
          </w:tcPr>
          <w:p>
            <w:pPr>
              <w:ind w:left="20"/>
              <w:spacing w:after="0"/>
              <w:rPr>
                <w:sz w:val="20"/>
                <w:szCs w:val="20"/>
                <w:color w:val="auto"/>
              </w:rPr>
            </w:pPr>
            <w:r>
              <w:rPr>
                <w:rFonts w:ascii="Arial" w:cs="Arial" w:eastAsia="Arial" w:hAnsi="Arial"/>
                <w:sz w:val="16"/>
                <w:szCs w:val="16"/>
                <w:b w:val="1"/>
                <w:bCs w:val="1"/>
                <w:color w:val="520B90"/>
              </w:rPr>
              <w:t>P. Robert Bartolo</w:t>
            </w:r>
          </w:p>
        </w:tc>
        <w:tc>
          <w:tcPr>
            <w:tcW w:w="100" w:type="dxa"/>
            <w:vAlign w:val="bottom"/>
          </w:tcPr>
          <w:p>
            <w:pPr>
              <w:spacing w:after="0"/>
              <w:rPr>
                <w:sz w:val="17"/>
                <w:szCs w:val="17"/>
                <w:color w:val="auto"/>
              </w:rPr>
            </w:pPr>
          </w:p>
        </w:tc>
        <w:tc>
          <w:tcPr>
            <w:tcW w:w="210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135,000</w:t>
            </w:r>
          </w:p>
        </w:tc>
        <w:tc>
          <w:tcPr>
            <w:tcW w:w="80" w:type="dxa"/>
            <w:vAlign w:val="bottom"/>
          </w:tcPr>
          <w:p>
            <w:pPr>
              <w:spacing w:after="0"/>
              <w:rPr>
                <w:sz w:val="17"/>
                <w:szCs w:val="17"/>
                <w:color w:val="auto"/>
              </w:rPr>
            </w:pPr>
          </w:p>
        </w:tc>
        <w:tc>
          <w:tcPr>
            <w:tcW w:w="210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379,990</w:t>
            </w:r>
          </w:p>
        </w:tc>
        <w:tc>
          <w:tcPr>
            <w:tcW w:w="100" w:type="dxa"/>
            <w:vAlign w:val="bottom"/>
          </w:tcPr>
          <w:p>
            <w:pPr>
              <w:spacing w:after="0"/>
              <w:rPr>
                <w:sz w:val="17"/>
                <w:szCs w:val="17"/>
                <w:color w:val="auto"/>
              </w:rPr>
            </w:pPr>
          </w:p>
        </w:tc>
        <w:tc>
          <w:tcPr>
            <w:tcW w:w="210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8"/>
              </w:rPr>
              <w:t>26,445</w:t>
            </w:r>
          </w:p>
        </w:tc>
        <w:tc>
          <w:tcPr>
            <w:tcW w:w="100" w:type="dxa"/>
            <w:vAlign w:val="bottom"/>
          </w:tcPr>
          <w:p>
            <w:pPr>
              <w:spacing w:after="0"/>
              <w:rPr>
                <w:sz w:val="17"/>
                <w:szCs w:val="17"/>
                <w:color w:val="auto"/>
              </w:rPr>
            </w:pPr>
          </w:p>
        </w:tc>
        <w:tc>
          <w:tcPr>
            <w:tcW w:w="212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541,435</w:t>
            </w:r>
          </w:p>
        </w:tc>
      </w:tr>
      <w:tr>
        <w:trPr>
          <w:trHeight w:val="212"/>
        </w:trPr>
        <w:tc>
          <w:tcPr>
            <w:tcW w:w="2420" w:type="dxa"/>
            <w:vAlign w:val="bottom"/>
            <w:gridSpan w:val="2"/>
          </w:tcPr>
          <w:p>
            <w:pPr>
              <w:ind w:left="20"/>
              <w:spacing w:after="0" w:line="211" w:lineRule="exact"/>
              <w:rPr>
                <w:sz w:val="20"/>
                <w:szCs w:val="20"/>
                <w:color w:val="auto"/>
              </w:rPr>
            </w:pPr>
            <w:r>
              <w:rPr>
                <w:rFonts w:ascii="Arial" w:cs="Arial" w:eastAsia="Arial" w:hAnsi="Arial"/>
                <w:sz w:val="16"/>
                <w:szCs w:val="16"/>
                <w:b w:val="1"/>
                <w:bCs w:val="1"/>
                <w:color w:val="520B90"/>
              </w:rPr>
              <w:t>Cindy Christy</w:t>
            </w:r>
            <w:r>
              <w:rPr>
                <w:rFonts w:ascii="Arial" w:cs="Arial" w:eastAsia="Arial" w:hAnsi="Arial"/>
                <w:sz w:val="20"/>
                <w:szCs w:val="20"/>
                <w:b w:val="1"/>
                <w:bCs w:val="1"/>
                <w:color w:val="520B90"/>
                <w:vertAlign w:val="superscript"/>
              </w:rPr>
              <w:t>(e)</w:t>
            </w:r>
          </w:p>
        </w:tc>
        <w:tc>
          <w:tcPr>
            <w:tcW w:w="10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6"/>
                <w:szCs w:val="16"/>
                <w:color w:val="auto"/>
                <w:w w:val="98"/>
              </w:rPr>
              <w:t>53,750</w:t>
            </w:r>
          </w:p>
        </w:tc>
        <w:tc>
          <w:tcPr>
            <w:tcW w:w="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6"/>
                <w:szCs w:val="16"/>
                <w:color w:val="auto"/>
                <w:w w:val="98"/>
              </w:rPr>
              <w:t>88,789</w:t>
            </w:r>
          </w:p>
        </w:tc>
        <w:tc>
          <w:tcPr>
            <w:tcW w:w="10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6"/>
                <w:szCs w:val="16"/>
                <w:color w:val="auto"/>
              </w:rPr>
              <w:t>142,539</w:t>
            </w:r>
          </w:p>
        </w:tc>
      </w:tr>
      <w:tr>
        <w:trPr>
          <w:trHeight w:val="212"/>
        </w:trPr>
        <w:tc>
          <w:tcPr>
            <w:tcW w:w="2420" w:type="dxa"/>
            <w:vAlign w:val="bottom"/>
            <w:gridSpan w:val="2"/>
            <w:shd w:val="clear" w:color="auto" w:fill="E6E7E7"/>
          </w:tcPr>
          <w:p>
            <w:pPr>
              <w:ind w:left="20"/>
              <w:spacing w:after="0" w:line="211" w:lineRule="exact"/>
              <w:rPr>
                <w:sz w:val="20"/>
                <w:szCs w:val="20"/>
                <w:color w:val="auto"/>
              </w:rPr>
            </w:pPr>
            <w:r>
              <w:rPr>
                <w:rFonts w:ascii="Arial" w:cs="Arial" w:eastAsia="Arial" w:hAnsi="Arial"/>
                <w:sz w:val="16"/>
                <w:szCs w:val="16"/>
                <w:b w:val="1"/>
                <w:bCs w:val="1"/>
                <w:color w:val="520B90"/>
              </w:rPr>
              <w:t>Ari Q. Fitzgerald</w:t>
            </w:r>
            <w:r>
              <w:rPr>
                <w:rFonts w:ascii="Arial" w:cs="Arial" w:eastAsia="Arial" w:hAnsi="Arial"/>
                <w:sz w:val="20"/>
                <w:szCs w:val="20"/>
                <w:b w:val="1"/>
                <w:bCs w:val="1"/>
                <w:color w:val="520B90"/>
                <w:vertAlign w:val="superscript"/>
              </w:rPr>
              <w:t>(e)</w:t>
            </w:r>
          </w:p>
        </w:tc>
        <w:tc>
          <w:tcPr>
            <w:tcW w:w="100" w:type="dxa"/>
            <w:vAlign w:val="bottom"/>
          </w:tcPr>
          <w:p>
            <w:pPr>
              <w:spacing w:after="0"/>
              <w:rPr>
                <w:sz w:val="18"/>
                <w:szCs w:val="18"/>
                <w:color w:val="auto"/>
              </w:rPr>
            </w:pPr>
          </w:p>
        </w:tc>
        <w:tc>
          <w:tcPr>
            <w:tcW w:w="210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8"/>
              </w:rPr>
              <w:t>53,750</w:t>
            </w:r>
          </w:p>
        </w:tc>
        <w:tc>
          <w:tcPr>
            <w:tcW w:w="80" w:type="dxa"/>
            <w:vAlign w:val="bottom"/>
          </w:tcPr>
          <w:p>
            <w:pPr>
              <w:spacing w:after="0"/>
              <w:rPr>
                <w:sz w:val="18"/>
                <w:szCs w:val="18"/>
                <w:color w:val="auto"/>
              </w:rPr>
            </w:pPr>
          </w:p>
        </w:tc>
        <w:tc>
          <w:tcPr>
            <w:tcW w:w="210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8"/>
              </w:rPr>
              <w:t>88,789</w:t>
            </w:r>
          </w:p>
        </w:tc>
        <w:tc>
          <w:tcPr>
            <w:tcW w:w="100" w:type="dxa"/>
            <w:vAlign w:val="bottom"/>
          </w:tcPr>
          <w:p>
            <w:pPr>
              <w:spacing w:after="0"/>
              <w:rPr>
                <w:sz w:val="18"/>
                <w:szCs w:val="18"/>
                <w:color w:val="auto"/>
              </w:rPr>
            </w:pPr>
          </w:p>
        </w:tc>
        <w:tc>
          <w:tcPr>
            <w:tcW w:w="210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212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142,539</w:t>
            </w:r>
          </w:p>
        </w:tc>
      </w:tr>
      <w:tr>
        <w:trPr>
          <w:trHeight w:val="212"/>
        </w:trPr>
        <w:tc>
          <w:tcPr>
            <w:tcW w:w="2420" w:type="dxa"/>
            <w:vAlign w:val="bottom"/>
            <w:gridSpan w:val="2"/>
          </w:tcPr>
          <w:p>
            <w:pPr>
              <w:ind w:left="20"/>
              <w:spacing w:after="0"/>
              <w:rPr>
                <w:sz w:val="20"/>
                <w:szCs w:val="20"/>
                <w:color w:val="auto"/>
              </w:rPr>
            </w:pPr>
            <w:r>
              <w:rPr>
                <w:rFonts w:ascii="Arial" w:cs="Arial" w:eastAsia="Arial" w:hAnsi="Arial"/>
                <w:sz w:val="16"/>
                <w:szCs w:val="16"/>
                <w:b w:val="1"/>
                <w:bCs w:val="1"/>
                <w:color w:val="520B90"/>
              </w:rPr>
              <w:t>Jason Genrich</w:t>
            </w:r>
          </w:p>
        </w:tc>
        <w:tc>
          <w:tcPr>
            <w:tcW w:w="10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6"/>
                <w:szCs w:val="16"/>
                <w:color w:val="auto"/>
                <w:w w:val="96"/>
              </w:rPr>
              <w:t>112,500</w:t>
            </w:r>
          </w:p>
        </w:tc>
        <w:tc>
          <w:tcPr>
            <w:tcW w:w="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6"/>
                <w:szCs w:val="16"/>
                <w:color w:val="auto"/>
              </w:rPr>
              <w:t>229,991</w:t>
            </w:r>
          </w:p>
        </w:tc>
        <w:tc>
          <w:tcPr>
            <w:tcW w:w="10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6"/>
                <w:szCs w:val="16"/>
                <w:color w:val="auto"/>
              </w:rPr>
              <w:t>342,491</w:t>
            </w:r>
          </w:p>
        </w:tc>
      </w:tr>
      <w:tr>
        <w:trPr>
          <w:trHeight w:val="212"/>
        </w:trPr>
        <w:tc>
          <w:tcPr>
            <w:tcW w:w="2420" w:type="dxa"/>
            <w:vAlign w:val="bottom"/>
            <w:gridSpan w:val="2"/>
            <w:shd w:val="clear" w:color="auto" w:fill="E6E7E7"/>
          </w:tcPr>
          <w:p>
            <w:pPr>
              <w:ind w:left="20"/>
              <w:spacing w:after="0"/>
              <w:rPr>
                <w:sz w:val="20"/>
                <w:szCs w:val="20"/>
                <w:color w:val="auto"/>
              </w:rPr>
            </w:pPr>
            <w:r>
              <w:rPr>
                <w:rFonts w:ascii="Arial" w:cs="Arial" w:eastAsia="Arial" w:hAnsi="Arial"/>
                <w:sz w:val="16"/>
                <w:szCs w:val="16"/>
                <w:b w:val="1"/>
                <w:bCs w:val="1"/>
                <w:color w:val="520B90"/>
              </w:rPr>
              <w:t>Andrea J. Goldsmith</w:t>
            </w:r>
          </w:p>
        </w:tc>
        <w:tc>
          <w:tcPr>
            <w:tcW w:w="100" w:type="dxa"/>
            <w:vAlign w:val="bottom"/>
          </w:tcPr>
          <w:p>
            <w:pPr>
              <w:spacing w:after="0"/>
              <w:rPr>
                <w:sz w:val="18"/>
                <w:szCs w:val="18"/>
                <w:color w:val="auto"/>
              </w:rPr>
            </w:pPr>
          </w:p>
        </w:tc>
        <w:tc>
          <w:tcPr>
            <w:tcW w:w="210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8"/>
              </w:rPr>
              <w:t>97,500</w:t>
            </w:r>
          </w:p>
        </w:tc>
        <w:tc>
          <w:tcPr>
            <w:tcW w:w="80" w:type="dxa"/>
            <w:vAlign w:val="bottom"/>
          </w:tcPr>
          <w:p>
            <w:pPr>
              <w:spacing w:after="0"/>
              <w:rPr>
                <w:sz w:val="18"/>
                <w:szCs w:val="18"/>
                <w:color w:val="auto"/>
              </w:rPr>
            </w:pPr>
          </w:p>
        </w:tc>
        <w:tc>
          <w:tcPr>
            <w:tcW w:w="210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229,991</w:t>
            </w:r>
          </w:p>
        </w:tc>
        <w:tc>
          <w:tcPr>
            <w:tcW w:w="100" w:type="dxa"/>
            <w:vAlign w:val="bottom"/>
          </w:tcPr>
          <w:p>
            <w:pPr>
              <w:spacing w:after="0"/>
              <w:rPr>
                <w:sz w:val="18"/>
                <w:szCs w:val="18"/>
                <w:color w:val="auto"/>
              </w:rPr>
            </w:pPr>
          </w:p>
        </w:tc>
        <w:tc>
          <w:tcPr>
            <w:tcW w:w="210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212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327,491</w:t>
            </w:r>
          </w:p>
        </w:tc>
      </w:tr>
      <w:tr>
        <w:trPr>
          <w:trHeight w:val="212"/>
        </w:trPr>
        <w:tc>
          <w:tcPr>
            <w:tcW w:w="2420" w:type="dxa"/>
            <w:vAlign w:val="bottom"/>
            <w:gridSpan w:val="2"/>
          </w:tcPr>
          <w:p>
            <w:pPr>
              <w:ind w:left="20"/>
              <w:spacing w:after="0"/>
              <w:rPr>
                <w:sz w:val="20"/>
                <w:szCs w:val="20"/>
                <w:color w:val="auto"/>
              </w:rPr>
            </w:pPr>
            <w:r>
              <w:rPr>
                <w:rFonts w:ascii="Arial" w:cs="Arial" w:eastAsia="Arial" w:hAnsi="Arial"/>
                <w:sz w:val="16"/>
                <w:szCs w:val="16"/>
                <w:b w:val="1"/>
                <w:bCs w:val="1"/>
                <w:color w:val="520B90"/>
              </w:rPr>
              <w:t>Tammy K. Jones</w:t>
            </w:r>
          </w:p>
        </w:tc>
        <w:tc>
          <w:tcPr>
            <w:tcW w:w="10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6"/>
                <w:szCs w:val="16"/>
                <w:color w:val="auto"/>
              </w:rPr>
              <w:t>135,000</w:t>
            </w:r>
          </w:p>
        </w:tc>
        <w:tc>
          <w:tcPr>
            <w:tcW w:w="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6"/>
                <w:szCs w:val="16"/>
                <w:color w:val="auto"/>
              </w:rPr>
              <w:t>229,991</w:t>
            </w:r>
          </w:p>
        </w:tc>
        <w:tc>
          <w:tcPr>
            <w:tcW w:w="10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6"/>
                <w:szCs w:val="16"/>
                <w:color w:val="auto"/>
              </w:rPr>
              <w:t>364,991</w:t>
            </w:r>
          </w:p>
        </w:tc>
      </w:tr>
      <w:tr>
        <w:trPr>
          <w:trHeight w:val="212"/>
        </w:trPr>
        <w:tc>
          <w:tcPr>
            <w:tcW w:w="2420" w:type="dxa"/>
            <w:vAlign w:val="bottom"/>
            <w:gridSpan w:val="2"/>
            <w:shd w:val="clear" w:color="auto" w:fill="E6E7E7"/>
          </w:tcPr>
          <w:p>
            <w:pPr>
              <w:ind w:left="20"/>
              <w:spacing w:after="0"/>
              <w:rPr>
                <w:sz w:val="20"/>
                <w:szCs w:val="20"/>
                <w:color w:val="auto"/>
              </w:rPr>
            </w:pPr>
            <w:r>
              <w:rPr>
                <w:rFonts w:ascii="Arial" w:cs="Arial" w:eastAsia="Arial" w:hAnsi="Arial"/>
                <w:sz w:val="16"/>
                <w:szCs w:val="16"/>
                <w:b w:val="1"/>
                <w:bCs w:val="1"/>
                <w:color w:val="520B90"/>
              </w:rPr>
              <w:t>Kevin T. Kabat</w:t>
            </w:r>
          </w:p>
        </w:tc>
        <w:tc>
          <w:tcPr>
            <w:tcW w:w="100" w:type="dxa"/>
            <w:vAlign w:val="bottom"/>
          </w:tcPr>
          <w:p>
            <w:pPr>
              <w:spacing w:after="0"/>
              <w:rPr>
                <w:sz w:val="18"/>
                <w:szCs w:val="18"/>
                <w:color w:val="auto"/>
              </w:rPr>
            </w:pPr>
          </w:p>
        </w:tc>
        <w:tc>
          <w:tcPr>
            <w:tcW w:w="210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6"/>
              </w:rPr>
              <w:t>117,500</w:t>
            </w:r>
          </w:p>
        </w:tc>
        <w:tc>
          <w:tcPr>
            <w:tcW w:w="80" w:type="dxa"/>
            <w:vAlign w:val="bottom"/>
          </w:tcPr>
          <w:p>
            <w:pPr>
              <w:spacing w:after="0"/>
              <w:rPr>
                <w:sz w:val="18"/>
                <w:szCs w:val="18"/>
                <w:color w:val="auto"/>
              </w:rPr>
            </w:pPr>
          </w:p>
        </w:tc>
        <w:tc>
          <w:tcPr>
            <w:tcW w:w="210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229,991</w:t>
            </w:r>
          </w:p>
        </w:tc>
        <w:tc>
          <w:tcPr>
            <w:tcW w:w="100" w:type="dxa"/>
            <w:vAlign w:val="bottom"/>
          </w:tcPr>
          <w:p>
            <w:pPr>
              <w:spacing w:after="0"/>
              <w:rPr>
                <w:sz w:val="18"/>
                <w:szCs w:val="18"/>
                <w:color w:val="auto"/>
              </w:rPr>
            </w:pPr>
          </w:p>
        </w:tc>
        <w:tc>
          <w:tcPr>
            <w:tcW w:w="210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212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347,491</w:t>
            </w:r>
          </w:p>
        </w:tc>
      </w:tr>
      <w:tr>
        <w:trPr>
          <w:trHeight w:val="212"/>
        </w:trPr>
        <w:tc>
          <w:tcPr>
            <w:tcW w:w="2420" w:type="dxa"/>
            <w:vAlign w:val="bottom"/>
            <w:gridSpan w:val="2"/>
          </w:tcPr>
          <w:p>
            <w:pPr>
              <w:ind w:left="20"/>
              <w:spacing w:after="0"/>
              <w:rPr>
                <w:sz w:val="20"/>
                <w:szCs w:val="20"/>
                <w:color w:val="auto"/>
              </w:rPr>
            </w:pPr>
            <w:r>
              <w:rPr>
                <w:rFonts w:ascii="Arial" w:cs="Arial" w:eastAsia="Arial" w:hAnsi="Arial"/>
                <w:sz w:val="16"/>
                <w:szCs w:val="16"/>
                <w:b w:val="1"/>
                <w:bCs w:val="1"/>
                <w:color w:val="520B90"/>
              </w:rPr>
              <w:t>Anthony J. Melone</w:t>
            </w:r>
          </w:p>
        </w:tc>
        <w:tc>
          <w:tcPr>
            <w:tcW w:w="10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6"/>
                <w:szCs w:val="16"/>
                <w:color w:val="auto"/>
              </w:rPr>
              <w:t>132,500</w:t>
            </w:r>
          </w:p>
        </w:tc>
        <w:tc>
          <w:tcPr>
            <w:tcW w:w="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6"/>
                <w:szCs w:val="16"/>
                <w:color w:val="auto"/>
              </w:rPr>
              <w:t>229,991</w:t>
            </w:r>
          </w:p>
        </w:tc>
        <w:tc>
          <w:tcPr>
            <w:tcW w:w="10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6"/>
                <w:szCs w:val="16"/>
                <w:color w:val="auto"/>
                <w:w w:val="98"/>
              </w:rPr>
              <w:t>16,802</w:t>
            </w:r>
          </w:p>
        </w:tc>
        <w:tc>
          <w:tcPr>
            <w:tcW w:w="10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6"/>
                <w:szCs w:val="16"/>
                <w:color w:val="auto"/>
              </w:rPr>
              <w:t>379,293</w:t>
            </w:r>
          </w:p>
        </w:tc>
      </w:tr>
      <w:tr>
        <w:trPr>
          <w:trHeight w:val="212"/>
        </w:trPr>
        <w:tc>
          <w:tcPr>
            <w:tcW w:w="2420" w:type="dxa"/>
            <w:vAlign w:val="bottom"/>
            <w:gridSpan w:val="2"/>
            <w:shd w:val="clear" w:color="auto" w:fill="E6E7E7"/>
          </w:tcPr>
          <w:p>
            <w:pPr>
              <w:ind w:left="20"/>
              <w:spacing w:after="0"/>
              <w:rPr>
                <w:sz w:val="20"/>
                <w:szCs w:val="20"/>
                <w:color w:val="auto"/>
              </w:rPr>
            </w:pPr>
            <w:r>
              <w:rPr>
                <w:rFonts w:ascii="Arial" w:cs="Arial" w:eastAsia="Arial" w:hAnsi="Arial"/>
                <w:sz w:val="16"/>
                <w:szCs w:val="16"/>
                <w:b w:val="1"/>
                <w:bCs w:val="1"/>
                <w:color w:val="520B90"/>
              </w:rPr>
              <w:t>Katherine Motlagh</w:t>
            </w:r>
          </w:p>
        </w:tc>
        <w:tc>
          <w:tcPr>
            <w:tcW w:w="100" w:type="dxa"/>
            <w:vAlign w:val="bottom"/>
          </w:tcPr>
          <w:p>
            <w:pPr>
              <w:spacing w:after="0"/>
              <w:rPr>
                <w:sz w:val="18"/>
                <w:szCs w:val="18"/>
                <w:color w:val="auto"/>
              </w:rPr>
            </w:pPr>
          </w:p>
        </w:tc>
        <w:tc>
          <w:tcPr>
            <w:tcW w:w="210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8"/>
              </w:rPr>
              <w:t>93,750</w:t>
            </w:r>
          </w:p>
        </w:tc>
        <w:tc>
          <w:tcPr>
            <w:tcW w:w="80" w:type="dxa"/>
            <w:vAlign w:val="bottom"/>
          </w:tcPr>
          <w:p>
            <w:pPr>
              <w:spacing w:after="0"/>
              <w:rPr>
                <w:sz w:val="18"/>
                <w:szCs w:val="18"/>
                <w:color w:val="auto"/>
              </w:rPr>
            </w:pPr>
          </w:p>
        </w:tc>
        <w:tc>
          <w:tcPr>
            <w:tcW w:w="210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258,304</w:t>
            </w:r>
          </w:p>
        </w:tc>
        <w:tc>
          <w:tcPr>
            <w:tcW w:w="100" w:type="dxa"/>
            <w:vAlign w:val="bottom"/>
          </w:tcPr>
          <w:p>
            <w:pPr>
              <w:spacing w:after="0"/>
              <w:rPr>
                <w:sz w:val="18"/>
                <w:szCs w:val="18"/>
                <w:color w:val="auto"/>
              </w:rPr>
            </w:pPr>
          </w:p>
        </w:tc>
        <w:tc>
          <w:tcPr>
            <w:tcW w:w="210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8"/>
              </w:rPr>
              <w:t>21,188</w:t>
            </w:r>
          </w:p>
        </w:tc>
        <w:tc>
          <w:tcPr>
            <w:tcW w:w="100" w:type="dxa"/>
            <w:vAlign w:val="bottom"/>
          </w:tcPr>
          <w:p>
            <w:pPr>
              <w:spacing w:after="0"/>
              <w:rPr>
                <w:sz w:val="18"/>
                <w:szCs w:val="18"/>
                <w:color w:val="auto"/>
              </w:rPr>
            </w:pPr>
          </w:p>
        </w:tc>
        <w:tc>
          <w:tcPr>
            <w:tcW w:w="212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373,242</w:t>
            </w:r>
          </w:p>
        </w:tc>
      </w:tr>
      <w:tr>
        <w:trPr>
          <w:trHeight w:val="212"/>
        </w:trPr>
        <w:tc>
          <w:tcPr>
            <w:tcW w:w="2420" w:type="dxa"/>
            <w:vAlign w:val="bottom"/>
            <w:gridSpan w:val="2"/>
          </w:tcPr>
          <w:p>
            <w:pPr>
              <w:ind w:left="20"/>
              <w:spacing w:after="0" w:line="211" w:lineRule="exact"/>
              <w:rPr>
                <w:sz w:val="20"/>
                <w:szCs w:val="20"/>
                <w:color w:val="auto"/>
              </w:rPr>
            </w:pPr>
            <w:r>
              <w:rPr>
                <w:rFonts w:ascii="Arial" w:cs="Arial" w:eastAsia="Arial" w:hAnsi="Arial"/>
                <w:sz w:val="16"/>
                <w:szCs w:val="16"/>
                <w:b w:val="1"/>
                <w:bCs w:val="1"/>
                <w:color w:val="520B90"/>
              </w:rPr>
              <w:t>Sunit S. Patel</w:t>
            </w:r>
            <w:r>
              <w:rPr>
                <w:rFonts w:ascii="Arial" w:cs="Arial" w:eastAsia="Arial" w:hAnsi="Arial"/>
                <w:sz w:val="20"/>
                <w:szCs w:val="20"/>
                <w:b w:val="1"/>
                <w:bCs w:val="1"/>
                <w:color w:val="520B90"/>
                <w:vertAlign w:val="superscript"/>
              </w:rPr>
              <w:t>(f)</w:t>
            </w:r>
          </w:p>
        </w:tc>
        <w:tc>
          <w:tcPr>
            <w:tcW w:w="10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12"/>
        </w:trPr>
        <w:tc>
          <w:tcPr>
            <w:tcW w:w="2420" w:type="dxa"/>
            <w:vAlign w:val="bottom"/>
            <w:gridSpan w:val="2"/>
            <w:shd w:val="clear" w:color="auto" w:fill="E6E7E7"/>
          </w:tcPr>
          <w:p>
            <w:pPr>
              <w:ind w:left="20"/>
              <w:spacing w:after="0" w:line="211" w:lineRule="exact"/>
              <w:rPr>
                <w:sz w:val="20"/>
                <w:szCs w:val="20"/>
                <w:color w:val="auto"/>
              </w:rPr>
            </w:pPr>
            <w:r>
              <w:rPr>
                <w:rFonts w:ascii="Arial" w:cs="Arial" w:eastAsia="Arial" w:hAnsi="Arial"/>
                <w:sz w:val="16"/>
                <w:szCs w:val="16"/>
                <w:b w:val="1"/>
                <w:bCs w:val="1"/>
                <w:color w:val="520B90"/>
              </w:rPr>
              <w:t>Bradley E. Singer</w:t>
            </w:r>
            <w:r>
              <w:rPr>
                <w:rFonts w:ascii="Arial" w:cs="Arial" w:eastAsia="Arial" w:hAnsi="Arial"/>
                <w:sz w:val="20"/>
                <w:szCs w:val="20"/>
                <w:b w:val="1"/>
                <w:bCs w:val="1"/>
                <w:color w:val="520B90"/>
                <w:vertAlign w:val="superscript"/>
              </w:rPr>
              <w:t>(e)</w:t>
            </w:r>
          </w:p>
        </w:tc>
        <w:tc>
          <w:tcPr>
            <w:tcW w:w="100" w:type="dxa"/>
            <w:vAlign w:val="bottom"/>
          </w:tcPr>
          <w:p>
            <w:pPr>
              <w:spacing w:after="0"/>
              <w:rPr>
                <w:sz w:val="18"/>
                <w:szCs w:val="18"/>
                <w:color w:val="auto"/>
              </w:rPr>
            </w:pPr>
          </w:p>
        </w:tc>
        <w:tc>
          <w:tcPr>
            <w:tcW w:w="210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8"/>
              </w:rPr>
              <w:t>60,000</w:t>
            </w:r>
          </w:p>
        </w:tc>
        <w:tc>
          <w:tcPr>
            <w:tcW w:w="80" w:type="dxa"/>
            <w:vAlign w:val="bottom"/>
          </w:tcPr>
          <w:p>
            <w:pPr>
              <w:spacing w:after="0"/>
              <w:rPr>
                <w:sz w:val="18"/>
                <w:szCs w:val="18"/>
                <w:color w:val="auto"/>
              </w:rPr>
            </w:pPr>
          </w:p>
        </w:tc>
        <w:tc>
          <w:tcPr>
            <w:tcW w:w="210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229,991</w:t>
            </w:r>
          </w:p>
        </w:tc>
        <w:tc>
          <w:tcPr>
            <w:tcW w:w="100" w:type="dxa"/>
            <w:vAlign w:val="bottom"/>
          </w:tcPr>
          <w:p>
            <w:pPr>
              <w:spacing w:after="0"/>
              <w:rPr>
                <w:sz w:val="18"/>
                <w:szCs w:val="18"/>
                <w:color w:val="auto"/>
              </w:rPr>
            </w:pPr>
          </w:p>
        </w:tc>
        <w:tc>
          <w:tcPr>
            <w:tcW w:w="210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212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289,991</w:t>
            </w:r>
          </w:p>
        </w:tc>
      </w:tr>
      <w:tr>
        <w:trPr>
          <w:trHeight w:val="212"/>
        </w:trPr>
        <w:tc>
          <w:tcPr>
            <w:tcW w:w="2420" w:type="dxa"/>
            <w:vAlign w:val="bottom"/>
            <w:gridSpan w:val="2"/>
          </w:tcPr>
          <w:p>
            <w:pPr>
              <w:ind w:left="20"/>
              <w:spacing w:after="0"/>
              <w:rPr>
                <w:sz w:val="20"/>
                <w:szCs w:val="20"/>
                <w:color w:val="auto"/>
              </w:rPr>
            </w:pPr>
            <w:r>
              <w:rPr>
                <w:rFonts w:ascii="Arial" w:cs="Arial" w:eastAsia="Arial" w:hAnsi="Arial"/>
                <w:sz w:val="16"/>
                <w:szCs w:val="16"/>
                <w:b w:val="1"/>
                <w:bCs w:val="1"/>
                <w:color w:val="520B90"/>
              </w:rPr>
              <w:t>Kevin A. Stephens</w:t>
            </w:r>
          </w:p>
        </w:tc>
        <w:tc>
          <w:tcPr>
            <w:tcW w:w="10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6"/>
                <w:szCs w:val="16"/>
                <w:color w:val="auto"/>
              </w:rPr>
              <w:t>125,000</w:t>
            </w:r>
          </w:p>
        </w:tc>
        <w:tc>
          <w:tcPr>
            <w:tcW w:w="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6"/>
                <w:szCs w:val="16"/>
                <w:color w:val="auto"/>
              </w:rPr>
              <w:t>229,991</w:t>
            </w:r>
          </w:p>
        </w:tc>
        <w:tc>
          <w:tcPr>
            <w:tcW w:w="10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6"/>
                <w:szCs w:val="16"/>
                <w:color w:val="auto"/>
                <w:w w:val="98"/>
              </w:rPr>
              <w:t>16,802</w:t>
            </w:r>
          </w:p>
        </w:tc>
        <w:tc>
          <w:tcPr>
            <w:tcW w:w="10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6"/>
                <w:szCs w:val="16"/>
                <w:color w:val="auto"/>
              </w:rPr>
              <w:t>371,793</w:t>
            </w:r>
          </w:p>
        </w:tc>
      </w:tr>
      <w:tr>
        <w:trPr>
          <w:trHeight w:val="212"/>
        </w:trPr>
        <w:tc>
          <w:tcPr>
            <w:tcW w:w="2420" w:type="dxa"/>
            <w:vAlign w:val="bottom"/>
            <w:gridSpan w:val="2"/>
            <w:shd w:val="clear" w:color="auto" w:fill="E6E7E7"/>
          </w:tcPr>
          <w:p>
            <w:pPr>
              <w:ind w:left="20"/>
              <w:spacing w:after="0"/>
              <w:rPr>
                <w:sz w:val="20"/>
                <w:szCs w:val="20"/>
                <w:color w:val="auto"/>
              </w:rPr>
            </w:pPr>
            <w:r>
              <w:rPr>
                <w:rFonts w:ascii="Arial" w:cs="Arial" w:eastAsia="Arial" w:hAnsi="Arial"/>
                <w:sz w:val="16"/>
                <w:szCs w:val="16"/>
                <w:b w:val="1"/>
                <w:bCs w:val="1"/>
                <w:color w:val="520B90"/>
              </w:rPr>
              <w:t>Matthew Thornton, III</w:t>
            </w:r>
          </w:p>
        </w:tc>
        <w:tc>
          <w:tcPr>
            <w:tcW w:w="100" w:type="dxa"/>
            <w:vAlign w:val="bottom"/>
          </w:tcPr>
          <w:p>
            <w:pPr>
              <w:spacing w:after="0"/>
              <w:rPr>
                <w:sz w:val="18"/>
                <w:szCs w:val="18"/>
                <w:color w:val="auto"/>
              </w:rPr>
            </w:pPr>
          </w:p>
        </w:tc>
        <w:tc>
          <w:tcPr>
            <w:tcW w:w="210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122,500</w:t>
            </w:r>
          </w:p>
        </w:tc>
        <w:tc>
          <w:tcPr>
            <w:tcW w:w="80" w:type="dxa"/>
            <w:vAlign w:val="bottom"/>
          </w:tcPr>
          <w:p>
            <w:pPr>
              <w:spacing w:after="0"/>
              <w:rPr>
                <w:sz w:val="18"/>
                <w:szCs w:val="18"/>
                <w:color w:val="auto"/>
              </w:rPr>
            </w:pPr>
          </w:p>
        </w:tc>
        <w:tc>
          <w:tcPr>
            <w:tcW w:w="210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229,991</w:t>
            </w:r>
          </w:p>
        </w:tc>
        <w:tc>
          <w:tcPr>
            <w:tcW w:w="100" w:type="dxa"/>
            <w:vAlign w:val="bottom"/>
          </w:tcPr>
          <w:p>
            <w:pPr>
              <w:spacing w:after="0"/>
              <w:rPr>
                <w:sz w:val="18"/>
                <w:szCs w:val="18"/>
                <w:color w:val="auto"/>
              </w:rPr>
            </w:pPr>
          </w:p>
        </w:tc>
        <w:tc>
          <w:tcPr>
            <w:tcW w:w="210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212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352,491</w:t>
            </w:r>
          </w:p>
        </w:tc>
      </w:tr>
      <w:tr>
        <w:trPr>
          <w:trHeight w:val="159"/>
        </w:trPr>
        <w:tc>
          <w:tcPr>
            <w:tcW w:w="1120" w:type="dxa"/>
            <w:vAlign w:val="bottom"/>
            <w:tcBorders>
              <w:bottom w:val="single" w:sz="8" w:color="auto"/>
            </w:tcBorders>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tcPr>
          <w:p>
            <w:pPr>
              <w:spacing w:after="0"/>
              <w:rPr>
                <w:sz w:val="13"/>
                <w:szCs w:val="13"/>
                <w:color w:val="auto"/>
              </w:rPr>
            </w:pPr>
          </w:p>
        </w:tc>
      </w:tr>
    </w:tbl>
    <w:p>
      <w:pPr>
        <w:spacing w:after="0" w:line="120" w:lineRule="exact"/>
        <w:rPr>
          <w:sz w:val="20"/>
          <w:szCs w:val="20"/>
          <w:color w:val="auto"/>
        </w:rPr>
      </w:pPr>
    </w:p>
    <w:p>
      <w:pPr>
        <w:ind w:left="320" w:hanging="314"/>
        <w:spacing w:after="0"/>
        <w:tabs>
          <w:tab w:leader="none" w:pos="320" w:val="left"/>
        </w:tabs>
        <w:numPr>
          <w:ilvl w:val="0"/>
          <w:numId w:val="90"/>
        </w:numPr>
        <w:rPr>
          <w:rFonts w:ascii="Arial" w:cs="Arial" w:eastAsia="Arial" w:hAnsi="Arial"/>
          <w:sz w:val="13"/>
          <w:szCs w:val="13"/>
          <w:color w:val="auto"/>
        </w:rPr>
      </w:pPr>
      <w:r>
        <w:rPr>
          <w:rFonts w:ascii="Arial" w:cs="Arial" w:eastAsia="Arial" w:hAnsi="Arial"/>
          <w:sz w:val="13"/>
          <w:szCs w:val="13"/>
          <w:color w:val="auto"/>
        </w:rPr>
        <w:t>Equals the sum of the Board Retainer, Committee Chair Retainer and Committee Member Retainers, each paid quarterly, earned by the non-employee directors in 2025 as follows:</w:t>
      </w:r>
    </w:p>
    <w:p>
      <w:pPr>
        <w:spacing w:after="0" w:line="379"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327" w:right="359" w:bottom="1440" w:gutter="0" w:footer="0" w:header="0"/>
        </w:sectPr>
      </w:pPr>
    </w:p>
    <w:bookmarkStart w:id="30" w:name="page31"/>
    <w:bookmarkEnd w:id="30"/>
    <w:tbl>
      <w:tblPr>
        <w:tblLayout w:type="fixed"/>
        <w:tblInd w:w="540" w:type="dxa"/>
        <w:tblCellMar>
          <w:top w:w="0" w:type="dxa"/>
          <w:left w:w="0" w:type="dxa"/>
          <w:bottom w:w="0" w:type="dxa"/>
          <w:right w:w="0" w:type="dxa"/>
        </w:tblCellMar>
      </w:tblPr>
      <w:tr>
        <w:trPr>
          <w:trHeight w:val="159"/>
        </w:trPr>
        <w:tc>
          <w:tcPr>
            <w:tcW w:w="2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80" w:type="dxa"/>
            <w:vAlign w:val="bottom"/>
          </w:tcPr>
          <w:p>
            <w:pPr>
              <w:jc w:val="center"/>
              <w:spacing w:after="0"/>
              <w:rPr>
                <w:sz w:val="20"/>
                <w:szCs w:val="20"/>
                <w:color w:val="auto"/>
              </w:rPr>
            </w:pPr>
            <w:r>
              <w:rPr>
                <w:rFonts w:ascii="Arial" w:cs="Arial" w:eastAsia="Arial" w:hAnsi="Arial"/>
                <w:sz w:val="13"/>
                <w:szCs w:val="13"/>
                <w:b w:val="1"/>
                <w:bCs w:val="1"/>
                <w:color w:val="520B90"/>
              </w:rPr>
              <w:t>Committee</w:t>
            </w:r>
          </w:p>
        </w:tc>
        <w:tc>
          <w:tcPr>
            <w:tcW w:w="80" w:type="dxa"/>
            <w:vAlign w:val="bottom"/>
          </w:tcPr>
          <w:p>
            <w:pPr>
              <w:spacing w:after="0"/>
              <w:rPr>
                <w:sz w:val="13"/>
                <w:szCs w:val="13"/>
                <w:color w:val="auto"/>
              </w:rPr>
            </w:pPr>
          </w:p>
        </w:tc>
        <w:tc>
          <w:tcPr>
            <w:tcW w:w="2380" w:type="dxa"/>
            <w:vAlign w:val="bottom"/>
          </w:tcPr>
          <w:p>
            <w:pPr>
              <w:jc w:val="center"/>
              <w:spacing w:after="0"/>
              <w:rPr>
                <w:sz w:val="20"/>
                <w:szCs w:val="20"/>
                <w:color w:val="auto"/>
              </w:rPr>
            </w:pPr>
            <w:r>
              <w:rPr>
                <w:rFonts w:ascii="Arial" w:cs="Arial" w:eastAsia="Arial" w:hAnsi="Arial"/>
                <w:sz w:val="13"/>
                <w:szCs w:val="13"/>
                <w:b w:val="1"/>
                <w:bCs w:val="1"/>
                <w:color w:val="520B90"/>
              </w:rPr>
              <w:t>Committee</w:t>
            </w:r>
          </w:p>
        </w:tc>
      </w:tr>
      <w:tr>
        <w:trPr>
          <w:trHeight w:val="191"/>
        </w:trPr>
        <w:tc>
          <w:tcPr>
            <w:tcW w:w="2480" w:type="dxa"/>
            <w:vAlign w:val="bottom"/>
            <w:tcBorders>
              <w:bottom w:val="single" w:sz="8" w:color="520B90"/>
            </w:tcBorders>
          </w:tcPr>
          <w:p>
            <w:pPr>
              <w:spacing w:after="0"/>
              <w:rPr>
                <w:sz w:val="20"/>
                <w:szCs w:val="20"/>
                <w:color w:val="auto"/>
              </w:rPr>
            </w:pPr>
            <w:r>
              <w:rPr>
                <w:rFonts w:ascii="Arial" w:cs="Arial" w:eastAsia="Arial" w:hAnsi="Arial"/>
                <w:sz w:val="13"/>
                <w:szCs w:val="13"/>
                <w:b w:val="1"/>
                <w:bCs w:val="1"/>
                <w:color w:val="520B90"/>
              </w:rPr>
              <w:t>Name</w:t>
            </w:r>
          </w:p>
        </w:tc>
        <w:tc>
          <w:tcPr>
            <w:tcW w:w="80" w:type="dxa"/>
            <w:vAlign w:val="bottom"/>
          </w:tcPr>
          <w:p>
            <w:pPr>
              <w:spacing w:after="0"/>
              <w:rPr>
                <w:sz w:val="16"/>
                <w:szCs w:val="16"/>
                <w:color w:val="auto"/>
              </w:rPr>
            </w:pPr>
          </w:p>
        </w:tc>
        <w:tc>
          <w:tcPr>
            <w:tcW w:w="2380" w:type="dxa"/>
            <w:vAlign w:val="bottom"/>
            <w:tcBorders>
              <w:bottom w:val="single" w:sz="8" w:color="520B90"/>
            </w:tcBorders>
          </w:tcPr>
          <w:p>
            <w:pPr>
              <w:ind w:left="600"/>
              <w:spacing w:after="0"/>
              <w:rPr>
                <w:sz w:val="20"/>
                <w:szCs w:val="20"/>
                <w:color w:val="auto"/>
              </w:rPr>
            </w:pPr>
            <w:r>
              <w:rPr>
                <w:rFonts w:ascii="Arial" w:cs="Arial" w:eastAsia="Arial" w:hAnsi="Arial"/>
                <w:sz w:val="13"/>
                <w:szCs w:val="13"/>
                <w:b w:val="1"/>
                <w:bCs w:val="1"/>
                <w:color w:val="520B90"/>
              </w:rPr>
              <w:t>Board Retainer ($)</w:t>
            </w:r>
          </w:p>
        </w:tc>
        <w:tc>
          <w:tcPr>
            <w:tcW w:w="80" w:type="dxa"/>
            <w:vAlign w:val="bottom"/>
          </w:tcPr>
          <w:p>
            <w:pPr>
              <w:spacing w:after="0"/>
              <w:rPr>
                <w:sz w:val="16"/>
                <w:szCs w:val="16"/>
                <w:color w:val="auto"/>
              </w:rPr>
            </w:pPr>
          </w:p>
        </w:tc>
        <w:tc>
          <w:tcPr>
            <w:tcW w:w="2380" w:type="dxa"/>
            <w:vAlign w:val="bottom"/>
            <w:tcBorders>
              <w:bottom w:val="single" w:sz="8" w:color="520B90"/>
            </w:tcBorders>
          </w:tcPr>
          <w:p>
            <w:pPr>
              <w:jc w:val="center"/>
              <w:spacing w:after="0"/>
              <w:rPr>
                <w:sz w:val="20"/>
                <w:szCs w:val="20"/>
                <w:color w:val="auto"/>
              </w:rPr>
            </w:pPr>
            <w:r>
              <w:rPr>
                <w:rFonts w:ascii="Arial" w:cs="Arial" w:eastAsia="Arial" w:hAnsi="Arial"/>
                <w:sz w:val="13"/>
                <w:szCs w:val="13"/>
                <w:b w:val="1"/>
                <w:bCs w:val="1"/>
                <w:color w:val="520B90"/>
              </w:rPr>
              <w:t>Chair Retainer ($)</w:t>
            </w:r>
          </w:p>
        </w:tc>
        <w:tc>
          <w:tcPr>
            <w:tcW w:w="80" w:type="dxa"/>
            <w:vAlign w:val="bottom"/>
          </w:tcPr>
          <w:p>
            <w:pPr>
              <w:spacing w:after="0"/>
              <w:rPr>
                <w:sz w:val="16"/>
                <w:szCs w:val="16"/>
                <w:color w:val="auto"/>
              </w:rPr>
            </w:pPr>
          </w:p>
        </w:tc>
        <w:tc>
          <w:tcPr>
            <w:tcW w:w="2380" w:type="dxa"/>
            <w:vAlign w:val="bottom"/>
            <w:tcBorders>
              <w:bottom w:val="single" w:sz="8" w:color="520B90"/>
            </w:tcBorders>
          </w:tcPr>
          <w:p>
            <w:pPr>
              <w:jc w:val="center"/>
              <w:spacing w:after="0"/>
              <w:rPr>
                <w:sz w:val="20"/>
                <w:szCs w:val="20"/>
                <w:color w:val="auto"/>
              </w:rPr>
            </w:pPr>
            <w:r>
              <w:rPr>
                <w:rFonts w:ascii="Arial" w:cs="Arial" w:eastAsia="Arial" w:hAnsi="Arial"/>
                <w:sz w:val="13"/>
                <w:szCs w:val="13"/>
                <w:b w:val="1"/>
                <w:bCs w:val="1"/>
                <w:color w:val="520B90"/>
              </w:rPr>
              <w:t>Member Retainers ($)</w:t>
            </w:r>
          </w:p>
        </w:tc>
      </w:tr>
      <w:tr>
        <w:trPr>
          <w:trHeight w:val="185"/>
        </w:trPr>
        <w:tc>
          <w:tcPr>
            <w:tcW w:w="2480" w:type="dxa"/>
            <w:vAlign w:val="bottom"/>
            <w:shd w:val="clear" w:color="auto" w:fill="E6E7E7"/>
          </w:tcPr>
          <w:p>
            <w:pPr>
              <w:spacing w:after="0"/>
              <w:rPr>
                <w:sz w:val="20"/>
                <w:szCs w:val="20"/>
                <w:color w:val="auto"/>
              </w:rPr>
            </w:pPr>
            <w:r>
              <w:rPr>
                <w:rFonts w:ascii="Arial" w:cs="Arial" w:eastAsia="Arial" w:hAnsi="Arial"/>
                <w:sz w:val="13"/>
                <w:szCs w:val="13"/>
                <w:color w:val="auto"/>
              </w:rPr>
              <w:t>P. Robert Bartolo</w:t>
            </w:r>
          </w:p>
        </w:tc>
        <w:tc>
          <w:tcPr>
            <w:tcW w:w="80" w:type="dxa"/>
            <w:vAlign w:val="bottom"/>
          </w:tcPr>
          <w:p>
            <w:pPr>
              <w:spacing w:after="0"/>
              <w:rPr>
                <w:sz w:val="16"/>
                <w:szCs w:val="16"/>
                <w:color w:val="auto"/>
              </w:rPr>
            </w:pPr>
          </w:p>
        </w:tc>
        <w:tc>
          <w:tcPr>
            <w:tcW w:w="238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85,000</w:t>
            </w:r>
          </w:p>
        </w:tc>
        <w:tc>
          <w:tcPr>
            <w:tcW w:w="80" w:type="dxa"/>
            <w:vAlign w:val="bottom"/>
          </w:tcPr>
          <w:p>
            <w:pPr>
              <w:spacing w:after="0"/>
              <w:rPr>
                <w:sz w:val="16"/>
                <w:szCs w:val="16"/>
                <w:color w:val="auto"/>
              </w:rPr>
            </w:pPr>
          </w:p>
        </w:tc>
        <w:tc>
          <w:tcPr>
            <w:tcW w:w="238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25,000</w:t>
            </w:r>
          </w:p>
        </w:tc>
        <w:tc>
          <w:tcPr>
            <w:tcW w:w="80" w:type="dxa"/>
            <w:vAlign w:val="bottom"/>
          </w:tcPr>
          <w:p>
            <w:pPr>
              <w:spacing w:after="0"/>
              <w:rPr>
                <w:sz w:val="16"/>
                <w:szCs w:val="16"/>
                <w:color w:val="auto"/>
              </w:rPr>
            </w:pPr>
          </w:p>
        </w:tc>
        <w:tc>
          <w:tcPr>
            <w:tcW w:w="238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25,000</w:t>
            </w:r>
          </w:p>
        </w:tc>
      </w:tr>
      <w:tr>
        <w:trPr>
          <w:trHeight w:val="180"/>
        </w:trPr>
        <w:tc>
          <w:tcPr>
            <w:tcW w:w="2480" w:type="dxa"/>
            <w:vAlign w:val="bottom"/>
          </w:tcPr>
          <w:p>
            <w:pPr>
              <w:spacing w:after="0"/>
              <w:rPr>
                <w:sz w:val="20"/>
                <w:szCs w:val="20"/>
                <w:color w:val="auto"/>
              </w:rPr>
            </w:pPr>
            <w:r>
              <w:rPr>
                <w:rFonts w:ascii="Arial" w:cs="Arial" w:eastAsia="Arial" w:hAnsi="Arial"/>
                <w:sz w:val="13"/>
                <w:szCs w:val="13"/>
                <w:color w:val="auto"/>
              </w:rPr>
              <w:t>Cindy Christy</w:t>
            </w:r>
          </w:p>
        </w:tc>
        <w:tc>
          <w:tcPr>
            <w:tcW w:w="2460" w:type="dxa"/>
            <w:vAlign w:val="bottom"/>
            <w:gridSpan w:val="2"/>
          </w:tcPr>
          <w:p>
            <w:pPr>
              <w:jc w:val="center"/>
              <w:spacing w:after="0"/>
              <w:rPr>
                <w:sz w:val="20"/>
                <w:szCs w:val="20"/>
                <w:color w:val="auto"/>
              </w:rPr>
            </w:pPr>
            <w:r>
              <w:rPr>
                <w:rFonts w:ascii="Arial" w:cs="Arial" w:eastAsia="Arial" w:hAnsi="Arial"/>
                <w:sz w:val="13"/>
                <w:szCs w:val="13"/>
                <w:color w:val="auto"/>
              </w:rPr>
              <w:t>42,500</w:t>
            </w:r>
          </w:p>
        </w:tc>
        <w:tc>
          <w:tcPr>
            <w:tcW w:w="80" w:type="dxa"/>
            <w:vAlign w:val="bottom"/>
          </w:tcPr>
          <w:p>
            <w:pPr>
              <w:spacing w:after="0"/>
              <w:rPr>
                <w:sz w:val="15"/>
                <w:szCs w:val="15"/>
                <w:color w:val="auto"/>
              </w:rPr>
            </w:pPr>
          </w:p>
        </w:tc>
        <w:tc>
          <w:tcPr>
            <w:tcW w:w="238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2460" w:type="dxa"/>
            <w:vAlign w:val="bottom"/>
            <w:gridSpan w:val="2"/>
          </w:tcPr>
          <w:p>
            <w:pPr>
              <w:jc w:val="center"/>
              <w:ind w:left="14"/>
              <w:spacing w:after="0"/>
              <w:rPr>
                <w:sz w:val="20"/>
                <w:szCs w:val="20"/>
                <w:color w:val="auto"/>
              </w:rPr>
            </w:pPr>
            <w:r>
              <w:rPr>
                <w:rFonts w:ascii="Arial" w:cs="Arial" w:eastAsia="Arial" w:hAnsi="Arial"/>
                <w:sz w:val="13"/>
                <w:szCs w:val="13"/>
                <w:color w:val="auto"/>
                <w:w w:val="95"/>
              </w:rPr>
              <w:t>11,250</w:t>
            </w:r>
          </w:p>
        </w:tc>
      </w:tr>
      <w:tr>
        <w:trPr>
          <w:trHeight w:val="191"/>
        </w:trPr>
        <w:tc>
          <w:tcPr>
            <w:tcW w:w="2480" w:type="dxa"/>
            <w:vAlign w:val="bottom"/>
            <w:shd w:val="clear" w:color="auto" w:fill="E6E7E7"/>
          </w:tcPr>
          <w:p>
            <w:pPr>
              <w:spacing w:after="0"/>
              <w:rPr>
                <w:sz w:val="20"/>
                <w:szCs w:val="20"/>
                <w:color w:val="auto"/>
              </w:rPr>
            </w:pPr>
            <w:r>
              <w:rPr>
                <w:rFonts w:ascii="Arial" w:cs="Arial" w:eastAsia="Arial" w:hAnsi="Arial"/>
                <w:sz w:val="13"/>
                <w:szCs w:val="13"/>
                <w:color w:val="auto"/>
              </w:rPr>
              <w:t>Ari Q. Fitzgerald</w:t>
            </w:r>
          </w:p>
        </w:tc>
        <w:tc>
          <w:tcPr>
            <w:tcW w:w="80" w:type="dxa"/>
            <w:vAlign w:val="bottom"/>
          </w:tcPr>
          <w:p>
            <w:pPr>
              <w:spacing w:after="0"/>
              <w:rPr>
                <w:sz w:val="16"/>
                <w:szCs w:val="16"/>
                <w:color w:val="auto"/>
              </w:rPr>
            </w:pPr>
          </w:p>
        </w:tc>
        <w:tc>
          <w:tcPr>
            <w:tcW w:w="238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42,500</w:t>
            </w:r>
          </w:p>
        </w:tc>
        <w:tc>
          <w:tcPr>
            <w:tcW w:w="80" w:type="dxa"/>
            <w:vAlign w:val="bottom"/>
          </w:tcPr>
          <w:p>
            <w:pPr>
              <w:spacing w:after="0"/>
              <w:rPr>
                <w:sz w:val="16"/>
                <w:szCs w:val="16"/>
                <w:color w:val="auto"/>
              </w:rPr>
            </w:pPr>
          </w:p>
        </w:tc>
        <w:tc>
          <w:tcPr>
            <w:tcW w:w="2380" w:type="dxa"/>
            <w:vAlign w:val="bottom"/>
            <w:shd w:val="clear" w:color="auto" w:fill="E6E7E7"/>
          </w:tcPr>
          <w:p>
            <w:pPr>
              <w:jc w:val="center"/>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6"/>
                <w:szCs w:val="16"/>
                <w:color w:val="auto"/>
              </w:rPr>
            </w:pPr>
          </w:p>
        </w:tc>
        <w:tc>
          <w:tcPr>
            <w:tcW w:w="2380" w:type="dxa"/>
            <w:vAlign w:val="bottom"/>
            <w:shd w:val="clear" w:color="auto" w:fill="E6E7E7"/>
          </w:tcPr>
          <w:p>
            <w:pPr>
              <w:jc w:val="center"/>
              <w:spacing w:after="0"/>
              <w:rPr>
                <w:sz w:val="20"/>
                <w:szCs w:val="20"/>
                <w:color w:val="auto"/>
              </w:rPr>
            </w:pPr>
            <w:r>
              <w:rPr>
                <w:rFonts w:ascii="Arial" w:cs="Arial" w:eastAsia="Arial" w:hAnsi="Arial"/>
                <w:sz w:val="13"/>
                <w:szCs w:val="13"/>
                <w:color w:val="auto"/>
                <w:w w:val="95"/>
              </w:rPr>
              <w:t>11,250</w:t>
            </w:r>
          </w:p>
        </w:tc>
      </w:tr>
      <w:tr>
        <w:trPr>
          <w:trHeight w:val="180"/>
        </w:trPr>
        <w:tc>
          <w:tcPr>
            <w:tcW w:w="2480" w:type="dxa"/>
            <w:vAlign w:val="bottom"/>
          </w:tcPr>
          <w:p>
            <w:pPr>
              <w:spacing w:after="0"/>
              <w:rPr>
                <w:sz w:val="20"/>
                <w:szCs w:val="20"/>
                <w:color w:val="auto"/>
              </w:rPr>
            </w:pPr>
            <w:r>
              <w:rPr>
                <w:rFonts w:ascii="Arial" w:cs="Arial" w:eastAsia="Arial" w:hAnsi="Arial"/>
                <w:sz w:val="13"/>
                <w:szCs w:val="13"/>
                <w:color w:val="auto"/>
              </w:rPr>
              <w:t>Jason Genrich</w:t>
            </w:r>
          </w:p>
        </w:tc>
        <w:tc>
          <w:tcPr>
            <w:tcW w:w="2460" w:type="dxa"/>
            <w:vAlign w:val="bottom"/>
            <w:gridSpan w:val="2"/>
          </w:tcPr>
          <w:p>
            <w:pPr>
              <w:jc w:val="center"/>
              <w:spacing w:after="0"/>
              <w:rPr>
                <w:sz w:val="20"/>
                <w:szCs w:val="20"/>
                <w:color w:val="auto"/>
              </w:rPr>
            </w:pPr>
            <w:r>
              <w:rPr>
                <w:rFonts w:ascii="Arial" w:cs="Arial" w:eastAsia="Arial" w:hAnsi="Arial"/>
                <w:sz w:val="13"/>
                <w:szCs w:val="13"/>
                <w:color w:val="auto"/>
              </w:rPr>
              <w:t>85,000</w:t>
            </w:r>
          </w:p>
        </w:tc>
        <w:tc>
          <w:tcPr>
            <w:tcW w:w="80" w:type="dxa"/>
            <w:vAlign w:val="bottom"/>
          </w:tcPr>
          <w:p>
            <w:pPr>
              <w:spacing w:after="0"/>
              <w:rPr>
                <w:sz w:val="15"/>
                <w:szCs w:val="15"/>
                <w:color w:val="auto"/>
              </w:rPr>
            </w:pPr>
          </w:p>
        </w:tc>
        <w:tc>
          <w:tcPr>
            <w:tcW w:w="238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2460" w:type="dxa"/>
            <w:vAlign w:val="bottom"/>
            <w:gridSpan w:val="2"/>
          </w:tcPr>
          <w:p>
            <w:pPr>
              <w:jc w:val="center"/>
              <w:ind w:left="14"/>
              <w:spacing w:after="0"/>
              <w:rPr>
                <w:sz w:val="20"/>
                <w:szCs w:val="20"/>
                <w:color w:val="auto"/>
              </w:rPr>
            </w:pPr>
            <w:r>
              <w:rPr>
                <w:rFonts w:ascii="Arial" w:cs="Arial" w:eastAsia="Arial" w:hAnsi="Arial"/>
                <w:sz w:val="13"/>
                <w:szCs w:val="13"/>
                <w:color w:val="auto"/>
              </w:rPr>
              <w:t>27,500</w:t>
            </w:r>
          </w:p>
        </w:tc>
      </w:tr>
      <w:tr>
        <w:trPr>
          <w:trHeight w:val="191"/>
        </w:trPr>
        <w:tc>
          <w:tcPr>
            <w:tcW w:w="2480" w:type="dxa"/>
            <w:vAlign w:val="bottom"/>
            <w:shd w:val="clear" w:color="auto" w:fill="E6E7E7"/>
          </w:tcPr>
          <w:p>
            <w:pPr>
              <w:spacing w:after="0"/>
              <w:rPr>
                <w:sz w:val="20"/>
                <w:szCs w:val="20"/>
                <w:color w:val="auto"/>
              </w:rPr>
            </w:pPr>
            <w:r>
              <w:rPr>
                <w:rFonts w:ascii="Arial" w:cs="Arial" w:eastAsia="Arial" w:hAnsi="Arial"/>
                <w:sz w:val="13"/>
                <w:szCs w:val="13"/>
                <w:color w:val="auto"/>
              </w:rPr>
              <w:t>Andrea J. Goldsmith</w:t>
            </w:r>
          </w:p>
        </w:tc>
        <w:tc>
          <w:tcPr>
            <w:tcW w:w="80" w:type="dxa"/>
            <w:vAlign w:val="bottom"/>
          </w:tcPr>
          <w:p>
            <w:pPr>
              <w:spacing w:after="0"/>
              <w:rPr>
                <w:sz w:val="16"/>
                <w:szCs w:val="16"/>
                <w:color w:val="auto"/>
              </w:rPr>
            </w:pPr>
          </w:p>
        </w:tc>
        <w:tc>
          <w:tcPr>
            <w:tcW w:w="238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85,000</w:t>
            </w:r>
          </w:p>
        </w:tc>
        <w:tc>
          <w:tcPr>
            <w:tcW w:w="80" w:type="dxa"/>
            <w:vAlign w:val="bottom"/>
          </w:tcPr>
          <w:p>
            <w:pPr>
              <w:spacing w:after="0"/>
              <w:rPr>
                <w:sz w:val="16"/>
                <w:szCs w:val="16"/>
                <w:color w:val="auto"/>
              </w:rPr>
            </w:pPr>
          </w:p>
        </w:tc>
        <w:tc>
          <w:tcPr>
            <w:tcW w:w="2380" w:type="dxa"/>
            <w:vAlign w:val="bottom"/>
            <w:shd w:val="clear" w:color="auto" w:fill="E6E7E7"/>
          </w:tcPr>
          <w:p>
            <w:pPr>
              <w:jc w:val="center"/>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6"/>
                <w:szCs w:val="16"/>
                <w:color w:val="auto"/>
              </w:rPr>
            </w:pPr>
          </w:p>
        </w:tc>
        <w:tc>
          <w:tcPr>
            <w:tcW w:w="238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12,500</w:t>
            </w:r>
          </w:p>
        </w:tc>
      </w:tr>
      <w:tr>
        <w:trPr>
          <w:trHeight w:val="180"/>
        </w:trPr>
        <w:tc>
          <w:tcPr>
            <w:tcW w:w="2480" w:type="dxa"/>
            <w:vAlign w:val="bottom"/>
          </w:tcPr>
          <w:p>
            <w:pPr>
              <w:spacing w:after="0"/>
              <w:rPr>
                <w:sz w:val="20"/>
                <w:szCs w:val="20"/>
                <w:color w:val="auto"/>
              </w:rPr>
            </w:pPr>
            <w:r>
              <w:rPr>
                <w:rFonts w:ascii="Arial" w:cs="Arial" w:eastAsia="Arial" w:hAnsi="Arial"/>
                <w:sz w:val="13"/>
                <w:szCs w:val="13"/>
                <w:color w:val="auto"/>
              </w:rPr>
              <w:t>Tammy K. Jones</w:t>
            </w:r>
          </w:p>
        </w:tc>
        <w:tc>
          <w:tcPr>
            <w:tcW w:w="2460" w:type="dxa"/>
            <w:vAlign w:val="bottom"/>
            <w:gridSpan w:val="2"/>
          </w:tcPr>
          <w:p>
            <w:pPr>
              <w:jc w:val="center"/>
              <w:spacing w:after="0"/>
              <w:rPr>
                <w:sz w:val="20"/>
                <w:szCs w:val="20"/>
                <w:color w:val="auto"/>
              </w:rPr>
            </w:pPr>
            <w:r>
              <w:rPr>
                <w:rFonts w:ascii="Arial" w:cs="Arial" w:eastAsia="Arial" w:hAnsi="Arial"/>
                <w:sz w:val="13"/>
                <w:szCs w:val="13"/>
                <w:color w:val="auto"/>
              </w:rPr>
              <w:t>85,000</w:t>
            </w:r>
          </w:p>
        </w:tc>
        <w:tc>
          <w:tcPr>
            <w:tcW w:w="2460" w:type="dxa"/>
            <w:vAlign w:val="bottom"/>
            <w:gridSpan w:val="2"/>
          </w:tcPr>
          <w:p>
            <w:pPr>
              <w:jc w:val="center"/>
              <w:spacing w:after="0"/>
              <w:rPr>
                <w:sz w:val="20"/>
                <w:szCs w:val="20"/>
                <w:color w:val="auto"/>
              </w:rPr>
            </w:pPr>
            <w:r>
              <w:rPr>
                <w:rFonts w:ascii="Arial" w:cs="Arial" w:eastAsia="Arial" w:hAnsi="Arial"/>
                <w:sz w:val="13"/>
                <w:szCs w:val="13"/>
                <w:color w:val="auto"/>
              </w:rPr>
              <w:t>20,000</w:t>
            </w:r>
          </w:p>
        </w:tc>
        <w:tc>
          <w:tcPr>
            <w:tcW w:w="2460" w:type="dxa"/>
            <w:vAlign w:val="bottom"/>
            <w:gridSpan w:val="2"/>
          </w:tcPr>
          <w:p>
            <w:pPr>
              <w:jc w:val="center"/>
              <w:ind w:left="14"/>
              <w:spacing w:after="0"/>
              <w:rPr>
                <w:sz w:val="20"/>
                <w:szCs w:val="20"/>
                <w:color w:val="auto"/>
              </w:rPr>
            </w:pPr>
            <w:r>
              <w:rPr>
                <w:rFonts w:ascii="Arial" w:cs="Arial" w:eastAsia="Arial" w:hAnsi="Arial"/>
                <w:sz w:val="13"/>
                <w:szCs w:val="13"/>
                <w:color w:val="auto"/>
              </w:rPr>
              <w:t>30,000</w:t>
            </w:r>
          </w:p>
        </w:tc>
      </w:tr>
      <w:tr>
        <w:trPr>
          <w:trHeight w:val="191"/>
        </w:trPr>
        <w:tc>
          <w:tcPr>
            <w:tcW w:w="2480" w:type="dxa"/>
            <w:vAlign w:val="bottom"/>
            <w:shd w:val="clear" w:color="auto" w:fill="E6E7E7"/>
          </w:tcPr>
          <w:p>
            <w:pPr>
              <w:spacing w:after="0"/>
              <w:rPr>
                <w:sz w:val="20"/>
                <w:szCs w:val="20"/>
                <w:color w:val="auto"/>
              </w:rPr>
            </w:pPr>
            <w:r>
              <w:rPr>
                <w:rFonts w:ascii="Arial" w:cs="Arial" w:eastAsia="Arial" w:hAnsi="Arial"/>
                <w:sz w:val="13"/>
                <w:szCs w:val="13"/>
                <w:color w:val="auto"/>
              </w:rPr>
              <w:t>Kevin T. Kabat</w:t>
            </w:r>
          </w:p>
        </w:tc>
        <w:tc>
          <w:tcPr>
            <w:tcW w:w="80" w:type="dxa"/>
            <w:vAlign w:val="bottom"/>
          </w:tcPr>
          <w:p>
            <w:pPr>
              <w:spacing w:after="0"/>
              <w:rPr>
                <w:sz w:val="16"/>
                <w:szCs w:val="16"/>
                <w:color w:val="auto"/>
              </w:rPr>
            </w:pPr>
          </w:p>
        </w:tc>
        <w:tc>
          <w:tcPr>
            <w:tcW w:w="238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85,000</w:t>
            </w:r>
          </w:p>
        </w:tc>
        <w:tc>
          <w:tcPr>
            <w:tcW w:w="80" w:type="dxa"/>
            <w:vAlign w:val="bottom"/>
          </w:tcPr>
          <w:p>
            <w:pPr>
              <w:spacing w:after="0"/>
              <w:rPr>
                <w:sz w:val="16"/>
                <w:szCs w:val="16"/>
                <w:color w:val="auto"/>
              </w:rPr>
            </w:pPr>
          </w:p>
        </w:tc>
        <w:tc>
          <w:tcPr>
            <w:tcW w:w="238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10,000</w:t>
            </w:r>
          </w:p>
        </w:tc>
        <w:tc>
          <w:tcPr>
            <w:tcW w:w="80" w:type="dxa"/>
            <w:vAlign w:val="bottom"/>
          </w:tcPr>
          <w:p>
            <w:pPr>
              <w:spacing w:after="0"/>
              <w:rPr>
                <w:sz w:val="16"/>
                <w:szCs w:val="16"/>
                <w:color w:val="auto"/>
              </w:rPr>
            </w:pPr>
          </w:p>
        </w:tc>
        <w:tc>
          <w:tcPr>
            <w:tcW w:w="238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22,500</w:t>
            </w:r>
          </w:p>
        </w:tc>
      </w:tr>
      <w:tr>
        <w:trPr>
          <w:trHeight w:val="180"/>
        </w:trPr>
        <w:tc>
          <w:tcPr>
            <w:tcW w:w="2480" w:type="dxa"/>
            <w:vAlign w:val="bottom"/>
          </w:tcPr>
          <w:p>
            <w:pPr>
              <w:spacing w:after="0"/>
              <w:rPr>
                <w:sz w:val="20"/>
                <w:szCs w:val="20"/>
                <w:color w:val="auto"/>
              </w:rPr>
            </w:pPr>
            <w:r>
              <w:rPr>
                <w:rFonts w:ascii="Arial" w:cs="Arial" w:eastAsia="Arial" w:hAnsi="Arial"/>
                <w:sz w:val="13"/>
                <w:szCs w:val="13"/>
                <w:color w:val="auto"/>
              </w:rPr>
              <w:t>Anthony J. Melone</w:t>
            </w:r>
          </w:p>
        </w:tc>
        <w:tc>
          <w:tcPr>
            <w:tcW w:w="2460" w:type="dxa"/>
            <w:vAlign w:val="bottom"/>
            <w:gridSpan w:val="2"/>
          </w:tcPr>
          <w:p>
            <w:pPr>
              <w:jc w:val="center"/>
              <w:spacing w:after="0"/>
              <w:rPr>
                <w:sz w:val="20"/>
                <w:szCs w:val="20"/>
                <w:color w:val="auto"/>
              </w:rPr>
            </w:pPr>
            <w:r>
              <w:rPr>
                <w:rFonts w:ascii="Arial" w:cs="Arial" w:eastAsia="Arial" w:hAnsi="Arial"/>
                <w:sz w:val="13"/>
                <w:szCs w:val="13"/>
                <w:color w:val="auto"/>
              </w:rPr>
              <w:t>85,000</w:t>
            </w:r>
          </w:p>
        </w:tc>
        <w:tc>
          <w:tcPr>
            <w:tcW w:w="2460" w:type="dxa"/>
            <w:vAlign w:val="bottom"/>
            <w:gridSpan w:val="2"/>
          </w:tcPr>
          <w:p>
            <w:pPr>
              <w:jc w:val="center"/>
              <w:spacing w:after="0"/>
              <w:rPr>
                <w:sz w:val="20"/>
                <w:szCs w:val="20"/>
                <w:color w:val="auto"/>
              </w:rPr>
            </w:pPr>
            <w:r>
              <w:rPr>
                <w:rFonts w:ascii="Arial" w:cs="Arial" w:eastAsia="Arial" w:hAnsi="Arial"/>
                <w:sz w:val="13"/>
                <w:szCs w:val="13"/>
                <w:color w:val="auto"/>
              </w:rPr>
              <w:t>30,000</w:t>
            </w:r>
          </w:p>
        </w:tc>
        <w:tc>
          <w:tcPr>
            <w:tcW w:w="2460" w:type="dxa"/>
            <w:vAlign w:val="bottom"/>
            <w:gridSpan w:val="2"/>
          </w:tcPr>
          <w:p>
            <w:pPr>
              <w:jc w:val="center"/>
              <w:ind w:left="14"/>
              <w:spacing w:after="0"/>
              <w:rPr>
                <w:sz w:val="20"/>
                <w:szCs w:val="20"/>
                <w:color w:val="auto"/>
              </w:rPr>
            </w:pPr>
            <w:r>
              <w:rPr>
                <w:rFonts w:ascii="Arial" w:cs="Arial" w:eastAsia="Arial" w:hAnsi="Arial"/>
                <w:sz w:val="13"/>
                <w:szCs w:val="13"/>
                <w:color w:val="auto"/>
              </w:rPr>
              <w:t>17,500</w:t>
            </w:r>
          </w:p>
        </w:tc>
      </w:tr>
      <w:tr>
        <w:trPr>
          <w:trHeight w:val="191"/>
        </w:trPr>
        <w:tc>
          <w:tcPr>
            <w:tcW w:w="2480" w:type="dxa"/>
            <w:vAlign w:val="bottom"/>
            <w:shd w:val="clear" w:color="auto" w:fill="E6E7E7"/>
          </w:tcPr>
          <w:p>
            <w:pPr>
              <w:spacing w:after="0"/>
              <w:rPr>
                <w:sz w:val="20"/>
                <w:szCs w:val="20"/>
                <w:color w:val="auto"/>
              </w:rPr>
            </w:pPr>
            <w:r>
              <w:rPr>
                <w:rFonts w:ascii="Arial" w:cs="Arial" w:eastAsia="Arial" w:hAnsi="Arial"/>
                <w:sz w:val="13"/>
                <w:szCs w:val="13"/>
                <w:color w:val="auto"/>
              </w:rPr>
              <w:t>Katherine Motlagh*</w:t>
            </w:r>
          </w:p>
        </w:tc>
        <w:tc>
          <w:tcPr>
            <w:tcW w:w="80" w:type="dxa"/>
            <w:vAlign w:val="bottom"/>
          </w:tcPr>
          <w:p>
            <w:pPr>
              <w:spacing w:after="0"/>
              <w:rPr>
                <w:sz w:val="16"/>
                <w:szCs w:val="16"/>
                <w:color w:val="auto"/>
              </w:rPr>
            </w:pPr>
          </w:p>
        </w:tc>
        <w:tc>
          <w:tcPr>
            <w:tcW w:w="238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63,750</w:t>
            </w:r>
          </w:p>
        </w:tc>
        <w:tc>
          <w:tcPr>
            <w:tcW w:w="80" w:type="dxa"/>
            <w:vAlign w:val="bottom"/>
          </w:tcPr>
          <w:p>
            <w:pPr>
              <w:spacing w:after="0"/>
              <w:rPr>
                <w:sz w:val="16"/>
                <w:szCs w:val="16"/>
                <w:color w:val="auto"/>
              </w:rPr>
            </w:pPr>
          </w:p>
        </w:tc>
        <w:tc>
          <w:tcPr>
            <w:tcW w:w="238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10,000</w:t>
            </w:r>
          </w:p>
        </w:tc>
        <w:tc>
          <w:tcPr>
            <w:tcW w:w="80" w:type="dxa"/>
            <w:vAlign w:val="bottom"/>
          </w:tcPr>
          <w:p>
            <w:pPr>
              <w:spacing w:after="0"/>
              <w:rPr>
                <w:sz w:val="16"/>
                <w:szCs w:val="16"/>
                <w:color w:val="auto"/>
              </w:rPr>
            </w:pPr>
          </w:p>
        </w:tc>
        <w:tc>
          <w:tcPr>
            <w:tcW w:w="238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20,000</w:t>
            </w:r>
          </w:p>
        </w:tc>
      </w:tr>
      <w:tr>
        <w:trPr>
          <w:trHeight w:val="180"/>
        </w:trPr>
        <w:tc>
          <w:tcPr>
            <w:tcW w:w="2480" w:type="dxa"/>
            <w:vAlign w:val="bottom"/>
          </w:tcPr>
          <w:p>
            <w:pPr>
              <w:spacing w:after="0"/>
              <w:rPr>
                <w:sz w:val="20"/>
                <w:szCs w:val="20"/>
                <w:color w:val="auto"/>
              </w:rPr>
            </w:pPr>
            <w:r>
              <w:rPr>
                <w:rFonts w:ascii="Arial" w:cs="Arial" w:eastAsia="Arial" w:hAnsi="Arial"/>
                <w:sz w:val="13"/>
                <w:szCs w:val="13"/>
                <w:color w:val="auto"/>
              </w:rPr>
              <w:t>Sunit S. Patel</w:t>
            </w:r>
          </w:p>
        </w:tc>
        <w:tc>
          <w:tcPr>
            <w:tcW w:w="80" w:type="dxa"/>
            <w:vAlign w:val="bottom"/>
          </w:tcPr>
          <w:p>
            <w:pPr>
              <w:spacing w:after="0"/>
              <w:rPr>
                <w:sz w:val="15"/>
                <w:szCs w:val="15"/>
                <w:color w:val="auto"/>
              </w:rPr>
            </w:pPr>
          </w:p>
        </w:tc>
        <w:tc>
          <w:tcPr>
            <w:tcW w:w="238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238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2380" w:type="dxa"/>
            <w:vAlign w:val="bottom"/>
          </w:tcPr>
          <w:p>
            <w:pPr>
              <w:jc w:val="center"/>
              <w:spacing w:after="0"/>
              <w:rPr>
                <w:sz w:val="20"/>
                <w:szCs w:val="20"/>
                <w:color w:val="auto"/>
              </w:rPr>
            </w:pPr>
            <w:r>
              <w:rPr>
                <w:rFonts w:ascii="Arial" w:cs="Arial" w:eastAsia="Arial" w:hAnsi="Arial"/>
                <w:sz w:val="13"/>
                <w:szCs w:val="13"/>
                <w:color w:val="auto"/>
              </w:rPr>
              <w:t>—</w:t>
            </w:r>
          </w:p>
        </w:tc>
      </w:tr>
      <w:tr>
        <w:trPr>
          <w:trHeight w:val="191"/>
        </w:trPr>
        <w:tc>
          <w:tcPr>
            <w:tcW w:w="2480" w:type="dxa"/>
            <w:vAlign w:val="bottom"/>
            <w:shd w:val="clear" w:color="auto" w:fill="E6E7E7"/>
          </w:tcPr>
          <w:p>
            <w:pPr>
              <w:spacing w:after="0"/>
              <w:rPr>
                <w:sz w:val="20"/>
                <w:szCs w:val="20"/>
                <w:color w:val="auto"/>
              </w:rPr>
            </w:pPr>
            <w:r>
              <w:rPr>
                <w:rFonts w:ascii="Arial" w:cs="Arial" w:eastAsia="Arial" w:hAnsi="Arial"/>
                <w:sz w:val="13"/>
                <w:szCs w:val="13"/>
                <w:color w:val="auto"/>
              </w:rPr>
              <w:t>Bradley E. Singer*</w:t>
            </w:r>
          </w:p>
        </w:tc>
        <w:tc>
          <w:tcPr>
            <w:tcW w:w="80" w:type="dxa"/>
            <w:vAlign w:val="bottom"/>
          </w:tcPr>
          <w:p>
            <w:pPr>
              <w:spacing w:after="0"/>
              <w:rPr>
                <w:sz w:val="16"/>
                <w:szCs w:val="16"/>
                <w:color w:val="auto"/>
              </w:rPr>
            </w:pPr>
          </w:p>
        </w:tc>
        <w:tc>
          <w:tcPr>
            <w:tcW w:w="238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42,500</w:t>
            </w:r>
          </w:p>
        </w:tc>
        <w:tc>
          <w:tcPr>
            <w:tcW w:w="80" w:type="dxa"/>
            <w:vAlign w:val="bottom"/>
          </w:tcPr>
          <w:p>
            <w:pPr>
              <w:spacing w:after="0"/>
              <w:rPr>
                <w:sz w:val="16"/>
                <w:szCs w:val="16"/>
                <w:color w:val="auto"/>
              </w:rPr>
            </w:pPr>
          </w:p>
        </w:tc>
        <w:tc>
          <w:tcPr>
            <w:tcW w:w="238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10,000</w:t>
            </w:r>
          </w:p>
        </w:tc>
        <w:tc>
          <w:tcPr>
            <w:tcW w:w="80" w:type="dxa"/>
            <w:vAlign w:val="bottom"/>
          </w:tcPr>
          <w:p>
            <w:pPr>
              <w:spacing w:after="0"/>
              <w:rPr>
                <w:sz w:val="16"/>
                <w:szCs w:val="16"/>
                <w:color w:val="auto"/>
              </w:rPr>
            </w:pPr>
          </w:p>
        </w:tc>
        <w:tc>
          <w:tcPr>
            <w:tcW w:w="238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7,500</w:t>
            </w:r>
          </w:p>
        </w:tc>
      </w:tr>
      <w:tr>
        <w:trPr>
          <w:trHeight w:val="180"/>
        </w:trPr>
        <w:tc>
          <w:tcPr>
            <w:tcW w:w="2480" w:type="dxa"/>
            <w:vAlign w:val="bottom"/>
          </w:tcPr>
          <w:p>
            <w:pPr>
              <w:spacing w:after="0"/>
              <w:rPr>
                <w:sz w:val="20"/>
                <w:szCs w:val="20"/>
                <w:color w:val="auto"/>
              </w:rPr>
            </w:pPr>
            <w:r>
              <w:rPr>
                <w:rFonts w:ascii="Arial" w:cs="Arial" w:eastAsia="Arial" w:hAnsi="Arial"/>
                <w:sz w:val="13"/>
                <w:szCs w:val="13"/>
                <w:color w:val="auto"/>
              </w:rPr>
              <w:t>Kevin A. Stephens</w:t>
            </w:r>
          </w:p>
        </w:tc>
        <w:tc>
          <w:tcPr>
            <w:tcW w:w="2460" w:type="dxa"/>
            <w:vAlign w:val="bottom"/>
            <w:gridSpan w:val="2"/>
          </w:tcPr>
          <w:p>
            <w:pPr>
              <w:jc w:val="center"/>
              <w:spacing w:after="0"/>
              <w:rPr>
                <w:sz w:val="20"/>
                <w:szCs w:val="20"/>
                <w:color w:val="auto"/>
              </w:rPr>
            </w:pPr>
            <w:r>
              <w:rPr>
                <w:rFonts w:ascii="Arial" w:cs="Arial" w:eastAsia="Arial" w:hAnsi="Arial"/>
                <w:sz w:val="13"/>
                <w:szCs w:val="13"/>
                <w:color w:val="auto"/>
              </w:rPr>
              <w:t>85,000</w:t>
            </w:r>
          </w:p>
        </w:tc>
        <w:tc>
          <w:tcPr>
            <w:tcW w:w="80" w:type="dxa"/>
            <w:vAlign w:val="bottom"/>
          </w:tcPr>
          <w:p>
            <w:pPr>
              <w:spacing w:after="0"/>
              <w:rPr>
                <w:sz w:val="15"/>
                <w:szCs w:val="15"/>
                <w:color w:val="auto"/>
              </w:rPr>
            </w:pPr>
          </w:p>
        </w:tc>
        <w:tc>
          <w:tcPr>
            <w:tcW w:w="238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2460" w:type="dxa"/>
            <w:vAlign w:val="bottom"/>
            <w:gridSpan w:val="2"/>
          </w:tcPr>
          <w:p>
            <w:pPr>
              <w:jc w:val="center"/>
              <w:ind w:left="14"/>
              <w:spacing w:after="0"/>
              <w:rPr>
                <w:sz w:val="20"/>
                <w:szCs w:val="20"/>
                <w:color w:val="auto"/>
              </w:rPr>
            </w:pPr>
            <w:r>
              <w:rPr>
                <w:rFonts w:ascii="Arial" w:cs="Arial" w:eastAsia="Arial" w:hAnsi="Arial"/>
                <w:sz w:val="13"/>
                <w:szCs w:val="13"/>
                <w:color w:val="auto"/>
              </w:rPr>
              <w:t>40,000</w:t>
            </w:r>
          </w:p>
        </w:tc>
      </w:tr>
      <w:tr>
        <w:trPr>
          <w:trHeight w:val="191"/>
        </w:trPr>
        <w:tc>
          <w:tcPr>
            <w:tcW w:w="2480" w:type="dxa"/>
            <w:vAlign w:val="bottom"/>
            <w:shd w:val="clear" w:color="auto" w:fill="E6E7E7"/>
          </w:tcPr>
          <w:p>
            <w:pPr>
              <w:spacing w:after="0"/>
              <w:rPr>
                <w:sz w:val="20"/>
                <w:szCs w:val="20"/>
                <w:color w:val="auto"/>
              </w:rPr>
            </w:pPr>
            <w:r>
              <w:rPr>
                <w:rFonts w:ascii="Arial" w:cs="Arial" w:eastAsia="Arial" w:hAnsi="Arial"/>
                <w:sz w:val="13"/>
                <w:szCs w:val="13"/>
                <w:color w:val="auto"/>
              </w:rPr>
              <w:t>Matthew Thornton, III</w:t>
            </w:r>
          </w:p>
        </w:tc>
        <w:tc>
          <w:tcPr>
            <w:tcW w:w="80" w:type="dxa"/>
            <w:vAlign w:val="bottom"/>
          </w:tcPr>
          <w:p>
            <w:pPr>
              <w:spacing w:after="0"/>
              <w:rPr>
                <w:sz w:val="16"/>
                <w:szCs w:val="16"/>
                <w:color w:val="auto"/>
              </w:rPr>
            </w:pPr>
          </w:p>
        </w:tc>
        <w:tc>
          <w:tcPr>
            <w:tcW w:w="238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85,000</w:t>
            </w:r>
          </w:p>
        </w:tc>
        <w:tc>
          <w:tcPr>
            <w:tcW w:w="80" w:type="dxa"/>
            <w:vAlign w:val="bottom"/>
          </w:tcPr>
          <w:p>
            <w:pPr>
              <w:spacing w:after="0"/>
              <w:rPr>
                <w:sz w:val="16"/>
                <w:szCs w:val="16"/>
                <w:color w:val="auto"/>
              </w:rPr>
            </w:pPr>
          </w:p>
        </w:tc>
        <w:tc>
          <w:tcPr>
            <w:tcW w:w="238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25,000</w:t>
            </w:r>
          </w:p>
        </w:tc>
        <w:tc>
          <w:tcPr>
            <w:tcW w:w="80" w:type="dxa"/>
            <w:vAlign w:val="bottom"/>
          </w:tcPr>
          <w:p>
            <w:pPr>
              <w:spacing w:after="0"/>
              <w:rPr>
                <w:sz w:val="16"/>
                <w:szCs w:val="16"/>
                <w:color w:val="auto"/>
              </w:rPr>
            </w:pPr>
          </w:p>
        </w:tc>
        <w:tc>
          <w:tcPr>
            <w:tcW w:w="238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12,500</w:t>
            </w:r>
          </w:p>
        </w:tc>
      </w:tr>
    </w:tbl>
    <w:p>
      <w:pPr>
        <w:spacing w:after="0" w:line="111" w:lineRule="exact"/>
        <w:rPr>
          <w:sz w:val="20"/>
          <w:szCs w:val="20"/>
          <w:color w:val="auto"/>
        </w:rPr>
      </w:pPr>
    </w:p>
    <w:p>
      <w:pPr>
        <w:ind w:left="480" w:hanging="77"/>
        <w:spacing w:after="0"/>
        <w:tabs>
          <w:tab w:leader="none" w:pos="480" w:val="left"/>
        </w:tabs>
        <w:numPr>
          <w:ilvl w:val="1"/>
          <w:numId w:val="91"/>
        </w:numPr>
        <w:rPr>
          <w:rFonts w:ascii="Arial" w:cs="Arial" w:eastAsia="Arial" w:hAnsi="Arial"/>
          <w:sz w:val="11"/>
          <w:szCs w:val="11"/>
          <w:color w:val="auto"/>
        </w:rPr>
      </w:pPr>
      <w:r>
        <w:rPr>
          <w:rFonts w:ascii="Arial" w:cs="Arial" w:eastAsia="Arial" w:hAnsi="Arial"/>
          <w:sz w:val="11"/>
          <w:szCs w:val="11"/>
          <w:color w:val="auto"/>
        </w:rPr>
        <w:t>Reflects the Committee Chair Retainer earned by Mr. Singer and Ms. Motlagh for two quarters served as Chair of the Finance Committee for 2025.</w:t>
      </w:r>
    </w:p>
    <w:p>
      <w:pPr>
        <w:spacing w:after="0" w:line="40" w:lineRule="exact"/>
        <w:rPr>
          <w:rFonts w:ascii="Arial" w:cs="Arial" w:eastAsia="Arial" w:hAnsi="Arial"/>
          <w:sz w:val="11"/>
          <w:szCs w:val="11"/>
          <w:color w:val="auto"/>
        </w:rPr>
      </w:pPr>
    </w:p>
    <w:p>
      <w:pPr>
        <w:ind w:left="320" w:right="80" w:hanging="314"/>
        <w:spacing w:after="0" w:line="264" w:lineRule="auto"/>
        <w:tabs>
          <w:tab w:leader="none" w:pos="311" w:val="left"/>
        </w:tabs>
        <w:numPr>
          <w:ilvl w:val="0"/>
          <w:numId w:val="91"/>
        </w:numPr>
        <w:rPr>
          <w:rFonts w:ascii="Arial" w:cs="Arial" w:eastAsia="Arial" w:hAnsi="Arial"/>
          <w:sz w:val="13"/>
          <w:szCs w:val="13"/>
          <w:color w:val="auto"/>
        </w:rPr>
      </w:pPr>
      <w:r>
        <w:rPr>
          <w:rFonts w:ascii="Arial" w:cs="Arial" w:eastAsia="Arial" w:hAnsi="Arial"/>
          <w:sz w:val="13"/>
          <w:szCs w:val="13"/>
          <w:color w:val="auto"/>
        </w:rPr>
        <w:t>Represents shares of unrestricted Common Stock granted to eligible non-employee directors in 2025. The amounts shown are approximately equal to the number of shares granted as the 2025 Annual Equity Grant (4,147 shares for Mr. Bartolo, 969 shares for each of Ms. Christy and Mr. Fitzgerald and 2,510 shares for each other non-employee directors), multiplied by $91.63 (except for Ms. Motlagh), which was the closing price per share of Common Stock on February 26, 2025, the date such grants were approved by the Board. Ms. Motlagh received 2,510 shares in lieu of an Initial Equity Grant, since her effective appointment date (March 17, 2025) occurred near the grant date of the 2025 Annual Equity Grant. The valuation of her 2025 Annual Equity Grant reflects the closing price per share of Common Stock on March 17, 2025, which was $102.91.</w:t>
      </w:r>
    </w:p>
    <w:p>
      <w:pPr>
        <w:spacing w:after="0" w:line="11" w:lineRule="exact"/>
        <w:rPr>
          <w:rFonts w:ascii="Arial" w:cs="Arial" w:eastAsia="Arial" w:hAnsi="Arial"/>
          <w:sz w:val="13"/>
          <w:szCs w:val="13"/>
          <w:color w:val="auto"/>
        </w:rPr>
      </w:pPr>
    </w:p>
    <w:p>
      <w:pPr>
        <w:ind w:left="320" w:right="260" w:hanging="314"/>
        <w:spacing w:after="0" w:line="276" w:lineRule="auto"/>
        <w:tabs>
          <w:tab w:leader="none" w:pos="304" w:val="left"/>
        </w:tabs>
        <w:numPr>
          <w:ilvl w:val="0"/>
          <w:numId w:val="91"/>
        </w:numPr>
        <w:rPr>
          <w:rFonts w:ascii="Arial" w:cs="Arial" w:eastAsia="Arial" w:hAnsi="Arial"/>
          <w:sz w:val="13"/>
          <w:szCs w:val="13"/>
          <w:color w:val="auto"/>
        </w:rPr>
      </w:pPr>
      <w:r>
        <w:rPr>
          <w:rFonts w:ascii="Arial" w:cs="Arial" w:eastAsia="Arial" w:hAnsi="Arial"/>
          <w:sz w:val="13"/>
          <w:szCs w:val="13"/>
          <w:color w:val="auto"/>
        </w:rPr>
        <w:t>Represents the portion of the medical, dental and vision premiums paid by us for the non-employee directors in 2025. The director also pays a portion of the medical, dental and vision premiums.</w:t>
      </w:r>
    </w:p>
    <w:p>
      <w:pPr>
        <w:ind w:left="320" w:hanging="314"/>
        <w:spacing w:after="0"/>
        <w:tabs>
          <w:tab w:leader="none" w:pos="320" w:val="left"/>
        </w:tabs>
        <w:numPr>
          <w:ilvl w:val="0"/>
          <w:numId w:val="91"/>
        </w:numPr>
        <w:rPr>
          <w:rFonts w:ascii="Arial" w:cs="Arial" w:eastAsia="Arial" w:hAnsi="Arial"/>
          <w:sz w:val="13"/>
          <w:szCs w:val="13"/>
          <w:color w:val="auto"/>
        </w:rPr>
      </w:pPr>
      <w:r>
        <w:rPr>
          <w:rFonts w:ascii="Arial" w:cs="Arial" w:eastAsia="Arial" w:hAnsi="Arial"/>
          <w:sz w:val="13"/>
          <w:szCs w:val="13"/>
          <w:color w:val="auto"/>
        </w:rPr>
        <w:t>Equal to the sum of Fees Earned or Paid in Cash, Stock Awards and All Other Compensation for the non-employee directors in 2025.</w:t>
      </w:r>
    </w:p>
    <w:p>
      <w:pPr>
        <w:spacing w:after="0" w:line="49" w:lineRule="exact"/>
        <w:rPr>
          <w:rFonts w:ascii="Arial" w:cs="Arial" w:eastAsia="Arial" w:hAnsi="Arial"/>
          <w:sz w:val="13"/>
          <w:szCs w:val="13"/>
          <w:color w:val="auto"/>
        </w:rPr>
      </w:pPr>
    </w:p>
    <w:p>
      <w:pPr>
        <w:ind w:left="320" w:right="420" w:hanging="314"/>
        <w:spacing w:after="0" w:line="286" w:lineRule="auto"/>
        <w:tabs>
          <w:tab w:leader="none" w:pos="311" w:val="left"/>
        </w:tabs>
        <w:numPr>
          <w:ilvl w:val="0"/>
          <w:numId w:val="91"/>
        </w:numPr>
        <w:rPr>
          <w:rFonts w:ascii="Arial" w:cs="Arial" w:eastAsia="Arial" w:hAnsi="Arial"/>
          <w:sz w:val="13"/>
          <w:szCs w:val="13"/>
          <w:color w:val="auto"/>
        </w:rPr>
      </w:pPr>
      <w:r>
        <w:rPr>
          <w:rFonts w:ascii="Arial" w:cs="Arial" w:eastAsia="Arial" w:hAnsi="Arial"/>
          <w:sz w:val="13"/>
          <w:szCs w:val="13"/>
          <w:color w:val="auto"/>
        </w:rPr>
        <w:t>Represents compensation earned by each of Messrs. Fitzgerald and Singer and Ms. Christy for services rendered in 2025 prior to their departure from the Board, effective upon the expiration of their terms as directors at the 2025 Annual Meeting.</w:t>
      </w:r>
    </w:p>
    <w:p>
      <w:pPr>
        <w:spacing w:after="0" w:line="1" w:lineRule="exact"/>
        <w:rPr>
          <w:rFonts w:ascii="Arial" w:cs="Arial" w:eastAsia="Arial" w:hAnsi="Arial"/>
          <w:sz w:val="13"/>
          <w:szCs w:val="13"/>
          <w:color w:val="auto"/>
        </w:rPr>
      </w:pPr>
    </w:p>
    <w:p>
      <w:pPr>
        <w:jc w:val="both"/>
        <w:ind w:left="320" w:right="40" w:hanging="314"/>
        <w:spacing w:after="0" w:line="274" w:lineRule="auto"/>
        <w:tabs>
          <w:tab w:leader="none" w:pos="274" w:val="left"/>
        </w:tabs>
        <w:numPr>
          <w:ilvl w:val="0"/>
          <w:numId w:val="91"/>
        </w:numPr>
        <w:rPr>
          <w:rFonts w:ascii="Arial" w:cs="Arial" w:eastAsia="Arial" w:hAnsi="Arial"/>
          <w:sz w:val="13"/>
          <w:szCs w:val="13"/>
          <w:color w:val="auto"/>
        </w:rPr>
      </w:pPr>
      <w:r>
        <w:rPr>
          <w:rFonts w:ascii="Arial" w:cs="Arial" w:eastAsia="Arial" w:hAnsi="Arial"/>
          <w:sz w:val="13"/>
          <w:szCs w:val="13"/>
          <w:color w:val="auto"/>
        </w:rPr>
        <w:t>Mr. Patel resigned from the Board effective March 17, 2025, and was appointed as our EVP &amp; CFO effective April 1, 2025. Mr. Patel was eligible to receive compensation for his service on the Board prior to his service as EVP &amp; CFO. Pursuant to Instruction 3 to Item 402(c) of Regulation S-K, Mr. Patel's compensation for his service as a non-employee director is set forth in the Summary Compensation Table and in the other tables under "IV. Executive Compensation." As such, no amounts are reported for Mr. Patel in this table.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Stock Ownership Guidelines</w:t>
      </w:r>
    </w:p>
    <w:p>
      <w:pPr>
        <w:spacing w:after="0" w:line="16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Board has adopted stock ownership and retention guidelines generally providing that each of our non-employee directors should seek to establish and maintain by the fifth anniversary of the date such director is appointed to the Board beneficial ownership of a number of shares of our Common Stock, having a value sufficient to satisfy a stock ownership level of three times the Annual Equity Grant (defined below) (exclusive of the additional equity award amount for a non-employee Board Chair) for non-employee directors (currently $230,000). A non-employee director generally has until the fifth anniversary after the date of any increase in the Annual Equity Grant to meet the incremental increase to the stock ownership level as a result of such Annual Equity Grant increase.</w:t>
      </w:r>
    </w:p>
    <w:p>
      <w:pPr>
        <w:spacing w:after="0" w:line="131"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Common Stock retention guidelines for non-employee directors are substantially similar to those applicable to our executives as described in "IV. Executive Compensation—Compensation Discussion and Analysis—Executive Compensation Governance, Policy and Practice—Stock Ownership and Retention Guidelines" below.</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66"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i w:val="1"/>
          <w:iCs w:val="1"/>
          <w:color w:val="auto"/>
        </w:rPr>
        <w:t>Review of Transactions with Related Persons</w:t>
      </w:r>
      <w:r>
        <w:rPr>
          <w:rFonts w:ascii="Arial" w:cs="Arial" w:eastAsia="Arial" w:hAnsi="Arial"/>
          <w:sz w:val="18"/>
          <w:szCs w:val="18"/>
          <w:color w:val="auto"/>
        </w:rPr>
        <w:t>. From time to time we may engage in transactions with companies whose officers, directors or</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principals are executive officers or directors of ours or are family members of directors or executive officers of ours. The N&amp;G Committee is primarily responsible for reviewing such transactions. In the course of its review and approval or ratification of such a transaction, the N&amp;G Committee considers various aspects of the transaction it deems appropriate, which may include:</w:t>
      </w:r>
    </w:p>
    <w:p>
      <w:pPr>
        <w:spacing w:after="0" w:line="126" w:lineRule="exact"/>
        <w:rPr>
          <w:sz w:val="20"/>
          <w:szCs w:val="20"/>
          <w:color w:val="auto"/>
        </w:rPr>
      </w:pPr>
    </w:p>
    <w:p>
      <w:pPr>
        <w:ind w:left="640" w:hanging="316"/>
        <w:spacing w:after="0"/>
        <w:tabs>
          <w:tab w:leader="none" w:pos="640" w:val="left"/>
        </w:tabs>
        <w:numPr>
          <w:ilvl w:val="0"/>
          <w:numId w:val="92"/>
        </w:numPr>
        <w:rPr>
          <w:rFonts w:ascii="Arial" w:cs="Arial" w:eastAsia="Arial" w:hAnsi="Arial"/>
          <w:sz w:val="18"/>
          <w:szCs w:val="18"/>
          <w:color w:val="520B90"/>
        </w:rPr>
      </w:pPr>
      <w:r>
        <w:rPr>
          <w:rFonts w:ascii="Arial" w:cs="Arial" w:eastAsia="Arial" w:hAnsi="Arial"/>
          <w:sz w:val="18"/>
          <w:szCs w:val="18"/>
          <w:color w:val="auto"/>
        </w:rPr>
        <w:t>the nature of the related person's interest in the transaction;</w:t>
      </w:r>
    </w:p>
    <w:p>
      <w:pPr>
        <w:spacing w:after="0" w:line="97" w:lineRule="exact"/>
        <w:rPr>
          <w:rFonts w:ascii="Arial" w:cs="Arial" w:eastAsia="Arial" w:hAnsi="Arial"/>
          <w:sz w:val="18"/>
          <w:szCs w:val="18"/>
          <w:color w:val="520B90"/>
        </w:rPr>
      </w:pPr>
    </w:p>
    <w:p>
      <w:pPr>
        <w:ind w:left="640" w:hanging="316"/>
        <w:spacing w:after="0"/>
        <w:tabs>
          <w:tab w:leader="none" w:pos="640" w:val="left"/>
        </w:tabs>
        <w:numPr>
          <w:ilvl w:val="0"/>
          <w:numId w:val="92"/>
        </w:numPr>
        <w:rPr>
          <w:rFonts w:ascii="Arial" w:cs="Arial" w:eastAsia="Arial" w:hAnsi="Arial"/>
          <w:sz w:val="18"/>
          <w:szCs w:val="18"/>
          <w:color w:val="520B90"/>
        </w:rPr>
      </w:pPr>
      <w:r>
        <w:rPr>
          <w:rFonts w:ascii="Arial" w:cs="Arial" w:eastAsia="Arial" w:hAnsi="Arial"/>
          <w:sz w:val="18"/>
          <w:szCs w:val="18"/>
          <w:color w:val="auto"/>
        </w:rPr>
        <w:t>the material terms of the transaction;</w:t>
      </w:r>
    </w:p>
    <w:p>
      <w:pPr>
        <w:spacing w:after="0" w:line="97" w:lineRule="exact"/>
        <w:rPr>
          <w:rFonts w:ascii="Arial" w:cs="Arial" w:eastAsia="Arial" w:hAnsi="Arial"/>
          <w:sz w:val="18"/>
          <w:szCs w:val="18"/>
          <w:color w:val="520B90"/>
        </w:rPr>
      </w:pPr>
    </w:p>
    <w:p>
      <w:pPr>
        <w:ind w:left="640" w:hanging="316"/>
        <w:spacing w:after="0"/>
        <w:tabs>
          <w:tab w:leader="none" w:pos="640" w:val="left"/>
        </w:tabs>
        <w:numPr>
          <w:ilvl w:val="0"/>
          <w:numId w:val="92"/>
        </w:numPr>
        <w:rPr>
          <w:rFonts w:ascii="Arial" w:cs="Arial" w:eastAsia="Arial" w:hAnsi="Arial"/>
          <w:sz w:val="18"/>
          <w:szCs w:val="18"/>
          <w:color w:val="520B90"/>
        </w:rPr>
      </w:pPr>
      <w:r>
        <w:rPr>
          <w:rFonts w:ascii="Arial" w:cs="Arial" w:eastAsia="Arial" w:hAnsi="Arial"/>
          <w:sz w:val="18"/>
          <w:szCs w:val="18"/>
          <w:color w:val="auto"/>
        </w:rPr>
        <w:t>whether such transaction might affect the independent status of a director under NYSE independence standards;</w:t>
      </w:r>
    </w:p>
    <w:p>
      <w:pPr>
        <w:spacing w:after="0" w:line="84" w:lineRule="exact"/>
        <w:rPr>
          <w:rFonts w:ascii="Arial" w:cs="Arial" w:eastAsia="Arial" w:hAnsi="Arial"/>
          <w:sz w:val="18"/>
          <w:szCs w:val="18"/>
          <w:color w:val="520B90"/>
        </w:rPr>
      </w:pPr>
    </w:p>
    <w:p>
      <w:pPr>
        <w:ind w:left="640" w:hanging="316"/>
        <w:spacing w:after="0"/>
        <w:tabs>
          <w:tab w:leader="none" w:pos="640" w:val="left"/>
        </w:tabs>
        <w:numPr>
          <w:ilvl w:val="0"/>
          <w:numId w:val="92"/>
        </w:numPr>
        <w:rPr>
          <w:rFonts w:ascii="Arial" w:cs="Arial" w:eastAsia="Arial" w:hAnsi="Arial"/>
          <w:sz w:val="18"/>
          <w:szCs w:val="18"/>
          <w:color w:val="520B90"/>
        </w:rPr>
      </w:pPr>
      <w:r>
        <w:rPr>
          <w:rFonts w:ascii="Arial" w:cs="Arial" w:eastAsia="Arial" w:hAnsi="Arial"/>
          <w:sz w:val="18"/>
          <w:szCs w:val="18"/>
          <w:color w:val="auto"/>
        </w:rPr>
        <w:t>the importance of the transaction to the related person and to us; and</w:t>
      </w:r>
    </w:p>
    <w:p>
      <w:pPr>
        <w:spacing w:after="0" w:line="392"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31" w:right="339" w:bottom="1440" w:gutter="0" w:footer="0" w:header="0"/>
        </w:sectPr>
      </w:pPr>
    </w:p>
    <w:bookmarkStart w:id="31" w:name="page32"/>
    <w:bookmarkEnd w:id="31"/>
    <w:p>
      <w:pPr>
        <w:ind w:left="640" w:hanging="316"/>
        <w:spacing w:after="0"/>
        <w:tabs>
          <w:tab w:leader="none" w:pos="640" w:val="left"/>
        </w:tabs>
        <w:numPr>
          <w:ilvl w:val="0"/>
          <w:numId w:val="93"/>
        </w:numPr>
        <w:rPr>
          <w:rFonts w:ascii="Arial" w:cs="Arial" w:eastAsia="Arial" w:hAnsi="Arial"/>
          <w:sz w:val="18"/>
          <w:szCs w:val="18"/>
          <w:color w:val="520B90"/>
        </w:rPr>
      </w:pPr>
      <w:r>
        <w:rPr>
          <w:rFonts w:ascii="Arial" w:cs="Arial" w:eastAsia="Arial" w:hAnsi="Arial"/>
          <w:sz w:val="18"/>
          <w:szCs w:val="18"/>
          <w:color w:val="auto"/>
        </w:rPr>
        <w:t>whether the transaction could impair the judgment of a director or executive officer to act in the best interest of our Company.</w:t>
      </w:r>
    </w:p>
    <w:p>
      <w:pPr>
        <w:spacing w:after="0" w:line="164"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Any member of the Board who is a related person with respect to a transaction under review does not participate in the vote relating to approval or ratification of the transaction.</w:t>
      </w:r>
    </w:p>
    <w:p>
      <w:pPr>
        <w:spacing w:after="0" w:line="110"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We have various processes for identifying and reporting conflicts of interests, including related person transactions. Our Conflict of Interest and Disclosure Policy ("Conflicts Policy") provides that each director, executive officer and other employee is expected to avoid engaging in business or conduct, or entering into agreements or arrangements, which would give rise to actual or perceived conflicts of interest. The Conflicts Policy also provides procedures for reporting any actual or perceived conflict of interest. Further, under our Related Party Transactions Policy, each executive officer, director or director nominee is expected to notify the General Counsel or Corporate Secretary prior to the entry into a related person transaction. If a related person transaction is identified, such transaction is brought to the attention of the N&amp;G Committee for its approval, ratification or disapproval in consideration of all of the material facts and circumstances that it deems appropriate. In addition, we annually distribute and review a questionnaire to each of our executive officers and directors requesting certain information regarding, among other things, certain transactions with us in which they or any member of their immediate family has an interest.</w:t>
      </w:r>
    </w:p>
    <w:p>
      <w:pPr>
        <w:spacing w:after="0" w:line="351"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327" w:right="379" w:bottom="1440" w:gutter="0" w:footer="0" w:header="0"/>
        </w:sectPr>
      </w:pPr>
    </w:p>
    <w:bookmarkStart w:id="32" w:name="page33"/>
    <w:bookmarkEnd w:id="32"/>
    <w:p>
      <w:pPr>
        <w:ind w:right="3160" w:firstLine="6"/>
        <w:spacing w:after="0" w:line="430" w:lineRule="auto"/>
        <w:tabs>
          <w:tab w:leader="none" w:pos="245" w:val="left"/>
        </w:tabs>
        <w:numPr>
          <w:ilvl w:val="0"/>
          <w:numId w:val="94"/>
        </w:numPr>
        <w:rPr>
          <w:rFonts w:ascii="Arial" w:cs="Arial" w:eastAsia="Arial" w:hAnsi="Arial"/>
          <w:sz w:val="18"/>
          <w:szCs w:val="18"/>
          <w:b w:val="1"/>
          <w:bCs w:val="1"/>
          <w:color w:val="520B90"/>
        </w:rPr>
      </w:pPr>
      <w:r>
        <w:rPr>
          <w:rFonts w:ascii="Arial" w:cs="Arial" w:eastAsia="Arial" w:hAnsi="Arial"/>
          <w:sz w:val="18"/>
          <w:szCs w:val="18"/>
          <w:b w:val="1"/>
          <w:bCs w:val="1"/>
          <w:color w:val="520B90"/>
        </w:rPr>
        <w:t xml:space="preserve">RATIFICATION OF APPOINTMENT OF INDEPENDENT REGISTERED PUBLIC ACCOUNTANTS </w:t>
      </w:r>
      <w:r>
        <w:rPr>
          <w:rFonts w:ascii="Arial" w:cs="Arial" w:eastAsia="Arial" w:hAnsi="Arial"/>
          <w:sz w:val="18"/>
          <w:szCs w:val="18"/>
          <w:b w:val="1"/>
          <w:bCs w:val="1"/>
          <w:color w:val="000000"/>
        </w:rPr>
        <w:t>Proposal 2</w:t>
      </w:r>
    </w:p>
    <w:p>
      <w:pPr>
        <w:spacing w:after="0" w:line="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Audit Committee has appointed PricewaterhouseCoopers LLP ("PwC") to continue to serve as our independent registered public accountants for fiscal year 2026. In the event the stockholders do not ratify the appointment, the appointment will be reconsidered by the Audit Committee. Approval of the resolution will in no way limit the Audit Committee's authority to terminate or otherwise change the engagement of PwC for fiscal year 2026.</w:t>
      </w:r>
    </w:p>
    <w:p>
      <w:pPr>
        <w:spacing w:after="0" w:line="126" w:lineRule="exact"/>
        <w:rPr>
          <w:sz w:val="20"/>
          <w:szCs w:val="20"/>
          <w:color w:val="auto"/>
        </w:rPr>
      </w:pPr>
    </w:p>
    <w:p>
      <w:pPr>
        <w:ind w:right="220"/>
        <w:spacing w:after="0" w:line="274" w:lineRule="auto"/>
        <w:rPr>
          <w:sz w:val="20"/>
          <w:szCs w:val="20"/>
          <w:color w:val="auto"/>
        </w:rPr>
      </w:pPr>
      <w:r>
        <w:rPr>
          <w:rFonts w:ascii="Arial" w:cs="Arial" w:eastAsia="Arial" w:hAnsi="Arial"/>
          <w:sz w:val="18"/>
          <w:szCs w:val="18"/>
          <w:color w:val="auto"/>
        </w:rPr>
        <w:t>We were billed for professional services provided with respect to fiscal years 2025 and 2024 by PwC in the amounts set forth in the following table:</w:t>
      </w:r>
    </w:p>
    <w:p>
      <w:pPr>
        <w:spacing w:after="0" w:line="86" w:lineRule="exact"/>
        <w:rPr>
          <w:sz w:val="20"/>
          <w:szCs w:val="20"/>
          <w:color w:val="auto"/>
        </w:rPr>
      </w:pPr>
    </w:p>
    <w:tbl>
      <w:tblPr>
        <w:tblLayout w:type="fixed"/>
        <w:tblInd w:w="1020" w:type="dxa"/>
        <w:tblCellMar>
          <w:top w:w="0" w:type="dxa"/>
          <w:left w:w="0" w:type="dxa"/>
          <w:bottom w:w="0" w:type="dxa"/>
          <w:right w:w="0" w:type="dxa"/>
        </w:tblCellMar>
      </w:tblPr>
      <w:tr>
        <w:trPr>
          <w:trHeight w:val="213"/>
        </w:trPr>
        <w:tc>
          <w:tcPr>
            <w:tcW w:w="4960" w:type="dxa"/>
            <w:vAlign w:val="bottom"/>
            <w:tcBorders>
              <w:bottom w:val="single" w:sz="8" w:color="520B90"/>
            </w:tcBorders>
          </w:tcPr>
          <w:p>
            <w:pPr>
              <w:ind w:left="20"/>
              <w:spacing w:after="0"/>
              <w:rPr>
                <w:sz w:val="20"/>
                <w:szCs w:val="20"/>
                <w:color w:val="auto"/>
              </w:rPr>
            </w:pPr>
            <w:r>
              <w:rPr>
                <w:rFonts w:ascii="Arial" w:cs="Arial" w:eastAsia="Arial" w:hAnsi="Arial"/>
                <w:sz w:val="16"/>
                <w:szCs w:val="16"/>
                <w:b w:val="1"/>
                <w:bCs w:val="1"/>
                <w:color w:val="520B90"/>
              </w:rPr>
              <w:t>Services Provided</w:t>
            </w:r>
          </w:p>
        </w:tc>
        <w:tc>
          <w:tcPr>
            <w:tcW w:w="160" w:type="dxa"/>
            <w:vAlign w:val="bottom"/>
          </w:tcPr>
          <w:p>
            <w:pPr>
              <w:spacing w:after="0"/>
              <w:rPr>
                <w:sz w:val="18"/>
                <w:szCs w:val="18"/>
                <w:color w:val="auto"/>
              </w:rPr>
            </w:pPr>
          </w:p>
        </w:tc>
        <w:tc>
          <w:tcPr>
            <w:tcW w:w="680" w:type="dxa"/>
            <w:vAlign w:val="bottom"/>
            <w:tcBorders>
              <w:bottom w:val="single" w:sz="8" w:color="520B90"/>
            </w:tcBorders>
          </w:tcPr>
          <w:p>
            <w:pPr>
              <w:spacing w:after="0"/>
              <w:rPr>
                <w:sz w:val="18"/>
                <w:szCs w:val="18"/>
                <w:color w:val="auto"/>
              </w:rPr>
            </w:pPr>
          </w:p>
        </w:tc>
        <w:tc>
          <w:tcPr>
            <w:tcW w:w="1340" w:type="dxa"/>
            <w:vAlign w:val="bottom"/>
            <w:tcBorders>
              <w:bottom w:val="single" w:sz="8" w:color="520B90"/>
            </w:tcBorders>
          </w:tcPr>
          <w:p>
            <w:pPr>
              <w:jc w:val="right"/>
              <w:spacing w:after="0"/>
              <w:rPr>
                <w:sz w:val="20"/>
                <w:szCs w:val="20"/>
                <w:color w:val="auto"/>
              </w:rPr>
            </w:pPr>
            <w:r>
              <w:rPr>
                <w:rFonts w:ascii="Arial" w:cs="Arial" w:eastAsia="Arial" w:hAnsi="Arial"/>
                <w:sz w:val="16"/>
                <w:szCs w:val="16"/>
                <w:b w:val="1"/>
                <w:bCs w:val="1"/>
                <w:color w:val="520B90"/>
              </w:rPr>
              <w:t>2025</w:t>
            </w:r>
          </w:p>
        </w:tc>
        <w:tc>
          <w:tcPr>
            <w:tcW w:w="160" w:type="dxa"/>
            <w:vAlign w:val="bottom"/>
          </w:tcPr>
          <w:p>
            <w:pPr>
              <w:spacing w:after="0"/>
              <w:rPr>
                <w:sz w:val="18"/>
                <w:szCs w:val="18"/>
                <w:color w:val="auto"/>
              </w:rPr>
            </w:pPr>
          </w:p>
        </w:tc>
        <w:tc>
          <w:tcPr>
            <w:tcW w:w="640" w:type="dxa"/>
            <w:vAlign w:val="bottom"/>
            <w:tcBorders>
              <w:bottom w:val="single" w:sz="8" w:color="520B90"/>
            </w:tcBorders>
          </w:tcPr>
          <w:p>
            <w:pPr>
              <w:spacing w:after="0"/>
              <w:rPr>
                <w:sz w:val="18"/>
                <w:szCs w:val="18"/>
                <w:color w:val="auto"/>
              </w:rPr>
            </w:pPr>
          </w:p>
        </w:tc>
        <w:tc>
          <w:tcPr>
            <w:tcW w:w="1280" w:type="dxa"/>
            <w:vAlign w:val="bottom"/>
            <w:tcBorders>
              <w:bottom w:val="single" w:sz="8" w:color="520B90"/>
            </w:tcBorders>
          </w:tcPr>
          <w:p>
            <w:pPr>
              <w:jc w:val="right"/>
              <w:spacing w:after="0"/>
              <w:rPr>
                <w:sz w:val="20"/>
                <w:szCs w:val="20"/>
                <w:color w:val="auto"/>
              </w:rPr>
            </w:pPr>
            <w:r>
              <w:rPr>
                <w:rFonts w:ascii="Arial" w:cs="Arial" w:eastAsia="Arial" w:hAnsi="Arial"/>
                <w:sz w:val="16"/>
                <w:szCs w:val="16"/>
                <w:b w:val="1"/>
                <w:bCs w:val="1"/>
                <w:color w:val="520B90"/>
              </w:rPr>
              <w:t>2024</w:t>
            </w:r>
          </w:p>
        </w:tc>
      </w:tr>
      <w:tr>
        <w:trPr>
          <w:trHeight w:val="271"/>
        </w:trPr>
        <w:tc>
          <w:tcPr>
            <w:tcW w:w="4960" w:type="dxa"/>
            <w:vAlign w:val="bottom"/>
            <w:shd w:val="clear" w:color="auto" w:fill="E6E7E7"/>
          </w:tcPr>
          <w:p>
            <w:pPr>
              <w:ind w:left="100"/>
              <w:spacing w:after="0"/>
              <w:rPr>
                <w:sz w:val="20"/>
                <w:szCs w:val="20"/>
                <w:color w:val="auto"/>
              </w:rPr>
            </w:pPr>
            <w:r>
              <w:rPr>
                <w:rFonts w:ascii="Arial" w:cs="Arial" w:eastAsia="Arial" w:hAnsi="Arial"/>
                <w:sz w:val="16"/>
                <w:szCs w:val="16"/>
                <w:color w:val="auto"/>
              </w:rPr>
              <w:t>Audit Fees</w:t>
            </w:r>
            <w:r>
              <w:rPr>
                <w:rFonts w:ascii="Arial" w:cs="Arial" w:eastAsia="Arial" w:hAnsi="Arial"/>
                <w:sz w:val="20"/>
                <w:szCs w:val="20"/>
                <w:color w:val="auto"/>
                <w:vertAlign w:val="superscript"/>
              </w:rPr>
              <w:t>(a)</w:t>
            </w:r>
          </w:p>
        </w:tc>
        <w:tc>
          <w:tcPr>
            <w:tcW w:w="160" w:type="dxa"/>
            <w:vAlign w:val="bottom"/>
          </w:tcPr>
          <w:p>
            <w:pPr>
              <w:spacing w:after="0"/>
              <w:rPr>
                <w:sz w:val="23"/>
                <w:szCs w:val="23"/>
                <w:color w:val="auto"/>
              </w:rPr>
            </w:pPr>
          </w:p>
        </w:tc>
        <w:tc>
          <w:tcPr>
            <w:tcW w:w="680" w:type="dxa"/>
            <w:vAlign w:val="bottom"/>
            <w:shd w:val="clear" w:color="auto" w:fill="E6E7E7"/>
          </w:tcPr>
          <w:p>
            <w:pPr>
              <w:jc w:val="right"/>
              <w:ind w:right="501"/>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6E7E7"/>
          </w:tcPr>
          <w:p>
            <w:pPr>
              <w:jc w:val="right"/>
              <w:spacing w:after="0"/>
              <w:rPr>
                <w:sz w:val="20"/>
                <w:szCs w:val="20"/>
                <w:color w:val="auto"/>
              </w:rPr>
            </w:pPr>
            <w:r>
              <w:rPr>
                <w:rFonts w:ascii="Arial" w:cs="Arial" w:eastAsia="Arial" w:hAnsi="Arial"/>
                <w:sz w:val="16"/>
                <w:szCs w:val="16"/>
                <w:color w:val="auto"/>
              </w:rPr>
              <w:t>5,895,000</w:t>
            </w:r>
          </w:p>
        </w:tc>
        <w:tc>
          <w:tcPr>
            <w:tcW w:w="160" w:type="dxa"/>
            <w:vAlign w:val="bottom"/>
          </w:tcPr>
          <w:p>
            <w:pPr>
              <w:spacing w:after="0"/>
              <w:rPr>
                <w:sz w:val="23"/>
                <w:szCs w:val="23"/>
                <w:color w:val="auto"/>
              </w:rPr>
            </w:pPr>
          </w:p>
        </w:tc>
        <w:tc>
          <w:tcPr>
            <w:tcW w:w="640" w:type="dxa"/>
            <w:vAlign w:val="bottom"/>
            <w:shd w:val="clear" w:color="auto" w:fill="E6E7E7"/>
          </w:tcPr>
          <w:p>
            <w:pPr>
              <w:jc w:val="right"/>
              <w:ind w:right="461"/>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E6E7E7"/>
          </w:tcPr>
          <w:p>
            <w:pPr>
              <w:jc w:val="right"/>
              <w:spacing w:after="0"/>
              <w:rPr>
                <w:sz w:val="20"/>
                <w:szCs w:val="20"/>
                <w:color w:val="auto"/>
              </w:rPr>
            </w:pPr>
            <w:r>
              <w:rPr>
                <w:rFonts w:ascii="Arial" w:cs="Arial" w:eastAsia="Arial" w:hAnsi="Arial"/>
                <w:sz w:val="16"/>
                <w:szCs w:val="16"/>
                <w:color w:val="auto"/>
              </w:rPr>
              <w:t>3,800,000</w:t>
            </w:r>
          </w:p>
        </w:tc>
      </w:tr>
      <w:tr>
        <w:trPr>
          <w:trHeight w:val="278"/>
        </w:trPr>
        <w:tc>
          <w:tcPr>
            <w:tcW w:w="4960" w:type="dxa"/>
            <w:vAlign w:val="bottom"/>
          </w:tcPr>
          <w:p>
            <w:pPr>
              <w:ind w:left="100"/>
              <w:spacing w:after="0"/>
              <w:rPr>
                <w:sz w:val="20"/>
                <w:szCs w:val="20"/>
                <w:color w:val="auto"/>
              </w:rPr>
            </w:pPr>
            <w:r>
              <w:rPr>
                <w:rFonts w:ascii="Arial" w:cs="Arial" w:eastAsia="Arial" w:hAnsi="Arial"/>
                <w:sz w:val="16"/>
                <w:szCs w:val="16"/>
                <w:color w:val="auto"/>
              </w:rPr>
              <w:t>Audit-Related Fees</w:t>
            </w:r>
            <w:r>
              <w:rPr>
                <w:rFonts w:ascii="Arial" w:cs="Arial" w:eastAsia="Arial" w:hAnsi="Arial"/>
                <w:sz w:val="20"/>
                <w:szCs w:val="20"/>
                <w:color w:val="auto"/>
                <w:vertAlign w:val="superscript"/>
              </w:rPr>
              <w:t>(b)</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2,120</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2,120</w:t>
            </w:r>
          </w:p>
        </w:tc>
      </w:tr>
      <w:tr>
        <w:trPr>
          <w:trHeight w:val="278"/>
        </w:trPr>
        <w:tc>
          <w:tcPr>
            <w:tcW w:w="4960" w:type="dxa"/>
            <w:vAlign w:val="bottom"/>
            <w:shd w:val="clear" w:color="auto" w:fill="E6E7E7"/>
          </w:tcPr>
          <w:p>
            <w:pPr>
              <w:ind w:left="100"/>
              <w:spacing w:after="0"/>
              <w:rPr>
                <w:sz w:val="20"/>
                <w:szCs w:val="20"/>
                <w:color w:val="auto"/>
              </w:rPr>
            </w:pPr>
            <w:r>
              <w:rPr>
                <w:rFonts w:ascii="Arial" w:cs="Arial" w:eastAsia="Arial" w:hAnsi="Arial"/>
                <w:sz w:val="16"/>
                <w:szCs w:val="16"/>
                <w:color w:val="auto"/>
              </w:rPr>
              <w:t>Tax Fees</w:t>
            </w:r>
            <w:r>
              <w:rPr>
                <w:rFonts w:ascii="Arial" w:cs="Arial" w:eastAsia="Arial" w:hAnsi="Arial"/>
                <w:sz w:val="20"/>
                <w:szCs w:val="20"/>
                <w:color w:val="auto"/>
                <w:vertAlign w:val="superscript"/>
              </w:rPr>
              <w:t>(c)</w:t>
            </w:r>
          </w:p>
        </w:tc>
        <w:tc>
          <w:tcPr>
            <w:tcW w:w="160" w:type="dxa"/>
            <w:vAlign w:val="bottom"/>
          </w:tcPr>
          <w:p>
            <w:pPr>
              <w:spacing w:after="0"/>
              <w:rPr>
                <w:sz w:val="24"/>
                <w:szCs w:val="24"/>
                <w:color w:val="auto"/>
              </w:rPr>
            </w:pPr>
          </w:p>
        </w:tc>
        <w:tc>
          <w:tcPr>
            <w:tcW w:w="680" w:type="dxa"/>
            <w:vAlign w:val="bottom"/>
            <w:shd w:val="clear" w:color="auto" w:fill="E6E7E7"/>
          </w:tcPr>
          <w:p>
            <w:pPr>
              <w:spacing w:after="0"/>
              <w:rPr>
                <w:sz w:val="24"/>
                <w:szCs w:val="24"/>
                <w:color w:val="auto"/>
              </w:rPr>
            </w:pPr>
          </w:p>
        </w:tc>
        <w:tc>
          <w:tcPr>
            <w:tcW w:w="1340" w:type="dxa"/>
            <w:vAlign w:val="bottom"/>
            <w:shd w:val="clear" w:color="auto" w:fill="E6E7E7"/>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40" w:type="dxa"/>
            <w:vAlign w:val="bottom"/>
            <w:shd w:val="clear" w:color="auto" w:fill="E6E7E7"/>
          </w:tcPr>
          <w:p>
            <w:pPr>
              <w:spacing w:after="0"/>
              <w:rPr>
                <w:sz w:val="24"/>
                <w:szCs w:val="24"/>
                <w:color w:val="auto"/>
              </w:rPr>
            </w:pPr>
          </w:p>
        </w:tc>
        <w:tc>
          <w:tcPr>
            <w:tcW w:w="1280" w:type="dxa"/>
            <w:vAlign w:val="bottom"/>
            <w:shd w:val="clear" w:color="auto" w:fill="E6E7E7"/>
          </w:tcPr>
          <w:p>
            <w:pPr>
              <w:jc w:val="right"/>
              <w:spacing w:after="0"/>
              <w:rPr>
                <w:sz w:val="20"/>
                <w:szCs w:val="20"/>
                <w:color w:val="auto"/>
              </w:rPr>
            </w:pPr>
            <w:r>
              <w:rPr>
                <w:rFonts w:ascii="Arial" w:cs="Arial" w:eastAsia="Arial" w:hAnsi="Arial"/>
                <w:sz w:val="16"/>
                <w:szCs w:val="16"/>
                <w:color w:val="auto"/>
              </w:rPr>
              <w:t>—</w:t>
            </w:r>
          </w:p>
        </w:tc>
      </w:tr>
      <w:tr>
        <w:trPr>
          <w:trHeight w:val="278"/>
        </w:trPr>
        <w:tc>
          <w:tcPr>
            <w:tcW w:w="4960" w:type="dxa"/>
            <w:vAlign w:val="bottom"/>
            <w:tcBorders>
              <w:bottom w:val="single" w:sz="8" w:color="E6E7E7"/>
            </w:tcBorders>
          </w:tcPr>
          <w:p>
            <w:pPr>
              <w:ind w:left="100"/>
              <w:spacing w:after="0"/>
              <w:rPr>
                <w:sz w:val="20"/>
                <w:szCs w:val="20"/>
                <w:color w:val="auto"/>
              </w:rPr>
            </w:pPr>
            <w:r>
              <w:rPr>
                <w:rFonts w:ascii="Arial" w:cs="Arial" w:eastAsia="Arial" w:hAnsi="Arial"/>
                <w:sz w:val="16"/>
                <w:szCs w:val="16"/>
                <w:color w:val="auto"/>
              </w:rPr>
              <w:t>All Other Fees</w:t>
            </w:r>
            <w:r>
              <w:rPr>
                <w:rFonts w:ascii="Arial" w:cs="Arial" w:eastAsia="Arial" w:hAnsi="Arial"/>
                <w:sz w:val="20"/>
                <w:szCs w:val="20"/>
                <w:color w:val="auto"/>
                <w:vertAlign w:val="superscript"/>
              </w:rPr>
              <w:t>(d)</w:t>
            </w:r>
          </w:p>
        </w:tc>
        <w:tc>
          <w:tcPr>
            <w:tcW w:w="160" w:type="dxa"/>
            <w:vAlign w:val="bottom"/>
          </w:tcPr>
          <w:p>
            <w:pPr>
              <w:spacing w:after="0"/>
              <w:rPr>
                <w:sz w:val="24"/>
                <w:szCs w:val="24"/>
                <w:color w:val="auto"/>
              </w:rPr>
            </w:pPr>
          </w:p>
        </w:tc>
        <w:tc>
          <w:tcPr>
            <w:tcW w:w="680" w:type="dxa"/>
            <w:vAlign w:val="bottom"/>
            <w:tcBorders>
              <w:bottom w:val="single" w:sz="8" w:color="520B90"/>
            </w:tcBorders>
          </w:tcPr>
          <w:p>
            <w:pPr>
              <w:spacing w:after="0"/>
              <w:rPr>
                <w:sz w:val="24"/>
                <w:szCs w:val="24"/>
                <w:color w:val="auto"/>
              </w:rPr>
            </w:pPr>
          </w:p>
        </w:tc>
        <w:tc>
          <w:tcPr>
            <w:tcW w:w="1340" w:type="dxa"/>
            <w:vAlign w:val="bottom"/>
            <w:tcBorders>
              <w:bottom w:val="single" w:sz="8" w:color="520B90"/>
            </w:tcBorders>
          </w:tcPr>
          <w:p>
            <w:pPr>
              <w:jc w:val="right"/>
              <w:spacing w:after="0"/>
              <w:rPr>
                <w:sz w:val="20"/>
                <w:szCs w:val="20"/>
                <w:color w:val="auto"/>
              </w:rPr>
            </w:pPr>
            <w:r>
              <w:rPr>
                <w:rFonts w:ascii="Arial" w:cs="Arial" w:eastAsia="Arial" w:hAnsi="Arial"/>
                <w:sz w:val="16"/>
                <w:szCs w:val="16"/>
                <w:color w:val="auto"/>
              </w:rPr>
              <w:t>35,000</w:t>
            </w:r>
          </w:p>
        </w:tc>
        <w:tc>
          <w:tcPr>
            <w:tcW w:w="160" w:type="dxa"/>
            <w:vAlign w:val="bottom"/>
          </w:tcPr>
          <w:p>
            <w:pPr>
              <w:spacing w:after="0"/>
              <w:rPr>
                <w:sz w:val="24"/>
                <w:szCs w:val="24"/>
                <w:color w:val="auto"/>
              </w:rPr>
            </w:pPr>
          </w:p>
        </w:tc>
        <w:tc>
          <w:tcPr>
            <w:tcW w:w="640" w:type="dxa"/>
            <w:vAlign w:val="bottom"/>
            <w:tcBorders>
              <w:bottom w:val="single" w:sz="8" w:color="520B90"/>
            </w:tcBorders>
          </w:tcPr>
          <w:p>
            <w:pPr>
              <w:spacing w:after="0"/>
              <w:rPr>
                <w:sz w:val="24"/>
                <w:szCs w:val="24"/>
                <w:color w:val="auto"/>
              </w:rPr>
            </w:pPr>
          </w:p>
        </w:tc>
        <w:tc>
          <w:tcPr>
            <w:tcW w:w="1280" w:type="dxa"/>
            <w:vAlign w:val="bottom"/>
            <w:tcBorders>
              <w:bottom w:val="single" w:sz="8" w:color="520B90"/>
            </w:tcBorders>
          </w:tcPr>
          <w:p>
            <w:pPr>
              <w:jc w:val="right"/>
              <w:spacing w:after="0"/>
              <w:rPr>
                <w:sz w:val="20"/>
                <w:szCs w:val="20"/>
                <w:color w:val="auto"/>
              </w:rPr>
            </w:pPr>
            <w:r>
              <w:rPr>
                <w:rFonts w:ascii="Arial" w:cs="Arial" w:eastAsia="Arial" w:hAnsi="Arial"/>
                <w:sz w:val="16"/>
                <w:szCs w:val="16"/>
                <w:color w:val="auto"/>
              </w:rPr>
              <w:t>35,000</w:t>
            </w:r>
          </w:p>
        </w:tc>
      </w:tr>
      <w:tr>
        <w:trPr>
          <w:trHeight w:val="281"/>
        </w:trPr>
        <w:tc>
          <w:tcPr>
            <w:tcW w:w="4960" w:type="dxa"/>
            <w:vAlign w:val="bottom"/>
            <w:tcBorders>
              <w:bottom w:val="single" w:sz="8" w:color="520B90"/>
            </w:tcBorders>
            <w:shd w:val="clear" w:color="auto" w:fill="E6E7E7"/>
          </w:tcPr>
          <w:p>
            <w:pPr>
              <w:ind w:left="440"/>
              <w:spacing w:after="0"/>
              <w:rPr>
                <w:sz w:val="20"/>
                <w:szCs w:val="20"/>
                <w:color w:val="auto"/>
              </w:rPr>
            </w:pPr>
            <w:r>
              <w:rPr>
                <w:rFonts w:ascii="Arial" w:cs="Arial" w:eastAsia="Arial" w:hAnsi="Arial"/>
                <w:sz w:val="16"/>
                <w:szCs w:val="16"/>
                <w:color w:val="auto"/>
              </w:rPr>
              <w:t>Total</w:t>
            </w:r>
          </w:p>
        </w:tc>
        <w:tc>
          <w:tcPr>
            <w:tcW w:w="160" w:type="dxa"/>
            <w:vAlign w:val="bottom"/>
          </w:tcPr>
          <w:p>
            <w:pPr>
              <w:spacing w:after="0"/>
              <w:rPr>
                <w:sz w:val="24"/>
                <w:szCs w:val="24"/>
                <w:color w:val="auto"/>
              </w:rPr>
            </w:pPr>
          </w:p>
        </w:tc>
        <w:tc>
          <w:tcPr>
            <w:tcW w:w="680" w:type="dxa"/>
            <w:vAlign w:val="bottom"/>
            <w:tcBorders>
              <w:bottom w:val="single" w:sz="8" w:color="520B90"/>
            </w:tcBorders>
            <w:shd w:val="clear" w:color="auto" w:fill="E6E7E7"/>
          </w:tcPr>
          <w:p>
            <w:pPr>
              <w:jc w:val="right"/>
              <w:ind w:right="501"/>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520B90"/>
            </w:tcBorders>
            <w:shd w:val="clear" w:color="auto" w:fill="E6E7E7"/>
          </w:tcPr>
          <w:p>
            <w:pPr>
              <w:jc w:val="right"/>
              <w:spacing w:after="0"/>
              <w:rPr>
                <w:sz w:val="20"/>
                <w:szCs w:val="20"/>
                <w:color w:val="auto"/>
              </w:rPr>
            </w:pPr>
            <w:r>
              <w:rPr>
                <w:rFonts w:ascii="Arial" w:cs="Arial" w:eastAsia="Arial" w:hAnsi="Arial"/>
                <w:sz w:val="16"/>
                <w:szCs w:val="16"/>
                <w:color w:val="auto"/>
              </w:rPr>
              <w:t>5,932,120</w:t>
            </w:r>
          </w:p>
        </w:tc>
        <w:tc>
          <w:tcPr>
            <w:tcW w:w="160" w:type="dxa"/>
            <w:vAlign w:val="bottom"/>
          </w:tcPr>
          <w:p>
            <w:pPr>
              <w:spacing w:after="0"/>
              <w:rPr>
                <w:sz w:val="24"/>
                <w:szCs w:val="24"/>
                <w:color w:val="auto"/>
              </w:rPr>
            </w:pPr>
          </w:p>
        </w:tc>
        <w:tc>
          <w:tcPr>
            <w:tcW w:w="640" w:type="dxa"/>
            <w:vAlign w:val="bottom"/>
            <w:tcBorders>
              <w:bottom w:val="single" w:sz="8" w:color="520B90"/>
            </w:tcBorders>
            <w:shd w:val="clear" w:color="auto" w:fill="E6E7E7"/>
          </w:tcPr>
          <w:p>
            <w:pPr>
              <w:jc w:val="right"/>
              <w:ind w:right="461"/>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520B90"/>
            </w:tcBorders>
            <w:shd w:val="clear" w:color="auto" w:fill="E6E7E7"/>
          </w:tcPr>
          <w:p>
            <w:pPr>
              <w:jc w:val="right"/>
              <w:spacing w:after="0"/>
              <w:rPr>
                <w:sz w:val="20"/>
                <w:szCs w:val="20"/>
                <w:color w:val="auto"/>
              </w:rPr>
            </w:pPr>
            <w:r>
              <w:rPr>
                <w:rFonts w:ascii="Arial" w:cs="Arial" w:eastAsia="Arial" w:hAnsi="Arial"/>
                <w:sz w:val="16"/>
                <w:szCs w:val="16"/>
                <w:color w:val="auto"/>
              </w:rPr>
              <w:t>3,837,120</w:t>
            </w:r>
          </w:p>
        </w:tc>
      </w:tr>
      <w:tr>
        <w:trPr>
          <w:trHeight w:val="20"/>
        </w:trPr>
        <w:tc>
          <w:tcPr>
            <w:tcW w:w="4960" w:type="dxa"/>
            <w:vAlign w:val="bottom"/>
            <w:tcBorders>
              <w:top w:val="single" w:sz="8" w:color="E6E7E7"/>
              <w:bottom w:val="single" w:sz="8" w:color="520B9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E6E7E7"/>
              <w:bottom w:val="single" w:sz="8" w:color="520B90"/>
            </w:tcBorders>
          </w:tcPr>
          <w:p>
            <w:pPr>
              <w:spacing w:after="0" w:line="20" w:lineRule="exact"/>
              <w:rPr>
                <w:sz w:val="1"/>
                <w:szCs w:val="1"/>
                <w:color w:val="auto"/>
              </w:rPr>
            </w:pPr>
          </w:p>
        </w:tc>
        <w:tc>
          <w:tcPr>
            <w:tcW w:w="1340" w:type="dxa"/>
            <w:vAlign w:val="bottom"/>
            <w:tcBorders>
              <w:top w:val="single" w:sz="8" w:color="E6E7E7"/>
              <w:bottom w:val="single" w:sz="8" w:color="520B9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E6E7E7"/>
              <w:bottom w:val="single" w:sz="8" w:color="520B90"/>
            </w:tcBorders>
          </w:tcPr>
          <w:p>
            <w:pPr>
              <w:spacing w:after="0" w:line="20" w:lineRule="exact"/>
              <w:rPr>
                <w:sz w:val="1"/>
                <w:szCs w:val="1"/>
                <w:color w:val="auto"/>
              </w:rPr>
            </w:pPr>
          </w:p>
        </w:tc>
        <w:tc>
          <w:tcPr>
            <w:tcW w:w="1280" w:type="dxa"/>
            <w:vAlign w:val="bottom"/>
            <w:tcBorders>
              <w:top w:val="single" w:sz="8" w:color="E6E7E7"/>
              <w:bottom w:val="single" w:sz="8" w:color="520B9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27749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77495" cy="8255"/>
                    </a:xfrm>
                    <a:prstGeom prst="rect">
                      <a:avLst/>
                    </a:prstGeom>
                    <a:noFill/>
                  </pic:spPr>
                </pic:pic>
              </a:graphicData>
            </a:graphic>
          </wp:anchor>
        </w:drawing>
      </w:r>
    </w:p>
    <w:p>
      <w:pPr>
        <w:spacing w:after="0" w:line="232" w:lineRule="exact"/>
        <w:rPr>
          <w:sz w:val="20"/>
          <w:szCs w:val="20"/>
          <w:color w:val="auto"/>
        </w:rPr>
      </w:pPr>
    </w:p>
    <w:p>
      <w:pPr>
        <w:ind w:left="320" w:hanging="314"/>
        <w:spacing w:after="0" w:line="267" w:lineRule="auto"/>
        <w:tabs>
          <w:tab w:leader="none" w:pos="311" w:val="left"/>
        </w:tabs>
        <w:numPr>
          <w:ilvl w:val="0"/>
          <w:numId w:val="95"/>
        </w:numPr>
        <w:rPr>
          <w:rFonts w:ascii="Arial" w:cs="Arial" w:eastAsia="Arial" w:hAnsi="Arial"/>
          <w:sz w:val="13"/>
          <w:szCs w:val="13"/>
          <w:color w:val="auto"/>
        </w:rPr>
      </w:pPr>
      <w:r>
        <w:rPr>
          <w:rFonts w:ascii="Arial" w:cs="Arial" w:eastAsia="Arial" w:hAnsi="Arial"/>
          <w:sz w:val="13"/>
          <w:szCs w:val="13"/>
          <w:color w:val="auto"/>
        </w:rPr>
        <w:t>Represents the aggregate fees billed for professional services rendered by PwC for the audit of our annual financial statements, review of financial statements included in our quarterly reports on Form 10-Q, services related to the audit of internal control over financial reporting and other services normally provided by our independent auditor in connection with statutory and regulatory filings or engagements. The increase in audit fees for 2025 as compared to 2024 is primarily driven by audits of the carve-out financial statements of the Company's small cells and fiber solutions businesses in connection with the Company's pending sale of its small cells and fiber solutions businesses.</w:t>
      </w:r>
    </w:p>
    <w:p>
      <w:pPr>
        <w:spacing w:after="0" w:line="9" w:lineRule="exact"/>
        <w:rPr>
          <w:rFonts w:ascii="Arial" w:cs="Arial" w:eastAsia="Arial" w:hAnsi="Arial"/>
          <w:sz w:val="13"/>
          <w:szCs w:val="13"/>
          <w:color w:val="auto"/>
        </w:rPr>
      </w:pPr>
    </w:p>
    <w:p>
      <w:pPr>
        <w:ind w:left="320" w:right="40" w:hanging="314"/>
        <w:spacing w:after="0" w:line="276" w:lineRule="auto"/>
        <w:tabs>
          <w:tab w:leader="none" w:pos="311" w:val="left"/>
        </w:tabs>
        <w:numPr>
          <w:ilvl w:val="0"/>
          <w:numId w:val="95"/>
        </w:numPr>
        <w:rPr>
          <w:rFonts w:ascii="Arial" w:cs="Arial" w:eastAsia="Arial" w:hAnsi="Arial"/>
          <w:sz w:val="13"/>
          <w:szCs w:val="13"/>
          <w:color w:val="auto"/>
        </w:rPr>
      </w:pPr>
      <w:r>
        <w:rPr>
          <w:rFonts w:ascii="Arial" w:cs="Arial" w:eastAsia="Arial" w:hAnsi="Arial"/>
          <w:sz w:val="13"/>
          <w:szCs w:val="13"/>
          <w:color w:val="auto"/>
        </w:rPr>
        <w:t>Represents the aggregate fees billed for assurance and related services by PwC that are reasonably related to the performance of the audit or review of our financial statements and not reported as "Audit Fees."</w:t>
      </w:r>
    </w:p>
    <w:p>
      <w:pPr>
        <w:ind w:left="300" w:hanging="294"/>
        <w:spacing w:after="0"/>
        <w:tabs>
          <w:tab w:leader="none" w:pos="300" w:val="left"/>
        </w:tabs>
        <w:numPr>
          <w:ilvl w:val="0"/>
          <w:numId w:val="95"/>
        </w:numPr>
        <w:rPr>
          <w:rFonts w:ascii="Arial" w:cs="Arial" w:eastAsia="Arial" w:hAnsi="Arial"/>
          <w:sz w:val="13"/>
          <w:szCs w:val="13"/>
          <w:color w:val="auto"/>
        </w:rPr>
      </w:pPr>
      <w:r>
        <w:rPr>
          <w:rFonts w:ascii="Arial" w:cs="Arial" w:eastAsia="Arial" w:hAnsi="Arial"/>
          <w:sz w:val="13"/>
          <w:szCs w:val="13"/>
          <w:color w:val="auto"/>
        </w:rPr>
        <w:t>Represents the aggregate fees billed for professional services rendered by PwC for tax compliance, tax advice and tax planning.</w:t>
      </w:r>
    </w:p>
    <w:p>
      <w:pPr>
        <w:spacing w:after="0" w:line="49" w:lineRule="exact"/>
        <w:rPr>
          <w:rFonts w:ascii="Arial" w:cs="Arial" w:eastAsia="Arial" w:hAnsi="Arial"/>
          <w:sz w:val="13"/>
          <w:szCs w:val="13"/>
          <w:color w:val="auto"/>
        </w:rPr>
      </w:pPr>
    </w:p>
    <w:p>
      <w:pPr>
        <w:ind w:left="320" w:right="100" w:hanging="314"/>
        <w:spacing w:after="0" w:line="293" w:lineRule="auto"/>
        <w:tabs>
          <w:tab w:leader="none" w:pos="311" w:val="left"/>
        </w:tabs>
        <w:numPr>
          <w:ilvl w:val="0"/>
          <w:numId w:val="95"/>
        </w:numPr>
        <w:rPr>
          <w:rFonts w:ascii="Arial" w:cs="Arial" w:eastAsia="Arial" w:hAnsi="Arial"/>
          <w:sz w:val="13"/>
          <w:szCs w:val="13"/>
          <w:color w:val="auto"/>
        </w:rPr>
      </w:pPr>
      <w:r>
        <w:rPr>
          <w:rFonts w:ascii="Arial" w:cs="Arial" w:eastAsia="Arial" w:hAnsi="Arial"/>
          <w:sz w:val="13"/>
          <w:szCs w:val="13"/>
          <w:color w:val="auto"/>
        </w:rPr>
        <w:t>Represents the aggregate fees billed for products and services provided by PwC other than those reported as audit, audit-related or tax fees in the table above, including fees related to limited assurance services pertaining to sustainability metrics with respect to our senior unsecured credit facility.</w:t>
      </w:r>
    </w:p>
    <w:p>
      <w:pPr>
        <w:spacing w:after="0" w:line="107"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color w:val="auto"/>
        </w:rPr>
        <w:t>We expect a representative of PwC to attend the Annual Meeting. The representative will have an opportunity to make a statement if he or she desires and also will be available to respond to appropriate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97155</wp:posOffset>
            </wp:positionV>
            <wp:extent cx="7134860" cy="916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4860" cy="91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060" w:right="700" w:hanging="1936"/>
        <w:spacing w:after="0" w:line="182" w:lineRule="auto"/>
        <w:tabs>
          <w:tab w:leader="none" w:pos="3060" w:val="left"/>
        </w:tabs>
        <w:numPr>
          <w:ilvl w:val="0"/>
          <w:numId w:val="96"/>
        </w:numPr>
        <w:rPr>
          <w:rFonts w:ascii="Arial" w:cs="Arial" w:eastAsia="Arial" w:hAnsi="Arial"/>
          <w:sz w:val="36"/>
          <w:szCs w:val="36"/>
          <w:b w:val="1"/>
          <w:bCs w:val="1"/>
          <w:color w:val="auto"/>
        </w:rPr>
      </w:pPr>
      <w:r>
        <w:rPr>
          <w:rFonts w:ascii="Arial" w:cs="Arial" w:eastAsia="Arial" w:hAnsi="Arial"/>
          <w:sz w:val="15"/>
          <w:szCs w:val="15"/>
          <w:color w:val="auto"/>
        </w:rPr>
        <w:t xml:space="preserve">The Board unanimously recommends a vote </w:t>
      </w:r>
      <w:r>
        <w:rPr>
          <w:rFonts w:ascii="Arial" w:cs="Arial" w:eastAsia="Arial" w:hAnsi="Arial"/>
          <w:sz w:val="15"/>
          <w:szCs w:val="15"/>
          <w:b w:val="1"/>
          <w:bCs w:val="1"/>
          <w:color w:val="auto"/>
        </w:rPr>
        <w:t>FOR</w:t>
      </w:r>
      <w:r>
        <w:rPr>
          <w:rFonts w:ascii="Arial" w:cs="Arial" w:eastAsia="Arial" w:hAnsi="Arial"/>
          <w:sz w:val="15"/>
          <w:szCs w:val="15"/>
          <w:color w:val="auto"/>
        </w:rPr>
        <w:t xml:space="preserve"> ratification of the appointment of PwC as our independent registered public accountants for fiscal year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9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20" w:top="1391" w:right="41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Audit Committee Matters</w:t>
      </w:r>
    </w:p>
    <w:p>
      <w:pPr>
        <w:spacing w:after="0" w:line="166"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 xml:space="preserve">The Board has established an Audit Committee composed entirely of independent directors, as defined in the rules and regulations of the NYSE and SEC. Upon the recommendation of the Audit Committee and in compliance with the regulations of the NYSE, the Board has adopted an Audit Committee charter setting forth the requirements for the composition of the Audit Committee, the qualifications of its members and the responsibilities of the Audit Committee. The Audit Committee charter can be found on our website at </w:t>
      </w:r>
      <w:r>
        <w:rPr>
          <w:rFonts w:ascii="Arial" w:cs="Arial" w:eastAsia="Arial" w:hAnsi="Arial"/>
          <w:sz w:val="17"/>
          <w:szCs w:val="17"/>
          <w:u w:val="single" w:color="auto"/>
          <w:color w:val="520B90"/>
        </w:rPr>
        <w:t>https://investor.crowncastle.com</w:t>
      </w:r>
      <w:r>
        <w:rPr>
          <w:rFonts w:ascii="Arial" w:cs="Arial" w:eastAsia="Arial" w:hAnsi="Arial"/>
          <w:sz w:val="17"/>
          <w:szCs w:val="17"/>
          <w:color w:val="auto"/>
        </w:rPr>
        <w:t>.</w:t>
      </w:r>
    </w:p>
    <w:p>
      <w:pPr>
        <w:spacing w:after="0" w:line="113"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The Audit Committee has adopted procedures regarding the pre-approval of certain services which may be rendered by our Auditors. Such procedures provide that the Audit Committee should pre-approve audit and permitted non-audit services to be rendered by our Auditors. Such approval of services may be made with respect to audit, audit-related, tax and other services permitted under SEC rules that the Audit Committee believes would not otherwise impair the independence of the Auditors. Whenever practicable, estimated or budgeted fees should be pre-approved at the time the services are pre-approved. Such procedures also provide that between the regularly scheduled meetings of the Audit Committee, each member of the Audit Committee (with preference given to the Chair of the Audit Committee, if available) is authorized to pre-approve fees or engagements presented by an officer relating to audit and permitted non-audit related services of our Auditors; provided, however, the Audit Committee members in the aggregate may not approve fees and engagements exceeding $200,000 of fees, excluding any fees or engagements (1) approved by the Audit Committee or (2) regarding services relating to securities offerings of the Company and its subsidiaries ("Delegation Procedures"). At the regularly scheduled meetings of the Audit Committee, the Audit Committee is generally provided a schedule detailing any services which have been approved or utilized during the fiscal year and since the last regularly scheduled Audit Committee meeting, including any fees and engagements approved pursuant to the Delegation Procedures.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No services were provided by the Auditors in 2025 that were approved by the Audit Committee under SEC Regulation S-X Section 2-01(c)(7)(i)</w:t>
      </w:r>
    </w:p>
    <w:p>
      <w:pPr>
        <w:spacing w:after="0" w:line="32" w:lineRule="exact"/>
        <w:rPr>
          <w:sz w:val="20"/>
          <w:szCs w:val="20"/>
          <w:color w:val="auto"/>
        </w:rPr>
      </w:pPr>
    </w:p>
    <w:p>
      <w:pPr>
        <w:ind w:right="440" w:firstLine="6"/>
        <w:spacing w:after="0" w:line="419" w:lineRule="auto"/>
        <w:tabs>
          <w:tab w:leader="none" w:pos="294" w:val="left"/>
        </w:tabs>
        <w:numPr>
          <w:ilvl w:val="0"/>
          <w:numId w:val="97"/>
        </w:numPr>
        <w:rPr>
          <w:rFonts w:ascii="Arial" w:cs="Arial" w:eastAsia="Arial" w:hAnsi="Arial"/>
          <w:sz w:val="18"/>
          <w:szCs w:val="18"/>
          <w:color w:val="auto"/>
        </w:rPr>
      </w:pPr>
      <w:r>
        <w:rPr>
          <w:rFonts w:ascii="Arial" w:cs="Arial" w:eastAsia="Arial" w:hAnsi="Arial"/>
          <w:sz w:val="18"/>
          <w:szCs w:val="18"/>
          <w:color w:val="auto"/>
        </w:rPr>
        <w:t>(which addresses certain services considered de minimus approved by the audit committee after such services have been performed). In addition, in accordance with regulations promulgated by the SEC, the Audit Committee has issued the following report.</w:t>
      </w:r>
    </w:p>
    <w:p>
      <w:pPr>
        <w:spacing w:after="0"/>
        <w:rPr>
          <w:sz w:val="20"/>
          <w:szCs w:val="20"/>
          <w:color w:val="auto"/>
        </w:rPr>
      </w:pPr>
      <w:r>
        <w:rPr>
          <w:rFonts w:ascii="Arial" w:cs="Arial" w:eastAsia="Arial" w:hAnsi="Arial"/>
          <w:sz w:val="18"/>
          <w:szCs w:val="18"/>
          <w:b w:val="1"/>
          <w:bCs w:val="1"/>
          <w:color w:val="auto"/>
        </w:rPr>
        <w:t>Audit Committee 2025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16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Management of the Company has the primary responsibility for preparing the Company's financial statements and implementing the Company's reporting process, including the Company's system of internal controls. The Company's Auditors are responsible for expressing an opinion on</w:t>
      </w:r>
    </w:p>
    <w:p>
      <w:pPr>
        <w:spacing w:after="0" w:line="1" w:lineRule="exact"/>
        <w:rPr>
          <w:sz w:val="20"/>
          <w:szCs w:val="20"/>
          <w:color w:val="auto"/>
        </w:rPr>
      </w:pPr>
    </w:p>
    <w:p>
      <w:pPr>
        <w:ind w:right="120" w:firstLine="6"/>
        <w:spacing w:after="0" w:line="248" w:lineRule="auto"/>
        <w:tabs>
          <w:tab w:leader="none" w:pos="265"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conformity of the Company's audited financial statements with accounting principles generally accepted in the United States and (2) the effectiveness of internal control over financial reporting. On behalf of the Board, the Audit Committee, among other functions, performs an oversight role relating to the Company's financial statements and accounting practices, systems of internal control, the independence and the performance of the Auditors and the performance of the internal audit function.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In this context, the Audit Committee hereby reports as follows:</w:t>
      </w:r>
    </w:p>
    <w:p>
      <w:pPr>
        <w:spacing w:after="0" w:line="164" w:lineRule="exact"/>
        <w:rPr>
          <w:sz w:val="20"/>
          <w:szCs w:val="20"/>
          <w:color w:val="auto"/>
        </w:rPr>
      </w:pPr>
    </w:p>
    <w:p>
      <w:pPr>
        <w:ind w:left="640" w:right="140" w:hanging="316"/>
        <w:spacing w:after="0" w:line="274" w:lineRule="auto"/>
        <w:tabs>
          <w:tab w:leader="none" w:pos="635" w:val="left"/>
        </w:tabs>
        <w:numPr>
          <w:ilvl w:val="0"/>
          <w:numId w:val="99"/>
        </w:numPr>
        <w:rPr>
          <w:rFonts w:ascii="Arial" w:cs="Arial" w:eastAsia="Arial" w:hAnsi="Arial"/>
          <w:sz w:val="18"/>
          <w:szCs w:val="18"/>
          <w:color w:val="520B90"/>
        </w:rPr>
      </w:pPr>
      <w:r>
        <w:rPr>
          <w:rFonts w:ascii="Arial" w:cs="Arial" w:eastAsia="Arial" w:hAnsi="Arial"/>
          <w:sz w:val="18"/>
          <w:szCs w:val="18"/>
          <w:color w:val="auto"/>
        </w:rPr>
        <w:t>The Audit Committee has reviewed and discussed with the Company's management the audited financial statements as of and for the year ended December 31, 2025.</w:t>
      </w:r>
    </w:p>
    <w:p>
      <w:pPr>
        <w:spacing w:after="0" w:line="109" w:lineRule="exact"/>
        <w:rPr>
          <w:rFonts w:ascii="Arial" w:cs="Arial" w:eastAsia="Arial" w:hAnsi="Arial"/>
          <w:sz w:val="18"/>
          <w:szCs w:val="18"/>
          <w:color w:val="520B90"/>
        </w:rPr>
      </w:pPr>
    </w:p>
    <w:p>
      <w:pPr>
        <w:ind w:left="640" w:right="600" w:hanging="316"/>
        <w:spacing w:after="0" w:line="274" w:lineRule="auto"/>
        <w:tabs>
          <w:tab w:leader="none" w:pos="635" w:val="left"/>
        </w:tabs>
        <w:numPr>
          <w:ilvl w:val="0"/>
          <w:numId w:val="99"/>
        </w:numPr>
        <w:rPr>
          <w:rFonts w:ascii="Arial" w:cs="Arial" w:eastAsia="Arial" w:hAnsi="Arial"/>
          <w:sz w:val="18"/>
          <w:szCs w:val="18"/>
          <w:color w:val="520B90"/>
        </w:rPr>
      </w:pPr>
      <w:r>
        <w:rPr>
          <w:rFonts w:ascii="Arial" w:cs="Arial" w:eastAsia="Arial" w:hAnsi="Arial"/>
          <w:sz w:val="18"/>
          <w:szCs w:val="18"/>
          <w:color w:val="auto"/>
        </w:rPr>
        <w:t>The Audit Committee has discussed with PwC the matters required to be discussed by the applicable requirements of the Public Company Accounting Oversight Board ("PCAOB") and the SEC.</w:t>
      </w:r>
    </w:p>
    <w:p>
      <w:pPr>
        <w:spacing w:after="0" w:line="109" w:lineRule="exact"/>
        <w:rPr>
          <w:rFonts w:ascii="Arial" w:cs="Arial" w:eastAsia="Arial" w:hAnsi="Arial"/>
          <w:sz w:val="18"/>
          <w:szCs w:val="18"/>
          <w:color w:val="520B90"/>
        </w:rPr>
      </w:pPr>
    </w:p>
    <w:p>
      <w:pPr>
        <w:jc w:val="both"/>
        <w:ind w:left="640" w:right="160" w:hanging="316"/>
        <w:spacing w:after="0" w:line="304" w:lineRule="auto"/>
        <w:tabs>
          <w:tab w:leader="none" w:pos="635" w:val="left"/>
        </w:tabs>
        <w:numPr>
          <w:ilvl w:val="0"/>
          <w:numId w:val="99"/>
        </w:numPr>
        <w:rPr>
          <w:rFonts w:ascii="Arial" w:cs="Arial" w:eastAsia="Arial" w:hAnsi="Arial"/>
          <w:sz w:val="17"/>
          <w:szCs w:val="17"/>
          <w:color w:val="520B90"/>
        </w:rPr>
      </w:pPr>
      <w:r>
        <w:rPr>
          <w:rFonts w:ascii="Arial" w:cs="Arial" w:eastAsia="Arial" w:hAnsi="Arial"/>
          <w:sz w:val="17"/>
          <w:szCs w:val="17"/>
          <w:color w:val="auto"/>
        </w:rPr>
        <w:t>The Audit Committee has received the written disclosures and the letter from PwC required by applicable requirements of the PCAOB regarding PwC's communications with the Audit Committee concerning independence and has discussed with PwC its independence.</w:t>
      </w:r>
    </w:p>
    <w:p>
      <w:pPr>
        <w:spacing w:after="0" w:line="316"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391" w:right="359" w:bottom="1440" w:gutter="0" w:footer="0" w:header="0"/>
        </w:sectPr>
      </w:pPr>
    </w:p>
    <w:bookmarkStart w:id="34" w:name="page35"/>
    <w:bookmarkEnd w:id="34"/>
    <w:p>
      <w:pPr>
        <w:ind w:left="640" w:hanging="316"/>
        <w:spacing w:after="0" w:line="304" w:lineRule="auto"/>
        <w:tabs>
          <w:tab w:leader="none" w:pos="635" w:val="left"/>
        </w:tabs>
        <w:numPr>
          <w:ilvl w:val="0"/>
          <w:numId w:val="100"/>
        </w:numPr>
        <w:rPr>
          <w:rFonts w:ascii="Arial" w:cs="Arial" w:eastAsia="Arial" w:hAnsi="Arial"/>
          <w:sz w:val="17"/>
          <w:szCs w:val="17"/>
          <w:color w:val="520B90"/>
        </w:rPr>
      </w:pPr>
      <w:r>
        <w:rPr>
          <w:rFonts w:ascii="Arial" w:cs="Arial" w:eastAsia="Arial" w:hAnsi="Arial"/>
          <w:sz w:val="17"/>
          <w:szCs w:val="17"/>
          <w:color w:val="auto"/>
        </w:rPr>
        <w:t>Based on its review of the Company's audited financial statements and the discussions with management and PwC referred to above, the Audit Committee recommended to the Board that the audited consolidated financial statements be included in the 2025 Form 10-K.</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Respectfully submitted by the Audit Committee of the Board.</w:t>
      </w:r>
    </w:p>
    <w:p>
      <w:pPr>
        <w:spacing w:after="0" w:line="203" w:lineRule="exact"/>
        <w:rPr>
          <w:sz w:val="20"/>
          <w:szCs w:val="20"/>
          <w:color w:val="auto"/>
        </w:rPr>
      </w:pPr>
    </w:p>
    <w:p>
      <w:pPr>
        <w:ind w:left="9180"/>
        <w:spacing w:after="0"/>
        <w:rPr>
          <w:sz w:val="20"/>
          <w:szCs w:val="20"/>
          <w:color w:val="auto"/>
        </w:rPr>
      </w:pPr>
      <w:r>
        <w:rPr>
          <w:rFonts w:ascii="Arial" w:cs="Arial" w:eastAsia="Arial" w:hAnsi="Arial"/>
          <w:sz w:val="18"/>
          <w:szCs w:val="18"/>
          <w:color w:val="auto"/>
        </w:rPr>
        <w:t>AUDIT COMMITTEE</w:t>
      </w:r>
    </w:p>
    <w:p>
      <w:pPr>
        <w:ind w:left="9180"/>
        <w:spacing w:after="0"/>
        <w:rPr>
          <w:sz w:val="20"/>
          <w:szCs w:val="20"/>
          <w:color w:val="auto"/>
        </w:rPr>
      </w:pPr>
      <w:r>
        <w:rPr>
          <w:rFonts w:ascii="Arial" w:cs="Arial" w:eastAsia="Arial" w:hAnsi="Arial"/>
          <w:sz w:val="18"/>
          <w:szCs w:val="18"/>
          <w:color w:val="auto"/>
        </w:rPr>
        <w:t>Anthony J. Melone</w:t>
      </w:r>
    </w:p>
    <w:p>
      <w:pPr>
        <w:ind w:left="9180"/>
        <w:spacing w:after="0"/>
        <w:rPr>
          <w:sz w:val="20"/>
          <w:szCs w:val="20"/>
          <w:color w:val="auto"/>
        </w:rPr>
      </w:pPr>
      <w:r>
        <w:rPr>
          <w:rFonts w:ascii="Arial" w:cs="Arial" w:eastAsia="Arial" w:hAnsi="Arial"/>
          <w:sz w:val="18"/>
          <w:szCs w:val="18"/>
          <w:color w:val="auto"/>
        </w:rPr>
        <w:t>(Chair)</w:t>
      </w:r>
    </w:p>
    <w:p>
      <w:pPr>
        <w:spacing w:after="0" w:line="15" w:lineRule="exact"/>
        <w:rPr>
          <w:sz w:val="20"/>
          <w:szCs w:val="20"/>
          <w:color w:val="auto"/>
        </w:rPr>
      </w:pPr>
    </w:p>
    <w:p>
      <w:pPr>
        <w:ind w:left="9180"/>
        <w:spacing w:after="0"/>
        <w:rPr>
          <w:sz w:val="20"/>
          <w:szCs w:val="20"/>
          <w:color w:val="auto"/>
        </w:rPr>
      </w:pPr>
      <w:r>
        <w:rPr>
          <w:rFonts w:ascii="Arial" w:cs="Arial" w:eastAsia="Arial" w:hAnsi="Arial"/>
          <w:sz w:val="18"/>
          <w:szCs w:val="18"/>
          <w:color w:val="auto"/>
        </w:rPr>
        <w:t>Tammy K. Jones</w:t>
      </w:r>
    </w:p>
    <w:p>
      <w:pPr>
        <w:spacing w:after="0" w:line="25" w:lineRule="exact"/>
        <w:rPr>
          <w:sz w:val="20"/>
          <w:szCs w:val="20"/>
          <w:color w:val="auto"/>
        </w:rPr>
      </w:pPr>
    </w:p>
    <w:p>
      <w:pPr>
        <w:ind w:left="9180"/>
        <w:spacing w:after="0"/>
        <w:rPr>
          <w:sz w:val="20"/>
          <w:szCs w:val="20"/>
          <w:color w:val="auto"/>
        </w:rPr>
      </w:pPr>
      <w:r>
        <w:rPr>
          <w:rFonts w:ascii="Arial" w:cs="Arial" w:eastAsia="Arial" w:hAnsi="Arial"/>
          <w:sz w:val="18"/>
          <w:szCs w:val="18"/>
          <w:color w:val="auto"/>
        </w:rPr>
        <w:t>Katherine Motlagh</w:t>
      </w:r>
    </w:p>
    <w:p>
      <w:pPr>
        <w:spacing w:after="0" w:line="18" w:lineRule="exact"/>
        <w:rPr>
          <w:sz w:val="20"/>
          <w:szCs w:val="20"/>
          <w:color w:val="auto"/>
        </w:rPr>
      </w:pPr>
    </w:p>
    <w:p>
      <w:pPr>
        <w:ind w:left="9180"/>
        <w:spacing w:after="0"/>
        <w:rPr>
          <w:sz w:val="20"/>
          <w:szCs w:val="20"/>
          <w:color w:val="auto"/>
        </w:rPr>
      </w:pPr>
      <w:r>
        <w:rPr>
          <w:rFonts w:ascii="Arial" w:cs="Arial" w:eastAsia="Arial" w:hAnsi="Arial"/>
          <w:sz w:val="18"/>
          <w:szCs w:val="18"/>
          <w:color w:val="auto"/>
        </w:rPr>
        <w:t>Kevin A. Stephens</w:t>
      </w:r>
    </w:p>
    <w:p>
      <w:pPr>
        <w:spacing w:after="0" w:line="18" w:lineRule="exact"/>
        <w:rPr>
          <w:sz w:val="20"/>
          <w:szCs w:val="20"/>
          <w:color w:val="auto"/>
        </w:rPr>
      </w:pPr>
    </w:p>
    <w:p>
      <w:pPr>
        <w:ind w:left="9180"/>
        <w:spacing w:after="0"/>
        <w:rPr>
          <w:sz w:val="20"/>
          <w:szCs w:val="20"/>
          <w:color w:val="auto"/>
        </w:rPr>
      </w:pPr>
      <w:r>
        <w:rPr>
          <w:rFonts w:ascii="Arial" w:cs="Arial" w:eastAsia="Arial" w:hAnsi="Arial"/>
          <w:sz w:val="18"/>
          <w:szCs w:val="18"/>
          <w:color w:val="auto"/>
        </w:rPr>
        <w:t>Matthew Thornton, III</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40"/>
          </w:cols>
          <w:pgMar w:left="320" w:top="1393" w:right="439" w:bottom="1440" w:gutter="0" w:footer="0" w:header="0"/>
        </w:sectPr>
      </w:pPr>
    </w:p>
    <w:bookmarkStart w:id="35" w:name="page36"/>
    <w:bookmarkEnd w:id="35"/>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520B90"/>
        </w:rPr>
        <w:t>IV. EXECUTIVE COMPENSATION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3</w:t>
      </w:r>
    </w:p>
    <w:p>
      <w:pPr>
        <w:spacing w:after="0" w:line="16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accordance with the requirements of Section 14A of the Exchange Act and the related rules, our stockholders have the opportunity to vote to approve, on a non-binding, advisory basis, the compensation of our NEOs as disclosed in this Proxy Statement in accordance with the SEC's compensation disclosure rules.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Accordingly, we are asking our stockholders to approve the following resolution at the Annual Meeting:</w:t>
      </w:r>
    </w:p>
    <w:p>
      <w:pPr>
        <w:spacing w:after="0" w:line="162" w:lineRule="exact"/>
        <w:rPr>
          <w:sz w:val="20"/>
          <w:szCs w:val="20"/>
          <w:color w:val="auto"/>
        </w:rPr>
      </w:pPr>
    </w:p>
    <w:p>
      <w:pPr>
        <w:ind w:left="240" w:right="700"/>
        <w:spacing w:after="0" w:line="259" w:lineRule="auto"/>
        <w:rPr>
          <w:sz w:val="20"/>
          <w:szCs w:val="20"/>
          <w:color w:val="auto"/>
        </w:rPr>
      </w:pPr>
      <w:r>
        <w:rPr>
          <w:rFonts w:ascii="Arial" w:cs="Arial" w:eastAsia="Arial" w:hAnsi="Arial"/>
          <w:sz w:val="18"/>
          <w:szCs w:val="18"/>
          <w:b w:val="1"/>
          <w:bCs w:val="1"/>
          <w:color w:val="auto"/>
        </w:rPr>
        <w:t>RESOLVED, that the stockholders of Crown Castle Inc. ("Company") approve, on an advisory basis, the compensation of the named executive officers of the Company, as disclosed in the Company's Proxy Statement for the 2026 Annual Meeting of Stockholders pursuant to Item 402 of Regulation S-K, including the Compensation Discussion and Analysis, compensation tables and narrative disclosure.</w:t>
      </w:r>
    </w:p>
    <w:p>
      <w:pPr>
        <w:spacing w:after="0" w:line="11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As described in "IV. Executive Compensation—Compensation Discussion and Analysis" of this Proxy Statement, we seek to align the interests of our NEOs with the interests of our stockholders. Our compensation programs are generally designed to reward our NEOs for performance against pre-established financial goals and the TSR experienced by our stockholders, with a focus on variable, "at risk" incentive-based compensation that supports our "pay-for-performance" compensation philosophy. We believe that our executive compensation program is designed to attract, retain and motivate high-performing executives to lead our Company.</w:t>
      </w:r>
    </w:p>
    <w:p>
      <w:pPr>
        <w:spacing w:after="0" w:line="131"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The vote on this resolution is not intended to address any specific element of compensation; rather, the vote relates to the compensation of our NEOs, as described in this Proxy Statement in accordance with the compensation disclosure rules of the SEC. The vote on this proposal is advisory, which means that the vote is not binding on the Company, our Board or the CHC Committee. Nevertheless, the Board and the CHC Committee value the opinions of our stockholders and intend to consider any stockholder concerns evidenced by this vote and evaluate whether any actions are necessary to address those concerns. In connection with the non-binding, advisory vote regarding the frequency of voting on the compensation of our NEOs held at our 2021 Annual Meeting of Stockholders, our stockholders expressed a preference for an annual frequency of advisory votes on NEO compensation; as such, unless the Board modifies its policy on the frequency of future advisory votes on NEO compensation, the next advisory vote on NEO compensation will be held at our 2027 Annual Meeting of Stockholders ("2027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111125</wp:posOffset>
            </wp:positionV>
            <wp:extent cx="7134860" cy="916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4860" cy="91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060" w:right="380" w:hanging="1936"/>
        <w:spacing w:after="0" w:line="182" w:lineRule="auto"/>
        <w:tabs>
          <w:tab w:leader="none" w:pos="3060" w:val="left"/>
        </w:tabs>
        <w:numPr>
          <w:ilvl w:val="0"/>
          <w:numId w:val="101"/>
        </w:numPr>
        <w:rPr>
          <w:rFonts w:ascii="Arial" w:cs="Arial" w:eastAsia="Arial" w:hAnsi="Arial"/>
          <w:sz w:val="36"/>
          <w:szCs w:val="36"/>
          <w:b w:val="1"/>
          <w:bCs w:val="1"/>
          <w:color w:val="auto"/>
        </w:rPr>
      </w:pPr>
      <w:r>
        <w:rPr>
          <w:rFonts w:ascii="Arial" w:cs="Arial" w:eastAsia="Arial" w:hAnsi="Arial"/>
          <w:sz w:val="15"/>
          <w:szCs w:val="15"/>
          <w:color w:val="auto"/>
        </w:rPr>
        <w:t xml:space="preserve">The Board unanimously recommends a vote </w:t>
      </w:r>
      <w:r>
        <w:rPr>
          <w:rFonts w:ascii="Arial" w:cs="Arial" w:eastAsia="Arial" w:hAnsi="Arial"/>
          <w:sz w:val="15"/>
          <w:szCs w:val="15"/>
          <w:b w:val="1"/>
          <w:bCs w:val="1"/>
          <w:color w:val="auto"/>
        </w:rPr>
        <w:t>FOR</w:t>
      </w:r>
      <w:r>
        <w:rPr>
          <w:rFonts w:ascii="Arial" w:cs="Arial" w:eastAsia="Arial" w:hAnsi="Arial"/>
          <w:sz w:val="15"/>
          <w:szCs w:val="15"/>
          <w:color w:val="auto"/>
        </w:rPr>
        <w:t xml:space="preserve"> the approval of the compensation of our NEOs as disclosed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Executive Officers</w:t>
      </w:r>
    </w:p>
    <w:p>
      <w:pPr>
        <w:spacing w:after="0" w:line="166"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Set forth below is certain information relating to our current executive officers. Biographical information for Mr. Hillabrant is set forth above under "II. Elections of Directors—Nominees for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1819275</wp:posOffset>
            </wp:positionH>
            <wp:positionV relativeFrom="paragraph">
              <wp:posOffset>97155</wp:posOffset>
            </wp:positionV>
            <wp:extent cx="8255" cy="1593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55" cy="159385"/>
                    </a:xfrm>
                    <a:prstGeom prst="rect">
                      <a:avLst/>
                    </a:prstGeom>
                    <a:noFill/>
                  </pic:spPr>
                </pic:pic>
              </a:graphicData>
            </a:graphic>
          </wp:anchor>
        </w:drawing>
      </w:r>
    </w:p>
    <w:p>
      <w:pPr>
        <w:spacing w:after="0" w:line="133" w:lineRule="exact"/>
        <w:rPr>
          <w:sz w:val="20"/>
          <w:szCs w:val="20"/>
          <w:color w:val="auto"/>
        </w:rPr>
      </w:pPr>
    </w:p>
    <w:tbl>
      <w:tblPr>
        <w:tblLayout w:type="fixed"/>
        <w:tblInd w:w="10" w:type="dxa"/>
        <w:tblCellMar>
          <w:top w:w="0" w:type="dxa"/>
          <w:left w:w="0" w:type="dxa"/>
          <w:bottom w:w="0" w:type="dxa"/>
          <w:right w:w="0" w:type="dxa"/>
        </w:tblCellMar>
      </w:tblPr>
      <w:tr>
        <w:trPr>
          <w:trHeight w:val="251"/>
        </w:trPr>
        <w:tc>
          <w:tcPr>
            <w:tcW w:w="2880" w:type="dxa"/>
            <w:vAlign w:val="bottom"/>
            <w:tcBorders>
              <w:left w:val="single" w:sz="8" w:color="520B90"/>
              <w:right w:val="single" w:sz="8" w:color="520B90"/>
            </w:tcBorders>
            <w:shd w:val="clear" w:color="auto" w:fill="520B90"/>
          </w:tcPr>
          <w:p>
            <w:pPr>
              <w:ind w:left="40"/>
              <w:spacing w:after="0"/>
              <w:rPr>
                <w:sz w:val="20"/>
                <w:szCs w:val="20"/>
                <w:color w:val="auto"/>
              </w:rPr>
            </w:pPr>
            <w:r>
              <w:rPr>
                <w:rFonts w:ascii="Arial" w:cs="Arial" w:eastAsia="Arial" w:hAnsi="Arial"/>
                <w:sz w:val="18"/>
                <w:szCs w:val="18"/>
                <w:b w:val="1"/>
                <w:bCs w:val="1"/>
                <w:color w:val="FFFFFF"/>
              </w:rPr>
              <w:t>Name</w:t>
            </w:r>
          </w:p>
        </w:tc>
        <w:tc>
          <w:tcPr>
            <w:tcW w:w="2940" w:type="dxa"/>
            <w:vAlign w:val="bottom"/>
            <w:shd w:val="clear" w:color="auto" w:fill="520B90"/>
          </w:tcPr>
          <w:p>
            <w:pPr>
              <w:ind w:left="20"/>
              <w:spacing w:after="0"/>
              <w:rPr>
                <w:sz w:val="20"/>
                <w:szCs w:val="20"/>
                <w:color w:val="auto"/>
              </w:rPr>
            </w:pPr>
            <w:r>
              <w:rPr>
                <w:rFonts w:ascii="Arial" w:cs="Arial" w:eastAsia="Arial" w:hAnsi="Arial"/>
                <w:sz w:val="18"/>
                <w:szCs w:val="18"/>
                <w:b w:val="1"/>
                <w:bCs w:val="1"/>
                <w:color w:val="FFFFFF"/>
              </w:rPr>
              <w:t>Biographical Information</w:t>
            </w:r>
          </w:p>
        </w:tc>
        <w:tc>
          <w:tcPr>
            <w:tcW w:w="5420" w:type="dxa"/>
            <w:vAlign w:val="bottom"/>
            <w:tcBorders>
              <w:right w:val="single" w:sz="8" w:color="520B90"/>
            </w:tcBorders>
            <w:shd w:val="clear" w:color="auto" w:fill="520B90"/>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880" w:type="dxa"/>
            <w:vAlign w:val="bottom"/>
            <w:tcBorders>
              <w:bottom w:val="single" w:sz="8" w:color="520B90"/>
            </w:tcBorders>
          </w:tcPr>
          <w:p>
            <w:pPr>
              <w:spacing w:after="0"/>
              <w:rPr>
                <w:sz w:val="3"/>
                <w:szCs w:val="3"/>
                <w:color w:val="auto"/>
              </w:rPr>
            </w:pPr>
          </w:p>
        </w:tc>
        <w:tc>
          <w:tcPr>
            <w:tcW w:w="2940" w:type="dxa"/>
            <w:vAlign w:val="bottom"/>
            <w:tcBorders>
              <w:bottom w:val="single" w:sz="8" w:color="520B90"/>
            </w:tcBorders>
          </w:tcPr>
          <w:p>
            <w:pPr>
              <w:spacing w:after="0"/>
              <w:rPr>
                <w:sz w:val="3"/>
                <w:szCs w:val="3"/>
                <w:color w:val="auto"/>
              </w:rPr>
            </w:pPr>
          </w:p>
        </w:tc>
        <w:tc>
          <w:tcPr>
            <w:tcW w:w="5420" w:type="dxa"/>
            <w:vAlign w:val="bottom"/>
            <w:tcBorders>
              <w:bottom w:val="single" w:sz="8" w:color="520B90"/>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880" w:type="dxa"/>
            <w:vAlign w:val="bottom"/>
            <w:tcBorders>
              <w:left w:val="single" w:sz="8" w:color="520B90"/>
              <w:right w:val="single" w:sz="8" w:color="520B90"/>
            </w:tcBorders>
          </w:tcPr>
          <w:p>
            <w:pPr>
              <w:spacing w:after="0"/>
              <w:rPr>
                <w:sz w:val="16"/>
                <w:szCs w:val="16"/>
                <w:color w:val="auto"/>
              </w:rPr>
            </w:pPr>
          </w:p>
        </w:tc>
        <w:tc>
          <w:tcPr>
            <w:tcW w:w="8360" w:type="dxa"/>
            <w:vAlign w:val="bottom"/>
            <w:tcBorders>
              <w:right w:val="single" w:sz="8" w:color="520B90"/>
            </w:tcBorders>
            <w:gridSpan w:val="2"/>
          </w:tcPr>
          <w:p>
            <w:pPr>
              <w:ind w:left="20"/>
              <w:spacing w:after="0"/>
              <w:rPr>
                <w:sz w:val="20"/>
                <w:szCs w:val="20"/>
                <w:color w:val="auto"/>
              </w:rPr>
            </w:pPr>
            <w:r>
              <w:rPr>
                <w:rFonts w:ascii="Arial" w:cs="Arial" w:eastAsia="Arial" w:hAnsi="Arial"/>
                <w:sz w:val="15"/>
                <w:szCs w:val="15"/>
                <w:b w:val="1"/>
                <w:bCs w:val="1"/>
                <w:color w:val="auto"/>
              </w:rPr>
              <w:t xml:space="preserve">Sunit S. Patel </w:t>
            </w:r>
            <w:r>
              <w:rPr>
                <w:rFonts w:ascii="Arial" w:cs="Arial" w:eastAsia="Arial" w:hAnsi="Arial"/>
                <w:sz w:val="15"/>
                <w:szCs w:val="15"/>
                <w:color w:val="auto"/>
              </w:rPr>
              <w:t>was appointed our EVP and CFO, effective April 1, 2025. Prior to joining the Company, Mr. Patel served as</w:t>
            </w:r>
          </w:p>
        </w:tc>
        <w:tc>
          <w:tcPr>
            <w:tcW w:w="0" w:type="dxa"/>
            <w:vAlign w:val="bottom"/>
          </w:tcPr>
          <w:p>
            <w:pPr>
              <w:spacing w:after="0"/>
              <w:rPr>
                <w:sz w:val="1"/>
                <w:szCs w:val="1"/>
                <w:color w:val="auto"/>
              </w:rPr>
            </w:pPr>
          </w:p>
        </w:tc>
      </w:tr>
      <w:tr>
        <w:trPr>
          <w:trHeight w:val="172"/>
        </w:trPr>
        <w:tc>
          <w:tcPr>
            <w:tcW w:w="2880" w:type="dxa"/>
            <w:vAlign w:val="bottom"/>
            <w:tcBorders>
              <w:left w:val="single" w:sz="8" w:color="520B90"/>
              <w:right w:val="single" w:sz="8" w:color="520B90"/>
            </w:tcBorders>
          </w:tcPr>
          <w:p>
            <w:pPr>
              <w:spacing w:after="0"/>
              <w:rPr>
                <w:sz w:val="14"/>
                <w:szCs w:val="14"/>
                <w:color w:val="auto"/>
              </w:rPr>
            </w:pPr>
          </w:p>
        </w:tc>
        <w:tc>
          <w:tcPr>
            <w:tcW w:w="8360" w:type="dxa"/>
            <w:vAlign w:val="bottom"/>
            <w:tcBorders>
              <w:right w:val="single" w:sz="8" w:color="520B90"/>
            </w:tcBorders>
            <w:gridSpan w:val="2"/>
          </w:tcPr>
          <w:p>
            <w:pPr>
              <w:ind w:left="20"/>
              <w:spacing w:after="0"/>
              <w:rPr>
                <w:sz w:val="20"/>
                <w:szCs w:val="20"/>
                <w:color w:val="auto"/>
              </w:rPr>
            </w:pPr>
            <w:r>
              <w:rPr>
                <w:rFonts w:ascii="Arial" w:cs="Arial" w:eastAsia="Arial" w:hAnsi="Arial"/>
                <w:sz w:val="15"/>
                <w:szCs w:val="15"/>
                <w:color w:val="auto"/>
                <w:w w:val="99"/>
              </w:rPr>
              <w:t>CFO of Ibotta Inc. from February 2021 to March 2025 and as EVP, Merger and Integration at T-Mobile USA Inc. from October</w:t>
            </w:r>
          </w:p>
        </w:tc>
        <w:tc>
          <w:tcPr>
            <w:tcW w:w="0" w:type="dxa"/>
            <w:vAlign w:val="bottom"/>
          </w:tcPr>
          <w:p>
            <w:pPr>
              <w:spacing w:after="0"/>
              <w:rPr>
                <w:sz w:val="1"/>
                <w:szCs w:val="1"/>
                <w:color w:val="auto"/>
              </w:rPr>
            </w:pPr>
          </w:p>
        </w:tc>
      </w:tr>
      <w:tr>
        <w:trPr>
          <w:trHeight w:val="185"/>
        </w:trPr>
        <w:tc>
          <w:tcPr>
            <w:tcW w:w="2880" w:type="dxa"/>
            <w:vAlign w:val="bottom"/>
            <w:tcBorders>
              <w:left w:val="single" w:sz="8" w:color="520B90"/>
              <w:right w:val="single" w:sz="8" w:color="520B90"/>
            </w:tcBorders>
          </w:tcPr>
          <w:p>
            <w:pPr>
              <w:ind w:left="40"/>
              <w:spacing w:after="0"/>
              <w:rPr>
                <w:sz w:val="20"/>
                <w:szCs w:val="20"/>
                <w:color w:val="auto"/>
              </w:rPr>
            </w:pPr>
            <w:r>
              <w:rPr>
                <w:rFonts w:ascii="Arial" w:cs="Arial" w:eastAsia="Arial" w:hAnsi="Arial"/>
                <w:sz w:val="16"/>
                <w:szCs w:val="16"/>
                <w:b w:val="1"/>
                <w:bCs w:val="1"/>
                <w:color w:val="520B90"/>
              </w:rPr>
              <w:t>Sunit S. Patel, 64</w:t>
            </w:r>
          </w:p>
        </w:tc>
        <w:tc>
          <w:tcPr>
            <w:tcW w:w="8360" w:type="dxa"/>
            <w:vAlign w:val="bottom"/>
            <w:tcBorders>
              <w:right w:val="single" w:sz="8" w:color="520B90"/>
            </w:tcBorders>
            <w:gridSpan w:val="2"/>
          </w:tcPr>
          <w:p>
            <w:pPr>
              <w:ind w:left="20"/>
              <w:spacing w:after="0"/>
              <w:rPr>
                <w:sz w:val="20"/>
                <w:szCs w:val="20"/>
                <w:color w:val="auto"/>
              </w:rPr>
            </w:pPr>
            <w:r>
              <w:rPr>
                <w:rFonts w:ascii="Arial" w:cs="Arial" w:eastAsia="Arial" w:hAnsi="Arial"/>
                <w:sz w:val="15"/>
                <w:szCs w:val="15"/>
                <w:color w:val="auto"/>
              </w:rPr>
              <w:t>2018 to April 2020. Prior to joining T-Mobile US Inc., Mr. Patel served as EVP and CFO at CenturyLink, Inc. (now, Lumen</w:t>
            </w:r>
          </w:p>
        </w:tc>
        <w:tc>
          <w:tcPr>
            <w:tcW w:w="0" w:type="dxa"/>
            <w:vAlign w:val="bottom"/>
          </w:tcPr>
          <w:p>
            <w:pPr>
              <w:spacing w:after="0"/>
              <w:rPr>
                <w:sz w:val="1"/>
                <w:szCs w:val="1"/>
                <w:color w:val="auto"/>
              </w:rPr>
            </w:pPr>
          </w:p>
        </w:tc>
      </w:tr>
      <w:tr>
        <w:trPr>
          <w:trHeight w:val="176"/>
        </w:trPr>
        <w:tc>
          <w:tcPr>
            <w:tcW w:w="2880" w:type="dxa"/>
            <w:vAlign w:val="bottom"/>
            <w:tcBorders>
              <w:left w:val="single" w:sz="8" w:color="520B90"/>
              <w:right w:val="single" w:sz="8" w:color="520B90"/>
            </w:tcBorders>
          </w:tcPr>
          <w:p>
            <w:pPr>
              <w:ind w:left="40"/>
              <w:spacing w:after="0"/>
              <w:rPr>
                <w:sz w:val="20"/>
                <w:szCs w:val="20"/>
                <w:color w:val="auto"/>
              </w:rPr>
            </w:pPr>
            <w:r>
              <w:rPr>
                <w:rFonts w:ascii="Arial" w:cs="Arial" w:eastAsia="Arial" w:hAnsi="Arial"/>
                <w:sz w:val="14"/>
                <w:szCs w:val="14"/>
                <w:b w:val="1"/>
                <w:bCs w:val="1"/>
                <w:color w:val="auto"/>
              </w:rPr>
              <w:t>Executive Vice President and</w:t>
            </w:r>
          </w:p>
        </w:tc>
        <w:tc>
          <w:tcPr>
            <w:tcW w:w="8360" w:type="dxa"/>
            <w:vAlign w:val="bottom"/>
            <w:tcBorders>
              <w:right w:val="single" w:sz="8" w:color="520B90"/>
            </w:tcBorders>
            <w:gridSpan w:val="2"/>
          </w:tcPr>
          <w:p>
            <w:pPr>
              <w:ind w:left="20"/>
              <w:spacing w:after="0"/>
              <w:rPr>
                <w:sz w:val="20"/>
                <w:szCs w:val="20"/>
                <w:color w:val="auto"/>
              </w:rPr>
            </w:pPr>
            <w:r>
              <w:rPr>
                <w:rFonts w:ascii="Arial" w:cs="Arial" w:eastAsia="Arial" w:hAnsi="Arial"/>
                <w:sz w:val="15"/>
                <w:szCs w:val="15"/>
                <w:color w:val="auto"/>
              </w:rPr>
              <w:t>Technologies, Inc.) from October 2017 to October 2018. Prior to that, Mr. Patel served as EVP and CFO from February 2008</w:t>
            </w:r>
          </w:p>
        </w:tc>
        <w:tc>
          <w:tcPr>
            <w:tcW w:w="0" w:type="dxa"/>
            <w:vAlign w:val="bottom"/>
          </w:tcPr>
          <w:p>
            <w:pPr>
              <w:spacing w:after="0"/>
              <w:rPr>
                <w:sz w:val="1"/>
                <w:szCs w:val="1"/>
                <w:color w:val="auto"/>
              </w:rPr>
            </w:pPr>
          </w:p>
        </w:tc>
      </w:tr>
      <w:tr>
        <w:trPr>
          <w:trHeight w:val="176"/>
        </w:trPr>
        <w:tc>
          <w:tcPr>
            <w:tcW w:w="2880" w:type="dxa"/>
            <w:vAlign w:val="bottom"/>
            <w:tcBorders>
              <w:left w:val="single" w:sz="8" w:color="520B90"/>
              <w:right w:val="single" w:sz="8" w:color="520B90"/>
            </w:tcBorders>
          </w:tcPr>
          <w:p>
            <w:pPr>
              <w:ind w:left="40"/>
              <w:spacing w:after="0"/>
              <w:rPr>
                <w:sz w:val="20"/>
                <w:szCs w:val="20"/>
                <w:color w:val="auto"/>
              </w:rPr>
            </w:pPr>
            <w:r>
              <w:rPr>
                <w:rFonts w:ascii="Arial" w:cs="Arial" w:eastAsia="Arial" w:hAnsi="Arial"/>
                <w:sz w:val="14"/>
                <w:szCs w:val="14"/>
                <w:b w:val="1"/>
                <w:bCs w:val="1"/>
                <w:color w:val="auto"/>
              </w:rPr>
              <w:t>Chief Financial Officer</w:t>
            </w:r>
          </w:p>
        </w:tc>
        <w:tc>
          <w:tcPr>
            <w:tcW w:w="8360" w:type="dxa"/>
            <w:vAlign w:val="bottom"/>
            <w:tcBorders>
              <w:right w:val="single" w:sz="8" w:color="520B90"/>
            </w:tcBorders>
            <w:gridSpan w:val="2"/>
          </w:tcPr>
          <w:p>
            <w:pPr>
              <w:ind w:left="20"/>
              <w:spacing w:after="0"/>
              <w:rPr>
                <w:sz w:val="20"/>
                <w:szCs w:val="20"/>
                <w:color w:val="auto"/>
              </w:rPr>
            </w:pPr>
            <w:r>
              <w:rPr>
                <w:rFonts w:ascii="Arial" w:cs="Arial" w:eastAsia="Arial" w:hAnsi="Arial"/>
                <w:sz w:val="15"/>
                <w:szCs w:val="15"/>
                <w:color w:val="auto"/>
              </w:rPr>
              <w:t>to October 2017 and as Group VP and CFO from March 2003 to February 2008 at Level 3 Communications Inc. (which was</w:t>
            </w:r>
          </w:p>
        </w:tc>
        <w:tc>
          <w:tcPr>
            <w:tcW w:w="0" w:type="dxa"/>
            <w:vAlign w:val="bottom"/>
          </w:tcPr>
          <w:p>
            <w:pPr>
              <w:spacing w:after="0"/>
              <w:rPr>
                <w:sz w:val="1"/>
                <w:szCs w:val="1"/>
                <w:color w:val="auto"/>
              </w:rPr>
            </w:pPr>
          </w:p>
        </w:tc>
      </w:tr>
      <w:tr>
        <w:trPr>
          <w:trHeight w:val="190"/>
        </w:trPr>
        <w:tc>
          <w:tcPr>
            <w:tcW w:w="2880" w:type="dxa"/>
            <w:vAlign w:val="bottom"/>
            <w:tcBorders>
              <w:left w:val="single" w:sz="8" w:color="520B90"/>
              <w:right w:val="single" w:sz="8" w:color="520B90"/>
            </w:tcBorders>
          </w:tcPr>
          <w:p>
            <w:pPr>
              <w:ind w:left="40"/>
              <w:spacing w:after="0"/>
              <w:rPr>
                <w:sz w:val="20"/>
                <w:szCs w:val="20"/>
                <w:color w:val="auto"/>
              </w:rPr>
            </w:pPr>
            <w:r>
              <w:rPr>
                <w:rFonts w:ascii="Arial" w:cs="Arial" w:eastAsia="Arial" w:hAnsi="Arial"/>
                <w:sz w:val="14"/>
                <w:szCs w:val="14"/>
                <w:color w:val="auto"/>
              </w:rPr>
              <w:t>since April 2025</w:t>
            </w:r>
          </w:p>
        </w:tc>
        <w:tc>
          <w:tcPr>
            <w:tcW w:w="8360" w:type="dxa"/>
            <w:vAlign w:val="bottom"/>
            <w:tcBorders>
              <w:right w:val="single" w:sz="8" w:color="520B90"/>
            </w:tcBorders>
            <w:gridSpan w:val="2"/>
          </w:tcPr>
          <w:p>
            <w:pPr>
              <w:ind w:left="20"/>
              <w:spacing w:after="0"/>
              <w:rPr>
                <w:sz w:val="20"/>
                <w:szCs w:val="20"/>
                <w:color w:val="auto"/>
              </w:rPr>
            </w:pPr>
            <w:r>
              <w:rPr>
                <w:rFonts w:ascii="Arial" w:cs="Arial" w:eastAsia="Arial" w:hAnsi="Arial"/>
                <w:sz w:val="15"/>
                <w:szCs w:val="15"/>
                <w:color w:val="auto"/>
              </w:rPr>
              <w:t>acquired by CenturyLink, Inc. in 2016). Mr. Patel was co-founder and CFO at Looking Glass Networks Inc. (which was</w:t>
            </w:r>
          </w:p>
        </w:tc>
        <w:tc>
          <w:tcPr>
            <w:tcW w:w="0" w:type="dxa"/>
            <w:vAlign w:val="bottom"/>
          </w:tcPr>
          <w:p>
            <w:pPr>
              <w:spacing w:after="0"/>
              <w:rPr>
                <w:sz w:val="1"/>
                <w:szCs w:val="1"/>
                <w:color w:val="auto"/>
              </w:rPr>
            </w:pPr>
          </w:p>
        </w:tc>
      </w:tr>
      <w:tr>
        <w:trPr>
          <w:trHeight w:val="172"/>
        </w:trPr>
        <w:tc>
          <w:tcPr>
            <w:tcW w:w="2880" w:type="dxa"/>
            <w:vAlign w:val="bottom"/>
            <w:tcBorders>
              <w:left w:val="single" w:sz="8" w:color="520B90"/>
              <w:right w:val="single" w:sz="8" w:color="520B90"/>
            </w:tcBorders>
          </w:tcPr>
          <w:p>
            <w:pPr>
              <w:spacing w:after="0"/>
              <w:rPr>
                <w:sz w:val="14"/>
                <w:szCs w:val="14"/>
                <w:color w:val="auto"/>
              </w:rPr>
            </w:pPr>
          </w:p>
        </w:tc>
        <w:tc>
          <w:tcPr>
            <w:tcW w:w="8360" w:type="dxa"/>
            <w:vAlign w:val="bottom"/>
            <w:tcBorders>
              <w:right w:val="single" w:sz="8" w:color="520B90"/>
            </w:tcBorders>
            <w:gridSpan w:val="2"/>
          </w:tcPr>
          <w:p>
            <w:pPr>
              <w:ind w:left="20"/>
              <w:spacing w:after="0"/>
              <w:rPr>
                <w:sz w:val="20"/>
                <w:szCs w:val="20"/>
                <w:color w:val="auto"/>
              </w:rPr>
            </w:pPr>
            <w:r>
              <w:rPr>
                <w:rFonts w:ascii="Arial" w:cs="Arial" w:eastAsia="Arial" w:hAnsi="Arial"/>
                <w:sz w:val="15"/>
                <w:szCs w:val="15"/>
                <w:color w:val="auto"/>
              </w:rPr>
              <w:t>acquired by Level 3 Communications in 2006). Mr. Patel served as a non-employee director of the Company from January</w:t>
            </w:r>
          </w:p>
        </w:tc>
        <w:tc>
          <w:tcPr>
            <w:tcW w:w="0" w:type="dxa"/>
            <w:vAlign w:val="bottom"/>
          </w:tcPr>
          <w:p>
            <w:pPr>
              <w:spacing w:after="0"/>
              <w:rPr>
                <w:sz w:val="1"/>
                <w:szCs w:val="1"/>
                <w:color w:val="auto"/>
              </w:rPr>
            </w:pPr>
          </w:p>
        </w:tc>
      </w:tr>
      <w:tr>
        <w:trPr>
          <w:trHeight w:val="198"/>
        </w:trPr>
        <w:tc>
          <w:tcPr>
            <w:tcW w:w="2880" w:type="dxa"/>
            <w:vAlign w:val="bottom"/>
            <w:tcBorders>
              <w:left w:val="single" w:sz="8" w:color="520B90"/>
              <w:right w:val="single" w:sz="8" w:color="520B90"/>
            </w:tcBorders>
          </w:tcPr>
          <w:p>
            <w:pPr>
              <w:spacing w:after="0"/>
              <w:rPr>
                <w:sz w:val="17"/>
                <w:szCs w:val="17"/>
                <w:color w:val="auto"/>
              </w:rPr>
            </w:pPr>
          </w:p>
        </w:tc>
        <w:tc>
          <w:tcPr>
            <w:tcW w:w="2940" w:type="dxa"/>
            <w:vAlign w:val="bottom"/>
          </w:tcPr>
          <w:p>
            <w:pPr>
              <w:ind w:left="20"/>
              <w:spacing w:after="0"/>
              <w:rPr>
                <w:sz w:val="20"/>
                <w:szCs w:val="20"/>
                <w:color w:val="auto"/>
              </w:rPr>
            </w:pPr>
            <w:r>
              <w:rPr>
                <w:rFonts w:ascii="Arial" w:cs="Arial" w:eastAsia="Arial" w:hAnsi="Arial"/>
                <w:sz w:val="15"/>
                <w:szCs w:val="15"/>
                <w:color w:val="auto"/>
              </w:rPr>
              <w:t>2024 to March 2025.</w:t>
            </w:r>
          </w:p>
        </w:tc>
        <w:tc>
          <w:tcPr>
            <w:tcW w:w="5420" w:type="dxa"/>
            <w:vAlign w:val="bottom"/>
            <w:tcBorders>
              <w:right w:val="single" w:sz="8" w:color="520B90"/>
            </w:tcBorders>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2880" w:type="dxa"/>
            <w:vAlign w:val="bottom"/>
            <w:tcBorders>
              <w:left w:val="single" w:sz="8" w:color="520B90"/>
              <w:bottom w:val="single" w:sz="8" w:color="520B90"/>
              <w:right w:val="single" w:sz="8" w:color="520B90"/>
            </w:tcBorders>
          </w:tcPr>
          <w:p>
            <w:pPr>
              <w:spacing w:after="0"/>
              <w:rPr>
                <w:sz w:val="2"/>
                <w:szCs w:val="2"/>
                <w:color w:val="auto"/>
              </w:rPr>
            </w:pPr>
          </w:p>
        </w:tc>
        <w:tc>
          <w:tcPr>
            <w:tcW w:w="8360" w:type="dxa"/>
            <w:vAlign w:val="bottom"/>
            <w:tcBorders>
              <w:bottom w:val="single" w:sz="8" w:color="520B90"/>
              <w:right w:val="single" w:sz="8" w:color="520B90"/>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33"/>
        </w:trPr>
        <w:tc>
          <w:tcPr>
            <w:tcW w:w="2880" w:type="dxa"/>
            <w:vAlign w:val="bottom"/>
            <w:tcBorders>
              <w:bottom w:val="single" w:sz="8" w:color="520B90"/>
            </w:tcBorders>
          </w:tcPr>
          <w:p>
            <w:pPr>
              <w:spacing w:after="0"/>
              <w:rPr>
                <w:sz w:val="2"/>
                <w:szCs w:val="2"/>
                <w:color w:val="auto"/>
              </w:rPr>
            </w:pPr>
          </w:p>
        </w:tc>
        <w:tc>
          <w:tcPr>
            <w:tcW w:w="2940" w:type="dxa"/>
            <w:vAlign w:val="bottom"/>
            <w:tcBorders>
              <w:bottom w:val="single" w:sz="8" w:color="520B90"/>
            </w:tcBorders>
          </w:tcPr>
          <w:p>
            <w:pPr>
              <w:spacing w:after="0"/>
              <w:rPr>
                <w:sz w:val="2"/>
                <w:szCs w:val="2"/>
                <w:color w:val="auto"/>
              </w:rPr>
            </w:pPr>
          </w:p>
        </w:tc>
        <w:tc>
          <w:tcPr>
            <w:tcW w:w="5420" w:type="dxa"/>
            <w:vAlign w:val="bottom"/>
            <w:tcBorders>
              <w:bottom w:val="single" w:sz="8" w:color="520B90"/>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880" w:type="dxa"/>
            <w:vAlign w:val="bottom"/>
            <w:tcBorders>
              <w:left w:val="single" w:sz="8" w:color="520B90"/>
              <w:right w:val="single" w:sz="8" w:color="520B90"/>
            </w:tcBorders>
            <w:shd w:val="clear" w:color="auto" w:fill="E6E7E7"/>
          </w:tcPr>
          <w:p>
            <w:pPr>
              <w:spacing w:after="0"/>
              <w:rPr>
                <w:sz w:val="16"/>
                <w:szCs w:val="16"/>
                <w:color w:val="auto"/>
              </w:rPr>
            </w:pPr>
          </w:p>
        </w:tc>
        <w:tc>
          <w:tcPr>
            <w:tcW w:w="8360" w:type="dxa"/>
            <w:vAlign w:val="bottom"/>
            <w:tcBorders>
              <w:right w:val="single" w:sz="8" w:color="520B90"/>
            </w:tcBorders>
            <w:gridSpan w:val="2"/>
            <w:shd w:val="clear" w:color="auto" w:fill="E6E7E7"/>
          </w:tcPr>
          <w:p>
            <w:pPr>
              <w:ind w:left="20"/>
              <w:spacing w:after="0"/>
              <w:rPr>
                <w:sz w:val="20"/>
                <w:szCs w:val="20"/>
                <w:color w:val="auto"/>
              </w:rPr>
            </w:pPr>
            <w:r>
              <w:rPr>
                <w:rFonts w:ascii="Arial" w:cs="Arial" w:eastAsia="Arial" w:hAnsi="Arial"/>
                <w:sz w:val="15"/>
                <w:szCs w:val="15"/>
                <w:b w:val="1"/>
                <w:bCs w:val="1"/>
                <w:color w:val="auto"/>
              </w:rPr>
              <w:t xml:space="preserve">Catherine Piche </w:t>
            </w:r>
            <w:r>
              <w:rPr>
                <w:rFonts w:ascii="Arial" w:cs="Arial" w:eastAsia="Arial" w:hAnsi="Arial"/>
                <w:sz w:val="15"/>
                <w:szCs w:val="15"/>
                <w:color w:val="auto"/>
              </w:rPr>
              <w:t>was appointed our EVP and Chief Operating Officer–Towers ("COO–Towers"), effective October 28, 2024.</w:t>
            </w:r>
          </w:p>
        </w:tc>
        <w:tc>
          <w:tcPr>
            <w:tcW w:w="0" w:type="dxa"/>
            <w:vAlign w:val="bottom"/>
          </w:tcPr>
          <w:p>
            <w:pPr>
              <w:spacing w:after="0"/>
              <w:rPr>
                <w:sz w:val="1"/>
                <w:szCs w:val="1"/>
                <w:color w:val="auto"/>
              </w:rPr>
            </w:pPr>
          </w:p>
        </w:tc>
      </w:tr>
      <w:tr>
        <w:trPr>
          <w:trHeight w:val="172"/>
        </w:trPr>
        <w:tc>
          <w:tcPr>
            <w:tcW w:w="2880" w:type="dxa"/>
            <w:vAlign w:val="bottom"/>
            <w:tcBorders>
              <w:left w:val="single" w:sz="8" w:color="520B90"/>
              <w:right w:val="single" w:sz="8" w:color="520B90"/>
            </w:tcBorders>
            <w:shd w:val="clear" w:color="auto" w:fill="E6E7E7"/>
          </w:tcPr>
          <w:p>
            <w:pPr>
              <w:spacing w:after="0"/>
              <w:rPr>
                <w:sz w:val="14"/>
                <w:szCs w:val="14"/>
                <w:color w:val="auto"/>
              </w:rPr>
            </w:pPr>
          </w:p>
        </w:tc>
        <w:tc>
          <w:tcPr>
            <w:tcW w:w="8360" w:type="dxa"/>
            <w:vAlign w:val="bottom"/>
            <w:tcBorders>
              <w:right w:val="single" w:sz="8" w:color="520B90"/>
            </w:tcBorders>
            <w:gridSpan w:val="2"/>
            <w:shd w:val="clear" w:color="auto" w:fill="E6E7E7"/>
          </w:tcPr>
          <w:p>
            <w:pPr>
              <w:ind w:left="20"/>
              <w:spacing w:after="0"/>
              <w:rPr>
                <w:sz w:val="20"/>
                <w:szCs w:val="20"/>
                <w:color w:val="auto"/>
              </w:rPr>
            </w:pPr>
            <w:r>
              <w:rPr>
                <w:rFonts w:ascii="Arial" w:cs="Arial" w:eastAsia="Arial" w:hAnsi="Arial"/>
                <w:sz w:val="15"/>
                <w:szCs w:val="15"/>
                <w:color w:val="auto"/>
              </w:rPr>
              <w:t>Prior to her appointment, Ms. Piche served as COO–International of Phoenix Tower International LLC, a global wireless</w:t>
            </w:r>
          </w:p>
        </w:tc>
        <w:tc>
          <w:tcPr>
            <w:tcW w:w="0" w:type="dxa"/>
            <w:vAlign w:val="bottom"/>
          </w:tcPr>
          <w:p>
            <w:pPr>
              <w:spacing w:after="0"/>
              <w:rPr>
                <w:sz w:val="1"/>
                <w:szCs w:val="1"/>
                <w:color w:val="auto"/>
              </w:rPr>
            </w:pPr>
          </w:p>
        </w:tc>
      </w:tr>
      <w:tr>
        <w:trPr>
          <w:trHeight w:val="185"/>
        </w:trPr>
        <w:tc>
          <w:tcPr>
            <w:tcW w:w="2880" w:type="dxa"/>
            <w:vAlign w:val="bottom"/>
            <w:tcBorders>
              <w:left w:val="single" w:sz="8" w:color="520B90"/>
              <w:right w:val="single" w:sz="8" w:color="520B90"/>
            </w:tcBorders>
            <w:shd w:val="clear" w:color="auto" w:fill="E6E7E7"/>
          </w:tcPr>
          <w:p>
            <w:pPr>
              <w:spacing w:after="0"/>
              <w:rPr>
                <w:sz w:val="16"/>
                <w:szCs w:val="16"/>
                <w:color w:val="auto"/>
              </w:rPr>
            </w:pPr>
          </w:p>
        </w:tc>
        <w:tc>
          <w:tcPr>
            <w:tcW w:w="8360" w:type="dxa"/>
            <w:vAlign w:val="bottom"/>
            <w:tcBorders>
              <w:right w:val="single" w:sz="8" w:color="520B90"/>
            </w:tcBorders>
            <w:gridSpan w:val="2"/>
            <w:shd w:val="clear" w:color="auto" w:fill="E6E7E7"/>
          </w:tcPr>
          <w:p>
            <w:pPr>
              <w:ind w:left="20"/>
              <w:spacing w:after="0"/>
              <w:rPr>
                <w:sz w:val="20"/>
                <w:szCs w:val="20"/>
                <w:color w:val="auto"/>
              </w:rPr>
            </w:pPr>
            <w:r>
              <w:rPr>
                <w:rFonts w:ascii="Arial" w:cs="Arial" w:eastAsia="Arial" w:hAnsi="Arial"/>
                <w:sz w:val="15"/>
                <w:szCs w:val="15"/>
                <w:color w:val="auto"/>
              </w:rPr>
              <w:t>communications infrastructure provider, from October 2023 to September 2024 and as our EVP and COO–Towers from</w:t>
            </w:r>
          </w:p>
        </w:tc>
        <w:tc>
          <w:tcPr>
            <w:tcW w:w="0" w:type="dxa"/>
            <w:vAlign w:val="bottom"/>
          </w:tcPr>
          <w:p>
            <w:pPr>
              <w:spacing w:after="0"/>
              <w:rPr>
                <w:sz w:val="1"/>
                <w:szCs w:val="1"/>
                <w:color w:val="auto"/>
              </w:rPr>
            </w:pPr>
          </w:p>
        </w:tc>
      </w:tr>
      <w:tr>
        <w:trPr>
          <w:trHeight w:val="176"/>
        </w:trPr>
        <w:tc>
          <w:tcPr>
            <w:tcW w:w="2880" w:type="dxa"/>
            <w:vAlign w:val="bottom"/>
            <w:tcBorders>
              <w:left w:val="single" w:sz="8" w:color="520B90"/>
              <w:right w:val="single" w:sz="8" w:color="520B90"/>
            </w:tcBorders>
            <w:shd w:val="clear" w:color="auto" w:fill="E6E7E7"/>
          </w:tcPr>
          <w:p>
            <w:pPr>
              <w:ind w:left="40"/>
              <w:spacing w:after="0" w:line="176" w:lineRule="exact"/>
              <w:rPr>
                <w:sz w:val="20"/>
                <w:szCs w:val="20"/>
                <w:color w:val="auto"/>
              </w:rPr>
            </w:pPr>
            <w:r>
              <w:rPr>
                <w:rFonts w:ascii="Arial" w:cs="Arial" w:eastAsia="Arial" w:hAnsi="Arial"/>
                <w:sz w:val="16"/>
                <w:szCs w:val="16"/>
                <w:b w:val="1"/>
                <w:bCs w:val="1"/>
                <w:color w:val="520B90"/>
              </w:rPr>
              <w:t>Catherine Piche, 55</w:t>
            </w:r>
          </w:p>
        </w:tc>
        <w:tc>
          <w:tcPr>
            <w:tcW w:w="8360" w:type="dxa"/>
            <w:vAlign w:val="bottom"/>
            <w:tcBorders>
              <w:right w:val="single" w:sz="8" w:color="520B90"/>
            </w:tcBorders>
            <w:gridSpan w:val="2"/>
            <w:shd w:val="clear" w:color="auto" w:fill="E6E7E7"/>
          </w:tcPr>
          <w:p>
            <w:pPr>
              <w:ind w:left="20"/>
              <w:spacing w:after="0"/>
              <w:rPr>
                <w:sz w:val="20"/>
                <w:szCs w:val="20"/>
                <w:color w:val="auto"/>
              </w:rPr>
            </w:pPr>
            <w:r>
              <w:rPr>
                <w:rFonts w:ascii="Arial" w:cs="Arial" w:eastAsia="Arial" w:hAnsi="Arial"/>
                <w:sz w:val="15"/>
                <w:szCs w:val="15"/>
                <w:color w:val="auto"/>
              </w:rPr>
              <w:t>August 2021 to September 2023. Prior to that time, Ms. Piche served in various leadership positions at the Company,</w:t>
            </w:r>
          </w:p>
        </w:tc>
        <w:tc>
          <w:tcPr>
            <w:tcW w:w="0" w:type="dxa"/>
            <w:vAlign w:val="bottom"/>
          </w:tcPr>
          <w:p>
            <w:pPr>
              <w:spacing w:after="0"/>
              <w:rPr>
                <w:sz w:val="1"/>
                <w:szCs w:val="1"/>
                <w:color w:val="auto"/>
              </w:rPr>
            </w:pPr>
          </w:p>
        </w:tc>
      </w:tr>
      <w:tr>
        <w:trPr>
          <w:trHeight w:val="185"/>
        </w:trPr>
        <w:tc>
          <w:tcPr>
            <w:tcW w:w="2880" w:type="dxa"/>
            <w:vAlign w:val="bottom"/>
            <w:tcBorders>
              <w:left w:val="single" w:sz="8" w:color="520B90"/>
              <w:right w:val="single" w:sz="8" w:color="520B90"/>
            </w:tcBorders>
            <w:shd w:val="clear" w:color="auto" w:fill="E6E7E7"/>
          </w:tcPr>
          <w:p>
            <w:pPr>
              <w:ind w:left="40"/>
              <w:spacing w:after="0"/>
              <w:rPr>
                <w:sz w:val="20"/>
                <w:szCs w:val="20"/>
                <w:color w:val="auto"/>
              </w:rPr>
            </w:pPr>
            <w:r>
              <w:rPr>
                <w:rFonts w:ascii="Arial" w:cs="Arial" w:eastAsia="Arial" w:hAnsi="Arial"/>
                <w:sz w:val="14"/>
                <w:szCs w:val="14"/>
                <w:b w:val="1"/>
                <w:bCs w:val="1"/>
                <w:color w:val="auto"/>
              </w:rPr>
              <w:t>Executive Vice President and</w:t>
            </w:r>
          </w:p>
        </w:tc>
        <w:tc>
          <w:tcPr>
            <w:tcW w:w="8360" w:type="dxa"/>
            <w:vAlign w:val="bottom"/>
            <w:tcBorders>
              <w:right w:val="single" w:sz="8" w:color="520B90"/>
            </w:tcBorders>
            <w:gridSpan w:val="2"/>
            <w:shd w:val="clear" w:color="auto" w:fill="E6E7E7"/>
          </w:tcPr>
          <w:p>
            <w:pPr>
              <w:ind w:left="20"/>
              <w:spacing w:after="0"/>
              <w:rPr>
                <w:sz w:val="20"/>
                <w:szCs w:val="20"/>
                <w:color w:val="auto"/>
              </w:rPr>
            </w:pPr>
            <w:r>
              <w:rPr>
                <w:rFonts w:ascii="Arial" w:cs="Arial" w:eastAsia="Arial" w:hAnsi="Arial"/>
                <w:sz w:val="15"/>
                <w:szCs w:val="15"/>
                <w:color w:val="auto"/>
              </w:rPr>
              <w:t>including as SVP–Project Delivery, Design and Construction from August 2021 to September 2021, as VP–Delivery, Design</w:t>
            </w:r>
          </w:p>
        </w:tc>
        <w:tc>
          <w:tcPr>
            <w:tcW w:w="0" w:type="dxa"/>
            <w:vAlign w:val="bottom"/>
          </w:tcPr>
          <w:p>
            <w:pPr>
              <w:spacing w:after="0"/>
              <w:rPr>
                <w:sz w:val="1"/>
                <w:szCs w:val="1"/>
                <w:color w:val="auto"/>
              </w:rPr>
            </w:pPr>
          </w:p>
        </w:tc>
      </w:tr>
      <w:tr>
        <w:trPr>
          <w:trHeight w:val="176"/>
        </w:trPr>
        <w:tc>
          <w:tcPr>
            <w:tcW w:w="2880" w:type="dxa"/>
            <w:vAlign w:val="bottom"/>
            <w:tcBorders>
              <w:left w:val="single" w:sz="8" w:color="520B90"/>
              <w:right w:val="single" w:sz="8" w:color="520B90"/>
            </w:tcBorders>
            <w:shd w:val="clear" w:color="auto" w:fill="E6E7E7"/>
          </w:tcPr>
          <w:p>
            <w:pPr>
              <w:ind w:left="40"/>
              <w:spacing w:after="0"/>
              <w:rPr>
                <w:sz w:val="20"/>
                <w:szCs w:val="20"/>
                <w:color w:val="auto"/>
              </w:rPr>
            </w:pPr>
            <w:r>
              <w:rPr>
                <w:rFonts w:ascii="Arial" w:cs="Arial" w:eastAsia="Arial" w:hAnsi="Arial"/>
                <w:sz w:val="14"/>
                <w:szCs w:val="14"/>
                <w:b w:val="1"/>
                <w:bCs w:val="1"/>
                <w:color w:val="auto"/>
              </w:rPr>
              <w:t>Chief Operating Officer—Towers</w:t>
            </w:r>
          </w:p>
        </w:tc>
        <w:tc>
          <w:tcPr>
            <w:tcW w:w="8360" w:type="dxa"/>
            <w:vAlign w:val="bottom"/>
            <w:tcBorders>
              <w:right w:val="single" w:sz="8" w:color="520B90"/>
            </w:tcBorders>
            <w:gridSpan w:val="2"/>
            <w:shd w:val="clear" w:color="auto" w:fill="E6E7E7"/>
          </w:tcPr>
          <w:p>
            <w:pPr>
              <w:ind w:left="20"/>
              <w:spacing w:after="0"/>
              <w:rPr>
                <w:sz w:val="20"/>
                <w:szCs w:val="20"/>
                <w:color w:val="auto"/>
              </w:rPr>
            </w:pPr>
            <w:r>
              <w:rPr>
                <w:rFonts w:ascii="Arial" w:cs="Arial" w:eastAsia="Arial" w:hAnsi="Arial"/>
                <w:sz w:val="15"/>
                <w:szCs w:val="15"/>
                <w:color w:val="auto"/>
              </w:rPr>
              <w:t>and Construction from June 2021 to August 2021, as VP–Project Delivery from April 2020 to June 2021, and as Area</w:t>
            </w:r>
          </w:p>
        </w:tc>
        <w:tc>
          <w:tcPr>
            <w:tcW w:w="0" w:type="dxa"/>
            <w:vAlign w:val="bottom"/>
          </w:tcPr>
          <w:p>
            <w:pPr>
              <w:spacing w:after="0"/>
              <w:rPr>
                <w:sz w:val="1"/>
                <w:szCs w:val="1"/>
                <w:color w:val="auto"/>
              </w:rPr>
            </w:pPr>
          </w:p>
        </w:tc>
      </w:tr>
      <w:tr>
        <w:trPr>
          <w:trHeight w:val="177"/>
        </w:trPr>
        <w:tc>
          <w:tcPr>
            <w:tcW w:w="2880" w:type="dxa"/>
            <w:vAlign w:val="bottom"/>
            <w:tcBorders>
              <w:left w:val="single" w:sz="8" w:color="520B90"/>
              <w:right w:val="single" w:sz="8" w:color="520B90"/>
            </w:tcBorders>
            <w:shd w:val="clear" w:color="auto" w:fill="E6E7E7"/>
          </w:tcPr>
          <w:p>
            <w:pPr>
              <w:ind w:left="40"/>
              <w:spacing w:after="0"/>
              <w:rPr>
                <w:sz w:val="20"/>
                <w:szCs w:val="20"/>
                <w:color w:val="auto"/>
              </w:rPr>
            </w:pPr>
            <w:r>
              <w:rPr>
                <w:rFonts w:ascii="Arial" w:cs="Arial" w:eastAsia="Arial" w:hAnsi="Arial"/>
                <w:sz w:val="14"/>
                <w:szCs w:val="14"/>
                <w:color w:val="auto"/>
              </w:rPr>
              <w:t>since October 2024</w:t>
            </w:r>
          </w:p>
        </w:tc>
        <w:tc>
          <w:tcPr>
            <w:tcW w:w="8360" w:type="dxa"/>
            <w:vAlign w:val="bottom"/>
            <w:tcBorders>
              <w:right w:val="single" w:sz="8" w:color="520B90"/>
            </w:tcBorders>
            <w:gridSpan w:val="2"/>
            <w:shd w:val="clear" w:color="auto" w:fill="E6E7E7"/>
          </w:tcPr>
          <w:p>
            <w:pPr>
              <w:ind w:left="20"/>
              <w:spacing w:after="0"/>
              <w:rPr>
                <w:sz w:val="20"/>
                <w:szCs w:val="20"/>
                <w:color w:val="auto"/>
              </w:rPr>
            </w:pPr>
            <w:r>
              <w:rPr>
                <w:rFonts w:ascii="Arial" w:cs="Arial" w:eastAsia="Arial" w:hAnsi="Arial"/>
                <w:sz w:val="15"/>
                <w:szCs w:val="15"/>
                <w:color w:val="auto"/>
              </w:rPr>
              <w:t>President–East Area from April 2011 to April 2020. Before initially joining the Company in April 2011, Ms. Piche spent over</w:t>
            </w:r>
          </w:p>
        </w:tc>
        <w:tc>
          <w:tcPr>
            <w:tcW w:w="0" w:type="dxa"/>
            <w:vAlign w:val="bottom"/>
          </w:tcPr>
          <w:p>
            <w:pPr>
              <w:spacing w:after="0"/>
              <w:rPr>
                <w:sz w:val="1"/>
                <w:szCs w:val="1"/>
                <w:color w:val="auto"/>
              </w:rPr>
            </w:pPr>
          </w:p>
        </w:tc>
      </w:tr>
      <w:tr>
        <w:trPr>
          <w:trHeight w:val="185"/>
        </w:trPr>
        <w:tc>
          <w:tcPr>
            <w:tcW w:w="2880" w:type="dxa"/>
            <w:vAlign w:val="bottom"/>
            <w:tcBorders>
              <w:left w:val="single" w:sz="8" w:color="520B90"/>
              <w:right w:val="single" w:sz="8" w:color="520B90"/>
            </w:tcBorders>
            <w:shd w:val="clear" w:color="auto" w:fill="E6E7E7"/>
          </w:tcPr>
          <w:p>
            <w:pPr>
              <w:spacing w:after="0"/>
              <w:rPr>
                <w:sz w:val="16"/>
                <w:szCs w:val="16"/>
                <w:color w:val="auto"/>
              </w:rPr>
            </w:pPr>
          </w:p>
        </w:tc>
        <w:tc>
          <w:tcPr>
            <w:tcW w:w="8360" w:type="dxa"/>
            <w:vAlign w:val="bottom"/>
            <w:tcBorders>
              <w:right w:val="single" w:sz="8" w:color="520B90"/>
            </w:tcBorders>
            <w:gridSpan w:val="2"/>
            <w:shd w:val="clear" w:color="auto" w:fill="E6E7E7"/>
          </w:tcPr>
          <w:p>
            <w:pPr>
              <w:ind w:left="20"/>
              <w:spacing w:after="0"/>
              <w:rPr>
                <w:sz w:val="20"/>
                <w:szCs w:val="20"/>
                <w:color w:val="auto"/>
              </w:rPr>
            </w:pPr>
            <w:r>
              <w:rPr>
                <w:rFonts w:ascii="Arial" w:cs="Arial" w:eastAsia="Arial" w:hAnsi="Arial"/>
                <w:sz w:val="15"/>
                <w:szCs w:val="15"/>
                <w:color w:val="auto"/>
              </w:rPr>
              <w:t>ten years at AMT, in various leadership positions in tower deployment, national carrier accounts and general management.</w:t>
            </w:r>
          </w:p>
        </w:tc>
        <w:tc>
          <w:tcPr>
            <w:tcW w:w="0" w:type="dxa"/>
            <w:vAlign w:val="bottom"/>
          </w:tcPr>
          <w:p>
            <w:pPr>
              <w:spacing w:after="0"/>
              <w:rPr>
                <w:sz w:val="1"/>
                <w:szCs w:val="1"/>
                <w:color w:val="auto"/>
              </w:rPr>
            </w:pPr>
          </w:p>
        </w:tc>
      </w:tr>
      <w:tr>
        <w:trPr>
          <w:trHeight w:val="172"/>
        </w:trPr>
        <w:tc>
          <w:tcPr>
            <w:tcW w:w="2880" w:type="dxa"/>
            <w:vAlign w:val="bottom"/>
            <w:tcBorders>
              <w:left w:val="single" w:sz="8" w:color="520B90"/>
              <w:right w:val="single" w:sz="8" w:color="520B90"/>
            </w:tcBorders>
            <w:shd w:val="clear" w:color="auto" w:fill="E6E7E7"/>
          </w:tcPr>
          <w:p>
            <w:pPr>
              <w:spacing w:after="0"/>
              <w:rPr>
                <w:sz w:val="14"/>
                <w:szCs w:val="14"/>
                <w:color w:val="auto"/>
              </w:rPr>
            </w:pPr>
          </w:p>
        </w:tc>
        <w:tc>
          <w:tcPr>
            <w:tcW w:w="8360" w:type="dxa"/>
            <w:vAlign w:val="bottom"/>
            <w:tcBorders>
              <w:right w:val="single" w:sz="8" w:color="520B90"/>
            </w:tcBorders>
            <w:gridSpan w:val="2"/>
            <w:shd w:val="clear" w:color="auto" w:fill="E6E7E7"/>
          </w:tcPr>
          <w:p>
            <w:pPr>
              <w:ind w:left="20"/>
              <w:spacing w:after="0"/>
              <w:rPr>
                <w:sz w:val="20"/>
                <w:szCs w:val="20"/>
                <w:color w:val="auto"/>
              </w:rPr>
            </w:pPr>
            <w:r>
              <w:rPr>
                <w:rFonts w:ascii="Arial" w:cs="Arial" w:eastAsia="Arial" w:hAnsi="Arial"/>
                <w:sz w:val="15"/>
                <w:szCs w:val="15"/>
                <w:color w:val="auto"/>
              </w:rPr>
              <w:t>She began her career in telecommunications serving in numerous operational roles at Sprint Corporation (prior to its merger</w:t>
            </w:r>
          </w:p>
        </w:tc>
        <w:tc>
          <w:tcPr>
            <w:tcW w:w="0" w:type="dxa"/>
            <w:vAlign w:val="bottom"/>
          </w:tcPr>
          <w:p>
            <w:pPr>
              <w:spacing w:after="0"/>
              <w:rPr>
                <w:sz w:val="1"/>
                <w:szCs w:val="1"/>
                <w:color w:val="auto"/>
              </w:rPr>
            </w:pPr>
          </w:p>
        </w:tc>
      </w:tr>
      <w:tr>
        <w:trPr>
          <w:trHeight w:val="234"/>
        </w:trPr>
        <w:tc>
          <w:tcPr>
            <w:tcW w:w="2880" w:type="dxa"/>
            <w:vAlign w:val="bottom"/>
            <w:tcBorders>
              <w:left w:val="single" w:sz="8" w:color="520B90"/>
              <w:bottom w:val="single" w:sz="8" w:color="E6E7E7"/>
              <w:right w:val="single" w:sz="8" w:color="520B90"/>
            </w:tcBorders>
            <w:shd w:val="clear" w:color="auto" w:fill="E6E7E7"/>
          </w:tcPr>
          <w:p>
            <w:pPr>
              <w:spacing w:after="0"/>
              <w:rPr>
                <w:sz w:val="19"/>
                <w:szCs w:val="19"/>
                <w:color w:val="auto"/>
              </w:rPr>
            </w:pPr>
          </w:p>
        </w:tc>
        <w:tc>
          <w:tcPr>
            <w:tcW w:w="2940" w:type="dxa"/>
            <w:vAlign w:val="bottom"/>
            <w:tcBorders>
              <w:bottom w:val="single" w:sz="8" w:color="E6E7E7"/>
            </w:tcBorders>
            <w:shd w:val="clear" w:color="auto" w:fill="E6E7E7"/>
          </w:tcPr>
          <w:p>
            <w:pPr>
              <w:ind w:left="20"/>
              <w:spacing w:after="0"/>
              <w:rPr>
                <w:sz w:val="20"/>
                <w:szCs w:val="20"/>
                <w:color w:val="auto"/>
              </w:rPr>
            </w:pPr>
            <w:r>
              <w:rPr>
                <w:rFonts w:ascii="Arial" w:cs="Arial" w:eastAsia="Arial" w:hAnsi="Arial"/>
                <w:sz w:val="15"/>
                <w:szCs w:val="15"/>
                <w:color w:val="auto"/>
              </w:rPr>
              <w:t>with T-Mobile US, Inc.) and AT&amp;T Inc.</w:t>
            </w:r>
          </w:p>
        </w:tc>
        <w:tc>
          <w:tcPr>
            <w:tcW w:w="5420" w:type="dxa"/>
            <w:vAlign w:val="bottom"/>
            <w:tcBorders>
              <w:bottom w:val="single" w:sz="8" w:color="E6E7E7"/>
              <w:right w:val="single" w:sz="8" w:color="520B90"/>
            </w:tcBorders>
            <w:shd w:val="clear" w:color="auto" w:fill="E6E7E7"/>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880" w:type="dxa"/>
            <w:vAlign w:val="bottom"/>
            <w:tcBorders>
              <w:top w:val="single" w:sz="8" w:color="520B90"/>
              <w:bottom w:val="single" w:sz="8" w:color="520B90"/>
            </w:tcBorders>
          </w:tcPr>
          <w:p>
            <w:pPr>
              <w:spacing w:after="0"/>
              <w:rPr>
                <w:sz w:val="2"/>
                <w:szCs w:val="2"/>
                <w:color w:val="auto"/>
              </w:rPr>
            </w:pPr>
          </w:p>
        </w:tc>
        <w:tc>
          <w:tcPr>
            <w:tcW w:w="2940" w:type="dxa"/>
            <w:vAlign w:val="bottom"/>
            <w:tcBorders>
              <w:top w:val="single" w:sz="8" w:color="520B90"/>
              <w:bottom w:val="single" w:sz="8" w:color="520B90"/>
            </w:tcBorders>
          </w:tcPr>
          <w:p>
            <w:pPr>
              <w:spacing w:after="0"/>
              <w:rPr>
                <w:sz w:val="2"/>
                <w:szCs w:val="2"/>
                <w:color w:val="auto"/>
              </w:rPr>
            </w:pPr>
          </w:p>
        </w:tc>
        <w:tc>
          <w:tcPr>
            <w:tcW w:w="5420" w:type="dxa"/>
            <w:vAlign w:val="bottom"/>
            <w:tcBorders>
              <w:top w:val="single" w:sz="8" w:color="520B90"/>
              <w:bottom w:val="single" w:sz="8" w:color="520B90"/>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880" w:type="dxa"/>
            <w:vAlign w:val="bottom"/>
            <w:tcBorders>
              <w:left w:val="single" w:sz="8" w:color="520B90"/>
              <w:right w:val="single" w:sz="8" w:color="520B90"/>
            </w:tcBorders>
          </w:tcPr>
          <w:p>
            <w:pPr>
              <w:spacing w:after="0"/>
              <w:rPr>
                <w:sz w:val="16"/>
                <w:szCs w:val="16"/>
                <w:color w:val="auto"/>
              </w:rPr>
            </w:pPr>
          </w:p>
        </w:tc>
        <w:tc>
          <w:tcPr>
            <w:tcW w:w="8360" w:type="dxa"/>
            <w:vAlign w:val="bottom"/>
            <w:tcBorders>
              <w:right w:val="single" w:sz="8" w:color="520B90"/>
            </w:tcBorders>
            <w:gridSpan w:val="2"/>
          </w:tcPr>
          <w:p>
            <w:pPr>
              <w:ind w:left="20"/>
              <w:spacing w:after="0"/>
              <w:rPr>
                <w:sz w:val="20"/>
                <w:szCs w:val="20"/>
                <w:color w:val="auto"/>
              </w:rPr>
            </w:pPr>
            <w:r>
              <w:rPr>
                <w:rFonts w:ascii="Arial" w:cs="Arial" w:eastAsia="Arial" w:hAnsi="Arial"/>
                <w:sz w:val="15"/>
                <w:szCs w:val="15"/>
                <w:b w:val="1"/>
                <w:bCs w:val="1"/>
                <w:color w:val="auto"/>
              </w:rPr>
              <w:t xml:space="preserve">Christopher D. Levendos </w:t>
            </w:r>
            <w:r>
              <w:rPr>
                <w:rFonts w:ascii="Arial" w:cs="Arial" w:eastAsia="Arial" w:hAnsi="Arial"/>
                <w:sz w:val="15"/>
                <w:szCs w:val="15"/>
                <w:color w:val="auto"/>
              </w:rPr>
              <w:t>was appointed our EVP and Chief Operating Officer—Fiber ("COO–Fiber") effective January 23,</w:t>
            </w:r>
          </w:p>
        </w:tc>
        <w:tc>
          <w:tcPr>
            <w:tcW w:w="0" w:type="dxa"/>
            <w:vAlign w:val="bottom"/>
          </w:tcPr>
          <w:p>
            <w:pPr>
              <w:spacing w:after="0"/>
              <w:rPr>
                <w:sz w:val="1"/>
                <w:szCs w:val="1"/>
                <w:color w:val="auto"/>
              </w:rPr>
            </w:pPr>
          </w:p>
        </w:tc>
      </w:tr>
      <w:tr>
        <w:trPr>
          <w:trHeight w:val="172"/>
        </w:trPr>
        <w:tc>
          <w:tcPr>
            <w:tcW w:w="2880" w:type="dxa"/>
            <w:vAlign w:val="bottom"/>
            <w:tcBorders>
              <w:left w:val="single" w:sz="8" w:color="520B90"/>
              <w:right w:val="single" w:sz="8" w:color="520B90"/>
            </w:tcBorders>
          </w:tcPr>
          <w:p>
            <w:pPr>
              <w:spacing w:after="0"/>
              <w:rPr>
                <w:sz w:val="14"/>
                <w:szCs w:val="14"/>
                <w:color w:val="auto"/>
              </w:rPr>
            </w:pPr>
          </w:p>
        </w:tc>
        <w:tc>
          <w:tcPr>
            <w:tcW w:w="8360" w:type="dxa"/>
            <w:vAlign w:val="bottom"/>
            <w:tcBorders>
              <w:right w:val="single" w:sz="8" w:color="520B90"/>
            </w:tcBorders>
            <w:gridSpan w:val="2"/>
          </w:tcPr>
          <w:p>
            <w:pPr>
              <w:ind w:left="20"/>
              <w:spacing w:after="0"/>
              <w:rPr>
                <w:sz w:val="20"/>
                <w:szCs w:val="20"/>
                <w:color w:val="auto"/>
              </w:rPr>
            </w:pPr>
            <w:r>
              <w:rPr>
                <w:rFonts w:ascii="Arial" w:cs="Arial" w:eastAsia="Arial" w:hAnsi="Arial"/>
                <w:sz w:val="15"/>
                <w:szCs w:val="15"/>
                <w:color w:val="auto"/>
              </w:rPr>
              <w:t>2024. Prior to that time, Mr. Levendos served as our EVP and COO, overseeing both historical operating segments. Mr.</w:t>
            </w:r>
          </w:p>
        </w:tc>
        <w:tc>
          <w:tcPr>
            <w:tcW w:w="0" w:type="dxa"/>
            <w:vAlign w:val="bottom"/>
          </w:tcPr>
          <w:p>
            <w:pPr>
              <w:spacing w:after="0"/>
              <w:rPr>
                <w:sz w:val="1"/>
                <w:szCs w:val="1"/>
                <w:color w:val="auto"/>
              </w:rPr>
            </w:pPr>
          </w:p>
        </w:tc>
      </w:tr>
      <w:tr>
        <w:trPr>
          <w:trHeight w:val="185"/>
        </w:trPr>
        <w:tc>
          <w:tcPr>
            <w:tcW w:w="2880" w:type="dxa"/>
            <w:vAlign w:val="bottom"/>
            <w:tcBorders>
              <w:left w:val="single" w:sz="8" w:color="520B90"/>
              <w:right w:val="single" w:sz="8" w:color="520B90"/>
            </w:tcBorders>
            <w:vMerge w:val="restart"/>
          </w:tcPr>
          <w:p>
            <w:pPr>
              <w:ind w:left="40"/>
              <w:spacing w:after="0"/>
              <w:rPr>
                <w:sz w:val="20"/>
                <w:szCs w:val="20"/>
                <w:color w:val="auto"/>
              </w:rPr>
            </w:pPr>
            <w:r>
              <w:rPr>
                <w:rFonts w:ascii="Arial" w:cs="Arial" w:eastAsia="Arial" w:hAnsi="Arial"/>
                <w:sz w:val="16"/>
                <w:szCs w:val="16"/>
                <w:b w:val="1"/>
                <w:bCs w:val="1"/>
                <w:color w:val="520B90"/>
              </w:rPr>
              <w:t>Christopher D. Levendos, 58</w:t>
            </w:r>
          </w:p>
        </w:tc>
        <w:tc>
          <w:tcPr>
            <w:tcW w:w="8360" w:type="dxa"/>
            <w:vAlign w:val="bottom"/>
            <w:tcBorders>
              <w:right w:val="single" w:sz="8" w:color="520B90"/>
            </w:tcBorders>
            <w:gridSpan w:val="2"/>
          </w:tcPr>
          <w:p>
            <w:pPr>
              <w:ind w:left="20"/>
              <w:spacing w:after="0"/>
              <w:rPr>
                <w:sz w:val="20"/>
                <w:szCs w:val="20"/>
                <w:color w:val="auto"/>
              </w:rPr>
            </w:pPr>
            <w:r>
              <w:rPr>
                <w:rFonts w:ascii="Arial" w:cs="Arial" w:eastAsia="Arial" w:hAnsi="Arial"/>
                <w:sz w:val="15"/>
                <w:szCs w:val="15"/>
                <w:color w:val="auto"/>
              </w:rPr>
              <w:t>Levendos also served as our EVP and COO–Fiber from December 2020 to November 2023 and acted as the Interim EVP</w:t>
            </w:r>
          </w:p>
        </w:tc>
        <w:tc>
          <w:tcPr>
            <w:tcW w:w="0" w:type="dxa"/>
            <w:vAlign w:val="bottom"/>
          </w:tcPr>
          <w:p>
            <w:pPr>
              <w:spacing w:after="0"/>
              <w:rPr>
                <w:sz w:val="1"/>
                <w:szCs w:val="1"/>
                <w:color w:val="auto"/>
              </w:rPr>
            </w:pPr>
          </w:p>
        </w:tc>
      </w:tr>
      <w:tr>
        <w:trPr>
          <w:trHeight w:val="127"/>
        </w:trPr>
        <w:tc>
          <w:tcPr>
            <w:tcW w:w="2880" w:type="dxa"/>
            <w:vAlign w:val="bottom"/>
            <w:tcBorders>
              <w:left w:val="single" w:sz="8" w:color="520B90"/>
              <w:right w:val="single" w:sz="8" w:color="520B90"/>
            </w:tcBorders>
            <w:vMerge w:val="continue"/>
          </w:tcPr>
          <w:p>
            <w:pPr>
              <w:spacing w:after="0"/>
              <w:rPr>
                <w:sz w:val="11"/>
                <w:szCs w:val="11"/>
                <w:color w:val="auto"/>
              </w:rPr>
            </w:pPr>
          </w:p>
        </w:tc>
        <w:tc>
          <w:tcPr>
            <w:tcW w:w="8360" w:type="dxa"/>
            <w:vAlign w:val="bottom"/>
            <w:tcBorders>
              <w:right w:val="single" w:sz="8" w:color="520B90"/>
            </w:tcBorders>
            <w:gridSpan w:val="2"/>
            <w:vMerge w:val="restart"/>
          </w:tcPr>
          <w:p>
            <w:pPr>
              <w:ind w:left="20"/>
              <w:spacing w:after="0"/>
              <w:rPr>
                <w:sz w:val="20"/>
                <w:szCs w:val="20"/>
                <w:color w:val="auto"/>
              </w:rPr>
            </w:pPr>
            <w:r>
              <w:rPr>
                <w:rFonts w:ascii="Arial" w:cs="Arial" w:eastAsia="Arial" w:hAnsi="Arial"/>
                <w:sz w:val="15"/>
                <w:szCs w:val="15"/>
                <w:color w:val="auto"/>
              </w:rPr>
              <w:t>and COO–Towers from October 2023 to November 2023. Previously, Mr. Levendos served as our VP of Fiber Operations</w:t>
            </w:r>
          </w:p>
        </w:tc>
        <w:tc>
          <w:tcPr>
            <w:tcW w:w="0" w:type="dxa"/>
            <w:vAlign w:val="bottom"/>
          </w:tcPr>
          <w:p>
            <w:pPr>
              <w:spacing w:after="0"/>
              <w:rPr>
                <w:sz w:val="1"/>
                <w:szCs w:val="1"/>
                <w:color w:val="auto"/>
              </w:rPr>
            </w:pPr>
          </w:p>
        </w:tc>
      </w:tr>
      <w:tr>
        <w:trPr>
          <w:trHeight w:val="45"/>
        </w:trPr>
        <w:tc>
          <w:tcPr>
            <w:tcW w:w="2880" w:type="dxa"/>
            <w:vAlign w:val="bottom"/>
            <w:tcBorders>
              <w:left w:val="single" w:sz="8" w:color="520B90"/>
              <w:right w:val="single" w:sz="8" w:color="520B90"/>
            </w:tcBorders>
            <w:vMerge w:val="restart"/>
          </w:tcPr>
          <w:p>
            <w:pPr>
              <w:ind w:left="40"/>
              <w:spacing w:after="0"/>
              <w:rPr>
                <w:sz w:val="20"/>
                <w:szCs w:val="20"/>
                <w:color w:val="auto"/>
              </w:rPr>
            </w:pPr>
            <w:r>
              <w:rPr>
                <w:rFonts w:ascii="Arial" w:cs="Arial" w:eastAsia="Arial" w:hAnsi="Arial"/>
                <w:sz w:val="14"/>
                <w:szCs w:val="14"/>
                <w:b w:val="1"/>
                <w:bCs w:val="1"/>
                <w:color w:val="auto"/>
              </w:rPr>
              <w:t>Executive Vice President and</w:t>
            </w:r>
          </w:p>
        </w:tc>
        <w:tc>
          <w:tcPr>
            <w:tcW w:w="8360" w:type="dxa"/>
            <w:vAlign w:val="bottom"/>
            <w:tcBorders>
              <w:right w:val="single" w:sz="8" w:color="520B90"/>
            </w:tcBorders>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2880" w:type="dxa"/>
            <w:vAlign w:val="bottom"/>
            <w:tcBorders>
              <w:left w:val="single" w:sz="8" w:color="520B90"/>
              <w:right w:val="single" w:sz="8" w:color="520B90"/>
            </w:tcBorders>
            <w:vMerge w:val="continue"/>
          </w:tcPr>
          <w:p>
            <w:pPr>
              <w:spacing w:after="0"/>
              <w:rPr>
                <w:sz w:val="13"/>
                <w:szCs w:val="13"/>
                <w:color w:val="auto"/>
              </w:rPr>
            </w:pPr>
          </w:p>
        </w:tc>
        <w:tc>
          <w:tcPr>
            <w:tcW w:w="8360" w:type="dxa"/>
            <w:vAlign w:val="bottom"/>
            <w:tcBorders>
              <w:right w:val="single" w:sz="8" w:color="520B90"/>
            </w:tcBorders>
            <w:gridSpan w:val="2"/>
          </w:tcPr>
          <w:p>
            <w:pPr>
              <w:ind w:left="20"/>
              <w:spacing w:after="0" w:line="150" w:lineRule="exact"/>
              <w:rPr>
                <w:sz w:val="20"/>
                <w:szCs w:val="20"/>
                <w:color w:val="auto"/>
              </w:rPr>
            </w:pPr>
            <w:r>
              <w:rPr>
                <w:rFonts w:ascii="Arial" w:cs="Arial" w:eastAsia="Arial" w:hAnsi="Arial"/>
                <w:sz w:val="15"/>
                <w:szCs w:val="15"/>
                <w:color w:val="auto"/>
              </w:rPr>
              <w:t>from June 2018 to December 2020. Prior to joining the Company, Mr. Levendos served as an EVP of Field Operations at</w:t>
            </w:r>
          </w:p>
        </w:tc>
        <w:tc>
          <w:tcPr>
            <w:tcW w:w="0" w:type="dxa"/>
            <w:vAlign w:val="bottom"/>
          </w:tcPr>
          <w:p>
            <w:pPr>
              <w:spacing w:after="0"/>
              <w:rPr>
                <w:sz w:val="1"/>
                <w:szCs w:val="1"/>
                <w:color w:val="auto"/>
              </w:rPr>
            </w:pPr>
          </w:p>
        </w:tc>
      </w:tr>
      <w:tr>
        <w:trPr>
          <w:trHeight w:val="123"/>
        </w:trPr>
        <w:tc>
          <w:tcPr>
            <w:tcW w:w="2880" w:type="dxa"/>
            <w:vAlign w:val="bottom"/>
            <w:tcBorders>
              <w:left w:val="single" w:sz="8" w:color="520B90"/>
              <w:right w:val="single" w:sz="8" w:color="520B90"/>
            </w:tcBorders>
          </w:tcPr>
          <w:p>
            <w:pPr>
              <w:ind w:left="40"/>
              <w:spacing w:after="0" w:line="123" w:lineRule="exact"/>
              <w:rPr>
                <w:sz w:val="20"/>
                <w:szCs w:val="20"/>
                <w:color w:val="auto"/>
              </w:rPr>
            </w:pPr>
            <w:r>
              <w:rPr>
                <w:rFonts w:ascii="Arial" w:cs="Arial" w:eastAsia="Arial" w:hAnsi="Arial"/>
                <w:sz w:val="14"/>
                <w:szCs w:val="14"/>
                <w:b w:val="1"/>
                <w:bCs w:val="1"/>
                <w:color w:val="auto"/>
              </w:rPr>
              <w:t>Chief Operating Officer—Fiber</w:t>
            </w:r>
          </w:p>
        </w:tc>
        <w:tc>
          <w:tcPr>
            <w:tcW w:w="8360" w:type="dxa"/>
            <w:vAlign w:val="bottom"/>
            <w:tcBorders>
              <w:right w:val="single" w:sz="8" w:color="520B90"/>
            </w:tcBorders>
            <w:gridSpan w:val="2"/>
            <w:vMerge w:val="restart"/>
          </w:tcPr>
          <w:p>
            <w:pPr>
              <w:ind w:left="20"/>
              <w:spacing w:after="0"/>
              <w:rPr>
                <w:sz w:val="20"/>
                <w:szCs w:val="20"/>
                <w:color w:val="auto"/>
              </w:rPr>
            </w:pPr>
            <w:r>
              <w:rPr>
                <w:rFonts w:ascii="Arial" w:cs="Arial" w:eastAsia="Arial" w:hAnsi="Arial"/>
                <w:sz w:val="15"/>
                <w:szCs w:val="15"/>
                <w:color w:val="auto"/>
              </w:rPr>
              <w:t>Frontier Communications Corporation ("Frontier") where he was responsible for the efficiency and effectiveness of</w:t>
            </w:r>
          </w:p>
        </w:tc>
        <w:tc>
          <w:tcPr>
            <w:tcW w:w="0" w:type="dxa"/>
            <w:vAlign w:val="bottom"/>
          </w:tcPr>
          <w:p>
            <w:pPr>
              <w:spacing w:after="0"/>
              <w:rPr>
                <w:sz w:val="1"/>
                <w:szCs w:val="1"/>
                <w:color w:val="auto"/>
              </w:rPr>
            </w:pPr>
          </w:p>
        </w:tc>
      </w:tr>
      <w:tr>
        <w:trPr>
          <w:trHeight w:val="98"/>
        </w:trPr>
        <w:tc>
          <w:tcPr>
            <w:tcW w:w="2880" w:type="dxa"/>
            <w:vAlign w:val="bottom"/>
            <w:tcBorders>
              <w:left w:val="single" w:sz="8" w:color="520B90"/>
              <w:right w:val="single" w:sz="8" w:color="520B90"/>
            </w:tcBorders>
            <w:vMerge w:val="restart"/>
          </w:tcPr>
          <w:p>
            <w:pPr>
              <w:ind w:left="40"/>
              <w:spacing w:after="0"/>
              <w:rPr>
                <w:sz w:val="20"/>
                <w:szCs w:val="20"/>
                <w:color w:val="auto"/>
              </w:rPr>
            </w:pPr>
            <w:r>
              <w:rPr>
                <w:rFonts w:ascii="Arial" w:cs="Arial" w:eastAsia="Arial" w:hAnsi="Arial"/>
                <w:sz w:val="14"/>
                <w:szCs w:val="14"/>
                <w:color w:val="auto"/>
              </w:rPr>
              <w:t>since January 2024</w:t>
            </w:r>
          </w:p>
        </w:tc>
        <w:tc>
          <w:tcPr>
            <w:tcW w:w="8360" w:type="dxa"/>
            <w:vAlign w:val="bottom"/>
            <w:tcBorders>
              <w:right w:val="single" w:sz="8" w:color="520B90"/>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880" w:type="dxa"/>
            <w:vAlign w:val="bottom"/>
            <w:tcBorders>
              <w:left w:val="single" w:sz="8" w:color="520B90"/>
              <w:right w:val="single" w:sz="8" w:color="520B90"/>
            </w:tcBorders>
            <w:vMerge w:val="continue"/>
          </w:tcPr>
          <w:p>
            <w:pPr>
              <w:spacing w:after="0"/>
              <w:rPr>
                <w:sz w:val="7"/>
                <w:szCs w:val="7"/>
                <w:color w:val="auto"/>
              </w:rPr>
            </w:pPr>
          </w:p>
        </w:tc>
        <w:tc>
          <w:tcPr>
            <w:tcW w:w="8360" w:type="dxa"/>
            <w:vAlign w:val="bottom"/>
            <w:tcBorders>
              <w:right w:val="single" w:sz="8" w:color="520B90"/>
            </w:tcBorders>
            <w:gridSpan w:val="2"/>
            <w:vMerge w:val="restart"/>
          </w:tcPr>
          <w:p>
            <w:pPr>
              <w:ind w:left="20"/>
              <w:spacing w:after="0"/>
              <w:rPr>
                <w:sz w:val="20"/>
                <w:szCs w:val="20"/>
                <w:color w:val="auto"/>
              </w:rPr>
            </w:pPr>
            <w:r>
              <w:rPr>
                <w:rFonts w:ascii="Arial" w:cs="Arial" w:eastAsia="Arial" w:hAnsi="Arial"/>
                <w:sz w:val="15"/>
                <w:szCs w:val="15"/>
                <w:color w:val="auto"/>
              </w:rPr>
              <w:t>operational field service delivery, upgrades, maintenance and repair from June 2017 to June 2018. Prior to joining Frontier,</w:t>
            </w:r>
          </w:p>
        </w:tc>
        <w:tc>
          <w:tcPr>
            <w:tcW w:w="0" w:type="dxa"/>
            <w:vAlign w:val="bottom"/>
          </w:tcPr>
          <w:p>
            <w:pPr>
              <w:spacing w:after="0"/>
              <w:rPr>
                <w:sz w:val="1"/>
                <w:szCs w:val="1"/>
                <w:color w:val="auto"/>
              </w:rPr>
            </w:pPr>
          </w:p>
        </w:tc>
      </w:tr>
      <w:tr>
        <w:trPr>
          <w:trHeight w:val="84"/>
        </w:trPr>
        <w:tc>
          <w:tcPr>
            <w:tcW w:w="2880" w:type="dxa"/>
            <w:vAlign w:val="bottom"/>
            <w:tcBorders>
              <w:left w:val="single" w:sz="8" w:color="520B90"/>
              <w:right w:val="single" w:sz="8" w:color="520B90"/>
            </w:tcBorders>
          </w:tcPr>
          <w:p>
            <w:pPr>
              <w:spacing w:after="0"/>
              <w:rPr>
                <w:sz w:val="7"/>
                <w:szCs w:val="7"/>
                <w:color w:val="auto"/>
              </w:rPr>
            </w:pPr>
          </w:p>
        </w:tc>
        <w:tc>
          <w:tcPr>
            <w:tcW w:w="8360" w:type="dxa"/>
            <w:vAlign w:val="bottom"/>
            <w:tcBorders>
              <w:right w:val="single" w:sz="8" w:color="520B90"/>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880" w:type="dxa"/>
            <w:vAlign w:val="bottom"/>
            <w:tcBorders>
              <w:left w:val="single" w:sz="8" w:color="520B90"/>
              <w:right w:val="single" w:sz="8" w:color="520B90"/>
            </w:tcBorders>
          </w:tcPr>
          <w:p>
            <w:pPr>
              <w:spacing w:after="0"/>
              <w:rPr>
                <w:sz w:val="16"/>
                <w:szCs w:val="16"/>
                <w:color w:val="auto"/>
              </w:rPr>
            </w:pPr>
          </w:p>
        </w:tc>
        <w:tc>
          <w:tcPr>
            <w:tcW w:w="8360" w:type="dxa"/>
            <w:vAlign w:val="bottom"/>
            <w:tcBorders>
              <w:right w:val="single" w:sz="8" w:color="520B90"/>
            </w:tcBorders>
            <w:gridSpan w:val="2"/>
          </w:tcPr>
          <w:p>
            <w:pPr>
              <w:ind w:left="20"/>
              <w:spacing w:after="0"/>
              <w:rPr>
                <w:sz w:val="20"/>
                <w:szCs w:val="20"/>
                <w:color w:val="auto"/>
              </w:rPr>
            </w:pPr>
            <w:r>
              <w:rPr>
                <w:rFonts w:ascii="Arial" w:cs="Arial" w:eastAsia="Arial" w:hAnsi="Arial"/>
                <w:sz w:val="15"/>
                <w:szCs w:val="15"/>
                <w:color w:val="auto"/>
              </w:rPr>
              <w:t>Mr. Levendos served as an executive at Google Fiber Inc. from April 2015 to May 2017, heading Google Fiber Inc.'s Network</w:t>
            </w:r>
          </w:p>
        </w:tc>
        <w:tc>
          <w:tcPr>
            <w:tcW w:w="0" w:type="dxa"/>
            <w:vAlign w:val="bottom"/>
          </w:tcPr>
          <w:p>
            <w:pPr>
              <w:spacing w:after="0"/>
              <w:rPr>
                <w:sz w:val="1"/>
                <w:szCs w:val="1"/>
                <w:color w:val="auto"/>
              </w:rPr>
            </w:pPr>
          </w:p>
        </w:tc>
      </w:tr>
      <w:tr>
        <w:trPr>
          <w:trHeight w:val="209"/>
        </w:trPr>
        <w:tc>
          <w:tcPr>
            <w:tcW w:w="2880" w:type="dxa"/>
            <w:vAlign w:val="bottom"/>
            <w:tcBorders>
              <w:left w:val="single" w:sz="8" w:color="520B90"/>
              <w:bottom w:val="single" w:sz="8" w:color="520B90"/>
              <w:right w:val="single" w:sz="8" w:color="520B90"/>
            </w:tcBorders>
          </w:tcPr>
          <w:p>
            <w:pPr>
              <w:spacing w:after="0"/>
              <w:rPr>
                <w:sz w:val="18"/>
                <w:szCs w:val="18"/>
                <w:color w:val="auto"/>
              </w:rPr>
            </w:pPr>
          </w:p>
        </w:tc>
        <w:tc>
          <w:tcPr>
            <w:tcW w:w="2940" w:type="dxa"/>
            <w:vAlign w:val="bottom"/>
            <w:tcBorders>
              <w:bottom w:val="single" w:sz="8" w:color="520B90"/>
            </w:tcBorders>
          </w:tcPr>
          <w:p>
            <w:pPr>
              <w:ind w:left="20"/>
              <w:spacing w:after="0"/>
              <w:rPr>
                <w:sz w:val="20"/>
                <w:szCs w:val="20"/>
                <w:color w:val="auto"/>
              </w:rPr>
            </w:pPr>
            <w:r>
              <w:rPr>
                <w:rFonts w:ascii="Arial" w:cs="Arial" w:eastAsia="Arial" w:hAnsi="Arial"/>
                <w:sz w:val="15"/>
                <w:szCs w:val="15"/>
                <w:color w:val="auto"/>
              </w:rPr>
              <w:t>Deployment and Operations organization.</w:t>
            </w:r>
          </w:p>
        </w:tc>
        <w:tc>
          <w:tcPr>
            <w:tcW w:w="5420" w:type="dxa"/>
            <w:vAlign w:val="bottom"/>
            <w:tcBorders>
              <w:bottom w:val="single" w:sz="8" w:color="520B90"/>
              <w:right w:val="single" w:sz="8" w:color="520B90"/>
            </w:tcBorders>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880" w:type="dxa"/>
            <w:vAlign w:val="bottom"/>
            <w:tcBorders>
              <w:bottom w:val="single" w:sz="8" w:color="520B90"/>
            </w:tcBorders>
          </w:tcPr>
          <w:p>
            <w:pPr>
              <w:spacing w:after="0"/>
              <w:rPr>
                <w:sz w:val="3"/>
                <w:szCs w:val="3"/>
                <w:color w:val="auto"/>
              </w:rPr>
            </w:pPr>
          </w:p>
        </w:tc>
        <w:tc>
          <w:tcPr>
            <w:tcW w:w="2940" w:type="dxa"/>
            <w:vAlign w:val="bottom"/>
            <w:tcBorders>
              <w:bottom w:val="single" w:sz="8" w:color="520B90"/>
            </w:tcBorders>
          </w:tcPr>
          <w:p>
            <w:pPr>
              <w:spacing w:after="0"/>
              <w:rPr>
                <w:sz w:val="3"/>
                <w:szCs w:val="3"/>
                <w:color w:val="auto"/>
              </w:rPr>
            </w:pPr>
          </w:p>
        </w:tc>
        <w:tc>
          <w:tcPr>
            <w:tcW w:w="5420" w:type="dxa"/>
            <w:vAlign w:val="bottom"/>
            <w:tcBorders>
              <w:bottom w:val="single" w:sz="8" w:color="520B90"/>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880" w:type="dxa"/>
            <w:vAlign w:val="bottom"/>
            <w:tcBorders>
              <w:left w:val="single" w:sz="8" w:color="520B90"/>
              <w:right w:val="single" w:sz="8" w:color="520B90"/>
            </w:tcBorders>
            <w:vMerge w:val="restart"/>
            <w:shd w:val="clear" w:color="auto" w:fill="E6E7E7"/>
          </w:tcPr>
          <w:p>
            <w:pPr>
              <w:ind w:left="40"/>
              <w:spacing w:after="0"/>
              <w:rPr>
                <w:sz w:val="20"/>
                <w:szCs w:val="20"/>
                <w:color w:val="auto"/>
              </w:rPr>
            </w:pPr>
            <w:r>
              <w:rPr>
                <w:rFonts w:ascii="Arial" w:cs="Arial" w:eastAsia="Arial" w:hAnsi="Arial"/>
                <w:sz w:val="16"/>
                <w:szCs w:val="16"/>
                <w:b w:val="1"/>
                <w:bCs w:val="1"/>
                <w:color w:val="520B90"/>
              </w:rPr>
              <w:t>Edward B. Adams, Jr., 57</w:t>
            </w:r>
          </w:p>
        </w:tc>
        <w:tc>
          <w:tcPr>
            <w:tcW w:w="8360" w:type="dxa"/>
            <w:vAlign w:val="bottom"/>
            <w:tcBorders>
              <w:right w:val="single" w:sz="8" w:color="520B90"/>
            </w:tcBorders>
            <w:gridSpan w:val="2"/>
            <w:shd w:val="clear" w:color="auto" w:fill="E6E7E7"/>
          </w:tcPr>
          <w:p>
            <w:pPr>
              <w:ind w:left="20"/>
              <w:spacing w:after="0"/>
              <w:rPr>
                <w:sz w:val="20"/>
                <w:szCs w:val="20"/>
                <w:color w:val="auto"/>
              </w:rPr>
            </w:pPr>
            <w:r>
              <w:rPr>
                <w:rFonts w:ascii="Arial" w:cs="Arial" w:eastAsia="Arial" w:hAnsi="Arial"/>
                <w:sz w:val="15"/>
                <w:szCs w:val="15"/>
                <w:b w:val="1"/>
                <w:bCs w:val="1"/>
                <w:color w:val="auto"/>
              </w:rPr>
              <w:t xml:space="preserve">Edward B. Adams, Jr. </w:t>
            </w:r>
            <w:r>
              <w:rPr>
                <w:rFonts w:ascii="Arial" w:cs="Arial" w:eastAsia="Arial" w:hAnsi="Arial"/>
                <w:sz w:val="15"/>
                <w:szCs w:val="15"/>
                <w:color w:val="auto"/>
              </w:rPr>
              <w:t>was appointed our EVP and General Counsel, effective February 21, 2023. Prior to his appointment</w:t>
            </w:r>
          </w:p>
        </w:tc>
        <w:tc>
          <w:tcPr>
            <w:tcW w:w="0" w:type="dxa"/>
            <w:vAlign w:val="bottom"/>
          </w:tcPr>
          <w:p>
            <w:pPr>
              <w:spacing w:after="0"/>
              <w:rPr>
                <w:sz w:val="1"/>
                <w:szCs w:val="1"/>
                <w:color w:val="auto"/>
              </w:rPr>
            </w:pPr>
          </w:p>
        </w:tc>
      </w:tr>
      <w:tr>
        <w:trPr>
          <w:trHeight w:val="127"/>
        </w:trPr>
        <w:tc>
          <w:tcPr>
            <w:tcW w:w="2880" w:type="dxa"/>
            <w:vAlign w:val="bottom"/>
            <w:tcBorders>
              <w:left w:val="single" w:sz="8" w:color="520B90"/>
              <w:right w:val="single" w:sz="8" w:color="520B90"/>
            </w:tcBorders>
            <w:vMerge w:val="continue"/>
            <w:shd w:val="clear" w:color="auto" w:fill="E6E7E7"/>
          </w:tcPr>
          <w:p>
            <w:pPr>
              <w:spacing w:after="0"/>
              <w:rPr>
                <w:sz w:val="11"/>
                <w:szCs w:val="11"/>
                <w:color w:val="auto"/>
              </w:rPr>
            </w:pPr>
          </w:p>
        </w:tc>
        <w:tc>
          <w:tcPr>
            <w:tcW w:w="8360" w:type="dxa"/>
            <w:vAlign w:val="bottom"/>
            <w:tcBorders>
              <w:right w:val="single" w:sz="8" w:color="520B90"/>
            </w:tcBorders>
            <w:gridSpan w:val="2"/>
            <w:vMerge w:val="restart"/>
            <w:shd w:val="clear" w:color="auto" w:fill="E6E7E7"/>
          </w:tcPr>
          <w:p>
            <w:pPr>
              <w:ind w:left="20"/>
              <w:spacing w:after="0"/>
              <w:rPr>
                <w:sz w:val="20"/>
                <w:szCs w:val="20"/>
                <w:color w:val="auto"/>
              </w:rPr>
            </w:pPr>
            <w:r>
              <w:rPr>
                <w:rFonts w:ascii="Arial" w:cs="Arial" w:eastAsia="Arial" w:hAnsi="Arial"/>
                <w:sz w:val="15"/>
                <w:szCs w:val="15"/>
                <w:color w:val="auto"/>
              </w:rPr>
              <w:t>as EVP and General Counsel, Mr. Adams served with us in several roles. From January 2023 to February 2023, Mr. Adams</w:t>
            </w:r>
          </w:p>
        </w:tc>
        <w:tc>
          <w:tcPr>
            <w:tcW w:w="0" w:type="dxa"/>
            <w:vAlign w:val="bottom"/>
          </w:tcPr>
          <w:p>
            <w:pPr>
              <w:spacing w:after="0"/>
              <w:rPr>
                <w:sz w:val="1"/>
                <w:szCs w:val="1"/>
                <w:color w:val="auto"/>
              </w:rPr>
            </w:pPr>
          </w:p>
        </w:tc>
      </w:tr>
      <w:tr>
        <w:trPr>
          <w:trHeight w:val="45"/>
        </w:trPr>
        <w:tc>
          <w:tcPr>
            <w:tcW w:w="2880" w:type="dxa"/>
            <w:vAlign w:val="bottom"/>
            <w:tcBorders>
              <w:left w:val="single" w:sz="8" w:color="520B90"/>
              <w:right w:val="single" w:sz="8" w:color="520B90"/>
            </w:tcBorders>
            <w:vMerge w:val="restart"/>
            <w:shd w:val="clear" w:color="auto" w:fill="E6E7E7"/>
          </w:tcPr>
          <w:p>
            <w:pPr>
              <w:ind w:left="40"/>
              <w:spacing w:after="0"/>
              <w:rPr>
                <w:sz w:val="20"/>
                <w:szCs w:val="20"/>
                <w:color w:val="auto"/>
              </w:rPr>
            </w:pPr>
            <w:r>
              <w:rPr>
                <w:rFonts w:ascii="Arial" w:cs="Arial" w:eastAsia="Arial" w:hAnsi="Arial"/>
                <w:sz w:val="14"/>
                <w:szCs w:val="14"/>
                <w:b w:val="1"/>
                <w:bCs w:val="1"/>
                <w:color w:val="auto"/>
              </w:rPr>
              <w:t>Executive Vice President and General</w:t>
            </w:r>
          </w:p>
        </w:tc>
        <w:tc>
          <w:tcPr>
            <w:tcW w:w="8360" w:type="dxa"/>
            <w:vAlign w:val="bottom"/>
            <w:tcBorders>
              <w:right w:val="single" w:sz="8" w:color="520B90"/>
            </w:tcBorders>
            <w:gridSpan w:val="2"/>
            <w:vMerge w:val="continue"/>
            <w:shd w:val="clear" w:color="auto" w:fill="E6E7E7"/>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2880" w:type="dxa"/>
            <w:vAlign w:val="bottom"/>
            <w:tcBorders>
              <w:left w:val="single" w:sz="8" w:color="520B90"/>
              <w:right w:val="single" w:sz="8" w:color="520B90"/>
            </w:tcBorders>
            <w:vMerge w:val="continue"/>
            <w:shd w:val="clear" w:color="auto" w:fill="E6E7E7"/>
          </w:tcPr>
          <w:p>
            <w:pPr>
              <w:spacing w:after="0"/>
              <w:rPr>
                <w:sz w:val="13"/>
                <w:szCs w:val="13"/>
                <w:color w:val="auto"/>
              </w:rPr>
            </w:pPr>
          </w:p>
        </w:tc>
        <w:tc>
          <w:tcPr>
            <w:tcW w:w="8360" w:type="dxa"/>
            <w:vAlign w:val="bottom"/>
            <w:tcBorders>
              <w:right w:val="single" w:sz="8" w:color="520B90"/>
            </w:tcBorders>
            <w:gridSpan w:val="2"/>
            <w:shd w:val="clear" w:color="auto" w:fill="E6E7E7"/>
          </w:tcPr>
          <w:p>
            <w:pPr>
              <w:ind w:left="20"/>
              <w:spacing w:after="0" w:line="150" w:lineRule="exact"/>
              <w:rPr>
                <w:sz w:val="20"/>
                <w:szCs w:val="20"/>
                <w:color w:val="auto"/>
              </w:rPr>
            </w:pPr>
            <w:r>
              <w:rPr>
                <w:rFonts w:ascii="Arial" w:cs="Arial" w:eastAsia="Arial" w:hAnsi="Arial"/>
                <w:sz w:val="15"/>
                <w:szCs w:val="15"/>
                <w:color w:val="auto"/>
              </w:rPr>
              <w:t>was our SVP and Interim General Counsel. Mr. Adams served as our SVP—Legal from August 2021 to December 2022 and</w:t>
            </w:r>
          </w:p>
        </w:tc>
        <w:tc>
          <w:tcPr>
            <w:tcW w:w="0" w:type="dxa"/>
            <w:vAlign w:val="bottom"/>
          </w:tcPr>
          <w:p>
            <w:pPr>
              <w:spacing w:after="0"/>
              <w:rPr>
                <w:sz w:val="1"/>
                <w:szCs w:val="1"/>
                <w:color w:val="auto"/>
              </w:rPr>
            </w:pPr>
          </w:p>
        </w:tc>
      </w:tr>
      <w:tr>
        <w:trPr>
          <w:trHeight w:val="123"/>
        </w:trPr>
        <w:tc>
          <w:tcPr>
            <w:tcW w:w="2880" w:type="dxa"/>
            <w:vAlign w:val="bottom"/>
            <w:tcBorders>
              <w:left w:val="single" w:sz="8" w:color="520B90"/>
              <w:right w:val="single" w:sz="8" w:color="520B90"/>
            </w:tcBorders>
            <w:shd w:val="clear" w:color="auto" w:fill="E6E7E7"/>
          </w:tcPr>
          <w:p>
            <w:pPr>
              <w:ind w:left="40"/>
              <w:spacing w:after="0" w:line="123" w:lineRule="exact"/>
              <w:rPr>
                <w:sz w:val="20"/>
                <w:szCs w:val="20"/>
                <w:color w:val="auto"/>
              </w:rPr>
            </w:pPr>
            <w:r>
              <w:rPr>
                <w:rFonts w:ascii="Arial" w:cs="Arial" w:eastAsia="Arial" w:hAnsi="Arial"/>
                <w:sz w:val="14"/>
                <w:szCs w:val="14"/>
                <w:b w:val="1"/>
                <w:bCs w:val="1"/>
                <w:color w:val="auto"/>
              </w:rPr>
              <w:t>Counsel</w:t>
            </w:r>
          </w:p>
        </w:tc>
        <w:tc>
          <w:tcPr>
            <w:tcW w:w="8360" w:type="dxa"/>
            <w:vAlign w:val="bottom"/>
            <w:tcBorders>
              <w:right w:val="single" w:sz="8" w:color="520B90"/>
            </w:tcBorders>
            <w:gridSpan w:val="2"/>
            <w:vMerge w:val="restart"/>
            <w:shd w:val="clear" w:color="auto" w:fill="E6E7E7"/>
          </w:tcPr>
          <w:p>
            <w:pPr>
              <w:ind w:left="20"/>
              <w:spacing w:after="0"/>
              <w:rPr>
                <w:sz w:val="20"/>
                <w:szCs w:val="20"/>
                <w:color w:val="auto"/>
              </w:rPr>
            </w:pPr>
            <w:r>
              <w:rPr>
                <w:rFonts w:ascii="Arial" w:cs="Arial" w:eastAsia="Arial" w:hAnsi="Arial"/>
                <w:sz w:val="15"/>
                <w:szCs w:val="15"/>
                <w:color w:val="auto"/>
              </w:rPr>
              <w:t>from November 2019 to August 2021, he was VP—Legal. Prior to joining us in October 2016 as VP—Litigation, Mr. Adams</w:t>
            </w:r>
          </w:p>
        </w:tc>
        <w:tc>
          <w:tcPr>
            <w:tcW w:w="0" w:type="dxa"/>
            <w:vAlign w:val="bottom"/>
          </w:tcPr>
          <w:p>
            <w:pPr>
              <w:spacing w:after="0"/>
              <w:rPr>
                <w:sz w:val="1"/>
                <w:szCs w:val="1"/>
                <w:color w:val="auto"/>
              </w:rPr>
            </w:pPr>
          </w:p>
        </w:tc>
      </w:tr>
      <w:tr>
        <w:trPr>
          <w:trHeight w:val="85"/>
        </w:trPr>
        <w:tc>
          <w:tcPr>
            <w:tcW w:w="2880" w:type="dxa"/>
            <w:vAlign w:val="bottom"/>
            <w:tcBorders>
              <w:left w:val="single" w:sz="8" w:color="520B90"/>
              <w:right w:val="single" w:sz="8" w:color="520B90"/>
            </w:tcBorders>
            <w:vMerge w:val="restart"/>
            <w:shd w:val="clear" w:color="auto" w:fill="E6E7E7"/>
          </w:tcPr>
          <w:p>
            <w:pPr>
              <w:ind w:left="40"/>
              <w:spacing w:after="0"/>
              <w:rPr>
                <w:sz w:val="20"/>
                <w:szCs w:val="20"/>
                <w:color w:val="auto"/>
              </w:rPr>
            </w:pPr>
            <w:r>
              <w:rPr>
                <w:rFonts w:ascii="Arial" w:cs="Arial" w:eastAsia="Arial" w:hAnsi="Arial"/>
                <w:sz w:val="14"/>
                <w:szCs w:val="14"/>
                <w:color w:val="auto"/>
              </w:rPr>
              <w:t>since February 2023</w:t>
            </w:r>
          </w:p>
        </w:tc>
        <w:tc>
          <w:tcPr>
            <w:tcW w:w="8360" w:type="dxa"/>
            <w:vAlign w:val="bottom"/>
            <w:tcBorders>
              <w:right w:val="single" w:sz="8" w:color="520B90"/>
            </w:tcBorders>
            <w:gridSpan w:val="2"/>
            <w:vMerge w:val="continue"/>
            <w:shd w:val="clear" w:color="auto" w:fill="E6E7E7"/>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880" w:type="dxa"/>
            <w:vAlign w:val="bottom"/>
            <w:tcBorders>
              <w:left w:val="single" w:sz="8" w:color="520B90"/>
              <w:right w:val="single" w:sz="8" w:color="520B90"/>
            </w:tcBorders>
            <w:vMerge w:val="continue"/>
            <w:shd w:val="clear" w:color="auto" w:fill="E6E7E7"/>
          </w:tcPr>
          <w:p>
            <w:pPr>
              <w:spacing w:after="0"/>
              <w:rPr>
                <w:sz w:val="8"/>
                <w:szCs w:val="8"/>
                <w:color w:val="auto"/>
              </w:rPr>
            </w:pPr>
          </w:p>
        </w:tc>
        <w:tc>
          <w:tcPr>
            <w:tcW w:w="8360" w:type="dxa"/>
            <w:vAlign w:val="bottom"/>
            <w:tcBorders>
              <w:right w:val="single" w:sz="8" w:color="520B90"/>
            </w:tcBorders>
            <w:gridSpan w:val="2"/>
            <w:vMerge w:val="restart"/>
            <w:shd w:val="clear" w:color="auto" w:fill="E6E7E7"/>
          </w:tcPr>
          <w:p>
            <w:pPr>
              <w:ind w:left="20"/>
              <w:spacing w:after="0"/>
              <w:rPr>
                <w:sz w:val="20"/>
                <w:szCs w:val="20"/>
                <w:color w:val="auto"/>
              </w:rPr>
            </w:pPr>
            <w:r>
              <w:rPr>
                <w:rFonts w:ascii="Arial" w:cs="Arial" w:eastAsia="Arial" w:hAnsi="Arial"/>
                <w:sz w:val="15"/>
                <w:szCs w:val="15"/>
                <w:color w:val="auto"/>
              </w:rPr>
              <w:t>was a partner at Norton Rose Fulbright US LLP, where he represented clients in a variety of litigation matters.</w:t>
            </w:r>
          </w:p>
        </w:tc>
        <w:tc>
          <w:tcPr>
            <w:tcW w:w="0" w:type="dxa"/>
            <w:vAlign w:val="bottom"/>
          </w:tcPr>
          <w:p>
            <w:pPr>
              <w:spacing w:after="0"/>
              <w:rPr>
                <w:sz w:val="1"/>
                <w:szCs w:val="1"/>
                <w:color w:val="auto"/>
              </w:rPr>
            </w:pPr>
          </w:p>
        </w:tc>
      </w:tr>
      <w:tr>
        <w:trPr>
          <w:trHeight w:val="128"/>
        </w:trPr>
        <w:tc>
          <w:tcPr>
            <w:tcW w:w="2880" w:type="dxa"/>
            <w:vAlign w:val="bottom"/>
            <w:tcBorders>
              <w:left w:val="single" w:sz="8" w:color="520B90"/>
              <w:bottom w:val="single" w:sz="8" w:color="E6E7E7"/>
              <w:right w:val="single" w:sz="8" w:color="520B90"/>
            </w:tcBorders>
            <w:shd w:val="clear" w:color="auto" w:fill="E6E7E7"/>
          </w:tcPr>
          <w:p>
            <w:pPr>
              <w:spacing w:after="0"/>
              <w:rPr>
                <w:sz w:val="11"/>
                <w:szCs w:val="11"/>
                <w:color w:val="auto"/>
              </w:rPr>
            </w:pPr>
          </w:p>
        </w:tc>
        <w:tc>
          <w:tcPr>
            <w:tcW w:w="8360" w:type="dxa"/>
            <w:vAlign w:val="bottom"/>
            <w:tcBorders>
              <w:bottom w:val="single" w:sz="8" w:color="E6E7E7"/>
              <w:right w:val="single" w:sz="8" w:color="520B90"/>
            </w:tcBorders>
            <w:gridSpan w:val="2"/>
            <w:vMerge w:val="continue"/>
            <w:shd w:val="clear" w:color="auto" w:fill="E6E7E7"/>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880" w:type="dxa"/>
            <w:vAlign w:val="bottom"/>
            <w:tcBorders>
              <w:top w:val="single" w:sz="8" w:color="520B90"/>
              <w:bottom w:val="single" w:sz="8" w:color="520B90"/>
            </w:tcBorders>
          </w:tcPr>
          <w:p>
            <w:pPr>
              <w:spacing w:after="0"/>
              <w:rPr>
                <w:sz w:val="2"/>
                <w:szCs w:val="2"/>
                <w:color w:val="auto"/>
              </w:rPr>
            </w:pPr>
          </w:p>
        </w:tc>
        <w:tc>
          <w:tcPr>
            <w:tcW w:w="2940" w:type="dxa"/>
            <w:vAlign w:val="bottom"/>
            <w:tcBorders>
              <w:top w:val="single" w:sz="8" w:color="520B90"/>
              <w:bottom w:val="single" w:sz="8" w:color="520B90"/>
            </w:tcBorders>
          </w:tcPr>
          <w:p>
            <w:pPr>
              <w:spacing w:after="0"/>
              <w:rPr>
                <w:sz w:val="2"/>
                <w:szCs w:val="2"/>
                <w:color w:val="auto"/>
              </w:rPr>
            </w:pPr>
          </w:p>
        </w:tc>
        <w:tc>
          <w:tcPr>
            <w:tcW w:w="5420" w:type="dxa"/>
            <w:vAlign w:val="bottom"/>
            <w:tcBorders>
              <w:top w:val="single" w:sz="8" w:color="520B90"/>
              <w:bottom w:val="single" w:sz="8" w:color="520B90"/>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880" w:type="dxa"/>
            <w:vAlign w:val="bottom"/>
            <w:tcBorders>
              <w:left w:val="single" w:sz="8" w:color="520B90"/>
              <w:right w:val="single" w:sz="8" w:color="520B90"/>
            </w:tcBorders>
            <w:vMerge w:val="restart"/>
          </w:tcPr>
          <w:p>
            <w:pPr>
              <w:ind w:left="40"/>
              <w:spacing w:after="0"/>
              <w:rPr>
                <w:sz w:val="20"/>
                <w:szCs w:val="20"/>
                <w:color w:val="auto"/>
              </w:rPr>
            </w:pPr>
            <w:r>
              <w:rPr>
                <w:rFonts w:ascii="Arial" w:cs="Arial" w:eastAsia="Arial" w:hAnsi="Arial"/>
                <w:sz w:val="16"/>
                <w:szCs w:val="16"/>
                <w:b w:val="1"/>
                <w:bCs w:val="1"/>
                <w:color w:val="520B90"/>
              </w:rPr>
              <w:t>Timothy P. Grace, 62</w:t>
            </w:r>
          </w:p>
        </w:tc>
        <w:tc>
          <w:tcPr>
            <w:tcW w:w="8360" w:type="dxa"/>
            <w:vAlign w:val="bottom"/>
            <w:tcBorders>
              <w:right w:val="single" w:sz="8" w:color="520B90"/>
            </w:tcBorders>
            <w:gridSpan w:val="2"/>
          </w:tcPr>
          <w:p>
            <w:pPr>
              <w:ind w:left="20"/>
              <w:spacing w:after="0"/>
              <w:rPr>
                <w:sz w:val="20"/>
                <w:szCs w:val="20"/>
                <w:color w:val="auto"/>
              </w:rPr>
            </w:pPr>
            <w:r>
              <w:rPr>
                <w:rFonts w:ascii="Arial" w:cs="Arial" w:eastAsia="Arial" w:hAnsi="Arial"/>
                <w:sz w:val="15"/>
                <w:szCs w:val="15"/>
                <w:b w:val="1"/>
                <w:bCs w:val="1"/>
                <w:color w:val="auto"/>
              </w:rPr>
              <w:t xml:space="preserve">Timothy P. Grace </w:t>
            </w:r>
            <w:r>
              <w:rPr>
                <w:rFonts w:ascii="Arial" w:cs="Arial" w:eastAsia="Arial" w:hAnsi="Arial"/>
                <w:sz w:val="15"/>
                <w:szCs w:val="15"/>
                <w:color w:val="auto"/>
              </w:rPr>
              <w:t>was appointed our EVP and Chief Human Resources Officer ("CHRO"), effective February 25, 2026. Prior</w:t>
            </w:r>
          </w:p>
        </w:tc>
        <w:tc>
          <w:tcPr>
            <w:tcW w:w="0" w:type="dxa"/>
            <w:vAlign w:val="bottom"/>
          </w:tcPr>
          <w:p>
            <w:pPr>
              <w:spacing w:after="0"/>
              <w:rPr>
                <w:sz w:val="1"/>
                <w:szCs w:val="1"/>
                <w:color w:val="auto"/>
              </w:rPr>
            </w:pPr>
          </w:p>
        </w:tc>
      </w:tr>
      <w:tr>
        <w:trPr>
          <w:trHeight w:val="172"/>
        </w:trPr>
        <w:tc>
          <w:tcPr>
            <w:tcW w:w="2880" w:type="dxa"/>
            <w:vAlign w:val="bottom"/>
            <w:tcBorders>
              <w:left w:val="single" w:sz="8" w:color="520B90"/>
              <w:right w:val="single" w:sz="8" w:color="520B90"/>
            </w:tcBorders>
            <w:vMerge w:val="continue"/>
          </w:tcPr>
          <w:p>
            <w:pPr>
              <w:spacing w:after="0"/>
              <w:rPr>
                <w:sz w:val="14"/>
                <w:szCs w:val="14"/>
                <w:color w:val="auto"/>
              </w:rPr>
            </w:pPr>
          </w:p>
        </w:tc>
        <w:tc>
          <w:tcPr>
            <w:tcW w:w="8360" w:type="dxa"/>
            <w:vAlign w:val="bottom"/>
            <w:tcBorders>
              <w:right w:val="single" w:sz="8" w:color="520B90"/>
            </w:tcBorders>
            <w:gridSpan w:val="2"/>
          </w:tcPr>
          <w:p>
            <w:pPr>
              <w:ind w:left="20"/>
              <w:spacing w:after="0"/>
              <w:rPr>
                <w:sz w:val="20"/>
                <w:szCs w:val="20"/>
                <w:color w:val="auto"/>
              </w:rPr>
            </w:pPr>
            <w:r>
              <w:rPr>
                <w:rFonts w:ascii="Arial" w:cs="Arial" w:eastAsia="Arial" w:hAnsi="Arial"/>
                <w:sz w:val="15"/>
                <w:szCs w:val="15"/>
                <w:color w:val="auto"/>
              </w:rPr>
              <w:t>to joining the Company, Mr. Grace served as Global Head of People and Culture for Helen of Troy Limited, a publicly traded</w:t>
            </w:r>
          </w:p>
        </w:tc>
        <w:tc>
          <w:tcPr>
            <w:tcW w:w="0" w:type="dxa"/>
            <w:vAlign w:val="bottom"/>
          </w:tcPr>
          <w:p>
            <w:pPr>
              <w:spacing w:after="0"/>
              <w:rPr>
                <w:sz w:val="1"/>
                <w:szCs w:val="1"/>
                <w:color w:val="auto"/>
              </w:rPr>
            </w:pPr>
          </w:p>
        </w:tc>
      </w:tr>
      <w:tr>
        <w:trPr>
          <w:trHeight w:val="167"/>
        </w:trPr>
        <w:tc>
          <w:tcPr>
            <w:tcW w:w="2880" w:type="dxa"/>
            <w:vAlign w:val="bottom"/>
            <w:tcBorders>
              <w:left w:val="single" w:sz="8" w:color="520B90"/>
              <w:right w:val="single" w:sz="8" w:color="520B90"/>
            </w:tcBorders>
          </w:tcPr>
          <w:p>
            <w:pPr>
              <w:ind w:left="40"/>
              <w:spacing w:after="0"/>
              <w:rPr>
                <w:sz w:val="20"/>
                <w:szCs w:val="20"/>
                <w:color w:val="auto"/>
              </w:rPr>
            </w:pPr>
            <w:r>
              <w:rPr>
                <w:rFonts w:ascii="Arial" w:cs="Arial" w:eastAsia="Arial" w:hAnsi="Arial"/>
                <w:sz w:val="14"/>
                <w:szCs w:val="14"/>
                <w:b w:val="1"/>
                <w:bCs w:val="1"/>
                <w:color w:val="auto"/>
              </w:rPr>
              <w:t>Executive Vice President</w:t>
            </w:r>
          </w:p>
        </w:tc>
        <w:tc>
          <w:tcPr>
            <w:tcW w:w="8360" w:type="dxa"/>
            <w:vAlign w:val="bottom"/>
            <w:tcBorders>
              <w:right w:val="single" w:sz="8" w:color="520B90"/>
            </w:tcBorders>
            <w:gridSpan w:val="2"/>
          </w:tcPr>
          <w:p>
            <w:pPr>
              <w:ind w:left="20"/>
              <w:spacing w:after="0" w:line="167" w:lineRule="exact"/>
              <w:rPr>
                <w:sz w:val="20"/>
                <w:szCs w:val="20"/>
                <w:color w:val="auto"/>
              </w:rPr>
            </w:pPr>
            <w:r>
              <w:rPr>
                <w:rFonts w:ascii="Arial" w:cs="Arial" w:eastAsia="Arial" w:hAnsi="Arial"/>
                <w:sz w:val="15"/>
                <w:szCs w:val="15"/>
                <w:color w:val="auto"/>
              </w:rPr>
              <w:t>consumer products company, from January 2023 to August 2025. Prior to that, he served as the Global CHRO of Laureate</w:t>
            </w:r>
          </w:p>
        </w:tc>
        <w:tc>
          <w:tcPr>
            <w:tcW w:w="0" w:type="dxa"/>
            <w:vAlign w:val="bottom"/>
          </w:tcPr>
          <w:p>
            <w:pPr>
              <w:spacing w:after="0"/>
              <w:rPr>
                <w:sz w:val="1"/>
                <w:szCs w:val="1"/>
                <w:color w:val="auto"/>
              </w:rPr>
            </w:pPr>
          </w:p>
        </w:tc>
      </w:tr>
      <w:tr>
        <w:trPr>
          <w:trHeight w:val="168"/>
        </w:trPr>
        <w:tc>
          <w:tcPr>
            <w:tcW w:w="2880" w:type="dxa"/>
            <w:vAlign w:val="bottom"/>
            <w:tcBorders>
              <w:left w:val="single" w:sz="8" w:color="520B90"/>
              <w:right w:val="single" w:sz="8" w:color="520B90"/>
            </w:tcBorders>
          </w:tcPr>
          <w:p>
            <w:pPr>
              <w:ind w:left="40"/>
              <w:spacing w:after="0"/>
              <w:rPr>
                <w:sz w:val="20"/>
                <w:szCs w:val="20"/>
                <w:color w:val="auto"/>
              </w:rPr>
            </w:pPr>
            <w:r>
              <w:rPr>
                <w:rFonts w:ascii="Arial" w:cs="Arial" w:eastAsia="Arial" w:hAnsi="Arial"/>
                <w:sz w:val="14"/>
                <w:szCs w:val="14"/>
                <w:b w:val="1"/>
                <w:bCs w:val="1"/>
                <w:color w:val="auto"/>
              </w:rPr>
              <w:t>and Chief Human Resources Officer</w:t>
            </w:r>
          </w:p>
        </w:tc>
        <w:tc>
          <w:tcPr>
            <w:tcW w:w="8360" w:type="dxa"/>
            <w:vAlign w:val="bottom"/>
            <w:tcBorders>
              <w:right w:val="single" w:sz="8" w:color="520B90"/>
            </w:tcBorders>
            <w:gridSpan w:val="2"/>
          </w:tcPr>
          <w:p>
            <w:pPr>
              <w:ind w:left="20"/>
              <w:spacing w:after="0" w:line="168" w:lineRule="exact"/>
              <w:rPr>
                <w:sz w:val="20"/>
                <w:szCs w:val="20"/>
                <w:color w:val="auto"/>
              </w:rPr>
            </w:pPr>
            <w:r>
              <w:rPr>
                <w:rFonts w:ascii="Arial" w:cs="Arial" w:eastAsia="Arial" w:hAnsi="Arial"/>
                <w:sz w:val="15"/>
                <w:szCs w:val="15"/>
                <w:color w:val="auto"/>
              </w:rPr>
              <w:t>Education, Inc., a publicly traded global higher education company, from May 2018 to January 2023. Prior to his tenure at</w:t>
            </w:r>
          </w:p>
        </w:tc>
        <w:tc>
          <w:tcPr>
            <w:tcW w:w="0" w:type="dxa"/>
            <w:vAlign w:val="bottom"/>
          </w:tcPr>
          <w:p>
            <w:pPr>
              <w:spacing w:after="0"/>
              <w:rPr>
                <w:sz w:val="1"/>
                <w:szCs w:val="1"/>
                <w:color w:val="auto"/>
              </w:rPr>
            </w:pPr>
          </w:p>
        </w:tc>
      </w:tr>
      <w:tr>
        <w:trPr>
          <w:trHeight w:val="208"/>
        </w:trPr>
        <w:tc>
          <w:tcPr>
            <w:tcW w:w="2880" w:type="dxa"/>
            <w:vAlign w:val="bottom"/>
            <w:tcBorders>
              <w:left w:val="single" w:sz="8" w:color="520B90"/>
              <w:right w:val="single" w:sz="8" w:color="520B90"/>
            </w:tcBorders>
          </w:tcPr>
          <w:p>
            <w:pPr>
              <w:ind w:left="40"/>
              <w:spacing w:after="0"/>
              <w:rPr>
                <w:sz w:val="20"/>
                <w:szCs w:val="20"/>
                <w:color w:val="auto"/>
              </w:rPr>
            </w:pPr>
            <w:r>
              <w:rPr>
                <w:rFonts w:ascii="Arial" w:cs="Arial" w:eastAsia="Arial" w:hAnsi="Arial"/>
                <w:sz w:val="14"/>
                <w:szCs w:val="14"/>
                <w:color w:val="auto"/>
              </w:rPr>
              <w:t>since February 2026</w:t>
            </w:r>
          </w:p>
        </w:tc>
        <w:tc>
          <w:tcPr>
            <w:tcW w:w="8360" w:type="dxa"/>
            <w:vAlign w:val="bottom"/>
            <w:tcBorders>
              <w:right w:val="single" w:sz="8" w:color="520B90"/>
            </w:tcBorders>
            <w:gridSpan w:val="2"/>
          </w:tcPr>
          <w:p>
            <w:pPr>
              <w:ind w:left="20"/>
              <w:spacing w:after="0"/>
              <w:rPr>
                <w:sz w:val="20"/>
                <w:szCs w:val="20"/>
                <w:color w:val="auto"/>
              </w:rPr>
            </w:pPr>
            <w:r>
              <w:rPr>
                <w:rFonts w:ascii="Arial" w:cs="Arial" w:eastAsia="Arial" w:hAnsi="Arial"/>
                <w:sz w:val="15"/>
                <w:szCs w:val="15"/>
                <w:color w:val="auto"/>
              </w:rPr>
              <w:t>Laureate Education, Inc., Mr. Grace served as Global CHRO for Toys "R" Us, Inc. from September 2015 to May 2018 and</w:t>
            </w:r>
          </w:p>
        </w:tc>
        <w:tc>
          <w:tcPr>
            <w:tcW w:w="0" w:type="dxa"/>
            <w:vAlign w:val="bottom"/>
          </w:tcPr>
          <w:p>
            <w:pPr>
              <w:spacing w:after="0"/>
              <w:rPr>
                <w:sz w:val="1"/>
                <w:szCs w:val="1"/>
                <w:color w:val="auto"/>
              </w:rPr>
            </w:pPr>
          </w:p>
        </w:tc>
      </w:tr>
      <w:tr>
        <w:trPr>
          <w:trHeight w:val="185"/>
        </w:trPr>
        <w:tc>
          <w:tcPr>
            <w:tcW w:w="2880" w:type="dxa"/>
            <w:vAlign w:val="bottom"/>
            <w:tcBorders>
              <w:left w:val="single" w:sz="8" w:color="520B90"/>
              <w:right w:val="single" w:sz="8" w:color="520B90"/>
            </w:tcBorders>
          </w:tcPr>
          <w:p>
            <w:pPr>
              <w:spacing w:after="0"/>
              <w:rPr>
                <w:sz w:val="16"/>
                <w:szCs w:val="16"/>
                <w:color w:val="auto"/>
              </w:rPr>
            </w:pPr>
          </w:p>
        </w:tc>
        <w:tc>
          <w:tcPr>
            <w:tcW w:w="8360" w:type="dxa"/>
            <w:vAlign w:val="bottom"/>
            <w:tcBorders>
              <w:right w:val="single" w:sz="8" w:color="520B90"/>
            </w:tcBorders>
            <w:gridSpan w:val="2"/>
          </w:tcPr>
          <w:p>
            <w:pPr>
              <w:ind w:left="20"/>
              <w:spacing w:after="0"/>
              <w:rPr>
                <w:sz w:val="20"/>
                <w:szCs w:val="20"/>
                <w:color w:val="auto"/>
              </w:rPr>
            </w:pPr>
            <w:r>
              <w:rPr>
                <w:rFonts w:ascii="Arial" w:cs="Arial" w:eastAsia="Arial" w:hAnsi="Arial"/>
                <w:sz w:val="15"/>
                <w:szCs w:val="15"/>
                <w:color w:val="auto"/>
              </w:rPr>
              <w:t>served as Group Vice President of Human Resources, Operations Americas at L'Oréal USA, Inc. from March 2014 to</w:t>
            </w:r>
          </w:p>
        </w:tc>
        <w:tc>
          <w:tcPr>
            <w:tcW w:w="0" w:type="dxa"/>
            <w:vAlign w:val="bottom"/>
          </w:tcPr>
          <w:p>
            <w:pPr>
              <w:spacing w:after="0"/>
              <w:rPr>
                <w:sz w:val="1"/>
                <w:szCs w:val="1"/>
                <w:color w:val="auto"/>
              </w:rPr>
            </w:pPr>
          </w:p>
        </w:tc>
      </w:tr>
      <w:tr>
        <w:trPr>
          <w:trHeight w:val="209"/>
        </w:trPr>
        <w:tc>
          <w:tcPr>
            <w:tcW w:w="2880" w:type="dxa"/>
            <w:vAlign w:val="bottom"/>
            <w:tcBorders>
              <w:left w:val="single" w:sz="8" w:color="520B90"/>
              <w:bottom w:val="single" w:sz="8" w:color="520B90"/>
              <w:right w:val="single" w:sz="8" w:color="520B90"/>
            </w:tcBorders>
          </w:tcPr>
          <w:p>
            <w:pPr>
              <w:spacing w:after="0"/>
              <w:rPr>
                <w:sz w:val="18"/>
                <w:szCs w:val="18"/>
                <w:color w:val="auto"/>
              </w:rPr>
            </w:pPr>
          </w:p>
        </w:tc>
        <w:tc>
          <w:tcPr>
            <w:tcW w:w="2940" w:type="dxa"/>
            <w:vAlign w:val="bottom"/>
            <w:tcBorders>
              <w:bottom w:val="single" w:sz="8" w:color="520B90"/>
            </w:tcBorders>
          </w:tcPr>
          <w:p>
            <w:pPr>
              <w:ind w:left="20"/>
              <w:spacing w:after="0"/>
              <w:rPr>
                <w:sz w:val="20"/>
                <w:szCs w:val="20"/>
                <w:color w:val="auto"/>
              </w:rPr>
            </w:pPr>
            <w:r>
              <w:rPr>
                <w:rFonts w:ascii="Arial" w:cs="Arial" w:eastAsia="Arial" w:hAnsi="Arial"/>
                <w:sz w:val="15"/>
                <w:szCs w:val="15"/>
                <w:color w:val="auto"/>
              </w:rPr>
              <w:t>September 2015.</w:t>
            </w:r>
          </w:p>
        </w:tc>
        <w:tc>
          <w:tcPr>
            <w:tcW w:w="5420" w:type="dxa"/>
            <w:vAlign w:val="bottom"/>
            <w:tcBorders>
              <w:bottom w:val="single" w:sz="8" w:color="520B90"/>
              <w:right w:val="single" w:sz="8" w:color="520B90"/>
            </w:tcBorders>
          </w:tcPr>
          <w:p>
            <w:pPr>
              <w:spacing w:after="0"/>
              <w:rPr>
                <w:sz w:val="18"/>
                <w:szCs w:val="18"/>
                <w:color w:val="auto"/>
              </w:rPr>
            </w:pPr>
          </w:p>
        </w:tc>
        <w:tc>
          <w:tcPr>
            <w:tcW w:w="0" w:type="dxa"/>
            <w:vAlign w:val="bottom"/>
          </w:tcPr>
          <w:p>
            <w:pPr>
              <w:spacing w:after="0"/>
              <w:rPr>
                <w:sz w:val="1"/>
                <w:szCs w:val="1"/>
                <w:color w:val="auto"/>
              </w:rPr>
            </w:pPr>
          </w:p>
        </w:tc>
      </w:tr>
      <w:tr>
        <w:trPr>
          <w:trHeight w:val="700"/>
        </w:trPr>
        <w:tc>
          <w:tcPr>
            <w:tcW w:w="2880" w:type="dxa"/>
            <w:vAlign w:val="bottom"/>
          </w:tcPr>
          <w:p>
            <w:pPr>
              <w:spacing w:after="0"/>
              <w:rPr>
                <w:sz w:val="24"/>
                <w:szCs w:val="24"/>
                <w:color w:val="auto"/>
              </w:rPr>
            </w:pPr>
          </w:p>
        </w:tc>
        <w:tc>
          <w:tcPr>
            <w:tcW w:w="2940" w:type="dxa"/>
            <w:vAlign w:val="bottom"/>
          </w:tcPr>
          <w:p>
            <w:pPr>
              <w:ind w:left="980"/>
              <w:spacing w:after="0"/>
              <w:rPr>
                <w:sz w:val="20"/>
                <w:szCs w:val="20"/>
                <w:color w:val="auto"/>
              </w:rPr>
            </w:pPr>
            <w:r>
              <w:rPr>
                <w:rFonts w:ascii="Arial" w:cs="Arial" w:eastAsia="Arial" w:hAnsi="Arial"/>
                <w:sz w:val="14"/>
                <w:szCs w:val="14"/>
                <w:b w:val="1"/>
                <w:bCs w:val="1"/>
                <w:color w:val="520B90"/>
              </w:rPr>
              <w:t>CROWN CASTLE INC.</w:t>
            </w:r>
          </w:p>
        </w:tc>
        <w:tc>
          <w:tcPr>
            <w:tcW w:w="5420" w:type="dxa"/>
            <w:vAlign w:val="bottom"/>
          </w:tcPr>
          <w:p>
            <w:pPr>
              <w:ind w:left="100"/>
              <w:spacing w:after="0"/>
              <w:rPr>
                <w:sz w:val="20"/>
                <w:szCs w:val="20"/>
                <w:color w:val="auto"/>
              </w:rPr>
            </w:pPr>
            <w:r>
              <w:rPr>
                <w:rFonts w:ascii="Arial" w:cs="Arial" w:eastAsia="Arial" w:hAnsi="Arial"/>
                <w:sz w:val="14"/>
                <w:szCs w:val="14"/>
                <w:b w:val="1"/>
                <w:bCs w:val="1"/>
                <w:color w:val="auto"/>
              </w:rPr>
              <w:t>2026 PROXY STATEMENT</w:t>
            </w:r>
          </w:p>
        </w:tc>
        <w:tc>
          <w:tcPr>
            <w:tcW w:w="0" w:type="dxa"/>
            <w:vAlign w:val="bottom"/>
          </w:tcPr>
          <w:p>
            <w:pPr>
              <w:spacing w:after="0"/>
              <w:rPr>
                <w:sz w:val="1"/>
                <w:szCs w:val="1"/>
                <w:color w:val="auto"/>
              </w:rPr>
            </w:pPr>
          </w:p>
        </w:tc>
      </w:tr>
      <w:tr>
        <w:trPr>
          <w:trHeight w:val="349"/>
        </w:trPr>
        <w:tc>
          <w:tcPr>
            <w:tcW w:w="2880" w:type="dxa"/>
            <w:vAlign w:val="bottom"/>
          </w:tcPr>
          <w:p>
            <w:pPr>
              <w:spacing w:after="0"/>
              <w:rPr>
                <w:sz w:val="24"/>
                <w:szCs w:val="24"/>
                <w:color w:val="auto"/>
              </w:rPr>
            </w:pPr>
          </w:p>
        </w:tc>
        <w:tc>
          <w:tcPr>
            <w:tcW w:w="2940" w:type="dxa"/>
            <w:vAlign w:val="bottom"/>
          </w:tcPr>
          <w:p>
            <w:pPr>
              <w:ind w:left="2660"/>
              <w:spacing w:after="0"/>
              <w:rPr>
                <w:sz w:val="20"/>
                <w:szCs w:val="20"/>
                <w:color w:val="auto"/>
              </w:rPr>
            </w:pPr>
            <w:r>
              <w:rPr>
                <w:rFonts w:ascii="Arial" w:cs="Arial" w:eastAsia="Arial" w:hAnsi="Arial"/>
                <w:sz w:val="14"/>
                <w:szCs w:val="14"/>
                <w:color w:val="auto"/>
              </w:rPr>
              <w:t>32</w:t>
            </w:r>
          </w:p>
        </w:tc>
        <w:tc>
          <w:tcPr>
            <w:tcW w:w="5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880" w:type="dxa"/>
            <w:vAlign w:val="bottom"/>
            <w:tcBorders>
              <w:bottom w:val="single" w:sz="8" w:color="9A9A9A"/>
            </w:tcBorders>
          </w:tcPr>
          <w:p>
            <w:pPr>
              <w:spacing w:after="0"/>
              <w:rPr>
                <w:sz w:val="9"/>
                <w:szCs w:val="9"/>
                <w:color w:val="auto"/>
              </w:rPr>
            </w:pPr>
          </w:p>
        </w:tc>
        <w:tc>
          <w:tcPr>
            <w:tcW w:w="2940" w:type="dxa"/>
            <w:vAlign w:val="bottom"/>
            <w:tcBorders>
              <w:bottom w:val="single" w:sz="8" w:color="9A9A9A"/>
            </w:tcBorders>
          </w:tcPr>
          <w:p>
            <w:pPr>
              <w:spacing w:after="0"/>
              <w:rPr>
                <w:sz w:val="9"/>
                <w:szCs w:val="9"/>
                <w:color w:val="auto"/>
              </w:rPr>
            </w:pPr>
          </w:p>
        </w:tc>
        <w:tc>
          <w:tcPr>
            <w:tcW w:w="54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7122160</wp:posOffset>
            </wp:positionH>
            <wp:positionV relativeFrom="paragraph">
              <wp:posOffset>-1630045</wp:posOffset>
            </wp:positionV>
            <wp:extent cx="825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255"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-1630045</wp:posOffset>
            </wp:positionV>
            <wp:extent cx="825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55" cy="41910"/>
                    </a:xfrm>
                    <a:prstGeom prst="rect">
                      <a:avLst/>
                    </a:prstGeom>
                    <a:noFill/>
                  </pic:spPr>
                </pic:pic>
              </a:graphicData>
            </a:graphic>
          </wp:anchor>
        </w:drawing>
        <w:drawing>
          <wp:anchor simplePos="0" relativeHeight="251657728" behindDoc="1" locked="0" layoutInCell="0" allowOverlap="1">
            <wp:simplePos x="0" y="0"/>
            <wp:positionH relativeFrom="column">
              <wp:posOffset>1819275</wp:posOffset>
            </wp:positionH>
            <wp:positionV relativeFrom="paragraph">
              <wp:posOffset>-1630045</wp:posOffset>
            </wp:positionV>
            <wp:extent cx="825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255" cy="41910"/>
                    </a:xfrm>
                    <a:prstGeom prst="rect">
                      <a:avLst/>
                    </a:prstGeom>
                    <a:noFill/>
                  </pic:spPr>
                </pic:pic>
              </a:graphicData>
            </a:graphic>
          </wp:anchor>
        </w:drawing>
        <w:drawing>
          <wp:anchor simplePos="0" relativeHeight="251657728" behindDoc="1" locked="0" layoutInCell="0" allowOverlap="1">
            <wp:simplePos x="0" y="0"/>
            <wp:positionH relativeFrom="column">
              <wp:posOffset>7122160</wp:posOffset>
            </wp:positionH>
            <wp:positionV relativeFrom="paragraph">
              <wp:posOffset>-2277110</wp:posOffset>
            </wp:positionV>
            <wp:extent cx="825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255"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-2277110</wp:posOffset>
            </wp:positionV>
            <wp:extent cx="825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255" cy="41910"/>
                    </a:xfrm>
                    <a:prstGeom prst="rect">
                      <a:avLst/>
                    </a:prstGeom>
                    <a:noFill/>
                  </pic:spPr>
                </pic:pic>
              </a:graphicData>
            </a:graphic>
          </wp:anchor>
        </w:drawing>
        <w:drawing>
          <wp:anchor simplePos="0" relativeHeight="251657728" behindDoc="1" locked="0" layoutInCell="0" allowOverlap="1">
            <wp:simplePos x="0" y="0"/>
            <wp:positionH relativeFrom="column">
              <wp:posOffset>1819275</wp:posOffset>
            </wp:positionH>
            <wp:positionV relativeFrom="paragraph">
              <wp:posOffset>-2277110</wp:posOffset>
            </wp:positionV>
            <wp:extent cx="825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255" cy="41910"/>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-453390</wp:posOffset>
            </wp:positionV>
            <wp:extent cx="210185" cy="1174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0185" cy="117475"/>
                    </a:xfrm>
                    <a:prstGeom prst="rect">
                      <a:avLst/>
                    </a:prstGeom>
                    <a:noFill/>
                  </pic:spPr>
                </pic:pic>
              </a:graphicData>
            </a:graphic>
          </wp:anchor>
        </w:drawing>
      </w:r>
    </w:p>
    <w:p>
      <w:pPr>
        <w:sectPr>
          <w:pgSz w:w="11900" w:h="16838" w:orient="portrait"/>
          <w:cols w:equalWidth="0" w:num="1">
            <w:col w:w="11240"/>
          </w:cols>
          <w:pgMar w:left="320" w:top="139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66"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i w:val="1"/>
          <w:iCs w:val="1"/>
          <w:color w:val="auto"/>
        </w:rPr>
        <w:t>The following Compensation Discussion and Analysis ("CD&amp;A") provides an overview of the Company's executive compensation programs and policies, material compensation decisions and the key factors we considered in making those decisions. It includes specific information about the compensation paid, earned or awarded to the persons listed in the table below who constitute our NEOs for 2025. Where this CD&amp;A contains language indicating that the Compensation and Human Capital Committee (for purposes of this CD&amp;A, "Committee") has approved or taken action with respect to a matter, such language is also intended to indicate that the Board (or the independent directors, as applicable) has approved or taken any action required with respect to such matter.</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100" w:type="dxa"/>
            <w:vAlign w:val="bottom"/>
          </w:tcPr>
          <w:p>
            <w:pPr>
              <w:spacing w:after="0"/>
              <w:rPr>
                <w:sz w:val="21"/>
                <w:szCs w:val="21"/>
                <w:color w:val="auto"/>
              </w:rPr>
            </w:pPr>
          </w:p>
        </w:tc>
        <w:tc>
          <w:tcPr>
            <w:tcW w:w="8140" w:type="dxa"/>
            <w:vAlign w:val="bottom"/>
          </w:tcPr>
          <w:p>
            <w:pPr>
              <w:ind w:left="1220"/>
              <w:spacing w:after="0"/>
              <w:rPr>
                <w:sz w:val="20"/>
                <w:szCs w:val="20"/>
                <w:color w:val="auto"/>
              </w:rPr>
            </w:pPr>
            <w:r>
              <w:rPr>
                <w:rFonts w:ascii="Arial" w:cs="Arial" w:eastAsia="Arial" w:hAnsi="Arial"/>
                <w:sz w:val="18"/>
                <w:szCs w:val="18"/>
                <w:b w:val="1"/>
                <w:bCs w:val="1"/>
                <w:color w:val="auto"/>
              </w:rPr>
              <w:t>2025 Named Executive Officers</w:t>
            </w:r>
          </w:p>
        </w:tc>
      </w:tr>
      <w:tr>
        <w:trPr>
          <w:trHeight w:val="172"/>
        </w:trPr>
        <w:tc>
          <w:tcPr>
            <w:tcW w:w="3100" w:type="dxa"/>
            <w:vAlign w:val="bottom"/>
          </w:tcPr>
          <w:p>
            <w:pPr>
              <w:spacing w:after="0"/>
              <w:rPr>
                <w:sz w:val="14"/>
                <w:szCs w:val="14"/>
                <w:color w:val="auto"/>
              </w:rPr>
            </w:pPr>
          </w:p>
        </w:tc>
        <w:tc>
          <w:tcPr>
            <w:tcW w:w="8140" w:type="dxa"/>
            <w:vAlign w:val="bottom"/>
          </w:tcPr>
          <w:p>
            <w:pPr>
              <w:spacing w:after="0"/>
              <w:rPr>
                <w:sz w:val="14"/>
                <w:szCs w:val="14"/>
                <w:color w:val="auto"/>
              </w:rPr>
            </w:pPr>
          </w:p>
        </w:tc>
      </w:tr>
      <w:tr>
        <w:trPr>
          <w:trHeight w:val="238"/>
        </w:trPr>
        <w:tc>
          <w:tcPr>
            <w:tcW w:w="3100" w:type="dxa"/>
            <w:vAlign w:val="bottom"/>
            <w:tcBorders>
              <w:right w:val="single" w:sz="8" w:color="520B90"/>
            </w:tcBorders>
            <w:shd w:val="clear" w:color="auto" w:fill="520B90"/>
          </w:tcPr>
          <w:p>
            <w:pPr>
              <w:ind w:left="20"/>
              <w:spacing w:after="0"/>
              <w:rPr>
                <w:sz w:val="20"/>
                <w:szCs w:val="20"/>
                <w:color w:val="auto"/>
              </w:rPr>
            </w:pPr>
            <w:r>
              <w:rPr>
                <w:rFonts w:ascii="Arial" w:cs="Arial" w:eastAsia="Arial" w:hAnsi="Arial"/>
                <w:sz w:val="18"/>
                <w:szCs w:val="18"/>
                <w:b w:val="1"/>
                <w:bCs w:val="1"/>
                <w:color w:val="FFFFFF"/>
              </w:rPr>
              <w:t>Name</w:t>
            </w:r>
          </w:p>
        </w:tc>
        <w:tc>
          <w:tcPr>
            <w:tcW w:w="8140" w:type="dxa"/>
            <w:vAlign w:val="bottom"/>
            <w:shd w:val="clear" w:color="auto" w:fill="520B90"/>
          </w:tcPr>
          <w:p>
            <w:pPr>
              <w:spacing w:after="0"/>
              <w:rPr>
                <w:sz w:val="20"/>
                <w:szCs w:val="20"/>
                <w:color w:val="auto"/>
              </w:rPr>
            </w:pPr>
            <w:r>
              <w:rPr>
                <w:rFonts w:ascii="Arial" w:cs="Arial" w:eastAsia="Arial" w:hAnsi="Arial"/>
                <w:sz w:val="18"/>
                <w:szCs w:val="18"/>
                <w:b w:val="1"/>
                <w:bCs w:val="1"/>
                <w:color w:val="FFFFFF"/>
              </w:rPr>
              <w:t>Title(s)</w:t>
            </w:r>
          </w:p>
        </w:tc>
      </w:tr>
      <w:tr>
        <w:trPr>
          <w:trHeight w:val="225"/>
        </w:trPr>
        <w:tc>
          <w:tcPr>
            <w:tcW w:w="3100" w:type="dxa"/>
            <w:vAlign w:val="bottom"/>
            <w:tcBorders>
              <w:bottom w:val="single" w:sz="8" w:color="520B90"/>
              <w:right w:val="single" w:sz="8" w:color="9A9B9D"/>
            </w:tcBorders>
          </w:tcPr>
          <w:p>
            <w:pPr>
              <w:ind w:left="20"/>
              <w:spacing w:after="0" w:line="225" w:lineRule="exact"/>
              <w:rPr>
                <w:sz w:val="20"/>
                <w:szCs w:val="20"/>
                <w:color w:val="auto"/>
              </w:rPr>
            </w:pPr>
            <w:r>
              <w:rPr>
                <w:rFonts w:ascii="Arial" w:cs="Arial" w:eastAsia="Arial" w:hAnsi="Arial"/>
                <w:sz w:val="18"/>
                <w:szCs w:val="18"/>
                <w:color w:val="auto"/>
              </w:rPr>
              <w:t>Christian H. Hillabrant</w:t>
            </w:r>
            <w:r>
              <w:rPr>
                <w:rFonts w:ascii="Arial" w:cs="Arial" w:eastAsia="Arial" w:hAnsi="Arial"/>
                <w:sz w:val="22"/>
                <w:szCs w:val="22"/>
                <w:color w:val="auto"/>
                <w:vertAlign w:val="superscript"/>
              </w:rPr>
              <w:t>(a)</w:t>
            </w:r>
          </w:p>
        </w:tc>
        <w:tc>
          <w:tcPr>
            <w:tcW w:w="8140" w:type="dxa"/>
            <w:vAlign w:val="bottom"/>
            <w:tcBorders>
              <w:bottom w:val="single" w:sz="8" w:color="520B90"/>
            </w:tcBorders>
          </w:tcPr>
          <w:p>
            <w:pPr>
              <w:spacing w:after="0"/>
              <w:rPr>
                <w:sz w:val="20"/>
                <w:szCs w:val="20"/>
                <w:color w:val="auto"/>
              </w:rPr>
            </w:pPr>
            <w:r>
              <w:rPr>
                <w:rFonts w:ascii="Arial" w:cs="Arial" w:eastAsia="Arial" w:hAnsi="Arial"/>
                <w:sz w:val="18"/>
                <w:szCs w:val="18"/>
                <w:color w:val="auto"/>
              </w:rPr>
              <w:t>President and Chief Executive Officer</w:t>
            </w:r>
          </w:p>
        </w:tc>
      </w:tr>
      <w:tr>
        <w:trPr>
          <w:trHeight w:val="218"/>
        </w:trPr>
        <w:tc>
          <w:tcPr>
            <w:tcW w:w="3100" w:type="dxa"/>
            <w:vAlign w:val="bottom"/>
            <w:tcBorders>
              <w:bottom w:val="single" w:sz="8" w:color="520B90"/>
              <w:right w:val="single" w:sz="8" w:color="9A9B9D"/>
            </w:tcBorders>
          </w:tcPr>
          <w:p>
            <w:pPr>
              <w:ind w:left="20"/>
              <w:spacing w:after="0" w:line="219" w:lineRule="exact"/>
              <w:rPr>
                <w:sz w:val="20"/>
                <w:szCs w:val="20"/>
                <w:color w:val="auto"/>
              </w:rPr>
            </w:pPr>
            <w:r>
              <w:rPr>
                <w:rFonts w:ascii="Arial" w:cs="Arial" w:eastAsia="Arial" w:hAnsi="Arial"/>
                <w:sz w:val="18"/>
                <w:szCs w:val="18"/>
                <w:color w:val="auto"/>
              </w:rPr>
              <w:t>Sunit S. Patel</w:t>
            </w:r>
            <w:r>
              <w:rPr>
                <w:rFonts w:ascii="Arial" w:cs="Arial" w:eastAsia="Arial" w:hAnsi="Arial"/>
                <w:sz w:val="22"/>
                <w:szCs w:val="22"/>
                <w:color w:val="auto"/>
                <w:vertAlign w:val="superscript"/>
              </w:rPr>
              <w:t>(b)</w:t>
            </w:r>
          </w:p>
        </w:tc>
        <w:tc>
          <w:tcPr>
            <w:tcW w:w="8140" w:type="dxa"/>
            <w:vAlign w:val="bottom"/>
            <w:tcBorders>
              <w:bottom w:val="single" w:sz="8" w:color="520B90"/>
            </w:tcBorders>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58"/>
        </w:trPr>
        <w:tc>
          <w:tcPr>
            <w:tcW w:w="3100" w:type="dxa"/>
            <w:vAlign w:val="bottom"/>
            <w:tcBorders>
              <w:right w:val="single" w:sz="8" w:color="9A9B9D"/>
            </w:tcBorders>
          </w:tcPr>
          <w:p>
            <w:pPr>
              <w:ind w:left="20"/>
              <w:spacing w:after="0"/>
              <w:rPr>
                <w:sz w:val="20"/>
                <w:szCs w:val="20"/>
                <w:color w:val="auto"/>
              </w:rPr>
            </w:pPr>
            <w:r>
              <w:rPr>
                <w:rFonts w:ascii="Arial" w:cs="Arial" w:eastAsia="Arial" w:hAnsi="Arial"/>
                <w:sz w:val="18"/>
                <w:szCs w:val="18"/>
                <w:color w:val="auto"/>
              </w:rPr>
              <w:t>Daniel K. Schlanger</w:t>
            </w:r>
            <w:r>
              <w:rPr>
                <w:rFonts w:ascii="Arial" w:cs="Arial" w:eastAsia="Arial" w:hAnsi="Arial"/>
                <w:sz w:val="22"/>
                <w:szCs w:val="22"/>
                <w:color w:val="auto"/>
                <w:vertAlign w:val="superscript"/>
              </w:rPr>
              <w:t>(c)</w:t>
            </w:r>
          </w:p>
        </w:tc>
        <w:tc>
          <w:tcPr>
            <w:tcW w:w="8140" w:type="dxa"/>
            <w:vAlign w:val="bottom"/>
          </w:tcPr>
          <w:p>
            <w:pPr>
              <w:spacing w:after="0"/>
              <w:rPr>
                <w:sz w:val="20"/>
                <w:szCs w:val="20"/>
                <w:color w:val="auto"/>
              </w:rPr>
            </w:pPr>
            <w:r>
              <w:rPr>
                <w:rFonts w:ascii="Arial" w:cs="Arial" w:eastAsia="Arial" w:hAnsi="Arial"/>
                <w:sz w:val="18"/>
                <w:szCs w:val="18"/>
                <w:color w:val="auto"/>
              </w:rPr>
              <w:t>Executive Vice President and Chief Transformation Officer; Former Interim President and Chief</w:t>
            </w:r>
          </w:p>
        </w:tc>
      </w:tr>
      <w:tr>
        <w:trPr>
          <w:trHeight w:val="146"/>
        </w:trPr>
        <w:tc>
          <w:tcPr>
            <w:tcW w:w="3100" w:type="dxa"/>
            <w:vAlign w:val="bottom"/>
            <w:tcBorders>
              <w:bottom w:val="single" w:sz="8" w:color="520B90"/>
              <w:right w:val="single" w:sz="8" w:color="9A9B9D"/>
            </w:tcBorders>
          </w:tcPr>
          <w:p>
            <w:pPr>
              <w:spacing w:after="0"/>
              <w:rPr>
                <w:sz w:val="12"/>
                <w:szCs w:val="12"/>
                <w:color w:val="auto"/>
              </w:rPr>
            </w:pPr>
          </w:p>
        </w:tc>
        <w:tc>
          <w:tcPr>
            <w:tcW w:w="8140" w:type="dxa"/>
            <w:vAlign w:val="bottom"/>
            <w:tcBorders>
              <w:bottom w:val="single" w:sz="8" w:color="520B90"/>
            </w:tcBorders>
          </w:tcPr>
          <w:p>
            <w:pPr>
              <w:spacing w:after="0" w:line="146" w:lineRule="exact"/>
              <w:rPr>
                <w:sz w:val="20"/>
                <w:szCs w:val="20"/>
                <w:color w:val="auto"/>
              </w:rPr>
            </w:pPr>
            <w:r>
              <w:rPr>
                <w:rFonts w:ascii="Arial" w:cs="Arial" w:eastAsia="Arial" w:hAnsi="Arial"/>
                <w:sz w:val="15"/>
                <w:szCs w:val="15"/>
                <w:color w:val="auto"/>
              </w:rPr>
              <w:t>Executive Officer; Former Chief Financial Officer</w:t>
            </w:r>
          </w:p>
        </w:tc>
      </w:tr>
      <w:tr>
        <w:trPr>
          <w:trHeight w:val="218"/>
        </w:trPr>
        <w:tc>
          <w:tcPr>
            <w:tcW w:w="3100" w:type="dxa"/>
            <w:vAlign w:val="bottom"/>
            <w:tcBorders>
              <w:bottom w:val="single" w:sz="8" w:color="520B90"/>
              <w:right w:val="single" w:sz="8" w:color="9A9B9D"/>
            </w:tcBorders>
          </w:tcPr>
          <w:p>
            <w:pPr>
              <w:ind w:left="20"/>
              <w:spacing w:after="0"/>
              <w:rPr>
                <w:sz w:val="20"/>
                <w:szCs w:val="20"/>
                <w:color w:val="auto"/>
              </w:rPr>
            </w:pPr>
            <w:r>
              <w:rPr>
                <w:rFonts w:ascii="Arial" w:cs="Arial" w:eastAsia="Arial" w:hAnsi="Arial"/>
                <w:sz w:val="18"/>
                <w:szCs w:val="18"/>
                <w:color w:val="auto"/>
              </w:rPr>
              <w:t>Christopher D. Levendos</w:t>
            </w:r>
          </w:p>
        </w:tc>
        <w:tc>
          <w:tcPr>
            <w:tcW w:w="8140" w:type="dxa"/>
            <w:vAlign w:val="bottom"/>
            <w:tcBorders>
              <w:bottom w:val="single" w:sz="8" w:color="520B90"/>
            </w:tcBorders>
          </w:tcPr>
          <w:p>
            <w:pPr>
              <w:spacing w:after="0"/>
              <w:rPr>
                <w:sz w:val="20"/>
                <w:szCs w:val="20"/>
                <w:color w:val="auto"/>
              </w:rPr>
            </w:pPr>
            <w:r>
              <w:rPr>
                <w:rFonts w:ascii="Arial" w:cs="Arial" w:eastAsia="Arial" w:hAnsi="Arial"/>
                <w:sz w:val="18"/>
                <w:szCs w:val="18"/>
                <w:color w:val="auto"/>
              </w:rPr>
              <w:t>Executive Vice President and Chief Operating Officer—Fiber</w:t>
            </w:r>
          </w:p>
        </w:tc>
      </w:tr>
      <w:tr>
        <w:trPr>
          <w:trHeight w:val="218"/>
        </w:trPr>
        <w:tc>
          <w:tcPr>
            <w:tcW w:w="3100" w:type="dxa"/>
            <w:vAlign w:val="bottom"/>
            <w:tcBorders>
              <w:bottom w:val="single" w:sz="8" w:color="520B90"/>
              <w:right w:val="single" w:sz="8" w:color="9A9B9D"/>
            </w:tcBorders>
          </w:tcPr>
          <w:p>
            <w:pPr>
              <w:ind w:left="20"/>
              <w:spacing w:after="0"/>
              <w:rPr>
                <w:sz w:val="20"/>
                <w:szCs w:val="20"/>
                <w:color w:val="auto"/>
              </w:rPr>
            </w:pPr>
            <w:r>
              <w:rPr>
                <w:rFonts w:ascii="Arial" w:cs="Arial" w:eastAsia="Arial" w:hAnsi="Arial"/>
                <w:sz w:val="18"/>
                <w:szCs w:val="18"/>
                <w:color w:val="auto"/>
              </w:rPr>
              <w:t>Edward B. Adams, Jr.</w:t>
            </w:r>
          </w:p>
        </w:tc>
        <w:tc>
          <w:tcPr>
            <w:tcW w:w="8140" w:type="dxa"/>
            <w:vAlign w:val="bottom"/>
            <w:tcBorders>
              <w:bottom w:val="single" w:sz="8" w:color="520B90"/>
            </w:tcBorders>
          </w:tcPr>
          <w:p>
            <w:pPr>
              <w:spacing w:after="0"/>
              <w:rPr>
                <w:sz w:val="20"/>
                <w:szCs w:val="20"/>
                <w:color w:val="auto"/>
              </w:rPr>
            </w:pPr>
            <w:r>
              <w:rPr>
                <w:rFonts w:ascii="Arial" w:cs="Arial" w:eastAsia="Arial" w:hAnsi="Arial"/>
                <w:sz w:val="18"/>
                <w:szCs w:val="18"/>
                <w:color w:val="auto"/>
              </w:rPr>
              <w:t>Executive Vice President and General Counsel</w:t>
            </w:r>
          </w:p>
        </w:tc>
      </w:tr>
      <w:tr>
        <w:trPr>
          <w:trHeight w:val="218"/>
        </w:trPr>
        <w:tc>
          <w:tcPr>
            <w:tcW w:w="3100" w:type="dxa"/>
            <w:vAlign w:val="bottom"/>
            <w:tcBorders>
              <w:bottom w:val="single" w:sz="8" w:color="520B90"/>
              <w:right w:val="single" w:sz="8" w:color="9A9B9D"/>
            </w:tcBorders>
          </w:tcPr>
          <w:p>
            <w:pPr>
              <w:ind w:left="20"/>
              <w:spacing w:after="0"/>
              <w:rPr>
                <w:sz w:val="20"/>
                <w:szCs w:val="20"/>
                <w:color w:val="auto"/>
              </w:rPr>
            </w:pPr>
            <w:r>
              <w:rPr>
                <w:rFonts w:ascii="Arial" w:cs="Arial" w:eastAsia="Arial" w:hAnsi="Arial"/>
                <w:sz w:val="18"/>
                <w:szCs w:val="18"/>
                <w:color w:val="auto"/>
              </w:rPr>
              <w:t>Catherine Piche</w:t>
            </w:r>
          </w:p>
        </w:tc>
        <w:tc>
          <w:tcPr>
            <w:tcW w:w="8140" w:type="dxa"/>
            <w:vAlign w:val="bottom"/>
            <w:tcBorders>
              <w:bottom w:val="single" w:sz="8" w:color="520B90"/>
            </w:tcBorders>
          </w:tcPr>
          <w:p>
            <w:pPr>
              <w:spacing w:after="0"/>
              <w:rPr>
                <w:sz w:val="20"/>
                <w:szCs w:val="20"/>
                <w:color w:val="auto"/>
              </w:rPr>
            </w:pPr>
            <w:r>
              <w:rPr>
                <w:rFonts w:ascii="Arial" w:cs="Arial" w:eastAsia="Arial" w:hAnsi="Arial"/>
                <w:sz w:val="18"/>
                <w:szCs w:val="18"/>
                <w:color w:val="auto"/>
              </w:rPr>
              <w:t>Executive Vice President and Chief Operating Officer—Towers</w:t>
            </w:r>
          </w:p>
        </w:tc>
      </w:tr>
      <w:tr>
        <w:trPr>
          <w:trHeight w:val="218"/>
        </w:trPr>
        <w:tc>
          <w:tcPr>
            <w:tcW w:w="3100" w:type="dxa"/>
            <w:vAlign w:val="bottom"/>
            <w:tcBorders>
              <w:bottom w:val="single" w:sz="8" w:color="520B90"/>
              <w:right w:val="single" w:sz="8" w:color="9A9B9D"/>
            </w:tcBorders>
          </w:tcPr>
          <w:p>
            <w:pPr>
              <w:ind w:left="20"/>
              <w:spacing w:after="0" w:line="219" w:lineRule="exact"/>
              <w:rPr>
                <w:sz w:val="20"/>
                <w:szCs w:val="20"/>
                <w:color w:val="auto"/>
              </w:rPr>
            </w:pPr>
            <w:r>
              <w:rPr>
                <w:rFonts w:ascii="Arial" w:cs="Arial" w:eastAsia="Arial" w:hAnsi="Arial"/>
                <w:sz w:val="18"/>
                <w:szCs w:val="18"/>
                <w:color w:val="auto"/>
              </w:rPr>
              <w:t>Steven J. Moskowitz</w:t>
            </w:r>
            <w:r>
              <w:rPr>
                <w:rFonts w:ascii="Arial" w:cs="Arial" w:eastAsia="Arial" w:hAnsi="Arial"/>
                <w:sz w:val="22"/>
                <w:szCs w:val="22"/>
                <w:color w:val="auto"/>
                <w:vertAlign w:val="superscript"/>
              </w:rPr>
              <w:t>(d)</w:t>
            </w:r>
          </w:p>
        </w:tc>
        <w:tc>
          <w:tcPr>
            <w:tcW w:w="8140" w:type="dxa"/>
            <w:vAlign w:val="bottom"/>
            <w:tcBorders>
              <w:bottom w:val="single" w:sz="8" w:color="520B90"/>
            </w:tcBorders>
          </w:tcPr>
          <w:p>
            <w:pPr>
              <w:spacing w:after="0"/>
              <w:rPr>
                <w:sz w:val="20"/>
                <w:szCs w:val="20"/>
                <w:color w:val="auto"/>
              </w:rPr>
            </w:pPr>
            <w:r>
              <w:rPr>
                <w:rFonts w:ascii="Arial" w:cs="Arial" w:eastAsia="Arial" w:hAnsi="Arial"/>
                <w:sz w:val="18"/>
                <w:szCs w:val="18"/>
                <w:color w:val="auto"/>
              </w:rPr>
              <w:t>Former President and Chief Executive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1953260</wp:posOffset>
            </wp:positionH>
            <wp:positionV relativeFrom="paragraph">
              <wp:posOffset>-1327150</wp:posOffset>
            </wp:positionV>
            <wp:extent cx="8255" cy="1511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255" cy="1511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142875</wp:posOffset>
            </wp:positionV>
            <wp:extent cx="73088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30885" cy="8255"/>
                    </a:xfrm>
                    <a:prstGeom prst="rect">
                      <a:avLst/>
                    </a:prstGeom>
                    <a:noFill/>
                  </pic:spPr>
                </pic:pic>
              </a:graphicData>
            </a:graphic>
          </wp:anchor>
        </w:drawing>
      </w:r>
    </w:p>
    <w:p>
      <w:pPr>
        <w:spacing w:after="0" w:line="285" w:lineRule="exact"/>
        <w:rPr>
          <w:sz w:val="20"/>
          <w:szCs w:val="20"/>
          <w:color w:val="auto"/>
        </w:rPr>
      </w:pPr>
    </w:p>
    <w:p>
      <w:pPr>
        <w:ind w:left="320" w:hanging="314"/>
        <w:spacing w:after="0"/>
        <w:tabs>
          <w:tab w:leader="none" w:pos="32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Mr. Hillabrant was appointed as President &amp; CEO effective September 15, 2025.</w:t>
      </w:r>
    </w:p>
    <w:p>
      <w:pPr>
        <w:spacing w:after="0" w:line="21" w:lineRule="exact"/>
        <w:rPr>
          <w:rFonts w:ascii="Arial" w:cs="Arial" w:eastAsia="Arial" w:hAnsi="Arial"/>
          <w:sz w:val="13"/>
          <w:szCs w:val="13"/>
          <w:color w:val="auto"/>
        </w:rPr>
      </w:pPr>
    </w:p>
    <w:p>
      <w:pPr>
        <w:ind w:left="320" w:hanging="314"/>
        <w:spacing w:after="0"/>
        <w:tabs>
          <w:tab w:leader="none" w:pos="32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Mr. Patel was appointed as EVP &amp; CFO effective April 1, 2025.</w:t>
      </w:r>
    </w:p>
    <w:p>
      <w:pPr>
        <w:spacing w:after="0" w:line="9" w:lineRule="exact"/>
        <w:rPr>
          <w:rFonts w:ascii="Arial" w:cs="Arial" w:eastAsia="Arial" w:hAnsi="Arial"/>
          <w:sz w:val="13"/>
          <w:szCs w:val="13"/>
          <w:color w:val="auto"/>
        </w:rPr>
      </w:pPr>
    </w:p>
    <w:p>
      <w:pPr>
        <w:ind w:left="320" w:right="140" w:hanging="314"/>
        <w:spacing w:after="0" w:line="254" w:lineRule="auto"/>
        <w:tabs>
          <w:tab w:leader="none" w:pos="315" w:val="left"/>
        </w:tabs>
        <w:numPr>
          <w:ilvl w:val="0"/>
          <w:numId w:val="102"/>
        </w:numPr>
        <w:rPr>
          <w:rFonts w:ascii="Arial" w:cs="Arial" w:eastAsia="Arial" w:hAnsi="Arial"/>
          <w:sz w:val="13"/>
          <w:szCs w:val="13"/>
          <w:color w:val="auto"/>
        </w:rPr>
      </w:pPr>
      <w:r>
        <w:rPr>
          <w:rFonts w:ascii="Arial" w:cs="Arial" w:eastAsia="Arial" w:hAnsi="Arial"/>
          <w:sz w:val="13"/>
          <w:szCs w:val="13"/>
          <w:color w:val="auto"/>
        </w:rPr>
        <w:t>Mr. Schlanger served as CFO through March 31, 2025. Mr. Schlanger was appointed as our Interim President &amp; CEO effective March 23, 2025. Mr. Schlanger ceased serving as Interim President &amp; CEO on September 15, 2025, and was appointed EVP &amp; Chief Transformation Officer.</w:t>
      </w:r>
    </w:p>
    <w:p>
      <w:pPr>
        <w:spacing w:after="0" w:line="1" w:lineRule="exact"/>
        <w:rPr>
          <w:rFonts w:ascii="Arial" w:cs="Arial" w:eastAsia="Arial" w:hAnsi="Arial"/>
          <w:sz w:val="13"/>
          <w:szCs w:val="13"/>
          <w:color w:val="auto"/>
        </w:rPr>
      </w:pPr>
    </w:p>
    <w:p>
      <w:pPr>
        <w:ind w:left="320" w:hanging="314"/>
        <w:spacing w:after="0"/>
        <w:tabs>
          <w:tab w:leader="none" w:pos="32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Mr. Moskowitz served as President &amp; CEO, from April 11, 2024, until March 23, 2025.</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Summary</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Business and Market Environment</w:t>
      </w:r>
    </w:p>
    <w:p>
      <w:pPr>
        <w:spacing w:after="0" w:line="16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From 2022 through 2025, the business and communications infrastructure sector has experienced significant market disruption caused by a confluence of industry-specific and macroeconomic discrete factors. These include a decrease in tower and small cells leasing activity due to reduced network spending by the major telecommunications providers, an increase in tower, small cells and fiber churn activity primarily driven by the T-Mobile US, Inc. and Sprint network consolidation and increases in borrowing costs due to higher interest rates.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In the midst of this market disruption, the Board has taken actions to position the Company for future value creation:</w:t>
      </w:r>
    </w:p>
    <w:p>
      <w:pPr>
        <w:spacing w:after="0" w:line="164" w:lineRule="exact"/>
        <w:rPr>
          <w:sz w:val="20"/>
          <w:szCs w:val="20"/>
          <w:color w:val="auto"/>
        </w:rPr>
      </w:pPr>
    </w:p>
    <w:p>
      <w:pPr>
        <w:ind w:left="640" w:right="40" w:hanging="316"/>
        <w:spacing w:after="0" w:line="252" w:lineRule="auto"/>
        <w:tabs>
          <w:tab w:leader="none" w:pos="635" w:val="left"/>
        </w:tabs>
        <w:numPr>
          <w:ilvl w:val="0"/>
          <w:numId w:val="103"/>
        </w:numPr>
        <w:rPr>
          <w:rFonts w:ascii="Arial" w:cs="Arial" w:eastAsia="Arial" w:hAnsi="Arial"/>
          <w:sz w:val="18"/>
          <w:szCs w:val="18"/>
          <w:color w:val="520B90"/>
        </w:rPr>
      </w:pPr>
      <w:r>
        <w:rPr>
          <w:rFonts w:ascii="Arial" w:cs="Arial" w:eastAsia="Arial" w:hAnsi="Arial"/>
          <w:sz w:val="18"/>
          <w:szCs w:val="18"/>
          <w:u w:val="single" w:color="auto"/>
          <w:color w:val="auto"/>
        </w:rPr>
        <w:t>Reviewed Business Strategy</w:t>
      </w:r>
      <w:r>
        <w:rPr>
          <w:rFonts w:ascii="Arial" w:cs="Arial" w:eastAsia="Arial" w:hAnsi="Arial"/>
          <w:sz w:val="18"/>
          <w:szCs w:val="18"/>
          <w:color w:val="auto"/>
        </w:rPr>
        <w:t>: The Board, including through its Fiber Review Committee, engaged in a comprehensive strategic and operational review of the Company's Fiber Business. The Board successfully concluded this strategic review and entered into the Strategic Fiber Transaction in March of 2025, which is anticipated to close in the first half of 2026. After the anticipated close of the Strategic Fiber Transaction, as a U.S.-focused, standalone tower company, the Board believes the Company will have an opportunity to enhance stockholder value.</w:t>
      </w:r>
    </w:p>
    <w:p>
      <w:pPr>
        <w:spacing w:after="0" w:line="130" w:lineRule="exact"/>
        <w:rPr>
          <w:rFonts w:ascii="Arial" w:cs="Arial" w:eastAsia="Arial" w:hAnsi="Arial"/>
          <w:sz w:val="18"/>
          <w:szCs w:val="18"/>
          <w:color w:val="520B90"/>
        </w:rPr>
      </w:pPr>
    </w:p>
    <w:p>
      <w:pPr>
        <w:ind w:left="640" w:right="40" w:hanging="316"/>
        <w:spacing w:after="0" w:line="274" w:lineRule="auto"/>
        <w:tabs>
          <w:tab w:leader="none" w:pos="635" w:val="left"/>
        </w:tabs>
        <w:numPr>
          <w:ilvl w:val="0"/>
          <w:numId w:val="103"/>
        </w:numPr>
        <w:rPr>
          <w:rFonts w:ascii="Arial" w:cs="Arial" w:eastAsia="Arial" w:hAnsi="Arial"/>
          <w:sz w:val="18"/>
          <w:szCs w:val="18"/>
          <w:color w:val="520B90"/>
        </w:rPr>
      </w:pPr>
      <w:r>
        <w:rPr>
          <w:rFonts w:ascii="Arial" w:cs="Arial" w:eastAsia="Arial" w:hAnsi="Arial"/>
          <w:sz w:val="18"/>
          <w:szCs w:val="18"/>
          <w:u w:val="single" w:color="auto"/>
          <w:color w:val="auto"/>
        </w:rPr>
        <w:t>Aligned Compensation Program with Business Priorities</w:t>
      </w:r>
      <w:r>
        <w:rPr>
          <w:rFonts w:ascii="Arial" w:cs="Arial" w:eastAsia="Arial" w:hAnsi="Arial"/>
          <w:sz w:val="18"/>
          <w:szCs w:val="18"/>
          <w:color w:val="auto"/>
        </w:rPr>
        <w:t>: The Board has made changes to the Company's executive pay programs over the past couple of years that are intended to reward the execution of our evolving business priorities.</w:t>
      </w:r>
    </w:p>
    <w:p>
      <w:pPr>
        <w:spacing w:after="0" w:line="109" w:lineRule="exact"/>
        <w:rPr>
          <w:rFonts w:ascii="Arial" w:cs="Arial" w:eastAsia="Arial" w:hAnsi="Arial"/>
          <w:sz w:val="18"/>
          <w:szCs w:val="18"/>
          <w:color w:val="520B90"/>
        </w:rPr>
      </w:pPr>
    </w:p>
    <w:p>
      <w:pPr>
        <w:ind w:left="640" w:hanging="316"/>
        <w:spacing w:after="0"/>
        <w:tabs>
          <w:tab w:leader="none" w:pos="640" w:val="left"/>
        </w:tabs>
        <w:numPr>
          <w:ilvl w:val="0"/>
          <w:numId w:val="103"/>
        </w:numPr>
        <w:rPr>
          <w:rFonts w:ascii="Arial" w:cs="Arial" w:eastAsia="Arial" w:hAnsi="Arial"/>
          <w:sz w:val="18"/>
          <w:szCs w:val="18"/>
          <w:color w:val="520B90"/>
        </w:rPr>
      </w:pPr>
      <w:r>
        <w:rPr>
          <w:rFonts w:ascii="Arial" w:cs="Arial" w:eastAsia="Arial" w:hAnsi="Arial"/>
          <w:sz w:val="18"/>
          <w:szCs w:val="18"/>
          <w:u w:val="single" w:color="auto"/>
          <w:color w:val="auto"/>
        </w:rPr>
        <w:t>Facilitated Leadership Transitions to Support the Business</w:t>
      </w:r>
      <w:r>
        <w:rPr>
          <w:rFonts w:ascii="Arial" w:cs="Arial" w:eastAsia="Arial" w:hAnsi="Arial"/>
          <w:sz w:val="18"/>
          <w:szCs w:val="18"/>
          <w:color w:val="auto"/>
        </w:rPr>
        <w:t>: See section below for more details.</w:t>
      </w:r>
    </w:p>
    <w:p>
      <w:pPr>
        <w:spacing w:after="0" w:line="392"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6026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38" w:right="339" w:bottom="1440" w:gutter="0" w:footer="0" w:header="0"/>
        </w:sectPr>
      </w:pPr>
    </w:p>
    <w:bookmarkStart w:id="38" w:name="page39"/>
    <w:bookmarkEnd w:id="38"/>
    <w:p>
      <w:pPr>
        <w:ind w:left="640"/>
        <w:spacing w:after="0"/>
        <w:rPr>
          <w:sz w:val="20"/>
          <w:szCs w:val="20"/>
          <w:color w:val="auto"/>
        </w:rPr>
      </w:pPr>
      <w:r>
        <w:rPr>
          <w:rFonts w:ascii="Arial" w:cs="Arial" w:eastAsia="Arial" w:hAnsi="Arial"/>
          <w:sz w:val="18"/>
          <w:szCs w:val="18"/>
          <w:b w:val="1"/>
          <w:bCs w:val="1"/>
          <w:i w:val="1"/>
          <w:iCs w:val="1"/>
          <w:color w:val="auto"/>
        </w:rPr>
        <w:t>Executive Leadership Changes and Transitions</w:t>
      </w:r>
    </w:p>
    <w:p>
      <w:pPr>
        <w:spacing w:after="0" w:line="16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Since 2023, the Company has experienced a number of executive leadership transitions, including three CEO transitions, two Interim CEO appointments, a CFO transition and other key leadership changes. Following these changes and transitions, we believe that the Company has the right leadership team to advance our strategy to enhance stockholder value. Relevant changes and transitions that occurred in 2025 include:</w:t>
      </w:r>
    </w:p>
    <w:p>
      <w:pPr>
        <w:spacing w:after="0" w:line="126" w:lineRule="exact"/>
        <w:rPr>
          <w:sz w:val="20"/>
          <w:szCs w:val="20"/>
          <w:color w:val="auto"/>
        </w:rPr>
      </w:pPr>
    </w:p>
    <w:p>
      <w:pPr>
        <w:ind w:left="640" w:hanging="316"/>
        <w:spacing w:after="0"/>
        <w:tabs>
          <w:tab w:leader="none" w:pos="640" w:val="left"/>
        </w:tabs>
        <w:numPr>
          <w:ilvl w:val="0"/>
          <w:numId w:val="104"/>
        </w:numPr>
        <w:rPr>
          <w:rFonts w:ascii="Arial" w:cs="Arial" w:eastAsia="Arial" w:hAnsi="Arial"/>
          <w:sz w:val="18"/>
          <w:szCs w:val="18"/>
          <w:color w:val="520B90"/>
        </w:rPr>
      </w:pPr>
      <w:r>
        <w:rPr>
          <w:rFonts w:ascii="Arial" w:cs="Arial" w:eastAsia="Arial" w:hAnsi="Arial"/>
          <w:sz w:val="18"/>
          <w:szCs w:val="18"/>
          <w:color w:val="auto"/>
        </w:rPr>
        <w:t>In January 2025, the Company announced that Mr. Schlanger would cease serving as its EVP and CFO, effective March 31, 2025.</w:t>
      </w:r>
    </w:p>
    <w:p>
      <w:pPr>
        <w:spacing w:after="0" w:line="163" w:lineRule="exact"/>
        <w:rPr>
          <w:rFonts w:ascii="Arial" w:cs="Arial" w:eastAsia="Arial" w:hAnsi="Arial"/>
          <w:sz w:val="18"/>
          <w:szCs w:val="18"/>
          <w:color w:val="520B90"/>
        </w:rPr>
      </w:pPr>
    </w:p>
    <w:p>
      <w:pPr>
        <w:ind w:left="640" w:hanging="316"/>
        <w:spacing w:after="0"/>
        <w:tabs>
          <w:tab w:leader="none" w:pos="640" w:val="left"/>
        </w:tabs>
        <w:numPr>
          <w:ilvl w:val="0"/>
          <w:numId w:val="104"/>
        </w:numPr>
        <w:rPr>
          <w:rFonts w:ascii="Arial" w:cs="Arial" w:eastAsia="Arial" w:hAnsi="Arial"/>
          <w:sz w:val="18"/>
          <w:szCs w:val="18"/>
          <w:color w:val="520B90"/>
        </w:rPr>
      </w:pPr>
      <w:r>
        <w:rPr>
          <w:rFonts w:ascii="Arial" w:cs="Arial" w:eastAsia="Arial" w:hAnsi="Arial"/>
          <w:sz w:val="18"/>
          <w:szCs w:val="18"/>
          <w:color w:val="auto"/>
        </w:rPr>
        <w:t>In March 2025, the Board appointed Mr. Patel as the Company's EVP and CFO, effective April 1, 2025.</w:t>
      </w:r>
    </w:p>
    <w:p>
      <w:pPr>
        <w:spacing w:after="0" w:line="163" w:lineRule="exact"/>
        <w:rPr>
          <w:rFonts w:ascii="Arial" w:cs="Arial" w:eastAsia="Arial" w:hAnsi="Arial"/>
          <w:sz w:val="18"/>
          <w:szCs w:val="18"/>
          <w:color w:val="520B90"/>
        </w:rPr>
      </w:pPr>
    </w:p>
    <w:p>
      <w:pPr>
        <w:ind w:left="640" w:right="160" w:hanging="316"/>
        <w:spacing w:after="0" w:line="259" w:lineRule="auto"/>
        <w:tabs>
          <w:tab w:leader="none" w:pos="635" w:val="left"/>
        </w:tabs>
        <w:numPr>
          <w:ilvl w:val="0"/>
          <w:numId w:val="104"/>
        </w:numPr>
        <w:rPr>
          <w:rFonts w:ascii="Arial" w:cs="Arial" w:eastAsia="Arial" w:hAnsi="Arial"/>
          <w:sz w:val="18"/>
          <w:szCs w:val="18"/>
          <w:color w:val="520B90"/>
        </w:rPr>
      </w:pPr>
      <w:r>
        <w:rPr>
          <w:rFonts w:ascii="Arial" w:cs="Arial" w:eastAsia="Arial" w:hAnsi="Arial"/>
          <w:sz w:val="18"/>
          <w:szCs w:val="18"/>
          <w:color w:val="auto"/>
        </w:rPr>
        <w:t>In March 2025, Mr. Moskowitz ceased serving as the Company's President and CEO, effective March 23, 2025. In connection with the announcement of Mr. Moskowitz's departure, the Board appointed Mr. Schlanger as Interim President and CEO, effective March 23, 2025.</w:t>
      </w:r>
    </w:p>
    <w:p>
      <w:pPr>
        <w:spacing w:after="0" w:line="123" w:lineRule="exact"/>
        <w:rPr>
          <w:rFonts w:ascii="Arial" w:cs="Arial" w:eastAsia="Arial" w:hAnsi="Arial"/>
          <w:sz w:val="18"/>
          <w:szCs w:val="18"/>
          <w:color w:val="520B90"/>
        </w:rPr>
      </w:pPr>
    </w:p>
    <w:p>
      <w:pPr>
        <w:ind w:left="640" w:hanging="316"/>
        <w:spacing w:after="0"/>
        <w:tabs>
          <w:tab w:leader="none" w:pos="640" w:val="left"/>
        </w:tabs>
        <w:numPr>
          <w:ilvl w:val="0"/>
          <w:numId w:val="104"/>
        </w:numPr>
        <w:rPr>
          <w:rFonts w:ascii="Arial" w:cs="Arial" w:eastAsia="Arial" w:hAnsi="Arial"/>
          <w:sz w:val="18"/>
          <w:szCs w:val="18"/>
          <w:color w:val="520B90"/>
        </w:rPr>
      </w:pPr>
      <w:r>
        <w:rPr>
          <w:rFonts w:ascii="Arial" w:cs="Arial" w:eastAsia="Arial" w:hAnsi="Arial"/>
          <w:sz w:val="18"/>
          <w:szCs w:val="18"/>
          <w:color w:val="auto"/>
        </w:rPr>
        <w:t>In August 2025, the Board appointed Mr. Hillabrant as the Company's President and CEO, effective September 15, 2025.</w:t>
      </w:r>
    </w:p>
    <w:p>
      <w:pPr>
        <w:spacing w:after="0" w:line="163" w:lineRule="exact"/>
        <w:rPr>
          <w:rFonts w:ascii="Arial" w:cs="Arial" w:eastAsia="Arial" w:hAnsi="Arial"/>
          <w:sz w:val="18"/>
          <w:szCs w:val="18"/>
          <w:color w:val="520B90"/>
        </w:rPr>
      </w:pPr>
    </w:p>
    <w:p>
      <w:pPr>
        <w:ind w:left="640" w:right="60" w:hanging="316"/>
        <w:spacing w:after="0" w:line="274" w:lineRule="auto"/>
        <w:tabs>
          <w:tab w:leader="none" w:pos="635" w:val="left"/>
        </w:tabs>
        <w:numPr>
          <w:ilvl w:val="0"/>
          <w:numId w:val="104"/>
        </w:numPr>
        <w:rPr>
          <w:rFonts w:ascii="Arial" w:cs="Arial" w:eastAsia="Arial" w:hAnsi="Arial"/>
          <w:sz w:val="18"/>
          <w:szCs w:val="18"/>
          <w:color w:val="520B90"/>
        </w:rPr>
      </w:pPr>
      <w:r>
        <w:rPr>
          <w:rFonts w:ascii="Arial" w:cs="Arial" w:eastAsia="Arial" w:hAnsi="Arial"/>
          <w:sz w:val="18"/>
          <w:szCs w:val="18"/>
          <w:color w:val="auto"/>
        </w:rPr>
        <w:t>In connection with Mr. Hillabrant's appointment, Mr. Schlanger ceased serving as Interim President and CEO and was appointed as the Company's EVP and Chief Transformation Officer ("CTRO"), each effective September 15, 2025.</w:t>
      </w:r>
    </w:p>
    <w:p>
      <w:pPr>
        <w:spacing w:after="0" w:line="110" w:lineRule="exact"/>
        <w:rPr>
          <w:sz w:val="20"/>
          <w:szCs w:val="20"/>
          <w:color w:val="auto"/>
        </w:rPr>
      </w:pPr>
    </w:p>
    <w:p>
      <w:pPr>
        <w:ind w:right="480"/>
        <w:spacing w:after="0" w:line="274" w:lineRule="auto"/>
        <w:rPr>
          <w:sz w:val="20"/>
          <w:szCs w:val="20"/>
          <w:color w:val="auto"/>
        </w:rPr>
      </w:pPr>
      <w:r>
        <w:rPr>
          <w:rFonts w:ascii="Arial" w:cs="Arial" w:eastAsia="Arial" w:hAnsi="Arial"/>
          <w:sz w:val="18"/>
          <w:szCs w:val="18"/>
          <w:color w:val="auto"/>
        </w:rPr>
        <w:t>Certain compensation arrangements related to these leadership changes and transitions are described in more detail at "—Compensation Arrangements for Certain Executives" below.</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Alignment of Compensation with Company Performance</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executive compensation program aims to reward our CEO and all other NEOs based on achievement of the Company's strategic objectives in an effort to align their interests with those of our stockholders. Accordingly, the executive compensation program is heavily weighted to "at risk" compensation consisting of performance-based STIs and LTIs.</w:t>
      </w:r>
    </w:p>
    <w:p>
      <w:pPr>
        <w:spacing w:after="0" w:line="124" w:lineRule="exact"/>
        <w:rPr>
          <w:sz w:val="20"/>
          <w:szCs w:val="20"/>
          <w:color w:val="auto"/>
        </w:rPr>
      </w:pPr>
    </w:p>
    <w:p>
      <w:pPr>
        <w:ind w:left="640" w:right="200" w:hanging="316"/>
        <w:spacing w:after="0" w:line="255" w:lineRule="auto"/>
        <w:tabs>
          <w:tab w:leader="none" w:pos="635" w:val="left"/>
        </w:tabs>
        <w:numPr>
          <w:ilvl w:val="0"/>
          <w:numId w:val="105"/>
        </w:numPr>
        <w:rPr>
          <w:rFonts w:ascii="Arial" w:cs="Arial" w:eastAsia="Arial" w:hAnsi="Arial"/>
          <w:sz w:val="18"/>
          <w:szCs w:val="18"/>
          <w:color w:val="520B90"/>
        </w:rPr>
      </w:pPr>
      <w:r>
        <w:rPr>
          <w:rFonts w:ascii="Arial" w:cs="Arial" w:eastAsia="Arial" w:hAnsi="Arial"/>
          <w:sz w:val="18"/>
          <w:szCs w:val="18"/>
          <w:i w:val="1"/>
          <w:iCs w:val="1"/>
          <w:color w:val="auto"/>
        </w:rPr>
        <w:t>2025 Executive Management Team Annual Incentive Plan ("AIP") Payout Paid Above Target</w:t>
      </w:r>
      <w:r>
        <w:rPr>
          <w:rFonts w:ascii="Arial" w:cs="Arial" w:eastAsia="Arial" w:hAnsi="Arial"/>
          <w:sz w:val="18"/>
          <w:szCs w:val="18"/>
          <w:color w:val="auto"/>
        </w:rPr>
        <w:t>: In 2025, we achieved Adjusted EBITDA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performance of $4.044 billion, which was above our target of $3.968 billion, and organic revenue growth of $285 million, which was above our target of $251 million (see </w:t>
      </w:r>
      <w:r>
        <w:rPr>
          <w:rFonts w:ascii="Arial" w:cs="Arial" w:eastAsia="Arial" w:hAnsi="Arial"/>
          <w:sz w:val="18"/>
          <w:szCs w:val="18"/>
          <w:i w:val="1"/>
          <w:iCs w:val="1"/>
          <w:color w:val="auto"/>
        </w:rPr>
        <w:t>Appendix B</w:t>
      </w:r>
      <w:r>
        <w:rPr>
          <w:rFonts w:ascii="Arial" w:cs="Arial" w:eastAsia="Arial" w:hAnsi="Arial"/>
          <w:sz w:val="18"/>
          <w:szCs w:val="18"/>
          <w:color w:val="auto"/>
        </w:rPr>
        <w:t xml:space="preserve"> for our definitions and reconciliations of these non-GAAP financial measures). The corresponding weighted payout under the 2025 AIP was 139.16% of target.</w:t>
      </w:r>
    </w:p>
    <w:p>
      <w:pPr>
        <w:spacing w:after="0" w:line="126" w:lineRule="exact"/>
        <w:rPr>
          <w:rFonts w:ascii="Arial" w:cs="Arial" w:eastAsia="Arial" w:hAnsi="Arial"/>
          <w:sz w:val="18"/>
          <w:szCs w:val="18"/>
          <w:color w:val="520B90"/>
        </w:rPr>
      </w:pPr>
    </w:p>
    <w:p>
      <w:pPr>
        <w:ind w:left="640" w:right="80" w:hanging="316"/>
        <w:spacing w:after="0" w:line="255" w:lineRule="auto"/>
        <w:tabs>
          <w:tab w:leader="none" w:pos="635" w:val="left"/>
        </w:tabs>
        <w:numPr>
          <w:ilvl w:val="0"/>
          <w:numId w:val="105"/>
        </w:numPr>
        <w:rPr>
          <w:rFonts w:ascii="Arial" w:cs="Arial" w:eastAsia="Arial" w:hAnsi="Arial"/>
          <w:sz w:val="18"/>
          <w:szCs w:val="18"/>
          <w:color w:val="520B90"/>
        </w:rPr>
      </w:pPr>
      <w:r>
        <w:rPr>
          <w:rFonts w:ascii="Arial" w:cs="Arial" w:eastAsia="Arial" w:hAnsi="Arial"/>
          <w:sz w:val="18"/>
          <w:szCs w:val="18"/>
          <w:i w:val="1"/>
          <w:iCs w:val="1"/>
          <w:color w:val="auto"/>
        </w:rPr>
        <w:t xml:space="preserve">2023 to 2025 Performance-based Restricted Stock Units ("RSUs") Not Earned: </w:t>
      </w:r>
      <w:r>
        <w:rPr>
          <w:rFonts w:ascii="Arial" w:cs="Arial" w:eastAsia="Arial" w:hAnsi="Arial"/>
          <w:sz w:val="18"/>
          <w:szCs w:val="18"/>
          <w:color w:val="auto"/>
        </w:rPr>
        <w:t>For the three-year period ended December 31, 2025,</w:t>
      </w:r>
      <w:r>
        <w:rPr>
          <w:rFonts w:ascii="Arial" w:cs="Arial" w:eastAsia="Arial" w:hAnsi="Arial"/>
          <w:sz w:val="18"/>
          <w:szCs w:val="18"/>
          <w:i w:val="1"/>
          <w:iCs w:val="1"/>
          <w:color w:val="auto"/>
        </w:rPr>
        <w:t xml:space="preserve"> </w:t>
      </w:r>
      <w:r>
        <w:rPr>
          <w:rFonts w:ascii="Arial" w:cs="Arial" w:eastAsia="Arial" w:hAnsi="Arial"/>
          <w:sz w:val="18"/>
          <w:szCs w:val="18"/>
          <w:color w:val="auto"/>
        </w:rPr>
        <w:t>our TSR was meaningfully negative and trailed that of the companies in the S&amp;P 500 Index, which was our performance peer group for purposes of TSR comparison, resulting in the forfeiture of the 2023 performance-based LTI awards for the 2023 through 2025 performance period.</w:t>
      </w:r>
    </w:p>
    <w:p>
      <w:pPr>
        <w:spacing w:after="0" w:line="126"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The design of our executive compensation program is intended to align realizable pay for our executives with stockholder experience, as illustrated in the table below. Over the past three fiscal years, the Company’s cumulative TSR was negative 23%. Over that same period, a hypothetical CEO would have realized total compensation approximately 24% below the originally intended target direct compensation, assuming continuous service over the period. We have elected to present this analysis using a hypothetical CEO for illustrative purposes in light of the multiple CEO transitions and related compensation arrangements experienced by the Company over the past three years, which the Company believes would otherwise limit the comparability and usefulness of an individualized realizable pay analysis. The target compensation used for purposes of this table is based on the 2025 target direct compensation of Mr. Hillabrant, our current President and CEO, as outlined in "—Executive Compensation Elements—2025 Target Direct Compensation" below, and is used solely as a reference point. This table does not represent actual compensation paid or realizable by any current of former executive officer.</w:t>
      </w:r>
    </w:p>
    <w:p>
      <w:pPr>
        <w:spacing w:after="0" w:line="360"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393" w:right="359" w:bottom="1440" w:gutter="0" w:footer="0" w:header="0"/>
        </w:sectPr>
      </w:pPr>
    </w:p>
    <w:bookmarkStart w:id="39" w:name="page40"/>
    <w:bookmarkEnd w:id="39"/>
    <w:p>
      <w:pPr>
        <w:ind w:right="180"/>
        <w:spacing w:after="0" w:line="274" w:lineRule="auto"/>
        <w:rPr>
          <w:sz w:val="20"/>
          <w:szCs w:val="20"/>
          <w:color w:val="auto"/>
        </w:rPr>
      </w:pPr>
      <w:r>
        <w:rPr>
          <w:rFonts w:ascii="Arial" w:cs="Arial" w:eastAsia="Arial" w:hAnsi="Arial"/>
          <w:sz w:val="18"/>
          <w:szCs w:val="18"/>
          <w:color w:val="auto"/>
        </w:rPr>
        <w:t>Lower realizable compensation as compared to target compensation in this illustration is primarily attributable to the impact of the decline in the Company's stock price on outstanding LTIs and forfeiture of the 2023 performance-based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6429375" cy="15633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429375" cy="1563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20" w:right="800" w:hanging="314"/>
        <w:spacing w:after="0" w:line="264" w:lineRule="auto"/>
        <w:tabs>
          <w:tab w:leader="none" w:pos="31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Illustrates TSR of Common Stock during the period from December 31, 2022, through December 31, 2025, assuming $100 was invested on December 31, 2022, and including reinvestments of dividends.</w:t>
      </w:r>
    </w:p>
    <w:p>
      <w:pPr>
        <w:ind w:left="320" w:right="260" w:hanging="314"/>
        <w:spacing w:after="0" w:line="254" w:lineRule="auto"/>
        <w:tabs>
          <w:tab w:leader="none" w:pos="31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"Target Pay" is based on hypothetical CEO receiving $1 million in base salary, $2 million target annual incentive and $10.5 million in target LTI. "Realizable Pay" includes actual base salary, actual annual incentive paid and the value of outstanding Time RSUs (as defined below) and performance-based RSUs based on our December 31, 2025, share price of $88.87, with 2023 performance-based RSUs shown at actual payout and 2024 and 2025 performance-based RSUs shown at target. Excludes any dividends or dividend equivalents paid.</w:t>
      </w:r>
    </w:p>
    <w:p>
      <w:pPr>
        <w:spacing w:after="0" w:line="1" w:lineRule="exact"/>
        <w:rPr>
          <w:rFonts w:ascii="Arial" w:cs="Arial" w:eastAsia="Arial" w:hAnsi="Arial"/>
          <w:sz w:val="13"/>
          <w:szCs w:val="13"/>
          <w:color w:val="auto"/>
        </w:rPr>
      </w:pPr>
    </w:p>
    <w:p>
      <w:pPr>
        <w:ind w:left="320" w:hanging="314"/>
        <w:spacing w:after="0"/>
        <w:tabs>
          <w:tab w:leader="none" w:pos="32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For details regarding the 2023 performance-based RSUs, see our Definitive Proxy Statement on Schedule 14A, filed on April 11, 2024.</w:t>
      </w:r>
    </w:p>
    <w:p>
      <w:pPr>
        <w:spacing w:after="0" w:line="9" w:lineRule="exact"/>
        <w:rPr>
          <w:rFonts w:ascii="Arial" w:cs="Arial" w:eastAsia="Arial" w:hAnsi="Arial"/>
          <w:sz w:val="13"/>
          <w:szCs w:val="13"/>
          <w:color w:val="auto"/>
        </w:rPr>
      </w:pPr>
    </w:p>
    <w:p>
      <w:pPr>
        <w:ind w:left="320" w:right="220" w:hanging="314"/>
        <w:spacing w:after="0" w:line="274" w:lineRule="auto"/>
        <w:tabs>
          <w:tab w:leader="none" w:pos="31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Three-year average realized annual incentive payout percentage reflects the average of the actual incentive payout percentages for 2023, 2024 and 2025, which were 72.50%, 106.53% and 139.16%, respectively.</w:t>
      </w:r>
    </w:p>
    <w:p>
      <w:pPr>
        <w:spacing w:after="0" w:line="119" w:lineRule="exact"/>
        <w:rPr>
          <w:sz w:val="20"/>
          <w:szCs w:val="20"/>
          <w:color w:val="auto"/>
        </w:rPr>
      </w:pPr>
    </w:p>
    <w:p>
      <w:pPr>
        <w:ind w:right="740"/>
        <w:spacing w:after="0" w:line="274" w:lineRule="auto"/>
        <w:rPr>
          <w:sz w:val="20"/>
          <w:szCs w:val="20"/>
          <w:color w:val="auto"/>
        </w:rPr>
      </w:pPr>
      <w:r>
        <w:rPr>
          <w:rFonts w:ascii="Arial" w:cs="Arial" w:eastAsia="Arial" w:hAnsi="Arial"/>
          <w:sz w:val="18"/>
          <w:szCs w:val="18"/>
          <w:color w:val="auto"/>
        </w:rPr>
        <w:t>The table above is not intended to replace the disclosure required by Item 402(v) of Regulation S-K, which is presented in "IV. Executive Compensation—Pay Versus Performance" below.</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Key Compensation Actions to Support Business Initiatives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40" w:type="dxa"/>
            <w:vAlign w:val="bottom"/>
            <w:tcBorders>
              <w:right w:val="single" w:sz="8" w:color="520B90"/>
            </w:tcBorders>
          </w:tcPr>
          <w:p>
            <w:pPr>
              <w:spacing w:after="0"/>
              <w:rPr>
                <w:sz w:val="22"/>
                <w:szCs w:val="22"/>
                <w:color w:val="auto"/>
              </w:rPr>
            </w:pPr>
          </w:p>
        </w:tc>
        <w:tc>
          <w:tcPr>
            <w:tcW w:w="1920" w:type="dxa"/>
            <w:vAlign w:val="bottom"/>
            <w:tcBorders>
              <w:top w:val="single" w:sz="8" w:color="520B90"/>
            </w:tcBorders>
          </w:tcPr>
          <w:p>
            <w:pPr>
              <w:spacing w:after="0"/>
              <w:rPr>
                <w:sz w:val="22"/>
                <w:szCs w:val="22"/>
                <w:color w:val="auto"/>
              </w:rPr>
            </w:pPr>
          </w:p>
        </w:tc>
        <w:tc>
          <w:tcPr>
            <w:tcW w:w="9080" w:type="dxa"/>
            <w:vAlign w:val="bottom"/>
            <w:tcBorders>
              <w:top w:val="single" w:sz="8" w:color="520B90"/>
            </w:tcBorders>
            <w:gridSpan w:val="3"/>
          </w:tcPr>
          <w:p>
            <w:pPr>
              <w:ind w:left="160"/>
              <w:spacing w:after="0"/>
              <w:rPr>
                <w:sz w:val="20"/>
                <w:szCs w:val="20"/>
                <w:color w:val="auto"/>
              </w:rPr>
            </w:pPr>
            <w:r>
              <w:rPr>
                <w:rFonts w:ascii="Arial" w:cs="Arial" w:eastAsia="Arial" w:hAnsi="Arial"/>
                <w:sz w:val="17"/>
                <w:szCs w:val="17"/>
                <w:color w:val="auto"/>
              </w:rPr>
              <w:t>In 2025, following the announcement of the Strategic Fiber Transaction, the Committee approved changes to the</w:t>
            </w:r>
          </w:p>
        </w:tc>
        <w:tc>
          <w:tcPr>
            <w:tcW w:w="0" w:type="dxa"/>
            <w:vAlign w:val="bottom"/>
          </w:tcPr>
          <w:p>
            <w:pPr>
              <w:spacing w:after="0"/>
              <w:rPr>
                <w:sz w:val="1"/>
                <w:szCs w:val="1"/>
                <w:color w:val="auto"/>
              </w:rPr>
            </w:pPr>
          </w:p>
        </w:tc>
      </w:tr>
      <w:tr>
        <w:trPr>
          <w:trHeight w:val="222"/>
        </w:trPr>
        <w:tc>
          <w:tcPr>
            <w:tcW w:w="340" w:type="dxa"/>
            <w:vAlign w:val="bottom"/>
            <w:tcBorders>
              <w:right w:val="single" w:sz="8" w:color="520B90"/>
            </w:tcBorders>
          </w:tcPr>
          <w:p>
            <w:pPr>
              <w:spacing w:after="0"/>
              <w:rPr>
                <w:sz w:val="19"/>
                <w:szCs w:val="19"/>
                <w:color w:val="auto"/>
              </w:rPr>
            </w:pPr>
          </w:p>
        </w:tc>
        <w:tc>
          <w:tcPr>
            <w:tcW w:w="1920" w:type="dxa"/>
            <w:vAlign w:val="bottom"/>
          </w:tcPr>
          <w:p>
            <w:pPr>
              <w:spacing w:after="0"/>
              <w:rPr>
                <w:sz w:val="19"/>
                <w:szCs w:val="19"/>
                <w:color w:val="auto"/>
              </w:rPr>
            </w:pPr>
          </w:p>
        </w:tc>
        <w:tc>
          <w:tcPr>
            <w:tcW w:w="9080" w:type="dxa"/>
            <w:vAlign w:val="bottom"/>
            <w:gridSpan w:val="3"/>
          </w:tcPr>
          <w:p>
            <w:pPr>
              <w:ind w:left="160"/>
              <w:spacing w:after="0"/>
              <w:rPr>
                <w:sz w:val="20"/>
                <w:szCs w:val="20"/>
                <w:color w:val="auto"/>
              </w:rPr>
            </w:pPr>
            <w:r>
              <w:rPr>
                <w:rFonts w:ascii="Arial" w:cs="Arial" w:eastAsia="Arial" w:hAnsi="Arial"/>
                <w:sz w:val="17"/>
                <w:szCs w:val="17"/>
                <w:color w:val="auto"/>
              </w:rPr>
              <w:t>compensation peer group, which were intended to:</w:t>
            </w:r>
          </w:p>
        </w:tc>
        <w:tc>
          <w:tcPr>
            <w:tcW w:w="0" w:type="dxa"/>
            <w:vAlign w:val="bottom"/>
          </w:tcPr>
          <w:p>
            <w:pPr>
              <w:spacing w:after="0"/>
              <w:rPr>
                <w:sz w:val="1"/>
                <w:szCs w:val="1"/>
                <w:color w:val="auto"/>
              </w:rPr>
            </w:pPr>
          </w:p>
        </w:tc>
      </w:tr>
      <w:tr>
        <w:trPr>
          <w:trHeight w:val="308"/>
        </w:trPr>
        <w:tc>
          <w:tcPr>
            <w:tcW w:w="340" w:type="dxa"/>
            <w:vAlign w:val="bottom"/>
            <w:tcBorders>
              <w:right w:val="single" w:sz="8" w:color="520B90"/>
            </w:tcBorders>
          </w:tcPr>
          <w:p>
            <w:pPr>
              <w:spacing w:after="0"/>
              <w:rPr>
                <w:sz w:val="24"/>
                <w:szCs w:val="24"/>
                <w:color w:val="auto"/>
              </w:rPr>
            </w:pPr>
          </w:p>
        </w:tc>
        <w:tc>
          <w:tcPr>
            <w:tcW w:w="1920" w:type="dxa"/>
            <w:vAlign w:val="bottom"/>
          </w:tcPr>
          <w:p>
            <w:pPr>
              <w:ind w:left="20"/>
              <w:spacing w:after="0"/>
              <w:rPr>
                <w:sz w:val="20"/>
                <w:szCs w:val="20"/>
                <w:color w:val="auto"/>
              </w:rPr>
            </w:pPr>
            <w:r>
              <w:rPr>
                <w:rFonts w:ascii="Arial" w:cs="Arial" w:eastAsia="Arial" w:hAnsi="Arial"/>
                <w:sz w:val="17"/>
                <w:szCs w:val="17"/>
                <w:b w:val="1"/>
                <w:bCs w:val="1"/>
                <w:color w:val="520B90"/>
              </w:rPr>
              <w:t>Compensation Peer</w:t>
            </w:r>
          </w:p>
        </w:tc>
        <w:tc>
          <w:tcPr>
            <w:tcW w:w="9080" w:type="dxa"/>
            <w:vAlign w:val="bottom"/>
            <w:gridSpan w:val="3"/>
          </w:tcPr>
          <w:p>
            <w:pPr>
              <w:ind w:left="320"/>
              <w:spacing w:after="0"/>
              <w:rPr>
                <w:sz w:val="20"/>
                <w:szCs w:val="20"/>
                <w:color w:val="auto"/>
              </w:rPr>
            </w:pPr>
            <w:r>
              <w:rPr>
                <w:rFonts w:ascii="Arial" w:cs="Arial" w:eastAsia="Arial" w:hAnsi="Arial"/>
                <w:sz w:val="17"/>
                <w:szCs w:val="17"/>
                <w:color w:val="520B90"/>
                <w:w w:val="98"/>
              </w:rPr>
              <w:t xml:space="preserve">•  </w:t>
            </w:r>
            <w:r>
              <w:rPr>
                <w:rFonts w:ascii="Arial" w:cs="Arial" w:eastAsia="Arial" w:hAnsi="Arial"/>
                <w:sz w:val="17"/>
                <w:szCs w:val="17"/>
                <w:color w:val="000000"/>
                <w:w w:val="98"/>
              </w:rPr>
              <w:t>Reflect the anticipated scope and scale of the business following the pending Strategic Fiber Transaction by placing</w:t>
            </w:r>
          </w:p>
        </w:tc>
        <w:tc>
          <w:tcPr>
            <w:tcW w:w="0" w:type="dxa"/>
            <w:vAlign w:val="bottom"/>
          </w:tcPr>
          <w:p>
            <w:pPr>
              <w:spacing w:after="0"/>
              <w:rPr>
                <w:sz w:val="1"/>
                <w:szCs w:val="1"/>
                <w:color w:val="auto"/>
              </w:rPr>
            </w:pPr>
          </w:p>
        </w:tc>
      </w:tr>
      <w:tr>
        <w:trPr>
          <w:trHeight w:val="261"/>
        </w:trPr>
        <w:tc>
          <w:tcPr>
            <w:tcW w:w="340" w:type="dxa"/>
            <w:vAlign w:val="bottom"/>
            <w:tcBorders>
              <w:right w:val="single" w:sz="8" w:color="520B90"/>
            </w:tcBorders>
          </w:tcPr>
          <w:p>
            <w:pPr>
              <w:spacing w:after="0"/>
              <w:rPr>
                <w:sz w:val="22"/>
                <w:szCs w:val="22"/>
                <w:color w:val="auto"/>
              </w:rPr>
            </w:pPr>
          </w:p>
        </w:tc>
        <w:tc>
          <w:tcPr>
            <w:tcW w:w="1920" w:type="dxa"/>
            <w:vAlign w:val="bottom"/>
          </w:tcPr>
          <w:p>
            <w:pPr>
              <w:ind w:left="20"/>
              <w:spacing w:after="0"/>
              <w:rPr>
                <w:sz w:val="20"/>
                <w:szCs w:val="20"/>
                <w:color w:val="auto"/>
              </w:rPr>
            </w:pPr>
            <w:r>
              <w:rPr>
                <w:rFonts w:ascii="Arial" w:cs="Arial" w:eastAsia="Arial" w:hAnsi="Arial"/>
                <w:sz w:val="17"/>
                <w:szCs w:val="17"/>
                <w:b w:val="1"/>
                <w:bCs w:val="1"/>
                <w:color w:val="520B90"/>
              </w:rPr>
              <w:t>Group</w:t>
            </w:r>
          </w:p>
        </w:tc>
        <w:tc>
          <w:tcPr>
            <w:tcW w:w="9080" w:type="dxa"/>
            <w:vAlign w:val="bottom"/>
            <w:gridSpan w:val="3"/>
          </w:tcPr>
          <w:p>
            <w:pPr>
              <w:ind w:left="560"/>
              <w:spacing w:after="0"/>
              <w:rPr>
                <w:sz w:val="20"/>
                <w:szCs w:val="20"/>
                <w:color w:val="auto"/>
              </w:rPr>
            </w:pPr>
            <w:r>
              <w:rPr>
                <w:rFonts w:ascii="Arial" w:cs="Arial" w:eastAsia="Arial" w:hAnsi="Arial"/>
                <w:sz w:val="17"/>
                <w:szCs w:val="17"/>
                <w:color w:val="auto"/>
              </w:rPr>
              <w:t>the Company closer to the median for its anticipated post-divestiture revenue and market capitalization; and</w:t>
            </w:r>
          </w:p>
        </w:tc>
        <w:tc>
          <w:tcPr>
            <w:tcW w:w="0" w:type="dxa"/>
            <w:vAlign w:val="bottom"/>
          </w:tcPr>
          <w:p>
            <w:pPr>
              <w:spacing w:after="0"/>
              <w:rPr>
                <w:sz w:val="1"/>
                <w:szCs w:val="1"/>
                <w:color w:val="auto"/>
              </w:rPr>
            </w:pPr>
          </w:p>
        </w:tc>
      </w:tr>
      <w:tr>
        <w:trPr>
          <w:trHeight w:val="334"/>
        </w:trPr>
        <w:tc>
          <w:tcPr>
            <w:tcW w:w="340" w:type="dxa"/>
            <w:vAlign w:val="bottom"/>
            <w:tcBorders>
              <w:right w:val="single" w:sz="8" w:color="520B90"/>
            </w:tcBorders>
          </w:tcPr>
          <w:p>
            <w:pPr>
              <w:spacing w:after="0"/>
              <w:rPr>
                <w:sz w:val="24"/>
                <w:szCs w:val="24"/>
                <w:color w:val="auto"/>
              </w:rPr>
            </w:pPr>
          </w:p>
        </w:tc>
        <w:tc>
          <w:tcPr>
            <w:tcW w:w="1920" w:type="dxa"/>
            <w:vAlign w:val="bottom"/>
          </w:tcPr>
          <w:p>
            <w:pPr>
              <w:spacing w:after="0"/>
              <w:rPr>
                <w:sz w:val="24"/>
                <w:szCs w:val="24"/>
                <w:color w:val="auto"/>
              </w:rPr>
            </w:pPr>
          </w:p>
        </w:tc>
        <w:tc>
          <w:tcPr>
            <w:tcW w:w="9080" w:type="dxa"/>
            <w:vAlign w:val="bottom"/>
            <w:gridSpan w:val="3"/>
          </w:tcPr>
          <w:p>
            <w:pPr>
              <w:ind w:left="320"/>
              <w:spacing w:after="0"/>
              <w:rPr>
                <w:sz w:val="20"/>
                <w:szCs w:val="20"/>
                <w:color w:val="auto"/>
              </w:rPr>
            </w:pPr>
            <w:r>
              <w:rPr>
                <w:rFonts w:ascii="Arial" w:cs="Arial" w:eastAsia="Arial" w:hAnsi="Arial"/>
                <w:sz w:val="17"/>
                <w:szCs w:val="17"/>
                <w:color w:val="520B90"/>
              </w:rPr>
              <w:t xml:space="preserve">•  </w:t>
            </w:r>
            <w:r>
              <w:rPr>
                <w:rFonts w:ascii="Arial" w:cs="Arial" w:eastAsia="Arial" w:hAnsi="Arial"/>
                <w:sz w:val="17"/>
                <w:szCs w:val="17"/>
                <w:color w:val="000000"/>
              </w:rPr>
              <w:t>Increase the weighting of REIT companies within the peer group to reflect the Company’s business profile post-</w:t>
            </w:r>
          </w:p>
        </w:tc>
        <w:tc>
          <w:tcPr>
            <w:tcW w:w="0" w:type="dxa"/>
            <w:vAlign w:val="bottom"/>
          </w:tcPr>
          <w:p>
            <w:pPr>
              <w:spacing w:after="0"/>
              <w:rPr>
                <w:sz w:val="1"/>
                <w:szCs w:val="1"/>
                <w:color w:val="auto"/>
              </w:rPr>
            </w:pPr>
          </w:p>
        </w:tc>
      </w:tr>
      <w:tr>
        <w:trPr>
          <w:trHeight w:val="222"/>
        </w:trPr>
        <w:tc>
          <w:tcPr>
            <w:tcW w:w="340" w:type="dxa"/>
            <w:vAlign w:val="bottom"/>
            <w:tcBorders>
              <w:right w:val="single" w:sz="8" w:color="520B90"/>
            </w:tcBorders>
          </w:tcPr>
          <w:p>
            <w:pPr>
              <w:spacing w:after="0"/>
              <w:rPr>
                <w:sz w:val="19"/>
                <w:szCs w:val="19"/>
                <w:color w:val="auto"/>
              </w:rPr>
            </w:pPr>
          </w:p>
        </w:tc>
        <w:tc>
          <w:tcPr>
            <w:tcW w:w="1920" w:type="dxa"/>
            <w:vAlign w:val="bottom"/>
          </w:tcPr>
          <w:p>
            <w:pPr>
              <w:spacing w:after="0"/>
              <w:rPr>
                <w:sz w:val="19"/>
                <w:szCs w:val="19"/>
                <w:color w:val="auto"/>
              </w:rPr>
            </w:pPr>
          </w:p>
        </w:tc>
        <w:tc>
          <w:tcPr>
            <w:tcW w:w="9080" w:type="dxa"/>
            <w:vAlign w:val="bottom"/>
            <w:gridSpan w:val="3"/>
          </w:tcPr>
          <w:p>
            <w:pPr>
              <w:ind w:left="560"/>
              <w:spacing w:after="0"/>
              <w:rPr>
                <w:sz w:val="20"/>
                <w:szCs w:val="20"/>
                <w:color w:val="auto"/>
              </w:rPr>
            </w:pPr>
            <w:r>
              <w:rPr>
                <w:rFonts w:ascii="Arial" w:cs="Arial" w:eastAsia="Arial" w:hAnsi="Arial"/>
                <w:sz w:val="17"/>
                <w:szCs w:val="17"/>
                <w:color w:val="auto"/>
              </w:rPr>
              <w:t>divestiture as U.S.-focused, standalone tower REIT.</w:t>
            </w:r>
          </w:p>
        </w:tc>
        <w:tc>
          <w:tcPr>
            <w:tcW w:w="0" w:type="dxa"/>
            <w:vAlign w:val="bottom"/>
          </w:tcPr>
          <w:p>
            <w:pPr>
              <w:spacing w:after="0"/>
              <w:rPr>
                <w:sz w:val="1"/>
                <w:szCs w:val="1"/>
                <w:color w:val="auto"/>
              </w:rPr>
            </w:pPr>
          </w:p>
        </w:tc>
      </w:tr>
      <w:tr>
        <w:trPr>
          <w:trHeight w:val="25"/>
        </w:trPr>
        <w:tc>
          <w:tcPr>
            <w:tcW w:w="340" w:type="dxa"/>
            <w:vAlign w:val="bottom"/>
            <w:tcBorders>
              <w:right w:val="single" w:sz="8" w:color="520B90"/>
            </w:tcBorders>
          </w:tcPr>
          <w:p>
            <w:pPr>
              <w:spacing w:after="0"/>
              <w:rPr>
                <w:sz w:val="2"/>
                <w:szCs w:val="2"/>
                <w:color w:val="auto"/>
              </w:rPr>
            </w:pPr>
          </w:p>
        </w:tc>
        <w:tc>
          <w:tcPr>
            <w:tcW w:w="1920" w:type="dxa"/>
            <w:vAlign w:val="bottom"/>
            <w:tcBorders>
              <w:bottom w:val="single" w:sz="8" w:color="520B90"/>
            </w:tcBorders>
          </w:tcPr>
          <w:p>
            <w:pPr>
              <w:spacing w:after="0"/>
              <w:rPr>
                <w:sz w:val="2"/>
                <w:szCs w:val="2"/>
                <w:color w:val="auto"/>
              </w:rPr>
            </w:pPr>
          </w:p>
        </w:tc>
        <w:tc>
          <w:tcPr>
            <w:tcW w:w="9080" w:type="dxa"/>
            <w:vAlign w:val="bottom"/>
            <w:tcBorders>
              <w:bottom w:val="single" w:sz="8" w:color="520B90"/>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1920" w:type="dxa"/>
            <w:vAlign w:val="bottom"/>
            <w:tcBorders>
              <w:bottom w:val="single" w:sz="8" w:color="520B90"/>
            </w:tcBorders>
          </w:tcPr>
          <w:p>
            <w:pPr>
              <w:spacing w:after="0"/>
              <w:rPr>
                <w:sz w:val="2"/>
                <w:szCs w:val="2"/>
                <w:color w:val="auto"/>
              </w:rPr>
            </w:pPr>
          </w:p>
        </w:tc>
        <w:tc>
          <w:tcPr>
            <w:tcW w:w="3560" w:type="dxa"/>
            <w:vAlign w:val="bottom"/>
            <w:tcBorders>
              <w:bottom w:val="single" w:sz="8" w:color="520B90"/>
            </w:tcBorders>
          </w:tcPr>
          <w:p>
            <w:pPr>
              <w:spacing w:after="0"/>
              <w:rPr>
                <w:sz w:val="2"/>
                <w:szCs w:val="2"/>
                <w:color w:val="auto"/>
              </w:rPr>
            </w:pPr>
          </w:p>
        </w:tc>
        <w:tc>
          <w:tcPr>
            <w:tcW w:w="5420" w:type="dxa"/>
            <w:vAlign w:val="bottom"/>
            <w:tcBorders>
              <w:bottom w:val="single" w:sz="8" w:color="520B90"/>
            </w:tcBorders>
          </w:tcPr>
          <w:p>
            <w:pPr>
              <w:spacing w:after="0"/>
              <w:rPr>
                <w:sz w:val="2"/>
                <w:szCs w:val="2"/>
                <w:color w:val="auto"/>
              </w:rPr>
            </w:pPr>
          </w:p>
        </w:tc>
        <w:tc>
          <w:tcPr>
            <w:tcW w:w="100" w:type="dxa"/>
            <w:vAlign w:val="bottom"/>
            <w:tcBorders>
              <w:bottom w:val="single" w:sz="8" w:color="520B90"/>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340" w:type="dxa"/>
            <w:vAlign w:val="bottom"/>
            <w:tcBorders>
              <w:right w:val="single" w:sz="8" w:color="520B90"/>
            </w:tcBorders>
          </w:tcPr>
          <w:p>
            <w:pPr>
              <w:spacing w:after="0"/>
              <w:rPr>
                <w:sz w:val="22"/>
                <w:szCs w:val="22"/>
                <w:color w:val="auto"/>
              </w:rPr>
            </w:pPr>
          </w:p>
        </w:tc>
        <w:tc>
          <w:tcPr>
            <w:tcW w:w="1920" w:type="dxa"/>
            <w:vAlign w:val="bottom"/>
          </w:tcPr>
          <w:p>
            <w:pPr>
              <w:spacing w:after="0"/>
              <w:rPr>
                <w:sz w:val="22"/>
                <w:szCs w:val="22"/>
                <w:color w:val="auto"/>
              </w:rPr>
            </w:pPr>
          </w:p>
        </w:tc>
        <w:tc>
          <w:tcPr>
            <w:tcW w:w="9080" w:type="dxa"/>
            <w:vAlign w:val="bottom"/>
            <w:gridSpan w:val="3"/>
          </w:tcPr>
          <w:p>
            <w:pPr>
              <w:ind w:left="160"/>
              <w:spacing w:after="0"/>
              <w:rPr>
                <w:sz w:val="20"/>
                <w:szCs w:val="20"/>
                <w:color w:val="auto"/>
              </w:rPr>
            </w:pPr>
            <w:r>
              <w:rPr>
                <w:rFonts w:ascii="Arial" w:cs="Arial" w:eastAsia="Arial" w:hAnsi="Arial"/>
                <w:sz w:val="17"/>
                <w:szCs w:val="17"/>
                <w:color w:val="auto"/>
              </w:rPr>
              <w:t>For 2025, the Committee aligned the AIP with key business objectives by:</w:t>
            </w:r>
          </w:p>
        </w:tc>
        <w:tc>
          <w:tcPr>
            <w:tcW w:w="0" w:type="dxa"/>
            <w:vAlign w:val="bottom"/>
          </w:tcPr>
          <w:p>
            <w:pPr>
              <w:spacing w:after="0"/>
              <w:rPr>
                <w:sz w:val="1"/>
                <w:szCs w:val="1"/>
                <w:color w:val="auto"/>
              </w:rPr>
            </w:pPr>
          </w:p>
        </w:tc>
      </w:tr>
      <w:tr>
        <w:trPr>
          <w:trHeight w:val="268"/>
        </w:trPr>
        <w:tc>
          <w:tcPr>
            <w:tcW w:w="340" w:type="dxa"/>
            <w:vAlign w:val="bottom"/>
            <w:tcBorders>
              <w:right w:val="single" w:sz="8" w:color="520B90"/>
            </w:tcBorders>
          </w:tcPr>
          <w:p>
            <w:pPr>
              <w:spacing w:after="0"/>
              <w:rPr>
                <w:sz w:val="23"/>
                <w:szCs w:val="23"/>
                <w:color w:val="auto"/>
              </w:rPr>
            </w:pPr>
          </w:p>
        </w:tc>
        <w:tc>
          <w:tcPr>
            <w:tcW w:w="1920" w:type="dxa"/>
            <w:vAlign w:val="bottom"/>
            <w:vMerge w:val="restart"/>
          </w:tcPr>
          <w:p>
            <w:pPr>
              <w:ind w:left="20"/>
              <w:spacing w:after="0"/>
              <w:rPr>
                <w:sz w:val="20"/>
                <w:szCs w:val="20"/>
                <w:color w:val="auto"/>
              </w:rPr>
            </w:pPr>
            <w:r>
              <w:rPr>
                <w:rFonts w:ascii="Arial" w:cs="Arial" w:eastAsia="Arial" w:hAnsi="Arial"/>
                <w:sz w:val="17"/>
                <w:szCs w:val="17"/>
                <w:b w:val="1"/>
                <w:bCs w:val="1"/>
                <w:color w:val="520B90"/>
              </w:rPr>
              <w:t>EMT Annual Incentive</w:t>
            </w:r>
          </w:p>
        </w:tc>
        <w:tc>
          <w:tcPr>
            <w:tcW w:w="9080" w:type="dxa"/>
            <w:vAlign w:val="bottom"/>
            <w:gridSpan w:val="3"/>
          </w:tcPr>
          <w:p>
            <w:pPr>
              <w:ind w:left="320"/>
              <w:spacing w:after="0"/>
              <w:rPr>
                <w:sz w:val="20"/>
                <w:szCs w:val="20"/>
                <w:color w:val="auto"/>
              </w:rPr>
            </w:pPr>
            <w:r>
              <w:rPr>
                <w:rFonts w:ascii="Arial" w:cs="Arial" w:eastAsia="Arial" w:hAnsi="Arial"/>
                <w:sz w:val="17"/>
                <w:szCs w:val="17"/>
                <w:color w:val="520B90"/>
                <w:w w:val="99"/>
              </w:rPr>
              <w:t xml:space="preserve">•  </w:t>
            </w:r>
            <w:r>
              <w:rPr>
                <w:rFonts w:ascii="Arial" w:cs="Arial" w:eastAsia="Arial" w:hAnsi="Arial"/>
                <w:sz w:val="17"/>
                <w:szCs w:val="17"/>
                <w:color w:val="000000"/>
                <w:w w:val="99"/>
              </w:rPr>
              <w:t>Increasing the weighting of Adjusted EBITDA</w:t>
            </w:r>
            <w:r>
              <w:rPr>
                <w:rFonts w:ascii="Arial" w:cs="Arial" w:eastAsia="Arial" w:hAnsi="Arial"/>
                <w:sz w:val="21"/>
                <w:szCs w:val="21"/>
                <w:color w:val="000000"/>
                <w:w w:val="99"/>
                <w:vertAlign w:val="superscript"/>
              </w:rPr>
              <w:t>(1)</w:t>
            </w:r>
            <w:r>
              <w:rPr>
                <w:rFonts w:ascii="Arial" w:cs="Arial" w:eastAsia="Arial" w:hAnsi="Arial"/>
                <w:sz w:val="17"/>
                <w:szCs w:val="17"/>
                <w:color w:val="520B90"/>
                <w:w w:val="99"/>
              </w:rPr>
              <w:t xml:space="preserve"> </w:t>
            </w:r>
            <w:r>
              <w:rPr>
                <w:rFonts w:ascii="Arial" w:cs="Arial" w:eastAsia="Arial" w:hAnsi="Arial"/>
                <w:sz w:val="17"/>
                <w:szCs w:val="17"/>
                <w:color w:val="000000"/>
                <w:w w:val="99"/>
              </w:rPr>
              <w:t>as a performance measure to 70% (previously 50%) to align with th</w:t>
            </w:r>
          </w:p>
        </w:tc>
        <w:tc>
          <w:tcPr>
            <w:tcW w:w="0" w:type="dxa"/>
            <w:vAlign w:val="bottom"/>
          </w:tcPr>
          <w:p>
            <w:pPr>
              <w:spacing w:after="0"/>
              <w:rPr>
                <w:sz w:val="1"/>
                <w:szCs w:val="1"/>
                <w:color w:val="auto"/>
              </w:rPr>
            </w:pPr>
          </w:p>
        </w:tc>
      </w:tr>
      <w:tr>
        <w:trPr>
          <w:trHeight w:val="66"/>
        </w:trPr>
        <w:tc>
          <w:tcPr>
            <w:tcW w:w="340" w:type="dxa"/>
            <w:vAlign w:val="bottom"/>
            <w:tcBorders>
              <w:right w:val="single" w:sz="8" w:color="520B90"/>
            </w:tcBorders>
          </w:tcPr>
          <w:p>
            <w:pPr>
              <w:spacing w:after="0"/>
              <w:rPr>
                <w:sz w:val="5"/>
                <w:szCs w:val="5"/>
                <w:color w:val="auto"/>
              </w:rPr>
            </w:pPr>
          </w:p>
        </w:tc>
        <w:tc>
          <w:tcPr>
            <w:tcW w:w="1920" w:type="dxa"/>
            <w:vAlign w:val="bottom"/>
            <w:vMerge w:val="continue"/>
          </w:tcPr>
          <w:p>
            <w:pPr>
              <w:spacing w:after="0"/>
              <w:rPr>
                <w:sz w:val="5"/>
                <w:szCs w:val="5"/>
                <w:color w:val="auto"/>
              </w:rPr>
            </w:pPr>
          </w:p>
        </w:tc>
        <w:tc>
          <w:tcPr>
            <w:tcW w:w="3560" w:type="dxa"/>
            <w:vAlign w:val="bottom"/>
            <w:vMerge w:val="restart"/>
          </w:tcPr>
          <w:p>
            <w:pPr>
              <w:ind w:left="560"/>
              <w:spacing w:after="0"/>
              <w:rPr>
                <w:sz w:val="20"/>
                <w:szCs w:val="20"/>
                <w:color w:val="auto"/>
              </w:rPr>
            </w:pPr>
            <w:r>
              <w:rPr>
                <w:rFonts w:ascii="Arial" w:cs="Arial" w:eastAsia="Arial" w:hAnsi="Arial"/>
                <w:sz w:val="17"/>
                <w:szCs w:val="17"/>
                <w:color w:val="auto"/>
              </w:rPr>
              <w:t>Company's focus on profitability; and</w:t>
            </w:r>
          </w:p>
        </w:tc>
        <w:tc>
          <w:tcPr>
            <w:tcW w:w="5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340" w:type="dxa"/>
            <w:vAlign w:val="bottom"/>
            <w:tcBorders>
              <w:right w:val="single" w:sz="8" w:color="520B90"/>
            </w:tcBorders>
          </w:tcPr>
          <w:p>
            <w:pPr>
              <w:spacing w:after="0"/>
              <w:rPr>
                <w:sz w:val="13"/>
                <w:szCs w:val="13"/>
                <w:color w:val="auto"/>
              </w:rPr>
            </w:pPr>
          </w:p>
        </w:tc>
        <w:tc>
          <w:tcPr>
            <w:tcW w:w="1920" w:type="dxa"/>
            <w:vAlign w:val="bottom"/>
            <w:vMerge w:val="restart"/>
          </w:tcPr>
          <w:p>
            <w:pPr>
              <w:ind w:left="20"/>
              <w:spacing w:after="0"/>
              <w:rPr>
                <w:sz w:val="20"/>
                <w:szCs w:val="20"/>
                <w:color w:val="auto"/>
              </w:rPr>
            </w:pPr>
            <w:r>
              <w:rPr>
                <w:rFonts w:ascii="Arial" w:cs="Arial" w:eastAsia="Arial" w:hAnsi="Arial"/>
                <w:sz w:val="17"/>
                <w:szCs w:val="17"/>
                <w:b w:val="1"/>
                <w:bCs w:val="1"/>
                <w:color w:val="520B90"/>
              </w:rPr>
              <w:t>Plan</w:t>
            </w:r>
          </w:p>
        </w:tc>
        <w:tc>
          <w:tcPr>
            <w:tcW w:w="3560" w:type="dxa"/>
            <w:vAlign w:val="bottom"/>
            <w:vMerge w:val="continue"/>
          </w:tcPr>
          <w:p>
            <w:pPr>
              <w:spacing w:after="0"/>
              <w:rPr>
                <w:sz w:val="13"/>
                <w:szCs w:val="13"/>
                <w:color w:val="auto"/>
              </w:rPr>
            </w:pPr>
          </w:p>
        </w:tc>
        <w:tc>
          <w:tcPr>
            <w:tcW w:w="5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340" w:type="dxa"/>
            <w:vAlign w:val="bottom"/>
            <w:tcBorders>
              <w:right w:val="single" w:sz="8" w:color="520B90"/>
            </w:tcBorders>
          </w:tcPr>
          <w:p>
            <w:pPr>
              <w:spacing w:after="0"/>
              <w:rPr>
                <w:sz w:val="6"/>
                <w:szCs w:val="6"/>
                <w:color w:val="auto"/>
              </w:rPr>
            </w:pPr>
          </w:p>
        </w:tc>
        <w:tc>
          <w:tcPr>
            <w:tcW w:w="1920" w:type="dxa"/>
            <w:vAlign w:val="bottom"/>
            <w:vMerge w:val="continue"/>
          </w:tcPr>
          <w:p>
            <w:pPr>
              <w:spacing w:after="0"/>
              <w:rPr>
                <w:sz w:val="6"/>
                <w:szCs w:val="6"/>
                <w:color w:val="auto"/>
              </w:rPr>
            </w:pPr>
          </w:p>
        </w:tc>
        <w:tc>
          <w:tcPr>
            <w:tcW w:w="9080" w:type="dxa"/>
            <w:vAlign w:val="bottom"/>
            <w:gridSpan w:val="3"/>
            <w:vMerge w:val="restart"/>
          </w:tcPr>
          <w:p>
            <w:pPr>
              <w:ind w:left="320"/>
              <w:spacing w:after="0"/>
              <w:rPr>
                <w:sz w:val="20"/>
                <w:szCs w:val="20"/>
                <w:color w:val="auto"/>
              </w:rPr>
            </w:pPr>
            <w:r>
              <w:rPr>
                <w:rFonts w:ascii="Arial" w:cs="Arial" w:eastAsia="Arial" w:hAnsi="Arial"/>
                <w:sz w:val="17"/>
                <w:szCs w:val="17"/>
                <w:color w:val="520B90"/>
                <w:w w:val="99"/>
              </w:rPr>
              <w:t xml:space="preserve">•  </w:t>
            </w:r>
            <w:r>
              <w:rPr>
                <w:rFonts w:ascii="Arial" w:cs="Arial" w:eastAsia="Arial" w:hAnsi="Arial"/>
                <w:sz w:val="17"/>
                <w:szCs w:val="17"/>
                <w:color w:val="000000"/>
                <w:w w:val="99"/>
              </w:rPr>
              <w:t>Replacing AFFO per share ("AFFO/Share")</w:t>
            </w:r>
            <w:r>
              <w:rPr>
                <w:rFonts w:ascii="Arial" w:cs="Arial" w:eastAsia="Arial" w:hAnsi="Arial"/>
                <w:sz w:val="21"/>
                <w:szCs w:val="21"/>
                <w:color w:val="000000"/>
                <w:w w:val="99"/>
                <w:vertAlign w:val="superscript"/>
              </w:rPr>
              <w:t>(1)</w:t>
            </w:r>
            <w:r>
              <w:rPr>
                <w:rFonts w:ascii="Arial" w:cs="Arial" w:eastAsia="Arial" w:hAnsi="Arial"/>
                <w:sz w:val="17"/>
                <w:szCs w:val="17"/>
                <w:color w:val="520B90"/>
                <w:w w:val="99"/>
              </w:rPr>
              <w:t xml:space="preserve"> </w:t>
            </w:r>
            <w:r>
              <w:rPr>
                <w:rFonts w:ascii="Arial" w:cs="Arial" w:eastAsia="Arial" w:hAnsi="Arial"/>
                <w:sz w:val="17"/>
                <w:szCs w:val="17"/>
                <w:color w:val="000000"/>
                <w:w w:val="99"/>
              </w:rPr>
              <w:t>as a performance measure with organic revenue growth (weighted at</w:t>
            </w:r>
          </w:p>
        </w:tc>
        <w:tc>
          <w:tcPr>
            <w:tcW w:w="0" w:type="dxa"/>
            <w:vAlign w:val="bottom"/>
          </w:tcPr>
          <w:p>
            <w:pPr>
              <w:spacing w:after="0"/>
              <w:rPr>
                <w:sz w:val="1"/>
                <w:szCs w:val="1"/>
                <w:color w:val="auto"/>
              </w:rPr>
            </w:pPr>
          </w:p>
        </w:tc>
      </w:tr>
      <w:tr>
        <w:trPr>
          <w:trHeight w:val="194"/>
        </w:trPr>
        <w:tc>
          <w:tcPr>
            <w:tcW w:w="340" w:type="dxa"/>
            <w:vAlign w:val="bottom"/>
            <w:tcBorders>
              <w:right w:val="single" w:sz="8" w:color="520B90"/>
            </w:tcBorders>
          </w:tcPr>
          <w:p>
            <w:pPr>
              <w:spacing w:after="0"/>
              <w:rPr>
                <w:sz w:val="16"/>
                <w:szCs w:val="16"/>
                <w:color w:val="auto"/>
              </w:rPr>
            </w:pPr>
          </w:p>
        </w:tc>
        <w:tc>
          <w:tcPr>
            <w:tcW w:w="1920" w:type="dxa"/>
            <w:vAlign w:val="bottom"/>
          </w:tcPr>
          <w:p>
            <w:pPr>
              <w:spacing w:after="0"/>
              <w:rPr>
                <w:sz w:val="16"/>
                <w:szCs w:val="16"/>
                <w:color w:val="auto"/>
              </w:rPr>
            </w:pPr>
          </w:p>
        </w:tc>
        <w:tc>
          <w:tcPr>
            <w:tcW w:w="90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40" w:type="dxa"/>
            <w:vAlign w:val="bottom"/>
            <w:tcBorders>
              <w:right w:val="single" w:sz="8" w:color="520B90"/>
            </w:tcBorders>
          </w:tcPr>
          <w:p>
            <w:pPr>
              <w:spacing w:after="0"/>
              <w:rPr>
                <w:sz w:val="19"/>
                <w:szCs w:val="19"/>
                <w:color w:val="auto"/>
              </w:rPr>
            </w:pPr>
          </w:p>
        </w:tc>
        <w:tc>
          <w:tcPr>
            <w:tcW w:w="1920" w:type="dxa"/>
            <w:vAlign w:val="bottom"/>
          </w:tcPr>
          <w:p>
            <w:pPr>
              <w:spacing w:after="0"/>
              <w:rPr>
                <w:sz w:val="19"/>
                <w:szCs w:val="19"/>
                <w:color w:val="auto"/>
              </w:rPr>
            </w:pPr>
          </w:p>
        </w:tc>
        <w:tc>
          <w:tcPr>
            <w:tcW w:w="9080" w:type="dxa"/>
            <w:vAlign w:val="bottom"/>
            <w:gridSpan w:val="3"/>
          </w:tcPr>
          <w:p>
            <w:pPr>
              <w:ind w:left="560"/>
              <w:spacing w:after="0"/>
              <w:rPr>
                <w:sz w:val="20"/>
                <w:szCs w:val="20"/>
                <w:color w:val="auto"/>
              </w:rPr>
            </w:pPr>
            <w:r>
              <w:rPr>
                <w:rFonts w:ascii="Arial" w:cs="Arial" w:eastAsia="Arial" w:hAnsi="Arial"/>
                <w:sz w:val="17"/>
                <w:szCs w:val="17"/>
                <w:color w:val="auto"/>
              </w:rPr>
              <w:t>30%) to highlight the importance of top-line growth during a challenging business environment.</w:t>
            </w:r>
          </w:p>
        </w:tc>
        <w:tc>
          <w:tcPr>
            <w:tcW w:w="0" w:type="dxa"/>
            <w:vAlign w:val="bottom"/>
          </w:tcPr>
          <w:p>
            <w:pPr>
              <w:spacing w:after="0"/>
              <w:rPr>
                <w:sz w:val="1"/>
                <w:szCs w:val="1"/>
                <w:color w:val="auto"/>
              </w:rPr>
            </w:pPr>
          </w:p>
        </w:tc>
      </w:tr>
      <w:tr>
        <w:trPr>
          <w:trHeight w:val="25"/>
        </w:trPr>
        <w:tc>
          <w:tcPr>
            <w:tcW w:w="340" w:type="dxa"/>
            <w:vAlign w:val="bottom"/>
            <w:tcBorders>
              <w:right w:val="single" w:sz="8" w:color="520B90"/>
            </w:tcBorders>
          </w:tcPr>
          <w:p>
            <w:pPr>
              <w:spacing w:after="0"/>
              <w:rPr>
                <w:sz w:val="2"/>
                <w:szCs w:val="2"/>
                <w:color w:val="auto"/>
              </w:rPr>
            </w:pPr>
          </w:p>
        </w:tc>
        <w:tc>
          <w:tcPr>
            <w:tcW w:w="1920" w:type="dxa"/>
            <w:vAlign w:val="bottom"/>
            <w:tcBorders>
              <w:bottom w:val="single" w:sz="8" w:color="520B90"/>
            </w:tcBorders>
          </w:tcPr>
          <w:p>
            <w:pPr>
              <w:spacing w:after="0"/>
              <w:rPr>
                <w:sz w:val="2"/>
                <w:szCs w:val="2"/>
                <w:color w:val="auto"/>
              </w:rPr>
            </w:pPr>
          </w:p>
        </w:tc>
        <w:tc>
          <w:tcPr>
            <w:tcW w:w="3560" w:type="dxa"/>
            <w:vAlign w:val="bottom"/>
            <w:tcBorders>
              <w:bottom w:val="single" w:sz="8" w:color="520B90"/>
            </w:tcBorders>
          </w:tcPr>
          <w:p>
            <w:pPr>
              <w:spacing w:after="0"/>
              <w:rPr>
                <w:sz w:val="2"/>
                <w:szCs w:val="2"/>
                <w:color w:val="auto"/>
              </w:rPr>
            </w:pPr>
          </w:p>
        </w:tc>
        <w:tc>
          <w:tcPr>
            <w:tcW w:w="5520" w:type="dxa"/>
            <w:vAlign w:val="bottom"/>
            <w:tcBorders>
              <w:bottom w:val="single" w:sz="8" w:color="520B90"/>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694"/>
        </w:trPr>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560" w:type="dxa"/>
            <w:vAlign w:val="bottom"/>
          </w:tcPr>
          <w:p>
            <w:pPr>
              <w:ind w:left="1600"/>
              <w:spacing w:after="0"/>
              <w:rPr>
                <w:sz w:val="20"/>
                <w:szCs w:val="20"/>
                <w:color w:val="auto"/>
              </w:rPr>
            </w:pPr>
            <w:r>
              <w:rPr>
                <w:rFonts w:ascii="Arial" w:cs="Arial" w:eastAsia="Arial" w:hAnsi="Arial"/>
                <w:sz w:val="14"/>
                <w:szCs w:val="14"/>
                <w:b w:val="1"/>
                <w:bCs w:val="1"/>
                <w:color w:val="520B90"/>
              </w:rPr>
              <w:t>CROWN CASTLE INC.</w:t>
            </w:r>
          </w:p>
        </w:tc>
        <w:tc>
          <w:tcPr>
            <w:tcW w:w="5520" w:type="dxa"/>
            <w:vAlign w:val="bottom"/>
            <w:gridSpan w:val="2"/>
          </w:tcPr>
          <w:p>
            <w:pPr>
              <w:ind w:left="100"/>
              <w:spacing w:after="0"/>
              <w:rPr>
                <w:sz w:val="20"/>
                <w:szCs w:val="20"/>
                <w:color w:val="auto"/>
              </w:rPr>
            </w:pPr>
            <w:r>
              <w:rPr>
                <w:rFonts w:ascii="Arial" w:cs="Arial" w:eastAsia="Arial" w:hAnsi="Arial"/>
                <w:sz w:val="14"/>
                <w:szCs w:val="14"/>
                <w:b w:val="1"/>
                <w:bCs w:val="1"/>
                <w:color w:val="auto"/>
              </w:rPr>
              <w:t>2026 PROXY STATEMENT</w:t>
            </w:r>
          </w:p>
        </w:tc>
        <w:tc>
          <w:tcPr>
            <w:tcW w:w="0" w:type="dxa"/>
            <w:vAlign w:val="bottom"/>
          </w:tcPr>
          <w:p>
            <w:pPr>
              <w:spacing w:after="0"/>
              <w:rPr>
                <w:sz w:val="1"/>
                <w:szCs w:val="1"/>
                <w:color w:val="auto"/>
              </w:rPr>
            </w:pPr>
          </w:p>
        </w:tc>
      </w:tr>
      <w:tr>
        <w:trPr>
          <w:trHeight w:val="349"/>
        </w:trPr>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560" w:type="dxa"/>
            <w:vAlign w:val="bottom"/>
          </w:tcPr>
          <w:p>
            <w:pPr>
              <w:ind w:left="3280"/>
              <w:spacing w:after="0"/>
              <w:rPr>
                <w:sz w:val="20"/>
                <w:szCs w:val="20"/>
                <w:color w:val="auto"/>
              </w:rPr>
            </w:pPr>
            <w:r>
              <w:rPr>
                <w:rFonts w:ascii="Arial" w:cs="Arial" w:eastAsia="Arial" w:hAnsi="Arial"/>
                <w:sz w:val="14"/>
                <w:szCs w:val="14"/>
                <w:color w:val="auto"/>
              </w:rPr>
              <w:t>35</w:t>
            </w:r>
          </w:p>
        </w:tc>
        <w:tc>
          <w:tcPr>
            <w:tcW w:w="5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40" w:type="dxa"/>
            <w:vAlign w:val="bottom"/>
            <w:tcBorders>
              <w:bottom w:val="single" w:sz="8" w:color="9A9A9A"/>
            </w:tcBorders>
          </w:tcPr>
          <w:p>
            <w:pPr>
              <w:spacing w:after="0"/>
              <w:rPr>
                <w:sz w:val="9"/>
                <w:szCs w:val="9"/>
                <w:color w:val="auto"/>
              </w:rPr>
            </w:pPr>
          </w:p>
        </w:tc>
        <w:tc>
          <w:tcPr>
            <w:tcW w:w="1920" w:type="dxa"/>
            <w:vAlign w:val="bottom"/>
            <w:tcBorders>
              <w:bottom w:val="single" w:sz="8" w:color="9A9A9A"/>
            </w:tcBorders>
          </w:tcPr>
          <w:p>
            <w:pPr>
              <w:spacing w:after="0"/>
              <w:rPr>
                <w:sz w:val="9"/>
                <w:szCs w:val="9"/>
                <w:color w:val="auto"/>
              </w:rPr>
            </w:pPr>
          </w:p>
        </w:tc>
        <w:tc>
          <w:tcPr>
            <w:tcW w:w="3560" w:type="dxa"/>
            <w:vAlign w:val="bottom"/>
            <w:tcBorders>
              <w:bottom w:val="single" w:sz="8" w:color="9A9A9A"/>
            </w:tcBorders>
          </w:tcPr>
          <w:p>
            <w:pPr>
              <w:spacing w:after="0"/>
              <w:rPr>
                <w:sz w:val="9"/>
                <w:szCs w:val="9"/>
                <w:color w:val="auto"/>
              </w:rPr>
            </w:pPr>
          </w:p>
        </w:tc>
        <w:tc>
          <w:tcPr>
            <w:tcW w:w="542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-1562735</wp:posOffset>
            </wp:positionV>
            <wp:extent cx="8255" cy="165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255" cy="16510"/>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-1537335</wp:posOffset>
            </wp:positionV>
            <wp:extent cx="82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-1520190</wp:posOffset>
            </wp:positionV>
            <wp:extent cx="82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-1503680</wp:posOffset>
            </wp:positionV>
            <wp:extent cx="82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-1487170</wp:posOffset>
            </wp:positionV>
            <wp:extent cx="82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-1470025</wp:posOffset>
            </wp:positionV>
            <wp:extent cx="825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-1453515</wp:posOffset>
            </wp:positionV>
            <wp:extent cx="82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-1436370</wp:posOffset>
            </wp:positionV>
            <wp:extent cx="82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-1419860</wp:posOffset>
            </wp:positionV>
            <wp:extent cx="825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-1402715</wp:posOffset>
            </wp:positionV>
            <wp:extent cx="82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-1386205</wp:posOffset>
            </wp:positionV>
            <wp:extent cx="82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-1369060</wp:posOffset>
            </wp:positionV>
            <wp:extent cx="82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-1352550</wp:posOffset>
            </wp:positionV>
            <wp:extent cx="825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-1335405</wp:posOffset>
            </wp:positionV>
            <wp:extent cx="82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-1318895</wp:posOffset>
            </wp:positionV>
            <wp:extent cx="82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-1301750</wp:posOffset>
            </wp:positionV>
            <wp:extent cx="82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-1285240</wp:posOffset>
            </wp:positionV>
            <wp:extent cx="82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-1268095</wp:posOffset>
            </wp:positionV>
            <wp:extent cx="82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-1251585</wp:posOffset>
            </wp:positionV>
            <wp:extent cx="82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-1234440</wp:posOffset>
            </wp:positionV>
            <wp:extent cx="825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-1217930</wp:posOffset>
            </wp:positionV>
            <wp:extent cx="825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-1201420</wp:posOffset>
            </wp:positionV>
            <wp:extent cx="82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-1184275</wp:posOffset>
            </wp:positionV>
            <wp:extent cx="825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-1167765</wp:posOffset>
            </wp:positionV>
            <wp:extent cx="82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-1150620</wp:posOffset>
            </wp:positionV>
            <wp:extent cx="82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-1134110</wp:posOffset>
            </wp:positionV>
            <wp:extent cx="825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-1116965</wp:posOffset>
            </wp:positionV>
            <wp:extent cx="82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-1100455</wp:posOffset>
            </wp:positionV>
            <wp:extent cx="82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-1083310</wp:posOffset>
            </wp:positionV>
            <wp:extent cx="82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-1066800</wp:posOffset>
            </wp:positionV>
            <wp:extent cx="82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-1049655</wp:posOffset>
            </wp:positionV>
            <wp:extent cx="825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-1033145</wp:posOffset>
            </wp:positionV>
            <wp:extent cx="82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-1016000</wp:posOffset>
            </wp:positionV>
            <wp:extent cx="82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-999490</wp:posOffset>
            </wp:positionV>
            <wp:extent cx="825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-982345</wp:posOffset>
            </wp:positionV>
            <wp:extent cx="825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-965835</wp:posOffset>
            </wp:positionV>
            <wp:extent cx="825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-949325</wp:posOffset>
            </wp:positionV>
            <wp:extent cx="82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-932180</wp:posOffset>
            </wp:positionV>
            <wp:extent cx="825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-915670</wp:posOffset>
            </wp:positionV>
            <wp:extent cx="82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-898525</wp:posOffset>
            </wp:positionV>
            <wp:extent cx="82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-882015</wp:posOffset>
            </wp:positionV>
            <wp:extent cx="825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-864870</wp:posOffset>
            </wp:positionV>
            <wp:extent cx="825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-848360</wp:posOffset>
            </wp:positionV>
            <wp:extent cx="825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-831215</wp:posOffset>
            </wp:positionV>
            <wp:extent cx="825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-814705</wp:posOffset>
            </wp:positionV>
            <wp:extent cx="82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-797560</wp:posOffset>
            </wp:positionV>
            <wp:extent cx="82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-781050</wp:posOffset>
            </wp:positionV>
            <wp:extent cx="825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-763905</wp:posOffset>
            </wp:positionV>
            <wp:extent cx="82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-2629535</wp:posOffset>
            </wp:positionV>
            <wp:extent cx="8255" cy="165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255" cy="16510"/>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-2604770</wp:posOffset>
            </wp:positionV>
            <wp:extent cx="825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-2587625</wp:posOffset>
            </wp:positionV>
            <wp:extent cx="82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-2571115</wp:posOffset>
            </wp:positionV>
            <wp:extent cx="82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-2553970</wp:posOffset>
            </wp:positionV>
            <wp:extent cx="82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-2537460</wp:posOffset>
            </wp:positionV>
            <wp:extent cx="82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-2520315</wp:posOffset>
            </wp:positionV>
            <wp:extent cx="82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-2503805</wp:posOffset>
            </wp:positionV>
            <wp:extent cx="82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-2486660</wp:posOffset>
            </wp:positionV>
            <wp:extent cx="82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-2470150</wp:posOffset>
            </wp:positionV>
            <wp:extent cx="825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-2453640</wp:posOffset>
            </wp:positionV>
            <wp:extent cx="82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-2436495</wp:posOffset>
            </wp:positionV>
            <wp:extent cx="82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-2419985</wp:posOffset>
            </wp:positionV>
            <wp:extent cx="82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-2402840</wp:posOffset>
            </wp:positionV>
            <wp:extent cx="82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-2386330</wp:posOffset>
            </wp:positionV>
            <wp:extent cx="82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-2369185</wp:posOffset>
            </wp:positionV>
            <wp:extent cx="82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-2352675</wp:posOffset>
            </wp:positionV>
            <wp:extent cx="82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-2335530</wp:posOffset>
            </wp:positionV>
            <wp:extent cx="82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-2319020</wp:posOffset>
            </wp:positionV>
            <wp:extent cx="82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-2301875</wp:posOffset>
            </wp:positionV>
            <wp:extent cx="82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-2285365</wp:posOffset>
            </wp:positionV>
            <wp:extent cx="825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-2268220</wp:posOffset>
            </wp:positionV>
            <wp:extent cx="82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-2251710</wp:posOffset>
            </wp:positionV>
            <wp:extent cx="82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-2234565</wp:posOffset>
            </wp:positionV>
            <wp:extent cx="825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-2218055</wp:posOffset>
            </wp:positionV>
            <wp:extent cx="82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-2200910</wp:posOffset>
            </wp:positionV>
            <wp:extent cx="82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-2184400</wp:posOffset>
            </wp:positionV>
            <wp:extent cx="82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-2167890</wp:posOffset>
            </wp:positionV>
            <wp:extent cx="825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-2150745</wp:posOffset>
            </wp:positionV>
            <wp:extent cx="825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-2134235</wp:posOffset>
            </wp:positionV>
            <wp:extent cx="825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-2117090</wp:posOffset>
            </wp:positionV>
            <wp:extent cx="82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-2100580</wp:posOffset>
            </wp:positionV>
            <wp:extent cx="825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-2083435</wp:posOffset>
            </wp:positionV>
            <wp:extent cx="825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-2066925</wp:posOffset>
            </wp:positionV>
            <wp:extent cx="825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-2049780</wp:posOffset>
            </wp:positionV>
            <wp:extent cx="825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-2033270</wp:posOffset>
            </wp:positionV>
            <wp:extent cx="825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-2016125</wp:posOffset>
            </wp:positionV>
            <wp:extent cx="82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-1999615</wp:posOffset>
            </wp:positionV>
            <wp:extent cx="82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-1982470</wp:posOffset>
            </wp:positionV>
            <wp:extent cx="825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-1965960</wp:posOffset>
            </wp:positionV>
            <wp:extent cx="82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-1948815</wp:posOffset>
            </wp:positionV>
            <wp:extent cx="825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-1932305</wp:posOffset>
            </wp:positionV>
            <wp:extent cx="82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-1915795</wp:posOffset>
            </wp:positionV>
            <wp:extent cx="82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-1898650</wp:posOffset>
            </wp:positionV>
            <wp:extent cx="82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-1882140</wp:posOffset>
            </wp:positionV>
            <wp:extent cx="82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-1864995</wp:posOffset>
            </wp:positionV>
            <wp:extent cx="82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-1848485</wp:posOffset>
            </wp:positionV>
            <wp:extent cx="82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-1831340</wp:posOffset>
            </wp:positionV>
            <wp:extent cx="825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-1814830</wp:posOffset>
            </wp:positionV>
            <wp:extent cx="825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-1797685</wp:posOffset>
            </wp:positionV>
            <wp:extent cx="825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-1781175</wp:posOffset>
            </wp:positionV>
            <wp:extent cx="825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-1764030</wp:posOffset>
            </wp:positionV>
            <wp:extent cx="82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-1747520</wp:posOffset>
            </wp:positionV>
            <wp:extent cx="825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-1730375</wp:posOffset>
            </wp:positionV>
            <wp:extent cx="825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-1713865</wp:posOffset>
            </wp:positionV>
            <wp:extent cx="825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-1696720</wp:posOffset>
            </wp:positionV>
            <wp:extent cx="825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-1680210</wp:posOffset>
            </wp:positionV>
            <wp:extent cx="825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-1663065</wp:posOffset>
            </wp:positionV>
            <wp:extent cx="825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-1646555</wp:posOffset>
            </wp:positionV>
            <wp:extent cx="825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-1630045</wp:posOffset>
            </wp:positionV>
            <wp:extent cx="825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-1612900</wp:posOffset>
            </wp:positionV>
            <wp:extent cx="82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-453390</wp:posOffset>
            </wp:positionV>
            <wp:extent cx="210185" cy="11747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10185" cy="117475"/>
                    </a:xfrm>
                    <a:prstGeom prst="rect">
                      <a:avLst/>
                    </a:prstGeom>
                    <a:noFill/>
                  </pic:spPr>
                </pic:pic>
              </a:graphicData>
            </a:graphic>
          </wp:anchor>
        </w:drawing>
      </w:r>
    </w:p>
    <w:p>
      <w:pPr>
        <w:sectPr>
          <w:pgSz w:w="11900" w:h="16838" w:orient="portrait"/>
          <w:cols w:equalWidth="0" w:num="1">
            <w:col w:w="11340"/>
          </w:cols>
          <w:pgMar w:left="320" w:top="1393"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408940</wp:posOffset>
            </wp:positionH>
            <wp:positionV relativeFrom="page">
              <wp:posOffset>811530</wp:posOffset>
            </wp:positionV>
            <wp:extent cx="6995160" cy="2185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95160" cy="2185035"/>
                    </a:xfrm>
                    <a:prstGeom prst="rect">
                      <a:avLst/>
                    </a:prstGeom>
                    <a:noFill/>
                  </pic:spPr>
                </pic:pic>
              </a:graphicData>
            </a:graphic>
          </wp:anchor>
        </w:drawing>
        <w:t>Between 2024 and 2026, our LTI program has evolved to support key business objectives and align with investor prioritie</w:t>
      </w:r>
    </w:p>
    <w:p>
      <w:pPr>
        <w:spacing w:after="0" w:line="96" w:lineRule="exact"/>
        <w:rPr>
          <w:sz w:val="20"/>
          <w:szCs w:val="20"/>
          <w:color w:val="auto"/>
        </w:rPr>
      </w:pPr>
    </w:p>
    <w:p>
      <w:pPr>
        <w:ind w:left="2820" w:right="40" w:hanging="242"/>
        <w:spacing w:after="0" w:line="234" w:lineRule="auto"/>
        <w:tabs>
          <w:tab w:leader="none" w:pos="2812" w:val="left"/>
        </w:tabs>
        <w:numPr>
          <w:ilvl w:val="0"/>
          <w:numId w:val="107"/>
        </w:numPr>
        <w:rPr>
          <w:rFonts w:ascii="Arial" w:cs="Arial" w:eastAsia="Arial" w:hAnsi="Arial"/>
          <w:sz w:val="17"/>
          <w:szCs w:val="17"/>
          <w:color w:val="520B90"/>
        </w:rPr>
      </w:pPr>
      <w:r>
        <w:rPr>
          <w:rFonts w:ascii="Arial" w:cs="Arial" w:eastAsia="Arial" w:hAnsi="Arial"/>
          <w:sz w:val="17"/>
          <w:szCs w:val="17"/>
          <w:u w:val="single" w:color="auto"/>
          <w:color w:val="auto"/>
        </w:rPr>
        <w:t>2024</w:t>
      </w:r>
      <w:r>
        <w:rPr>
          <w:rFonts w:ascii="Arial" w:cs="Arial" w:eastAsia="Arial" w:hAnsi="Arial"/>
          <w:sz w:val="17"/>
          <w:szCs w:val="17"/>
          <w:color w:val="auto"/>
        </w:rPr>
        <w:t>: Enhanced the focus on capital allocation and discipline by replacing absolute TSR as a performance measur and introducing average return on invested capital over a three-year performance period ("Average ROIC")</w:t>
      </w:r>
      <w:r>
        <w:rPr>
          <w:rFonts w:ascii="Arial" w:cs="Arial" w:eastAsia="Arial" w:hAnsi="Arial"/>
          <w:sz w:val="21"/>
          <w:szCs w:val="21"/>
          <w:color w:val="auto"/>
          <w:vertAlign w:val="superscript"/>
        </w:rPr>
        <w:t>(1)</w:t>
      </w:r>
      <w:r>
        <w:rPr>
          <w:rFonts w:ascii="Arial" w:cs="Arial" w:eastAsia="Arial" w:hAnsi="Arial"/>
          <w:sz w:val="17"/>
          <w:szCs w:val="17"/>
          <w:color w:val="auto"/>
        </w:rPr>
        <w:t xml:space="preserve"> as a performance measure.</w:t>
      </w:r>
    </w:p>
    <w:p>
      <w:pPr>
        <w:spacing w:after="0" w:line="64" w:lineRule="exact"/>
        <w:rPr>
          <w:rFonts w:ascii="Arial" w:cs="Arial" w:eastAsia="Arial" w:hAnsi="Arial"/>
          <w:sz w:val="17"/>
          <w:szCs w:val="17"/>
          <w:color w:val="520B90"/>
        </w:rPr>
      </w:pPr>
    </w:p>
    <w:p>
      <w:pPr>
        <w:jc w:val="both"/>
        <w:ind w:left="2820" w:hanging="242"/>
        <w:spacing w:after="0" w:line="243" w:lineRule="auto"/>
        <w:tabs>
          <w:tab w:leader="none" w:pos="2812" w:val="left"/>
        </w:tabs>
        <w:numPr>
          <w:ilvl w:val="0"/>
          <w:numId w:val="107"/>
        </w:numPr>
        <w:rPr>
          <w:rFonts w:ascii="Arial" w:cs="Arial" w:eastAsia="Arial" w:hAnsi="Arial"/>
          <w:sz w:val="16"/>
          <w:szCs w:val="16"/>
          <w:color w:val="520B90"/>
        </w:rPr>
      </w:pPr>
      <w:r>
        <w:rPr>
          <w:rFonts w:ascii="Arial" w:cs="Arial" w:eastAsia="Arial" w:hAnsi="Arial"/>
          <w:sz w:val="16"/>
          <w:szCs w:val="16"/>
          <w:u w:val="single" w:color="auto"/>
          <w:color w:val="auto"/>
        </w:rPr>
        <w:t>2025</w:t>
      </w:r>
      <w:r>
        <w:rPr>
          <w:rFonts w:ascii="Arial" w:cs="Arial" w:eastAsia="Arial" w:hAnsi="Arial"/>
          <w:sz w:val="16"/>
          <w:szCs w:val="16"/>
          <w:color w:val="auto"/>
        </w:rPr>
        <w:t>: Introduced three-year cumulative AFFO/Share</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as a performance measure to enhance the focus on multi-ye profitability. Relative TSR transitioned from a discrete measure to a modifier that can adjust payouts of performance</w:t>
      </w:r>
    </w:p>
    <w:p>
      <w:pPr>
        <w:spacing w:after="0" w:line="1" w:lineRule="exact"/>
        <w:rPr>
          <w:sz w:val="20"/>
          <w:szCs w:val="20"/>
          <w:color w:val="auto"/>
        </w:rPr>
      </w:pPr>
    </w:p>
    <w:tbl>
      <w:tblPr>
        <w:tblLayout w:type="fixed"/>
        <w:tblInd w:w="360" w:type="dxa"/>
        <w:tblCellMar>
          <w:top w:w="0" w:type="dxa"/>
          <w:left w:w="0" w:type="dxa"/>
          <w:bottom w:w="0" w:type="dxa"/>
          <w:right w:w="0" w:type="dxa"/>
        </w:tblCellMar>
      </w:tblPr>
      <w:tr>
        <w:trPr>
          <w:trHeight w:val="205"/>
        </w:trPr>
        <w:tc>
          <w:tcPr>
            <w:tcW w:w="2040" w:type="dxa"/>
            <w:vAlign w:val="bottom"/>
          </w:tcPr>
          <w:p>
            <w:pPr>
              <w:spacing w:after="0"/>
              <w:rPr>
                <w:sz w:val="20"/>
                <w:szCs w:val="20"/>
                <w:color w:val="auto"/>
              </w:rPr>
            </w:pPr>
            <w:r>
              <w:rPr>
                <w:rFonts w:ascii="Arial" w:cs="Arial" w:eastAsia="Arial" w:hAnsi="Arial"/>
                <w:sz w:val="17"/>
                <w:szCs w:val="17"/>
                <w:b w:val="1"/>
                <w:bCs w:val="1"/>
                <w:color w:val="520B90"/>
              </w:rPr>
              <w:t>Long-Term Incentive</w:t>
            </w:r>
          </w:p>
        </w:tc>
        <w:tc>
          <w:tcPr>
            <w:tcW w:w="8900" w:type="dxa"/>
            <w:vAlign w:val="bottom"/>
          </w:tcPr>
          <w:p>
            <w:pPr>
              <w:ind w:left="420"/>
              <w:spacing w:after="0"/>
              <w:rPr>
                <w:sz w:val="20"/>
                <w:szCs w:val="20"/>
                <w:color w:val="auto"/>
              </w:rPr>
            </w:pPr>
            <w:r>
              <w:rPr>
                <w:rFonts w:ascii="Arial" w:cs="Arial" w:eastAsia="Arial" w:hAnsi="Arial"/>
                <w:sz w:val="17"/>
                <w:szCs w:val="17"/>
                <w:color w:val="auto"/>
                <w:w w:val="98"/>
              </w:rPr>
              <w:t>based LTI awards by +/- 15% to prioritize the Company's financial performance, while aiming to hold management</w:t>
            </w:r>
          </w:p>
        </w:tc>
      </w:tr>
      <w:tr>
        <w:trPr>
          <w:trHeight w:val="176"/>
        </w:trPr>
        <w:tc>
          <w:tcPr>
            <w:tcW w:w="2040" w:type="dxa"/>
            <w:vAlign w:val="bottom"/>
          </w:tcPr>
          <w:p>
            <w:pPr>
              <w:spacing w:after="0" w:line="176" w:lineRule="exact"/>
              <w:rPr>
                <w:sz w:val="20"/>
                <w:szCs w:val="20"/>
                <w:color w:val="auto"/>
              </w:rPr>
            </w:pPr>
            <w:r>
              <w:rPr>
                <w:rFonts w:ascii="Arial" w:cs="Arial" w:eastAsia="Arial" w:hAnsi="Arial"/>
                <w:sz w:val="17"/>
                <w:szCs w:val="17"/>
                <w:b w:val="1"/>
                <w:bCs w:val="1"/>
                <w:color w:val="520B90"/>
              </w:rPr>
              <w:t>Plan</w:t>
            </w:r>
          </w:p>
        </w:tc>
        <w:tc>
          <w:tcPr>
            <w:tcW w:w="8900" w:type="dxa"/>
            <w:vAlign w:val="bottom"/>
          </w:tcPr>
          <w:p>
            <w:pPr>
              <w:ind w:left="420"/>
              <w:spacing w:after="0" w:line="176" w:lineRule="exact"/>
              <w:rPr>
                <w:sz w:val="20"/>
                <w:szCs w:val="20"/>
                <w:color w:val="auto"/>
              </w:rPr>
            </w:pPr>
            <w:r>
              <w:rPr>
                <w:rFonts w:ascii="Arial" w:cs="Arial" w:eastAsia="Arial" w:hAnsi="Arial"/>
                <w:sz w:val="17"/>
                <w:szCs w:val="17"/>
                <w:color w:val="auto"/>
              </w:rPr>
              <w:t>accountable for stock price performance relative to competitors. Additionally, the performance comparator group</w:t>
            </w:r>
          </w:p>
        </w:tc>
      </w:tr>
      <w:tr>
        <w:trPr>
          <w:trHeight w:val="212"/>
        </w:trPr>
        <w:tc>
          <w:tcPr>
            <w:tcW w:w="204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7"/>
                <w:szCs w:val="17"/>
                <w:color w:val="auto"/>
              </w:rPr>
              <w:t>transitioned from the S&amp;P 500 Index to the REIT constituents of the S&amp;P 500 Index and the S&amp;P 500 Index as a</w:t>
            </w:r>
          </w:p>
        </w:tc>
      </w:tr>
      <w:tr>
        <w:trPr>
          <w:trHeight w:val="199"/>
        </w:trPr>
        <w:tc>
          <w:tcPr>
            <w:tcW w:w="2040" w:type="dxa"/>
            <w:vAlign w:val="bottom"/>
          </w:tcPr>
          <w:p>
            <w:pPr>
              <w:spacing w:after="0"/>
              <w:rPr>
                <w:sz w:val="17"/>
                <w:szCs w:val="17"/>
                <w:color w:val="auto"/>
              </w:rPr>
            </w:pPr>
          </w:p>
        </w:tc>
        <w:tc>
          <w:tcPr>
            <w:tcW w:w="8900" w:type="dxa"/>
            <w:vAlign w:val="bottom"/>
          </w:tcPr>
          <w:p>
            <w:pPr>
              <w:ind w:left="420"/>
              <w:spacing w:after="0"/>
              <w:rPr>
                <w:sz w:val="20"/>
                <w:szCs w:val="20"/>
                <w:color w:val="auto"/>
              </w:rPr>
            </w:pPr>
            <w:r>
              <w:rPr>
                <w:rFonts w:ascii="Arial" w:cs="Arial" w:eastAsia="Arial" w:hAnsi="Arial"/>
                <w:sz w:val="17"/>
                <w:szCs w:val="17"/>
                <w:color w:val="auto"/>
                <w:w w:val="98"/>
              </w:rPr>
              <w:t>whole to increase the emphasis on companies that are subject to similar macro factors as the Company, while also</w:t>
            </w:r>
          </w:p>
        </w:tc>
      </w:tr>
      <w:tr>
        <w:trPr>
          <w:trHeight w:val="222"/>
        </w:trPr>
        <w:tc>
          <w:tcPr>
            <w:tcW w:w="2040" w:type="dxa"/>
            <w:vAlign w:val="bottom"/>
          </w:tcPr>
          <w:p>
            <w:pPr>
              <w:spacing w:after="0"/>
              <w:rPr>
                <w:sz w:val="19"/>
                <w:szCs w:val="19"/>
                <w:color w:val="auto"/>
              </w:rPr>
            </w:pPr>
          </w:p>
        </w:tc>
        <w:tc>
          <w:tcPr>
            <w:tcW w:w="8900" w:type="dxa"/>
            <w:vAlign w:val="bottom"/>
          </w:tcPr>
          <w:p>
            <w:pPr>
              <w:ind w:left="420"/>
              <w:spacing w:after="0"/>
              <w:rPr>
                <w:sz w:val="20"/>
                <w:szCs w:val="20"/>
                <w:color w:val="auto"/>
              </w:rPr>
            </w:pPr>
            <w:r>
              <w:rPr>
                <w:rFonts w:ascii="Arial" w:cs="Arial" w:eastAsia="Arial" w:hAnsi="Arial"/>
                <w:sz w:val="17"/>
                <w:szCs w:val="17"/>
                <w:color w:val="auto"/>
              </w:rPr>
              <w:t>continuing to highlight the importance of outperforming the broader market.</w:t>
            </w:r>
          </w:p>
        </w:tc>
      </w:tr>
    </w:tbl>
    <w:p>
      <w:pPr>
        <w:spacing w:after="0" w:line="63" w:lineRule="exact"/>
        <w:rPr>
          <w:sz w:val="20"/>
          <w:szCs w:val="20"/>
          <w:color w:val="auto"/>
        </w:rPr>
      </w:pPr>
    </w:p>
    <w:p>
      <w:pPr>
        <w:ind w:left="2820" w:right="40" w:hanging="242"/>
        <w:spacing w:after="0" w:line="226" w:lineRule="auto"/>
        <w:tabs>
          <w:tab w:leader="none" w:pos="2812" w:val="left"/>
        </w:tabs>
        <w:numPr>
          <w:ilvl w:val="0"/>
          <w:numId w:val="108"/>
        </w:numPr>
        <w:rPr>
          <w:rFonts w:ascii="Arial" w:cs="Arial" w:eastAsia="Arial" w:hAnsi="Arial"/>
          <w:sz w:val="17"/>
          <w:szCs w:val="17"/>
          <w:color w:val="520B90"/>
        </w:rPr>
      </w:pPr>
      <w:r>
        <w:rPr>
          <w:rFonts w:ascii="Arial" w:cs="Arial" w:eastAsia="Arial" w:hAnsi="Arial"/>
          <w:sz w:val="17"/>
          <w:szCs w:val="17"/>
          <w:u w:val="single" w:color="auto"/>
          <w:color w:val="auto"/>
        </w:rPr>
        <w:t>2026</w:t>
      </w:r>
      <w:r>
        <w:rPr>
          <w:rFonts w:ascii="Arial" w:cs="Arial" w:eastAsia="Arial" w:hAnsi="Arial"/>
          <w:sz w:val="17"/>
          <w:szCs w:val="17"/>
          <w:color w:val="auto"/>
        </w:rPr>
        <w:t>: Increased the emphasis on three-year cumulative AFFO/Share</w:t>
      </w:r>
      <w:r>
        <w:rPr>
          <w:rFonts w:ascii="Arial" w:cs="Arial" w:eastAsia="Arial" w:hAnsi="Arial"/>
          <w:sz w:val="21"/>
          <w:szCs w:val="21"/>
          <w:color w:val="auto"/>
          <w:vertAlign w:val="superscript"/>
        </w:rPr>
        <w:t>(1)</w:t>
      </w:r>
      <w:r>
        <w:rPr>
          <w:rFonts w:ascii="Arial" w:cs="Arial" w:eastAsia="Arial" w:hAnsi="Arial"/>
          <w:sz w:val="17"/>
          <w:szCs w:val="17"/>
          <w:color w:val="auto"/>
        </w:rPr>
        <w:t xml:space="preserve"> (now 40% of total LTI mix) and reduced the emphasis on Average ROIC</w:t>
      </w:r>
      <w:r>
        <w:rPr>
          <w:rFonts w:ascii="Arial" w:cs="Arial" w:eastAsia="Arial" w:hAnsi="Arial"/>
          <w:sz w:val="21"/>
          <w:szCs w:val="21"/>
          <w:color w:val="auto"/>
          <w:vertAlign w:val="superscript"/>
        </w:rPr>
        <w:t>(1)</w:t>
      </w:r>
      <w:r>
        <w:rPr>
          <w:rFonts w:ascii="Arial" w:cs="Arial" w:eastAsia="Arial" w:hAnsi="Arial"/>
          <w:sz w:val="17"/>
          <w:szCs w:val="17"/>
          <w:color w:val="auto"/>
        </w:rPr>
        <w:t xml:space="preserve"> (now 20% of the total LTI mix) to continue to prioritize multi-year profitability and to recognize that the business model is anticipated to be less capital intensive following the projected close of the Strategic Fiber Transaction.</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340" w:type="dxa"/>
            <w:vAlign w:val="bottom"/>
            <w:tcBorders>
              <w:right w:val="single" w:sz="8" w:color="520B90"/>
            </w:tcBorders>
          </w:tcPr>
          <w:p>
            <w:pPr>
              <w:spacing w:after="0"/>
              <w:rPr>
                <w:sz w:val="21"/>
                <w:szCs w:val="21"/>
                <w:color w:val="auto"/>
              </w:rPr>
            </w:pPr>
          </w:p>
        </w:tc>
        <w:tc>
          <w:tcPr>
            <w:tcW w:w="820" w:type="dxa"/>
            <w:vAlign w:val="bottom"/>
            <w:tcBorders>
              <w:top w:val="single" w:sz="8" w:color="520B90"/>
            </w:tcBorders>
          </w:tcPr>
          <w:p>
            <w:pPr>
              <w:spacing w:after="0"/>
              <w:rPr>
                <w:sz w:val="21"/>
                <w:szCs w:val="21"/>
                <w:color w:val="auto"/>
              </w:rPr>
            </w:pPr>
          </w:p>
        </w:tc>
        <w:tc>
          <w:tcPr>
            <w:tcW w:w="1080" w:type="dxa"/>
            <w:vAlign w:val="bottom"/>
            <w:tcBorders>
              <w:top w:val="single" w:sz="8" w:color="520B90"/>
            </w:tcBorders>
          </w:tcPr>
          <w:p>
            <w:pPr>
              <w:spacing w:after="0"/>
              <w:rPr>
                <w:sz w:val="21"/>
                <w:szCs w:val="21"/>
                <w:color w:val="auto"/>
              </w:rPr>
            </w:pPr>
          </w:p>
        </w:tc>
        <w:tc>
          <w:tcPr>
            <w:tcW w:w="9100" w:type="dxa"/>
            <w:vAlign w:val="bottom"/>
            <w:tcBorders>
              <w:top w:val="single" w:sz="8" w:color="520B90"/>
            </w:tcBorders>
          </w:tcPr>
          <w:p>
            <w:pPr>
              <w:ind w:left="180"/>
              <w:spacing w:after="0"/>
              <w:rPr>
                <w:sz w:val="20"/>
                <w:szCs w:val="20"/>
                <w:color w:val="auto"/>
              </w:rPr>
            </w:pPr>
            <w:r>
              <w:rPr>
                <w:rFonts w:ascii="Arial" w:cs="Arial" w:eastAsia="Arial" w:hAnsi="Arial"/>
                <w:sz w:val="17"/>
                <w:szCs w:val="17"/>
                <w:color w:val="auto"/>
                <w:w w:val="98"/>
              </w:rPr>
              <w:t>In March 2025, while not standard to our executive compensation program, the Committee approved a one-time award o</w:t>
            </w:r>
          </w:p>
        </w:tc>
        <w:tc>
          <w:tcPr>
            <w:tcW w:w="0" w:type="dxa"/>
            <w:vAlign w:val="bottom"/>
          </w:tcPr>
          <w:p>
            <w:pPr>
              <w:spacing w:after="0"/>
              <w:rPr>
                <w:sz w:val="1"/>
                <w:szCs w:val="1"/>
                <w:color w:val="auto"/>
              </w:rPr>
            </w:pPr>
          </w:p>
        </w:tc>
      </w:tr>
      <w:tr>
        <w:trPr>
          <w:trHeight w:val="206"/>
        </w:trPr>
        <w:tc>
          <w:tcPr>
            <w:tcW w:w="340" w:type="dxa"/>
            <w:vAlign w:val="bottom"/>
            <w:tcBorders>
              <w:right w:val="single" w:sz="8" w:color="520B90"/>
            </w:tcBorders>
          </w:tcPr>
          <w:p>
            <w:pPr>
              <w:spacing w:after="0"/>
              <w:rPr>
                <w:sz w:val="17"/>
                <w:szCs w:val="17"/>
                <w:color w:val="auto"/>
              </w:rPr>
            </w:pP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100" w:type="dxa"/>
            <w:vAlign w:val="bottom"/>
          </w:tcPr>
          <w:p>
            <w:pPr>
              <w:ind w:left="180"/>
              <w:spacing w:after="0" w:line="206" w:lineRule="exact"/>
              <w:rPr>
                <w:sz w:val="20"/>
                <w:szCs w:val="20"/>
                <w:color w:val="auto"/>
              </w:rPr>
            </w:pPr>
            <w:r>
              <w:rPr>
                <w:rFonts w:ascii="Arial" w:cs="Arial" w:eastAsia="Arial" w:hAnsi="Arial"/>
                <w:sz w:val="17"/>
                <w:szCs w:val="17"/>
                <w:color w:val="auto"/>
                <w:w w:val="98"/>
              </w:rPr>
              <w:t>RSUs to vest upon the successful closing of the Strategic Fiber Transaction ("Transformation RSUs")</w:t>
            </w:r>
            <w:r>
              <w:rPr>
                <w:rFonts w:ascii="Arial" w:cs="Arial" w:eastAsia="Arial" w:hAnsi="Arial"/>
                <w:sz w:val="21"/>
                <w:szCs w:val="21"/>
                <w:color w:val="auto"/>
                <w:w w:val="98"/>
                <w:vertAlign w:val="superscript"/>
              </w:rPr>
              <w:t>(b)</w:t>
            </w:r>
            <w:r>
              <w:rPr>
                <w:rFonts w:ascii="Arial" w:cs="Arial" w:eastAsia="Arial" w:hAnsi="Arial"/>
                <w:sz w:val="17"/>
                <w:szCs w:val="17"/>
                <w:color w:val="auto"/>
                <w:w w:val="98"/>
              </w:rPr>
              <w:t>. The Committee</w:t>
            </w:r>
          </w:p>
        </w:tc>
        <w:tc>
          <w:tcPr>
            <w:tcW w:w="0" w:type="dxa"/>
            <w:vAlign w:val="bottom"/>
          </w:tcPr>
          <w:p>
            <w:pPr>
              <w:spacing w:after="0"/>
              <w:rPr>
                <w:sz w:val="1"/>
                <w:szCs w:val="1"/>
                <w:color w:val="auto"/>
              </w:rPr>
            </w:pPr>
          </w:p>
        </w:tc>
      </w:tr>
      <w:tr>
        <w:trPr>
          <w:trHeight w:val="199"/>
        </w:trPr>
        <w:tc>
          <w:tcPr>
            <w:tcW w:w="340" w:type="dxa"/>
            <w:vAlign w:val="bottom"/>
            <w:tcBorders>
              <w:right w:val="single" w:sz="8" w:color="520B90"/>
            </w:tcBorders>
          </w:tcPr>
          <w:p>
            <w:pPr>
              <w:spacing w:after="0"/>
              <w:rPr>
                <w:sz w:val="17"/>
                <w:szCs w:val="17"/>
                <w:color w:val="auto"/>
              </w:rPr>
            </w:pP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100" w:type="dxa"/>
            <w:vAlign w:val="bottom"/>
          </w:tcPr>
          <w:p>
            <w:pPr>
              <w:ind w:left="180"/>
              <w:spacing w:after="0"/>
              <w:rPr>
                <w:sz w:val="20"/>
                <w:szCs w:val="20"/>
                <w:color w:val="auto"/>
              </w:rPr>
            </w:pPr>
            <w:r>
              <w:rPr>
                <w:rFonts w:ascii="Arial" w:cs="Arial" w:eastAsia="Arial" w:hAnsi="Arial"/>
                <w:sz w:val="17"/>
                <w:szCs w:val="17"/>
                <w:color w:val="auto"/>
                <w:w w:val="98"/>
              </w:rPr>
              <w:t>believes that these non-recurring awards were necessary to retain key leadership to help facilitate the successful closing</w:t>
            </w:r>
          </w:p>
        </w:tc>
        <w:tc>
          <w:tcPr>
            <w:tcW w:w="0" w:type="dxa"/>
            <w:vAlign w:val="bottom"/>
          </w:tcPr>
          <w:p>
            <w:pPr>
              <w:spacing w:after="0"/>
              <w:rPr>
                <w:sz w:val="1"/>
                <w:szCs w:val="1"/>
                <w:color w:val="auto"/>
              </w:rPr>
            </w:pPr>
          </w:p>
        </w:tc>
      </w:tr>
      <w:tr>
        <w:trPr>
          <w:trHeight w:val="199"/>
        </w:trPr>
        <w:tc>
          <w:tcPr>
            <w:tcW w:w="340" w:type="dxa"/>
            <w:vAlign w:val="bottom"/>
            <w:tcBorders>
              <w:right w:val="single" w:sz="8" w:color="520B90"/>
            </w:tcBorders>
          </w:tcPr>
          <w:p>
            <w:pPr>
              <w:spacing w:after="0"/>
              <w:rPr>
                <w:sz w:val="17"/>
                <w:szCs w:val="17"/>
                <w:color w:val="auto"/>
              </w:rPr>
            </w:pPr>
          </w:p>
        </w:tc>
        <w:tc>
          <w:tcPr>
            <w:tcW w:w="190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520B90"/>
              </w:rPr>
              <w:t>Transformation RSU</w:t>
            </w:r>
          </w:p>
        </w:tc>
        <w:tc>
          <w:tcPr>
            <w:tcW w:w="9100" w:type="dxa"/>
            <w:vAlign w:val="bottom"/>
          </w:tcPr>
          <w:p>
            <w:pPr>
              <w:ind w:left="180"/>
              <w:spacing w:after="0"/>
              <w:rPr>
                <w:sz w:val="20"/>
                <w:szCs w:val="20"/>
                <w:color w:val="auto"/>
              </w:rPr>
            </w:pPr>
            <w:r>
              <w:rPr>
                <w:rFonts w:ascii="Arial" w:cs="Arial" w:eastAsia="Arial" w:hAnsi="Arial"/>
                <w:sz w:val="17"/>
                <w:szCs w:val="17"/>
                <w:color w:val="auto"/>
              </w:rPr>
              <w:t>the Strategic Fiber Transaction and to navigate the transition period thereafter, particularly in light of the leadership</w:t>
            </w:r>
          </w:p>
        </w:tc>
        <w:tc>
          <w:tcPr>
            <w:tcW w:w="0" w:type="dxa"/>
            <w:vAlign w:val="bottom"/>
          </w:tcPr>
          <w:p>
            <w:pPr>
              <w:spacing w:after="0"/>
              <w:rPr>
                <w:sz w:val="1"/>
                <w:szCs w:val="1"/>
                <w:color w:val="auto"/>
              </w:rPr>
            </w:pPr>
          </w:p>
        </w:tc>
      </w:tr>
      <w:tr>
        <w:trPr>
          <w:trHeight w:val="53"/>
        </w:trPr>
        <w:tc>
          <w:tcPr>
            <w:tcW w:w="340" w:type="dxa"/>
            <w:vAlign w:val="bottom"/>
            <w:tcBorders>
              <w:right w:val="single" w:sz="8" w:color="520B90"/>
            </w:tcBorders>
          </w:tcPr>
          <w:p>
            <w:pPr>
              <w:spacing w:after="0"/>
              <w:rPr>
                <w:sz w:val="4"/>
                <w:szCs w:val="4"/>
                <w:color w:val="auto"/>
              </w:rPr>
            </w:pPr>
          </w:p>
        </w:tc>
        <w:tc>
          <w:tcPr>
            <w:tcW w:w="1900" w:type="dxa"/>
            <w:vAlign w:val="bottom"/>
            <w:gridSpan w:val="2"/>
            <w:vMerge w:val="continue"/>
          </w:tcPr>
          <w:p>
            <w:pPr>
              <w:spacing w:after="0"/>
              <w:rPr>
                <w:sz w:val="4"/>
                <w:szCs w:val="4"/>
                <w:color w:val="auto"/>
              </w:rPr>
            </w:pPr>
          </w:p>
        </w:tc>
        <w:tc>
          <w:tcPr>
            <w:tcW w:w="9100" w:type="dxa"/>
            <w:vAlign w:val="bottom"/>
            <w:vMerge w:val="restart"/>
          </w:tcPr>
          <w:p>
            <w:pPr>
              <w:ind w:left="180"/>
              <w:spacing w:after="0"/>
              <w:rPr>
                <w:sz w:val="20"/>
                <w:szCs w:val="20"/>
                <w:color w:val="auto"/>
              </w:rPr>
            </w:pPr>
            <w:r>
              <w:rPr>
                <w:rFonts w:ascii="Arial" w:cs="Arial" w:eastAsia="Arial" w:hAnsi="Arial"/>
                <w:sz w:val="17"/>
                <w:szCs w:val="17"/>
                <w:color w:val="auto"/>
              </w:rPr>
              <w:t>transitions outlined above.</w:t>
            </w:r>
          </w:p>
        </w:tc>
        <w:tc>
          <w:tcPr>
            <w:tcW w:w="0" w:type="dxa"/>
            <w:vAlign w:val="bottom"/>
          </w:tcPr>
          <w:p>
            <w:pPr>
              <w:spacing w:after="0"/>
              <w:rPr>
                <w:sz w:val="1"/>
                <w:szCs w:val="1"/>
                <w:color w:val="auto"/>
              </w:rPr>
            </w:pPr>
          </w:p>
        </w:tc>
      </w:tr>
      <w:tr>
        <w:trPr>
          <w:trHeight w:val="230"/>
        </w:trPr>
        <w:tc>
          <w:tcPr>
            <w:tcW w:w="340" w:type="dxa"/>
            <w:vAlign w:val="bottom"/>
            <w:tcBorders>
              <w:right w:val="single" w:sz="8" w:color="520B90"/>
            </w:tcBorders>
          </w:tcPr>
          <w:p>
            <w:pPr>
              <w:spacing w:after="0"/>
              <w:rPr>
                <w:sz w:val="19"/>
                <w:szCs w:val="19"/>
                <w:color w:val="auto"/>
              </w:rPr>
            </w:pPr>
          </w:p>
        </w:tc>
        <w:tc>
          <w:tcPr>
            <w:tcW w:w="1900" w:type="dxa"/>
            <w:vAlign w:val="bottom"/>
            <w:gridSpan w:val="2"/>
          </w:tcPr>
          <w:p>
            <w:pPr>
              <w:ind w:left="20"/>
              <w:spacing w:after="0"/>
              <w:rPr>
                <w:sz w:val="20"/>
                <w:szCs w:val="20"/>
                <w:color w:val="auto"/>
              </w:rPr>
            </w:pPr>
            <w:r>
              <w:rPr>
                <w:rFonts w:ascii="Arial" w:cs="Arial" w:eastAsia="Arial" w:hAnsi="Arial"/>
                <w:sz w:val="17"/>
                <w:szCs w:val="17"/>
                <w:b w:val="1"/>
                <w:bCs w:val="1"/>
                <w:color w:val="520B90"/>
              </w:rPr>
              <w:t>Awards</w:t>
            </w:r>
          </w:p>
        </w:tc>
        <w:tc>
          <w:tcPr>
            <w:tcW w:w="9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340" w:type="dxa"/>
            <w:vAlign w:val="bottom"/>
            <w:tcBorders>
              <w:right w:val="single" w:sz="8" w:color="520B90"/>
            </w:tcBorders>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100" w:type="dxa"/>
            <w:vAlign w:val="bottom"/>
          </w:tcPr>
          <w:p>
            <w:pPr>
              <w:ind w:left="180"/>
              <w:spacing w:after="0"/>
              <w:rPr>
                <w:sz w:val="20"/>
                <w:szCs w:val="20"/>
                <w:color w:val="auto"/>
              </w:rPr>
            </w:pPr>
            <w:r>
              <w:rPr>
                <w:rFonts w:ascii="Arial" w:cs="Arial" w:eastAsia="Arial" w:hAnsi="Arial"/>
                <w:sz w:val="17"/>
                <w:szCs w:val="17"/>
                <w:color w:val="auto"/>
                <w:w w:val="99"/>
              </w:rPr>
              <w:t>Transformation RSUs were granted to Messrs. Schlanger, Adams and Levendos and Ms. Piche, with a collective grant</w:t>
            </w:r>
          </w:p>
        </w:tc>
        <w:tc>
          <w:tcPr>
            <w:tcW w:w="0" w:type="dxa"/>
            <w:vAlign w:val="bottom"/>
          </w:tcPr>
          <w:p>
            <w:pPr>
              <w:spacing w:after="0"/>
              <w:rPr>
                <w:sz w:val="1"/>
                <w:szCs w:val="1"/>
                <w:color w:val="auto"/>
              </w:rPr>
            </w:pPr>
          </w:p>
        </w:tc>
      </w:tr>
      <w:tr>
        <w:trPr>
          <w:trHeight w:val="199"/>
        </w:trPr>
        <w:tc>
          <w:tcPr>
            <w:tcW w:w="340" w:type="dxa"/>
            <w:vAlign w:val="bottom"/>
            <w:tcBorders>
              <w:right w:val="single" w:sz="8" w:color="520B90"/>
            </w:tcBorders>
          </w:tcPr>
          <w:p>
            <w:pPr>
              <w:spacing w:after="0"/>
              <w:rPr>
                <w:sz w:val="17"/>
                <w:szCs w:val="17"/>
                <w:color w:val="auto"/>
              </w:rPr>
            </w:pP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100" w:type="dxa"/>
            <w:vAlign w:val="bottom"/>
          </w:tcPr>
          <w:p>
            <w:pPr>
              <w:ind w:left="180"/>
              <w:spacing w:after="0"/>
              <w:rPr>
                <w:sz w:val="20"/>
                <w:szCs w:val="20"/>
                <w:color w:val="auto"/>
              </w:rPr>
            </w:pPr>
            <w:r>
              <w:rPr>
                <w:rFonts w:ascii="Arial" w:cs="Arial" w:eastAsia="Arial" w:hAnsi="Arial"/>
                <w:sz w:val="17"/>
                <w:szCs w:val="17"/>
                <w:color w:val="auto"/>
              </w:rPr>
              <w:t>value of $4.025 million, which we believe is an effective incentive to maintain continuity of leadership and facilitate the</w:t>
            </w:r>
          </w:p>
        </w:tc>
        <w:tc>
          <w:tcPr>
            <w:tcW w:w="0" w:type="dxa"/>
            <w:vAlign w:val="bottom"/>
          </w:tcPr>
          <w:p>
            <w:pPr>
              <w:spacing w:after="0"/>
              <w:rPr>
                <w:sz w:val="1"/>
                <w:szCs w:val="1"/>
                <w:color w:val="auto"/>
              </w:rPr>
            </w:pPr>
          </w:p>
        </w:tc>
      </w:tr>
      <w:tr>
        <w:trPr>
          <w:trHeight w:val="222"/>
        </w:trPr>
        <w:tc>
          <w:tcPr>
            <w:tcW w:w="340" w:type="dxa"/>
            <w:vAlign w:val="bottom"/>
            <w:tcBorders>
              <w:right w:val="single" w:sz="8" w:color="520B90"/>
            </w:tcBorders>
          </w:tcPr>
          <w:p>
            <w:pPr>
              <w:spacing w:after="0"/>
              <w:rPr>
                <w:sz w:val="19"/>
                <w:szCs w:val="19"/>
                <w:color w:val="auto"/>
              </w:rPr>
            </w:pPr>
          </w:p>
        </w:tc>
        <w:tc>
          <w:tcPr>
            <w:tcW w:w="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100" w:type="dxa"/>
            <w:vAlign w:val="bottom"/>
          </w:tcPr>
          <w:p>
            <w:pPr>
              <w:ind w:left="180"/>
              <w:spacing w:after="0"/>
              <w:rPr>
                <w:sz w:val="20"/>
                <w:szCs w:val="20"/>
                <w:color w:val="auto"/>
              </w:rPr>
            </w:pPr>
            <w:r>
              <w:rPr>
                <w:rFonts w:ascii="Arial" w:cs="Arial" w:eastAsia="Arial" w:hAnsi="Arial"/>
                <w:sz w:val="17"/>
                <w:szCs w:val="17"/>
                <w:color w:val="auto"/>
              </w:rPr>
              <w:t>closing of the $8.5 billion Strategic Fiber Transaction.</w:t>
            </w:r>
          </w:p>
        </w:tc>
        <w:tc>
          <w:tcPr>
            <w:tcW w:w="0" w:type="dxa"/>
            <w:vAlign w:val="bottom"/>
          </w:tcPr>
          <w:p>
            <w:pPr>
              <w:spacing w:after="0"/>
              <w:rPr>
                <w:sz w:val="1"/>
                <w:szCs w:val="1"/>
                <w:color w:val="auto"/>
              </w:rPr>
            </w:pPr>
          </w:p>
        </w:tc>
      </w:tr>
      <w:tr>
        <w:trPr>
          <w:trHeight w:val="25"/>
        </w:trPr>
        <w:tc>
          <w:tcPr>
            <w:tcW w:w="340" w:type="dxa"/>
            <w:vAlign w:val="bottom"/>
            <w:tcBorders>
              <w:right w:val="single" w:sz="8" w:color="520B90"/>
            </w:tcBorders>
          </w:tcPr>
          <w:p>
            <w:pPr>
              <w:spacing w:after="0"/>
              <w:rPr>
                <w:sz w:val="2"/>
                <w:szCs w:val="2"/>
                <w:color w:val="auto"/>
              </w:rPr>
            </w:pPr>
          </w:p>
        </w:tc>
        <w:tc>
          <w:tcPr>
            <w:tcW w:w="820" w:type="dxa"/>
            <w:vAlign w:val="bottom"/>
            <w:tcBorders>
              <w:bottom w:val="single" w:sz="8" w:color="520B90"/>
            </w:tcBorders>
          </w:tcPr>
          <w:p>
            <w:pPr>
              <w:spacing w:after="0"/>
              <w:rPr>
                <w:sz w:val="2"/>
                <w:szCs w:val="2"/>
                <w:color w:val="auto"/>
              </w:rPr>
            </w:pPr>
          </w:p>
        </w:tc>
        <w:tc>
          <w:tcPr>
            <w:tcW w:w="1080" w:type="dxa"/>
            <w:vAlign w:val="bottom"/>
            <w:tcBorders>
              <w:bottom w:val="single" w:sz="8" w:color="520B90"/>
            </w:tcBorders>
          </w:tcPr>
          <w:p>
            <w:pPr>
              <w:spacing w:after="0"/>
              <w:rPr>
                <w:sz w:val="2"/>
                <w:szCs w:val="2"/>
                <w:color w:val="auto"/>
              </w:rPr>
            </w:pPr>
          </w:p>
        </w:tc>
        <w:tc>
          <w:tcPr>
            <w:tcW w:w="9100" w:type="dxa"/>
            <w:vAlign w:val="bottom"/>
            <w:tcBorders>
              <w:bottom w:val="single" w:sz="8" w:color="520B90"/>
            </w:tcBorders>
          </w:tcPr>
          <w:p>
            <w:pPr>
              <w:spacing w:after="0"/>
              <w:rPr>
                <w:sz w:val="2"/>
                <w:szCs w:val="2"/>
                <w:color w:val="auto"/>
              </w:rPr>
            </w:pP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820" w:type="dxa"/>
            <w:vAlign w:val="bottom"/>
            <w:tcBorders>
              <w:bottom w:val="single" w:sz="8" w:color="520B90"/>
            </w:tcBorders>
          </w:tcPr>
          <w:p>
            <w:pPr>
              <w:spacing w:after="0"/>
              <w:rPr>
                <w:sz w:val="2"/>
                <w:szCs w:val="2"/>
                <w:color w:val="auto"/>
              </w:rPr>
            </w:pPr>
          </w:p>
        </w:tc>
        <w:tc>
          <w:tcPr>
            <w:tcW w:w="1080" w:type="dxa"/>
            <w:vAlign w:val="bottom"/>
            <w:tcBorders>
              <w:bottom w:val="single" w:sz="8" w:color="520B90"/>
            </w:tcBorders>
          </w:tcPr>
          <w:p>
            <w:pPr>
              <w:spacing w:after="0"/>
              <w:rPr>
                <w:sz w:val="2"/>
                <w:szCs w:val="2"/>
                <w:color w:val="auto"/>
              </w:rPr>
            </w:pPr>
          </w:p>
        </w:tc>
        <w:tc>
          <w:tcPr>
            <w:tcW w:w="9100" w:type="dxa"/>
            <w:vAlign w:val="bottom"/>
            <w:tcBorders>
              <w:bottom w:val="single" w:sz="8" w:color="520B90"/>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40" w:type="dxa"/>
            <w:vAlign w:val="bottom"/>
            <w:tcBorders>
              <w:right w:val="single" w:sz="8" w:color="520B90"/>
            </w:tcBorders>
          </w:tcPr>
          <w:p>
            <w:pPr>
              <w:spacing w:after="0"/>
              <w:rPr>
                <w:sz w:val="18"/>
                <w:szCs w:val="18"/>
                <w:color w:val="auto"/>
              </w:rPr>
            </w:pPr>
          </w:p>
        </w:tc>
        <w:tc>
          <w:tcPr>
            <w:tcW w:w="1900" w:type="dxa"/>
            <w:vAlign w:val="bottom"/>
            <w:gridSpan w:val="2"/>
          </w:tcPr>
          <w:p>
            <w:pPr>
              <w:ind w:left="20"/>
              <w:spacing w:after="0"/>
              <w:rPr>
                <w:sz w:val="20"/>
                <w:szCs w:val="20"/>
                <w:color w:val="auto"/>
              </w:rPr>
            </w:pPr>
            <w:r>
              <w:rPr>
                <w:rFonts w:ascii="Arial" w:cs="Arial" w:eastAsia="Arial" w:hAnsi="Arial"/>
                <w:sz w:val="17"/>
                <w:szCs w:val="17"/>
                <w:b w:val="1"/>
                <w:bCs w:val="1"/>
                <w:color w:val="520B90"/>
              </w:rPr>
              <w:t>Target Compensation</w:t>
            </w:r>
          </w:p>
        </w:tc>
        <w:tc>
          <w:tcPr>
            <w:tcW w:w="9100" w:type="dxa"/>
            <w:vAlign w:val="bottom"/>
          </w:tcPr>
          <w:p>
            <w:pPr>
              <w:ind w:left="180"/>
              <w:spacing w:after="0"/>
              <w:rPr>
                <w:sz w:val="20"/>
                <w:szCs w:val="20"/>
                <w:color w:val="auto"/>
              </w:rPr>
            </w:pPr>
            <w:r>
              <w:rPr>
                <w:rFonts w:ascii="Arial" w:cs="Arial" w:eastAsia="Arial" w:hAnsi="Arial"/>
                <w:sz w:val="17"/>
                <w:szCs w:val="17"/>
                <w:color w:val="auto"/>
                <w:w w:val="99"/>
              </w:rPr>
              <w:t>Based on the competitive market, for 2025, we largely held target compensation flat and did not increase base salary or</w:t>
            </w:r>
          </w:p>
        </w:tc>
        <w:tc>
          <w:tcPr>
            <w:tcW w:w="0" w:type="dxa"/>
            <w:vAlign w:val="bottom"/>
          </w:tcPr>
          <w:p>
            <w:pPr>
              <w:spacing w:after="0"/>
              <w:rPr>
                <w:sz w:val="1"/>
                <w:szCs w:val="1"/>
                <w:color w:val="auto"/>
              </w:rPr>
            </w:pPr>
          </w:p>
        </w:tc>
      </w:tr>
      <w:tr>
        <w:trPr>
          <w:trHeight w:val="248"/>
        </w:trPr>
        <w:tc>
          <w:tcPr>
            <w:tcW w:w="340" w:type="dxa"/>
            <w:vAlign w:val="bottom"/>
            <w:tcBorders>
              <w:right w:val="single" w:sz="8" w:color="520B90"/>
            </w:tcBorders>
          </w:tcPr>
          <w:p>
            <w:pPr>
              <w:spacing w:after="0"/>
              <w:rPr>
                <w:sz w:val="21"/>
                <w:szCs w:val="21"/>
                <w:color w:val="auto"/>
              </w:rPr>
            </w:pPr>
          </w:p>
        </w:tc>
        <w:tc>
          <w:tcPr>
            <w:tcW w:w="1900" w:type="dxa"/>
            <w:vAlign w:val="bottom"/>
            <w:gridSpan w:val="2"/>
          </w:tcPr>
          <w:p>
            <w:pPr>
              <w:ind w:left="20"/>
              <w:spacing w:after="0"/>
              <w:rPr>
                <w:sz w:val="20"/>
                <w:szCs w:val="20"/>
                <w:color w:val="auto"/>
              </w:rPr>
            </w:pPr>
            <w:r>
              <w:rPr>
                <w:rFonts w:ascii="Arial" w:cs="Arial" w:eastAsia="Arial" w:hAnsi="Arial"/>
                <w:sz w:val="17"/>
                <w:szCs w:val="17"/>
                <w:b w:val="1"/>
                <w:bCs w:val="1"/>
                <w:color w:val="520B90"/>
              </w:rPr>
              <w:t>Adjustments</w:t>
            </w:r>
          </w:p>
        </w:tc>
        <w:tc>
          <w:tcPr>
            <w:tcW w:w="9100" w:type="dxa"/>
            <w:vAlign w:val="bottom"/>
          </w:tcPr>
          <w:p>
            <w:pPr>
              <w:ind w:left="180"/>
              <w:spacing w:after="0"/>
              <w:rPr>
                <w:sz w:val="20"/>
                <w:szCs w:val="20"/>
                <w:color w:val="auto"/>
              </w:rPr>
            </w:pPr>
            <w:r>
              <w:rPr>
                <w:rFonts w:ascii="Arial" w:cs="Arial" w:eastAsia="Arial" w:hAnsi="Arial"/>
                <w:sz w:val="17"/>
                <w:szCs w:val="17"/>
                <w:color w:val="auto"/>
              </w:rPr>
              <w:t>annual incentive opportunities for our NEOs.</w:t>
            </w:r>
          </w:p>
        </w:tc>
        <w:tc>
          <w:tcPr>
            <w:tcW w:w="0" w:type="dxa"/>
            <w:vAlign w:val="bottom"/>
          </w:tcPr>
          <w:p>
            <w:pPr>
              <w:spacing w:after="0"/>
              <w:rPr>
                <w:sz w:val="1"/>
                <w:szCs w:val="1"/>
                <w:color w:val="auto"/>
              </w:rPr>
            </w:pPr>
          </w:p>
        </w:tc>
      </w:tr>
      <w:tr>
        <w:trPr>
          <w:trHeight w:val="25"/>
        </w:trPr>
        <w:tc>
          <w:tcPr>
            <w:tcW w:w="340" w:type="dxa"/>
            <w:vAlign w:val="bottom"/>
            <w:tcBorders>
              <w:right w:val="single" w:sz="8" w:color="520B90"/>
            </w:tcBorders>
          </w:tcPr>
          <w:p>
            <w:pPr>
              <w:spacing w:after="0"/>
              <w:rPr>
                <w:sz w:val="2"/>
                <w:szCs w:val="2"/>
                <w:color w:val="auto"/>
              </w:rPr>
            </w:pPr>
          </w:p>
        </w:tc>
        <w:tc>
          <w:tcPr>
            <w:tcW w:w="820" w:type="dxa"/>
            <w:vAlign w:val="bottom"/>
            <w:tcBorders>
              <w:bottom w:val="single" w:sz="8" w:color="520B90"/>
            </w:tcBorders>
          </w:tcPr>
          <w:p>
            <w:pPr>
              <w:spacing w:after="0"/>
              <w:rPr>
                <w:sz w:val="2"/>
                <w:szCs w:val="2"/>
                <w:color w:val="auto"/>
              </w:rPr>
            </w:pPr>
          </w:p>
        </w:tc>
        <w:tc>
          <w:tcPr>
            <w:tcW w:w="1080" w:type="dxa"/>
            <w:vAlign w:val="bottom"/>
            <w:tcBorders>
              <w:bottom w:val="single" w:sz="8" w:color="520B90"/>
            </w:tcBorders>
          </w:tcPr>
          <w:p>
            <w:pPr>
              <w:spacing w:after="0"/>
              <w:rPr>
                <w:sz w:val="2"/>
                <w:szCs w:val="2"/>
                <w:color w:val="auto"/>
              </w:rPr>
            </w:pPr>
          </w:p>
        </w:tc>
        <w:tc>
          <w:tcPr>
            <w:tcW w:w="9100" w:type="dxa"/>
            <w:vAlign w:val="bottom"/>
            <w:tcBorders>
              <w:bottom w:val="single" w:sz="8" w:color="520B90"/>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8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1516380</wp:posOffset>
            </wp:positionH>
            <wp:positionV relativeFrom="paragraph">
              <wp:posOffset>-436245</wp:posOffset>
            </wp:positionV>
            <wp:extent cx="825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-419735</wp:posOffset>
            </wp:positionV>
            <wp:extent cx="825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-402590</wp:posOffset>
            </wp:positionV>
            <wp:extent cx="825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-386080</wp:posOffset>
            </wp:positionV>
            <wp:extent cx="825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-368935</wp:posOffset>
            </wp:positionV>
            <wp:extent cx="825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-352425</wp:posOffset>
            </wp:positionV>
            <wp:extent cx="825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-335280</wp:posOffset>
            </wp:positionV>
            <wp:extent cx="82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-318770</wp:posOffset>
            </wp:positionV>
            <wp:extent cx="825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-301625</wp:posOffset>
            </wp:positionV>
            <wp:extent cx="825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-285115</wp:posOffset>
            </wp:positionV>
            <wp:extent cx="825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-268605</wp:posOffset>
            </wp:positionV>
            <wp:extent cx="825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-251460</wp:posOffset>
            </wp:positionV>
            <wp:extent cx="825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-234950</wp:posOffset>
            </wp:positionV>
            <wp:extent cx="825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-217805</wp:posOffset>
            </wp:positionV>
            <wp:extent cx="825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-201295</wp:posOffset>
            </wp:positionV>
            <wp:extent cx="825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-184150</wp:posOffset>
            </wp:positionV>
            <wp:extent cx="825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-167640</wp:posOffset>
            </wp:positionV>
            <wp:extent cx="825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-150495</wp:posOffset>
            </wp:positionV>
            <wp:extent cx="825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-133985</wp:posOffset>
            </wp:positionV>
            <wp:extent cx="825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-1654810</wp:posOffset>
            </wp:positionV>
            <wp:extent cx="8255" cy="1651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255" cy="16510"/>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-1630045</wp:posOffset>
            </wp:positionV>
            <wp:extent cx="825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-1612900</wp:posOffset>
            </wp:positionV>
            <wp:extent cx="825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-1596390</wp:posOffset>
            </wp:positionV>
            <wp:extent cx="825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-1579245</wp:posOffset>
            </wp:positionV>
            <wp:extent cx="825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-1562735</wp:posOffset>
            </wp:positionV>
            <wp:extent cx="825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-1545590</wp:posOffset>
            </wp:positionV>
            <wp:extent cx="825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-1529080</wp:posOffset>
            </wp:positionV>
            <wp:extent cx="825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-1511935</wp:posOffset>
            </wp:positionV>
            <wp:extent cx="825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-1495425</wp:posOffset>
            </wp:positionV>
            <wp:extent cx="825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-1478280</wp:posOffset>
            </wp:positionV>
            <wp:extent cx="825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-1461770</wp:posOffset>
            </wp:positionV>
            <wp:extent cx="825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-1444625</wp:posOffset>
            </wp:positionV>
            <wp:extent cx="825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-1428115</wp:posOffset>
            </wp:positionV>
            <wp:extent cx="82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-1410970</wp:posOffset>
            </wp:positionV>
            <wp:extent cx="825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-1394460</wp:posOffset>
            </wp:positionV>
            <wp:extent cx="825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-1377315</wp:posOffset>
            </wp:positionV>
            <wp:extent cx="825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-1360805</wp:posOffset>
            </wp:positionV>
            <wp:extent cx="825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-1344295</wp:posOffset>
            </wp:positionV>
            <wp:extent cx="825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-1327150</wp:posOffset>
            </wp:positionV>
            <wp:extent cx="825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-1310640</wp:posOffset>
            </wp:positionV>
            <wp:extent cx="825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-1293495</wp:posOffset>
            </wp:positionV>
            <wp:extent cx="825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-1276985</wp:posOffset>
            </wp:positionV>
            <wp:extent cx="825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-1259840</wp:posOffset>
            </wp:positionV>
            <wp:extent cx="825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-1243330</wp:posOffset>
            </wp:positionV>
            <wp:extent cx="825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-1226185</wp:posOffset>
            </wp:positionV>
            <wp:extent cx="825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-1209675</wp:posOffset>
            </wp:positionV>
            <wp:extent cx="825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-1192530</wp:posOffset>
            </wp:positionV>
            <wp:extent cx="825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-1176020</wp:posOffset>
            </wp:positionV>
            <wp:extent cx="82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-1158875</wp:posOffset>
            </wp:positionV>
            <wp:extent cx="825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-1142365</wp:posOffset>
            </wp:positionV>
            <wp:extent cx="825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-1125220</wp:posOffset>
            </wp:positionV>
            <wp:extent cx="825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-1108710</wp:posOffset>
            </wp:positionV>
            <wp:extent cx="825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-1092200</wp:posOffset>
            </wp:positionV>
            <wp:extent cx="825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-1075055</wp:posOffset>
            </wp:positionV>
            <wp:extent cx="825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-1058545</wp:posOffset>
            </wp:positionV>
            <wp:extent cx="825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-1041400</wp:posOffset>
            </wp:positionV>
            <wp:extent cx="825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-1024890</wp:posOffset>
            </wp:positionV>
            <wp:extent cx="825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-1007745</wp:posOffset>
            </wp:positionV>
            <wp:extent cx="825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-991235</wp:posOffset>
            </wp:positionV>
            <wp:extent cx="825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-974090</wp:posOffset>
            </wp:positionV>
            <wp:extent cx="825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-957580</wp:posOffset>
            </wp:positionV>
            <wp:extent cx="825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-940435</wp:posOffset>
            </wp:positionV>
            <wp:extent cx="825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-923925</wp:posOffset>
            </wp:positionV>
            <wp:extent cx="825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-906780</wp:posOffset>
            </wp:positionV>
            <wp:extent cx="825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-890270</wp:posOffset>
            </wp:positionV>
            <wp:extent cx="825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-873125</wp:posOffset>
            </wp:positionV>
            <wp:extent cx="825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-856615</wp:posOffset>
            </wp:positionV>
            <wp:extent cx="825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-839470</wp:posOffset>
            </wp:positionV>
            <wp:extent cx="825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-822960</wp:posOffset>
            </wp:positionV>
            <wp:extent cx="825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-806450</wp:posOffset>
            </wp:positionV>
            <wp:extent cx="82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-789305</wp:posOffset>
            </wp:positionV>
            <wp:extent cx="825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-772795</wp:posOffset>
            </wp:positionV>
            <wp:extent cx="825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-755650</wp:posOffset>
            </wp:positionV>
            <wp:extent cx="825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-739140</wp:posOffset>
            </wp:positionV>
            <wp:extent cx="825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-721995</wp:posOffset>
            </wp:positionV>
            <wp:extent cx="825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-705485</wp:posOffset>
            </wp:positionV>
            <wp:extent cx="825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-688340</wp:posOffset>
            </wp:positionV>
            <wp:extent cx="825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-671830</wp:posOffset>
            </wp:positionV>
            <wp:extent cx="825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-654685</wp:posOffset>
            </wp:positionV>
            <wp:extent cx="825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-638175</wp:posOffset>
            </wp:positionV>
            <wp:extent cx="825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-621030</wp:posOffset>
            </wp:positionV>
            <wp:extent cx="825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-604520</wp:posOffset>
            </wp:positionV>
            <wp:extent cx="825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-587375</wp:posOffset>
            </wp:positionV>
            <wp:extent cx="825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-570865</wp:posOffset>
            </wp:positionV>
            <wp:extent cx="825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-553720</wp:posOffset>
            </wp:positionV>
            <wp:extent cx="825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-537210</wp:posOffset>
            </wp:positionV>
            <wp:extent cx="82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-520700</wp:posOffset>
            </wp:positionV>
            <wp:extent cx="825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-503555</wp:posOffset>
            </wp:positionV>
            <wp:extent cx="825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-487045</wp:posOffset>
            </wp:positionV>
            <wp:extent cx="825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47" w:lineRule="exact"/>
        <w:rPr>
          <w:sz w:val="20"/>
          <w:szCs w:val="20"/>
          <w:color w:val="auto"/>
        </w:rPr>
      </w:pPr>
    </w:p>
    <w:p>
      <w:pPr>
        <w:ind w:left="320" w:hanging="314"/>
        <w:spacing w:after="0"/>
        <w:tabs>
          <w:tab w:leader="none" w:pos="32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 xml:space="preserve">See </w:t>
      </w:r>
      <w:r>
        <w:rPr>
          <w:rFonts w:ascii="Arial" w:cs="Arial" w:eastAsia="Arial" w:hAnsi="Arial"/>
          <w:sz w:val="13"/>
          <w:szCs w:val="13"/>
          <w:i w:val="1"/>
          <w:iCs w:val="1"/>
          <w:color w:val="auto"/>
        </w:rPr>
        <w:t>Appendix B</w:t>
      </w:r>
      <w:r>
        <w:rPr>
          <w:rFonts w:ascii="Arial" w:cs="Arial" w:eastAsia="Arial" w:hAnsi="Arial"/>
          <w:sz w:val="13"/>
          <w:szCs w:val="13"/>
          <w:color w:val="auto"/>
        </w:rPr>
        <w:t xml:space="preserve"> for our definition of these non-GAAP financial measures.</w:t>
      </w:r>
    </w:p>
    <w:p>
      <w:pPr>
        <w:spacing w:after="0" w:line="21" w:lineRule="exact"/>
        <w:rPr>
          <w:rFonts w:ascii="Arial" w:cs="Arial" w:eastAsia="Arial" w:hAnsi="Arial"/>
          <w:sz w:val="13"/>
          <w:szCs w:val="13"/>
          <w:color w:val="auto"/>
        </w:rPr>
      </w:pPr>
    </w:p>
    <w:p>
      <w:pPr>
        <w:ind w:left="320" w:hanging="314"/>
        <w:spacing w:after="0"/>
        <w:tabs>
          <w:tab w:leader="none" w:pos="32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Mr. Schlanger's Transformation RSUs vest 50% upon the closing of the Strategic Fiber Transaction and 50% on the six-month anniversary of such closing.</w:t>
      </w:r>
    </w:p>
    <w:p>
      <w:pPr>
        <w:spacing w:after="0" w:line="15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Compensation Arrangements for Certain Executives</w:t>
      </w:r>
    </w:p>
    <w:p>
      <w:pPr>
        <w:spacing w:after="0" w:line="164" w:lineRule="exact"/>
        <w:rPr>
          <w:sz w:val="20"/>
          <w:szCs w:val="20"/>
          <w:color w:val="auto"/>
        </w:rPr>
      </w:pPr>
    </w:p>
    <w:p>
      <w:pPr>
        <w:ind w:right="740"/>
        <w:spacing w:after="0" w:line="274" w:lineRule="auto"/>
        <w:rPr>
          <w:sz w:val="20"/>
          <w:szCs w:val="20"/>
          <w:color w:val="auto"/>
        </w:rPr>
      </w:pPr>
      <w:r>
        <w:rPr>
          <w:rFonts w:ascii="Arial" w:cs="Arial" w:eastAsia="Arial" w:hAnsi="Arial"/>
          <w:sz w:val="18"/>
          <w:szCs w:val="18"/>
          <w:color w:val="auto"/>
        </w:rPr>
        <w:t>To help facilitate the leadership changes and transitions that we believe were necessary to support the business (as outlined above), we entered into the compensation arrangements outlined in the table below in 2025.</w:t>
      </w:r>
    </w:p>
    <w:p>
      <w:pPr>
        <w:sectPr>
          <w:pgSz w:w="11900" w:h="16838" w:orient="portrait"/>
          <w:cols w:equalWidth="0" w:num="1">
            <w:col w:w="11340"/>
          </w:cols>
          <w:pgMar w:left="320" w:top="1388" w:right="239" w:bottom="1440" w:gutter="0" w:footer="0" w:header="0"/>
        </w:sectPr>
      </w:pPr>
    </w:p>
    <w:p>
      <w:pPr>
        <w:spacing w:after="0" w:line="20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FFFFFF"/>
        </w:rPr>
        <w:t>Name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520B90"/>
        </w:rPr>
        <w:t>Mr. Patel</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Compensation Arrangement and Rationale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-1087755</wp:posOffset>
            </wp:positionH>
            <wp:positionV relativeFrom="paragraph">
              <wp:posOffset>-127000</wp:posOffset>
            </wp:positionV>
            <wp:extent cx="7134860" cy="1168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4860" cy="1168400"/>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his appointment as EVP and CFO, Mr. Patel received the following compensation arrangement:</w:t>
      </w:r>
    </w:p>
    <w:p>
      <w:pPr>
        <w:spacing w:after="0" w:line="69" w:lineRule="exact"/>
        <w:rPr>
          <w:sz w:val="20"/>
          <w:szCs w:val="20"/>
          <w:color w:val="auto"/>
        </w:rPr>
      </w:pPr>
    </w:p>
    <w:p>
      <w:pPr>
        <w:ind w:left="400" w:right="260" w:hanging="244"/>
        <w:spacing w:after="0" w:line="254" w:lineRule="auto"/>
        <w:tabs>
          <w:tab w:leader="none" w:pos="392" w:val="left"/>
        </w:tabs>
        <w:numPr>
          <w:ilvl w:val="0"/>
          <w:numId w:val="110"/>
        </w:numPr>
        <w:rPr>
          <w:rFonts w:ascii="Arial" w:cs="Arial" w:eastAsia="Arial" w:hAnsi="Arial"/>
          <w:sz w:val="17"/>
          <w:szCs w:val="17"/>
          <w:color w:val="520B90"/>
        </w:rPr>
      </w:pPr>
      <w:r>
        <w:rPr>
          <w:rFonts w:ascii="Arial" w:cs="Arial" w:eastAsia="Arial" w:hAnsi="Arial"/>
          <w:sz w:val="17"/>
          <w:szCs w:val="17"/>
          <w:color w:val="auto"/>
        </w:rPr>
        <w:t>Target compensation consisting of $625,000 in base salary, target annual incentive of 100% of base salary and 2025 LTI award with an approximate value of $4,450,000, delivered in the form of 40% RSUs which vest based on the passage of time over a three-year period or such other time period as specified in the agreement governing the RSUs ("Time RSUs") and 60% performance-based RSUs; and</w:t>
      </w:r>
    </w:p>
    <w:p>
      <w:pPr>
        <w:spacing w:after="0" w:line="19" w:lineRule="exact"/>
        <w:rPr>
          <w:rFonts w:ascii="Arial" w:cs="Arial" w:eastAsia="Arial" w:hAnsi="Arial"/>
          <w:sz w:val="17"/>
          <w:szCs w:val="17"/>
          <w:color w:val="520B90"/>
        </w:rPr>
      </w:pPr>
    </w:p>
    <w:p>
      <w:pPr>
        <w:ind w:left="400" w:right="160" w:hanging="244"/>
        <w:spacing w:after="0" w:line="308" w:lineRule="auto"/>
        <w:tabs>
          <w:tab w:leader="none" w:pos="392" w:val="left"/>
        </w:tabs>
        <w:numPr>
          <w:ilvl w:val="0"/>
          <w:numId w:val="110"/>
        </w:numPr>
        <w:rPr>
          <w:rFonts w:ascii="Arial" w:cs="Arial" w:eastAsia="Arial" w:hAnsi="Arial"/>
          <w:sz w:val="16"/>
          <w:szCs w:val="16"/>
          <w:color w:val="520B90"/>
        </w:rPr>
      </w:pPr>
      <w:r>
        <w:rPr>
          <w:rFonts w:ascii="Arial" w:cs="Arial" w:eastAsia="Arial" w:hAnsi="Arial"/>
          <w:sz w:val="16"/>
          <w:szCs w:val="16"/>
          <w:color w:val="auto"/>
        </w:rPr>
        <w:t>One-time make-whole cash bonus of $250,000 and make-whole Time RSUs of $3,000,000 vesting over three years, which were similar in value to and intended to replace his forfeited bonus and equity upon separation from his prior 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-1087755</wp:posOffset>
            </wp:positionH>
            <wp:positionV relativeFrom="paragraph">
              <wp:posOffset>-16510</wp:posOffset>
            </wp:positionV>
            <wp:extent cx="7134860" cy="1651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00" w:space="720"/>
            <w:col w:w="9620"/>
          </w:cols>
          <w:pgMar w:left="320" w:top="1388" w:right="239" w:bottom="1440" w:gutter="0" w:footer="0" w:header="0"/>
          <w:type w:val="continuous"/>
        </w:sectPr>
      </w:pPr>
    </w:p>
    <w:p>
      <w:pPr>
        <w:spacing w:after="0" w:line="369"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388" w:right="239" w:bottom="1440" w:gutter="0" w:footer="0" w:header="0"/>
          <w:type w:val="continuous"/>
        </w:sectPr>
      </w:pPr>
    </w:p>
    <w:bookmarkStart w:id="41" w:name="page42"/>
    <w:bookmarkEnd w:id="41"/>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946150</wp:posOffset>
            </wp:positionV>
            <wp:extent cx="7134860" cy="15297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4860" cy="1529715"/>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7"/>
          <w:szCs w:val="17"/>
          <w:color w:val="auto"/>
        </w:rPr>
        <w:t>In connection with his appointment as Interim President and CEO, the Board approved a:</w:t>
      </w:r>
    </w:p>
    <w:p>
      <w:pPr>
        <w:spacing w:after="0" w:line="56" w:lineRule="exact"/>
        <w:rPr>
          <w:sz w:val="20"/>
          <w:szCs w:val="20"/>
          <w:color w:val="auto"/>
        </w:rPr>
      </w:pPr>
    </w:p>
    <w:p>
      <w:pPr>
        <w:ind w:left="2120" w:right="580" w:hanging="244"/>
        <w:spacing w:after="0" w:line="275" w:lineRule="auto"/>
        <w:tabs>
          <w:tab w:leader="none" w:pos="2112" w:val="left"/>
        </w:tabs>
        <w:numPr>
          <w:ilvl w:val="0"/>
          <w:numId w:val="111"/>
        </w:numPr>
        <w:rPr>
          <w:rFonts w:ascii="Arial" w:cs="Arial" w:eastAsia="Arial" w:hAnsi="Arial"/>
          <w:sz w:val="17"/>
          <w:szCs w:val="17"/>
          <w:color w:val="520B90"/>
        </w:rPr>
      </w:pPr>
      <w:r>
        <w:rPr>
          <w:rFonts w:ascii="Arial" w:cs="Arial" w:eastAsia="Arial" w:hAnsi="Arial"/>
          <w:sz w:val="17"/>
          <w:szCs w:val="17"/>
          <w:color w:val="auto"/>
        </w:rPr>
        <w:t>Monthly stipend of $100,000 in addition to his base salary as CFO that he would continue to be eligible to receive to recognize the difference in cash compensation levels between his role as CFO and that of a CEO;</w:t>
      </w:r>
    </w:p>
    <w:p>
      <w:pPr>
        <w:spacing w:after="0" w:line="15" w:lineRule="exact"/>
        <w:rPr>
          <w:rFonts w:ascii="Arial" w:cs="Arial" w:eastAsia="Arial" w:hAnsi="Arial"/>
          <w:sz w:val="17"/>
          <w:szCs w:val="17"/>
          <w:color w:val="520B90"/>
        </w:rPr>
      </w:pPr>
    </w:p>
    <w:p>
      <w:pPr>
        <w:ind w:left="2100" w:hanging="224"/>
        <w:spacing w:after="0"/>
        <w:tabs>
          <w:tab w:leader="none" w:pos="2100" w:val="left"/>
        </w:tabs>
        <w:numPr>
          <w:ilvl w:val="0"/>
          <w:numId w:val="111"/>
        </w:numPr>
        <w:rPr>
          <w:rFonts w:ascii="Arial" w:cs="Arial" w:eastAsia="Arial" w:hAnsi="Arial"/>
          <w:sz w:val="17"/>
          <w:szCs w:val="17"/>
          <w:color w:val="520B90"/>
        </w:rPr>
      </w:pPr>
      <w:r>
        <w:rPr>
          <w:rFonts w:ascii="Arial" w:cs="Arial" w:eastAsia="Arial" w:hAnsi="Arial"/>
          <w:sz w:val="17"/>
          <w:szCs w:val="17"/>
          <w:color w:val="auto"/>
        </w:rPr>
        <w:t>2025 LTI award with an approximate value of $4,125,000, which represents the LTI award he would have received in</w:t>
      </w:r>
    </w:p>
    <w:p>
      <w:pPr>
        <w:spacing w:after="0" w:line="19"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1600" w:type="dxa"/>
            <w:vAlign w:val="bottom"/>
            <w:vMerge w:val="restart"/>
          </w:tcPr>
          <w:p>
            <w:pPr>
              <w:spacing w:after="0"/>
              <w:rPr>
                <w:sz w:val="20"/>
                <w:szCs w:val="20"/>
                <w:color w:val="auto"/>
              </w:rPr>
            </w:pPr>
            <w:r>
              <w:rPr>
                <w:rFonts w:ascii="Arial" w:cs="Arial" w:eastAsia="Arial" w:hAnsi="Arial"/>
                <w:sz w:val="17"/>
                <w:szCs w:val="17"/>
                <w:b w:val="1"/>
                <w:bCs w:val="1"/>
                <w:color w:val="520B90"/>
              </w:rPr>
              <w:t>Mr. Schlanger</w:t>
            </w:r>
          </w:p>
        </w:tc>
        <w:tc>
          <w:tcPr>
            <w:tcW w:w="3560" w:type="dxa"/>
            <w:vAlign w:val="bottom"/>
          </w:tcPr>
          <w:p>
            <w:pPr>
              <w:ind w:left="500"/>
              <w:spacing w:after="0"/>
              <w:rPr>
                <w:sz w:val="20"/>
                <w:szCs w:val="20"/>
                <w:color w:val="auto"/>
              </w:rPr>
            </w:pPr>
            <w:r>
              <w:rPr>
                <w:rFonts w:ascii="Arial" w:cs="Arial" w:eastAsia="Arial" w:hAnsi="Arial"/>
                <w:sz w:val="17"/>
                <w:szCs w:val="17"/>
                <w:color w:val="auto"/>
                <w:w w:val="97"/>
              </w:rPr>
              <w:t>normal course had he continued as CFO;</w:t>
            </w:r>
          </w:p>
        </w:tc>
        <w:tc>
          <w:tcPr>
            <w:tcW w:w="0" w:type="dxa"/>
            <w:vAlign w:val="bottom"/>
          </w:tcPr>
          <w:p>
            <w:pPr>
              <w:spacing w:after="0"/>
              <w:rPr>
                <w:sz w:val="1"/>
                <w:szCs w:val="1"/>
                <w:color w:val="auto"/>
              </w:rPr>
            </w:pPr>
          </w:p>
        </w:tc>
      </w:tr>
      <w:tr>
        <w:trPr>
          <w:trHeight w:val="30"/>
        </w:trPr>
        <w:tc>
          <w:tcPr>
            <w:tcW w:w="1600" w:type="dxa"/>
            <w:vAlign w:val="bottom"/>
            <w:vMerge w:val="continue"/>
          </w:tcPr>
          <w:p>
            <w:pPr>
              <w:spacing w:after="0"/>
              <w:rPr>
                <w:sz w:val="2"/>
                <w:szCs w:val="2"/>
                <w:color w:val="auto"/>
              </w:rPr>
            </w:pPr>
          </w:p>
        </w:tc>
        <w:tc>
          <w:tcPr>
            <w:tcW w:w="3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jc w:val="both"/>
        <w:ind w:left="2120" w:right="860" w:hanging="244"/>
        <w:spacing w:after="0" w:line="283" w:lineRule="auto"/>
        <w:tabs>
          <w:tab w:leader="none" w:pos="2112" w:val="left"/>
        </w:tabs>
        <w:numPr>
          <w:ilvl w:val="0"/>
          <w:numId w:val="112"/>
        </w:numPr>
        <w:rPr>
          <w:rFonts w:ascii="Arial" w:cs="Arial" w:eastAsia="Arial" w:hAnsi="Arial"/>
          <w:sz w:val="16"/>
          <w:szCs w:val="16"/>
          <w:color w:val="520B90"/>
        </w:rPr>
      </w:pPr>
      <w:r>
        <w:rPr>
          <w:rFonts w:ascii="Arial" w:cs="Arial" w:eastAsia="Arial" w:hAnsi="Arial"/>
          <w:sz w:val="16"/>
          <w:szCs w:val="16"/>
          <w:color w:val="auto"/>
        </w:rPr>
        <w:t>Time RSU award with an approximate value of $4,100,000 cliff vesting after one year, which amount represents approximately one third of the annual LTI award received by our former President and CEO, Mr. Moskowitz; and</w:t>
      </w:r>
    </w:p>
    <w:p>
      <w:pPr>
        <w:ind w:left="2100" w:hanging="224"/>
        <w:spacing w:after="0"/>
        <w:tabs>
          <w:tab w:leader="none" w:pos="2100" w:val="left"/>
        </w:tabs>
        <w:numPr>
          <w:ilvl w:val="0"/>
          <w:numId w:val="112"/>
        </w:numPr>
        <w:rPr>
          <w:rFonts w:ascii="Arial" w:cs="Arial" w:eastAsia="Arial" w:hAnsi="Arial"/>
          <w:sz w:val="17"/>
          <w:szCs w:val="17"/>
          <w:color w:val="520B90"/>
        </w:rPr>
      </w:pPr>
      <w:r>
        <w:rPr>
          <w:rFonts w:ascii="Arial" w:cs="Arial" w:eastAsia="Arial" w:hAnsi="Arial"/>
          <w:sz w:val="17"/>
          <w:szCs w:val="17"/>
          <w:color w:val="auto"/>
        </w:rPr>
        <w:t>Transformation RSU award (as described above) with an approximate value of $1,000,000.</w:t>
      </w:r>
    </w:p>
    <w:p>
      <w:pPr>
        <w:spacing w:after="0" w:line="69" w:lineRule="exact"/>
        <w:rPr>
          <w:sz w:val="20"/>
          <w:szCs w:val="20"/>
          <w:color w:val="auto"/>
        </w:rPr>
      </w:pPr>
    </w:p>
    <w:p>
      <w:pPr>
        <w:ind w:left="1720" w:right="640"/>
        <w:spacing w:after="0" w:line="275" w:lineRule="auto"/>
        <w:rPr>
          <w:sz w:val="20"/>
          <w:szCs w:val="20"/>
          <w:color w:val="auto"/>
        </w:rPr>
      </w:pPr>
      <w:r>
        <w:rPr>
          <w:rFonts w:ascii="Arial" w:cs="Arial" w:eastAsia="Arial" w:hAnsi="Arial"/>
          <w:sz w:val="17"/>
          <w:szCs w:val="17"/>
          <w:color w:val="auto"/>
        </w:rPr>
        <w:t>In connection with his transition to EVP and CTRO on September 15, 2025, Mr. Schlanger did not receive any additional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7134860" cy="146240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4860" cy="1462405"/>
                    </a:xfrm>
                    <a:prstGeom prst="rect">
                      <a:avLst/>
                    </a:prstGeom>
                    <a:noFill/>
                  </pic:spPr>
                </pic:pic>
              </a:graphicData>
            </a:graphic>
          </wp:anchor>
        </w:drawing>
      </w:r>
    </w:p>
    <w:p>
      <w:pPr>
        <w:spacing w:after="0" w:line="61"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In connection with his appointment as President and CEO, the Board approved:</w:t>
      </w:r>
    </w:p>
    <w:p>
      <w:pPr>
        <w:spacing w:after="0" w:line="56" w:lineRule="exact"/>
        <w:rPr>
          <w:sz w:val="20"/>
          <w:szCs w:val="20"/>
          <w:color w:val="auto"/>
        </w:rPr>
      </w:pPr>
    </w:p>
    <w:p>
      <w:pPr>
        <w:ind w:left="2120" w:right="400" w:hanging="244"/>
        <w:spacing w:after="0" w:line="275" w:lineRule="auto"/>
        <w:tabs>
          <w:tab w:leader="none" w:pos="2112" w:val="left"/>
        </w:tabs>
        <w:numPr>
          <w:ilvl w:val="0"/>
          <w:numId w:val="113"/>
        </w:numPr>
        <w:rPr>
          <w:rFonts w:ascii="Arial" w:cs="Arial" w:eastAsia="Arial" w:hAnsi="Arial"/>
          <w:sz w:val="17"/>
          <w:szCs w:val="17"/>
          <w:color w:val="520B90"/>
        </w:rPr>
      </w:pPr>
      <w:r>
        <w:rPr>
          <w:rFonts w:ascii="Arial" w:cs="Arial" w:eastAsia="Arial" w:hAnsi="Arial"/>
          <w:sz w:val="17"/>
          <w:szCs w:val="17"/>
          <w:color w:val="auto"/>
        </w:rPr>
        <w:t>Target cash compensation consisting of $1,000,000 in base salary and target annual incentive of 200% of base salary, each pro-rated for service;</w:t>
      </w:r>
    </w:p>
    <w:p>
      <w:pPr>
        <w:spacing w:after="0" w:line="15" w:lineRule="exact"/>
        <w:rPr>
          <w:rFonts w:ascii="Arial" w:cs="Arial" w:eastAsia="Arial" w:hAnsi="Arial"/>
          <w:sz w:val="17"/>
          <w:szCs w:val="17"/>
          <w:color w:val="520B90"/>
        </w:rPr>
      </w:pPr>
    </w:p>
    <w:p>
      <w:pPr>
        <w:ind w:left="2100" w:hanging="224"/>
        <w:spacing w:after="0"/>
        <w:tabs>
          <w:tab w:leader="none" w:pos="2100" w:val="left"/>
        </w:tabs>
        <w:numPr>
          <w:ilvl w:val="0"/>
          <w:numId w:val="113"/>
        </w:numPr>
        <w:rPr>
          <w:rFonts w:ascii="Arial" w:cs="Arial" w:eastAsia="Arial" w:hAnsi="Arial"/>
          <w:sz w:val="16"/>
          <w:szCs w:val="16"/>
          <w:color w:val="520B90"/>
        </w:rPr>
      </w:pPr>
      <w:r>
        <w:rPr>
          <w:rFonts w:ascii="Arial" w:cs="Arial" w:eastAsia="Arial" w:hAnsi="Arial"/>
          <w:sz w:val="16"/>
          <w:szCs w:val="16"/>
          <w:color w:val="auto"/>
        </w:rPr>
        <w:t>2025 LTI award with an approximate value of $5,250,000 delivered in the form of 40% Time RSUs and 60% performance-</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51"/>
        </w:trPr>
        <w:tc>
          <w:tcPr>
            <w:tcW w:w="1580" w:type="dxa"/>
            <w:vAlign w:val="bottom"/>
          </w:tcPr>
          <w:p>
            <w:pPr>
              <w:spacing w:after="0"/>
              <w:rPr>
                <w:sz w:val="20"/>
                <w:szCs w:val="20"/>
                <w:color w:val="auto"/>
              </w:rPr>
            </w:pPr>
            <w:r>
              <w:rPr>
                <w:rFonts w:ascii="Arial" w:cs="Arial" w:eastAsia="Arial" w:hAnsi="Arial"/>
                <w:sz w:val="17"/>
                <w:szCs w:val="17"/>
                <w:b w:val="1"/>
                <w:bCs w:val="1"/>
                <w:color w:val="520B90"/>
              </w:rPr>
              <w:t>Mr. Hillabrant</w:t>
            </w:r>
          </w:p>
        </w:tc>
        <w:tc>
          <w:tcPr>
            <w:tcW w:w="9380" w:type="dxa"/>
            <w:vAlign w:val="bottom"/>
          </w:tcPr>
          <w:p>
            <w:pPr>
              <w:ind w:left="520"/>
              <w:spacing w:after="0"/>
              <w:rPr>
                <w:sz w:val="20"/>
                <w:szCs w:val="20"/>
                <w:color w:val="auto"/>
              </w:rPr>
            </w:pPr>
            <w:r>
              <w:rPr>
                <w:rFonts w:ascii="Arial" w:cs="Arial" w:eastAsia="Arial" w:hAnsi="Arial"/>
                <w:sz w:val="17"/>
                <w:szCs w:val="17"/>
                <w:color w:val="auto"/>
                <w:w w:val="98"/>
              </w:rPr>
              <w:t>based RSUs, which reflects approximately 50% of the value of his expected 2026 annual LTI target of $10,500,000; and</w:t>
            </w:r>
          </w:p>
        </w:tc>
      </w:tr>
    </w:tbl>
    <w:p>
      <w:pPr>
        <w:ind w:left="2120" w:right="160" w:hanging="244"/>
        <w:spacing w:after="0" w:line="270" w:lineRule="auto"/>
        <w:tabs>
          <w:tab w:leader="none" w:pos="2112" w:val="left"/>
        </w:tabs>
        <w:numPr>
          <w:ilvl w:val="0"/>
          <w:numId w:val="114"/>
        </w:numPr>
        <w:rPr>
          <w:rFonts w:ascii="Arial" w:cs="Arial" w:eastAsia="Arial" w:hAnsi="Arial"/>
          <w:sz w:val="16"/>
          <w:szCs w:val="16"/>
          <w:color w:val="520B90"/>
        </w:rPr>
      </w:pPr>
      <w:r>
        <w:rPr>
          <w:rFonts w:ascii="Arial" w:cs="Arial" w:eastAsia="Arial" w:hAnsi="Arial"/>
          <w:sz w:val="16"/>
          <w:szCs w:val="16"/>
          <w:color w:val="auto"/>
        </w:rPr>
        <w:t>One-time, make-whole cash bonus of $800,000, subject to recoupment by the Company if Mr. Hillabrant voluntarily terminates employment (other than a resignation for Good Reason (as defined in his Severance Agreement)) or experiences a Termination for Cause (as defined in his Severance Agreement) within 12 months following September 15, 2025, and make-whole Time RSUs with an approximate value of $7,000,000 vesting over three years, which were similar in value to and intended to replace his forfeited bonus and equity and are upon separating from his prior employer.</w:t>
      </w:r>
    </w:p>
    <w:tbl>
      <w:tblPr>
        <w:tblLayout w:type="fixed"/>
        <w:tblInd w:w="0" w:type="dxa"/>
        <w:tblCellMar>
          <w:top w:w="0" w:type="dxa"/>
          <w:left w:w="0" w:type="dxa"/>
          <w:bottom w:w="0" w:type="dxa"/>
          <w:right w:w="0" w:type="dxa"/>
        </w:tblCellMar>
      </w:tblPr>
      <w:tr>
        <w:trPr>
          <w:trHeight w:val="266"/>
        </w:trPr>
        <w:tc>
          <w:tcPr>
            <w:tcW w:w="1700" w:type="dxa"/>
            <w:vAlign w:val="bottom"/>
            <w:tcBorders>
              <w:top w:val="single" w:sz="8" w:color="D6D6D4"/>
              <w:right w:val="single" w:sz="8" w:color="520B90"/>
            </w:tcBorders>
          </w:tcPr>
          <w:p>
            <w:pPr>
              <w:spacing w:after="0"/>
              <w:rPr>
                <w:sz w:val="23"/>
                <w:szCs w:val="23"/>
                <w:color w:val="auto"/>
              </w:rPr>
            </w:pPr>
          </w:p>
        </w:tc>
        <w:tc>
          <w:tcPr>
            <w:tcW w:w="9540" w:type="dxa"/>
            <w:vAlign w:val="bottom"/>
            <w:tcBorders>
              <w:top w:val="single" w:sz="8" w:color="D6D6D4"/>
            </w:tcBorders>
          </w:tcPr>
          <w:p>
            <w:pPr>
              <w:ind w:left="20"/>
              <w:spacing w:after="0"/>
              <w:rPr>
                <w:sz w:val="20"/>
                <w:szCs w:val="20"/>
                <w:color w:val="auto"/>
              </w:rPr>
            </w:pPr>
            <w:r>
              <w:rPr>
                <w:rFonts w:ascii="Arial" w:cs="Arial" w:eastAsia="Arial" w:hAnsi="Arial"/>
                <w:sz w:val="17"/>
                <w:szCs w:val="17"/>
                <w:color w:val="auto"/>
                <w:w w:val="98"/>
              </w:rPr>
              <w:t>Mr. Moskowitz's employment was terminated without Cause (as defined in the Severance Agreement) effective March 23, 2025,</w:t>
            </w:r>
          </w:p>
        </w:tc>
        <w:tc>
          <w:tcPr>
            <w:tcW w:w="0" w:type="dxa"/>
            <w:vAlign w:val="bottom"/>
          </w:tcPr>
          <w:p>
            <w:pPr>
              <w:spacing w:after="0"/>
              <w:rPr>
                <w:sz w:val="1"/>
                <w:szCs w:val="1"/>
                <w:color w:val="auto"/>
              </w:rPr>
            </w:pPr>
          </w:p>
        </w:tc>
      </w:tr>
      <w:tr>
        <w:trPr>
          <w:trHeight w:val="199"/>
        </w:trPr>
        <w:tc>
          <w:tcPr>
            <w:tcW w:w="1700" w:type="dxa"/>
            <w:vAlign w:val="bottom"/>
            <w:tcBorders>
              <w:right w:val="single" w:sz="8" w:color="520B90"/>
            </w:tcBorders>
          </w:tcPr>
          <w:p>
            <w:pPr>
              <w:spacing w:after="0"/>
              <w:rPr>
                <w:sz w:val="17"/>
                <w:szCs w:val="17"/>
                <w:color w:val="auto"/>
              </w:rPr>
            </w:pPr>
          </w:p>
        </w:tc>
        <w:tc>
          <w:tcPr>
            <w:tcW w:w="9540" w:type="dxa"/>
            <w:vAlign w:val="bottom"/>
          </w:tcPr>
          <w:p>
            <w:pPr>
              <w:ind w:left="20"/>
              <w:spacing w:after="0"/>
              <w:rPr>
                <w:sz w:val="20"/>
                <w:szCs w:val="20"/>
                <w:color w:val="auto"/>
              </w:rPr>
            </w:pPr>
            <w:r>
              <w:rPr>
                <w:rFonts w:ascii="Arial" w:cs="Arial" w:eastAsia="Arial" w:hAnsi="Arial"/>
                <w:sz w:val="17"/>
                <w:szCs w:val="17"/>
                <w:color w:val="auto"/>
              </w:rPr>
              <w:t>which met the definition of a Qualifying Termination pursuant to the terms of his Severance Agreement. As a result, Mr.</w:t>
            </w:r>
          </w:p>
        </w:tc>
        <w:tc>
          <w:tcPr>
            <w:tcW w:w="0" w:type="dxa"/>
            <w:vAlign w:val="bottom"/>
          </w:tcPr>
          <w:p>
            <w:pPr>
              <w:spacing w:after="0"/>
              <w:rPr>
                <w:sz w:val="1"/>
                <w:szCs w:val="1"/>
                <w:color w:val="auto"/>
              </w:rPr>
            </w:pPr>
          </w:p>
        </w:tc>
      </w:tr>
      <w:tr>
        <w:trPr>
          <w:trHeight w:val="222"/>
        </w:trPr>
        <w:tc>
          <w:tcPr>
            <w:tcW w:w="1700" w:type="dxa"/>
            <w:vAlign w:val="bottom"/>
            <w:tcBorders>
              <w:right w:val="single" w:sz="8" w:color="520B90"/>
            </w:tcBorders>
          </w:tcPr>
          <w:p>
            <w:pPr>
              <w:spacing w:after="0"/>
              <w:rPr>
                <w:sz w:val="19"/>
                <w:szCs w:val="19"/>
                <w:color w:val="auto"/>
              </w:rPr>
            </w:pPr>
          </w:p>
        </w:tc>
        <w:tc>
          <w:tcPr>
            <w:tcW w:w="9540" w:type="dxa"/>
            <w:vAlign w:val="bottom"/>
          </w:tcPr>
          <w:p>
            <w:pPr>
              <w:ind w:left="20"/>
              <w:spacing w:after="0"/>
              <w:rPr>
                <w:sz w:val="20"/>
                <w:szCs w:val="20"/>
                <w:color w:val="auto"/>
              </w:rPr>
            </w:pPr>
            <w:r>
              <w:rPr>
                <w:rFonts w:ascii="Arial" w:cs="Arial" w:eastAsia="Arial" w:hAnsi="Arial"/>
                <w:sz w:val="17"/>
                <w:szCs w:val="17"/>
                <w:color w:val="auto"/>
              </w:rPr>
              <w:t>Moskowitz is eligible to receive the following, in accordance with his agreement:</w:t>
            </w:r>
          </w:p>
        </w:tc>
        <w:tc>
          <w:tcPr>
            <w:tcW w:w="0" w:type="dxa"/>
            <w:vAlign w:val="bottom"/>
          </w:tcPr>
          <w:p>
            <w:pPr>
              <w:spacing w:after="0"/>
              <w:rPr>
                <w:sz w:val="1"/>
                <w:szCs w:val="1"/>
                <w:color w:val="auto"/>
              </w:rPr>
            </w:pPr>
          </w:p>
        </w:tc>
      </w:tr>
      <w:tr>
        <w:trPr>
          <w:trHeight w:val="265"/>
        </w:trPr>
        <w:tc>
          <w:tcPr>
            <w:tcW w:w="1700" w:type="dxa"/>
            <w:vAlign w:val="bottom"/>
            <w:tcBorders>
              <w:right w:val="single" w:sz="8" w:color="520B90"/>
            </w:tcBorders>
          </w:tcPr>
          <w:p>
            <w:pPr>
              <w:spacing w:after="0"/>
              <w:rPr>
                <w:sz w:val="23"/>
                <w:szCs w:val="23"/>
                <w:color w:val="auto"/>
              </w:rPr>
            </w:pPr>
          </w:p>
        </w:tc>
        <w:tc>
          <w:tcPr>
            <w:tcW w:w="9540" w:type="dxa"/>
            <w:vAlign w:val="bottom"/>
          </w:tcPr>
          <w:p>
            <w:pPr>
              <w:ind w:left="180"/>
              <w:spacing w:after="0"/>
              <w:rPr>
                <w:sz w:val="20"/>
                <w:szCs w:val="20"/>
                <w:color w:val="auto"/>
              </w:rPr>
            </w:pPr>
            <w:r>
              <w:rPr>
                <w:rFonts w:ascii="Arial" w:cs="Arial" w:eastAsia="Arial" w:hAnsi="Arial"/>
                <w:sz w:val="17"/>
                <w:szCs w:val="17"/>
                <w:color w:val="520B90"/>
              </w:rPr>
              <w:t xml:space="preserve">•  </w:t>
            </w:r>
            <w:r>
              <w:rPr>
                <w:rFonts w:ascii="Arial" w:cs="Arial" w:eastAsia="Arial" w:hAnsi="Arial"/>
                <w:sz w:val="17"/>
                <w:szCs w:val="17"/>
                <w:color w:val="000000"/>
              </w:rPr>
              <w:t>Lump sum payment equal to the sum of his base salary and target annual incentive for 2025 multiplied by two;</w:t>
            </w:r>
          </w:p>
        </w:tc>
        <w:tc>
          <w:tcPr>
            <w:tcW w:w="0" w:type="dxa"/>
            <w:vAlign w:val="bottom"/>
          </w:tcPr>
          <w:p>
            <w:pPr>
              <w:spacing w:after="0"/>
              <w:rPr>
                <w:sz w:val="1"/>
                <w:szCs w:val="1"/>
                <w:color w:val="auto"/>
              </w:rPr>
            </w:pPr>
          </w:p>
        </w:tc>
      </w:tr>
      <w:tr>
        <w:trPr>
          <w:trHeight w:val="251"/>
        </w:trPr>
        <w:tc>
          <w:tcPr>
            <w:tcW w:w="1700" w:type="dxa"/>
            <w:vAlign w:val="bottom"/>
            <w:tcBorders>
              <w:right w:val="single" w:sz="8" w:color="520B90"/>
            </w:tcBorders>
            <w:vMerge w:val="restart"/>
          </w:tcPr>
          <w:p>
            <w:pPr>
              <w:ind w:left="20"/>
              <w:spacing w:after="0"/>
              <w:rPr>
                <w:sz w:val="20"/>
                <w:szCs w:val="20"/>
                <w:color w:val="auto"/>
              </w:rPr>
            </w:pPr>
            <w:r>
              <w:rPr>
                <w:rFonts w:ascii="Arial" w:cs="Arial" w:eastAsia="Arial" w:hAnsi="Arial"/>
                <w:sz w:val="17"/>
                <w:szCs w:val="17"/>
                <w:b w:val="1"/>
                <w:bCs w:val="1"/>
                <w:color w:val="520B90"/>
              </w:rPr>
              <w:t>Mr. Moskowitz</w:t>
            </w:r>
          </w:p>
        </w:tc>
        <w:tc>
          <w:tcPr>
            <w:tcW w:w="9540" w:type="dxa"/>
            <w:vAlign w:val="bottom"/>
          </w:tcPr>
          <w:p>
            <w:pPr>
              <w:ind w:left="180"/>
              <w:spacing w:after="0"/>
              <w:rPr>
                <w:sz w:val="20"/>
                <w:szCs w:val="20"/>
                <w:color w:val="auto"/>
              </w:rPr>
            </w:pPr>
            <w:r>
              <w:rPr>
                <w:rFonts w:ascii="Arial" w:cs="Arial" w:eastAsia="Arial" w:hAnsi="Arial"/>
                <w:sz w:val="17"/>
                <w:szCs w:val="17"/>
                <w:color w:val="520B90"/>
              </w:rPr>
              <w:t xml:space="preserve">•  </w:t>
            </w:r>
            <w:r>
              <w:rPr>
                <w:rFonts w:ascii="Arial" w:cs="Arial" w:eastAsia="Arial" w:hAnsi="Arial"/>
                <w:sz w:val="17"/>
                <w:szCs w:val="17"/>
                <w:color w:val="000000"/>
              </w:rPr>
              <w:t>Prorated target cash amount of his annual incentive for 2025;</w:t>
            </w:r>
          </w:p>
        </w:tc>
        <w:tc>
          <w:tcPr>
            <w:tcW w:w="0" w:type="dxa"/>
            <w:vAlign w:val="bottom"/>
          </w:tcPr>
          <w:p>
            <w:pPr>
              <w:spacing w:after="0"/>
              <w:rPr>
                <w:sz w:val="1"/>
                <w:szCs w:val="1"/>
                <w:color w:val="auto"/>
              </w:rPr>
            </w:pPr>
          </w:p>
        </w:tc>
      </w:tr>
      <w:tr>
        <w:trPr>
          <w:trHeight w:val="228"/>
        </w:trPr>
        <w:tc>
          <w:tcPr>
            <w:tcW w:w="1700" w:type="dxa"/>
            <w:vAlign w:val="bottom"/>
            <w:tcBorders>
              <w:right w:val="single" w:sz="8" w:color="520B90"/>
            </w:tcBorders>
            <w:vMerge w:val="continue"/>
          </w:tcPr>
          <w:p>
            <w:pPr>
              <w:spacing w:after="0"/>
              <w:rPr>
                <w:sz w:val="19"/>
                <w:szCs w:val="19"/>
                <w:color w:val="auto"/>
              </w:rPr>
            </w:pPr>
          </w:p>
        </w:tc>
        <w:tc>
          <w:tcPr>
            <w:tcW w:w="9540" w:type="dxa"/>
            <w:vAlign w:val="bottom"/>
          </w:tcPr>
          <w:p>
            <w:pPr>
              <w:ind w:left="180"/>
              <w:spacing w:after="0"/>
              <w:rPr>
                <w:sz w:val="20"/>
                <w:szCs w:val="20"/>
                <w:color w:val="auto"/>
              </w:rPr>
            </w:pPr>
            <w:r>
              <w:rPr>
                <w:rFonts w:ascii="Arial" w:cs="Arial" w:eastAsia="Arial" w:hAnsi="Arial"/>
                <w:sz w:val="17"/>
                <w:szCs w:val="17"/>
                <w:color w:val="520B90"/>
              </w:rPr>
              <w:t xml:space="preserve">•  </w:t>
            </w:r>
            <w:r>
              <w:rPr>
                <w:rFonts w:ascii="Arial" w:cs="Arial" w:eastAsia="Arial" w:hAnsi="Arial"/>
                <w:sz w:val="17"/>
                <w:szCs w:val="17"/>
                <w:color w:val="000000"/>
              </w:rPr>
              <w:t>Continued coverage under specified health benefits program for two years and participation in the Company’s 401(k) Plan</w:t>
            </w:r>
          </w:p>
        </w:tc>
        <w:tc>
          <w:tcPr>
            <w:tcW w:w="0" w:type="dxa"/>
            <w:vAlign w:val="bottom"/>
          </w:tcPr>
          <w:p>
            <w:pPr>
              <w:spacing w:after="0"/>
              <w:rPr>
                <w:sz w:val="1"/>
                <w:szCs w:val="1"/>
                <w:color w:val="auto"/>
              </w:rPr>
            </w:pPr>
          </w:p>
        </w:tc>
      </w:tr>
      <w:tr>
        <w:trPr>
          <w:trHeight w:val="222"/>
        </w:trPr>
        <w:tc>
          <w:tcPr>
            <w:tcW w:w="1700" w:type="dxa"/>
            <w:vAlign w:val="bottom"/>
            <w:tcBorders>
              <w:right w:val="single" w:sz="8" w:color="520B90"/>
            </w:tcBorders>
          </w:tcPr>
          <w:p>
            <w:pPr>
              <w:spacing w:after="0"/>
              <w:rPr>
                <w:sz w:val="19"/>
                <w:szCs w:val="19"/>
                <w:color w:val="auto"/>
              </w:rPr>
            </w:pPr>
          </w:p>
        </w:tc>
        <w:tc>
          <w:tcPr>
            <w:tcW w:w="9540" w:type="dxa"/>
            <w:vAlign w:val="bottom"/>
          </w:tcPr>
          <w:p>
            <w:pPr>
              <w:ind w:left="420"/>
              <w:spacing w:after="0"/>
              <w:rPr>
                <w:sz w:val="20"/>
                <w:szCs w:val="20"/>
                <w:color w:val="auto"/>
              </w:rPr>
            </w:pPr>
            <w:r>
              <w:rPr>
                <w:rFonts w:ascii="Arial" w:cs="Arial" w:eastAsia="Arial" w:hAnsi="Arial"/>
                <w:sz w:val="17"/>
                <w:szCs w:val="17"/>
                <w:color w:val="auto"/>
              </w:rPr>
              <w:t>for 2025; and</w:t>
            </w:r>
          </w:p>
        </w:tc>
        <w:tc>
          <w:tcPr>
            <w:tcW w:w="0" w:type="dxa"/>
            <w:vAlign w:val="bottom"/>
          </w:tcPr>
          <w:p>
            <w:pPr>
              <w:spacing w:after="0"/>
              <w:rPr>
                <w:sz w:val="1"/>
                <w:szCs w:val="1"/>
                <w:color w:val="auto"/>
              </w:rPr>
            </w:pPr>
          </w:p>
        </w:tc>
      </w:tr>
      <w:tr>
        <w:trPr>
          <w:trHeight w:val="242"/>
        </w:trPr>
        <w:tc>
          <w:tcPr>
            <w:tcW w:w="1700" w:type="dxa"/>
            <w:vAlign w:val="bottom"/>
            <w:tcBorders>
              <w:right w:val="single" w:sz="8" w:color="520B90"/>
            </w:tcBorders>
          </w:tcPr>
          <w:p>
            <w:pPr>
              <w:spacing w:after="0"/>
              <w:rPr>
                <w:sz w:val="21"/>
                <w:szCs w:val="21"/>
                <w:color w:val="auto"/>
              </w:rPr>
            </w:pPr>
          </w:p>
        </w:tc>
        <w:tc>
          <w:tcPr>
            <w:tcW w:w="9540" w:type="dxa"/>
            <w:vAlign w:val="bottom"/>
          </w:tcPr>
          <w:p>
            <w:pPr>
              <w:ind w:left="180"/>
              <w:spacing w:after="0"/>
              <w:rPr>
                <w:sz w:val="20"/>
                <w:szCs w:val="20"/>
                <w:color w:val="auto"/>
              </w:rPr>
            </w:pPr>
            <w:r>
              <w:rPr>
                <w:rFonts w:ascii="Arial" w:cs="Arial" w:eastAsia="Arial" w:hAnsi="Arial"/>
                <w:sz w:val="17"/>
                <w:szCs w:val="17"/>
                <w:color w:val="520B90"/>
              </w:rPr>
              <w:t xml:space="preserve">•  </w:t>
            </w:r>
            <w:r>
              <w:rPr>
                <w:rFonts w:ascii="Arial" w:cs="Arial" w:eastAsia="Arial" w:hAnsi="Arial"/>
                <w:sz w:val="17"/>
                <w:szCs w:val="17"/>
                <w:color w:val="000000"/>
              </w:rPr>
              <w:t>Opportunity for continued vesting of his new hire Time RSUs on April 11 of 2025 and 2026, the original schedule, and</w:t>
            </w:r>
          </w:p>
        </w:tc>
        <w:tc>
          <w:tcPr>
            <w:tcW w:w="0" w:type="dxa"/>
            <w:vAlign w:val="bottom"/>
          </w:tcPr>
          <w:p>
            <w:pPr>
              <w:spacing w:after="0"/>
              <w:rPr>
                <w:sz w:val="1"/>
                <w:szCs w:val="1"/>
                <w:color w:val="auto"/>
              </w:rPr>
            </w:pPr>
          </w:p>
        </w:tc>
      </w:tr>
      <w:tr>
        <w:trPr>
          <w:trHeight w:val="222"/>
        </w:trPr>
        <w:tc>
          <w:tcPr>
            <w:tcW w:w="1700" w:type="dxa"/>
            <w:vAlign w:val="bottom"/>
            <w:tcBorders>
              <w:right w:val="single" w:sz="8" w:color="520B90"/>
            </w:tcBorders>
          </w:tcPr>
          <w:p>
            <w:pPr>
              <w:spacing w:after="0"/>
              <w:rPr>
                <w:sz w:val="19"/>
                <w:szCs w:val="19"/>
                <w:color w:val="auto"/>
              </w:rPr>
            </w:pPr>
          </w:p>
        </w:tc>
        <w:tc>
          <w:tcPr>
            <w:tcW w:w="9540" w:type="dxa"/>
            <w:vAlign w:val="bottom"/>
          </w:tcPr>
          <w:p>
            <w:pPr>
              <w:ind w:left="420"/>
              <w:spacing w:after="0"/>
              <w:rPr>
                <w:sz w:val="20"/>
                <w:szCs w:val="20"/>
                <w:color w:val="auto"/>
              </w:rPr>
            </w:pPr>
            <w:r>
              <w:rPr>
                <w:rFonts w:ascii="Arial" w:cs="Arial" w:eastAsia="Arial" w:hAnsi="Arial"/>
                <w:sz w:val="17"/>
                <w:szCs w:val="17"/>
                <w:color w:val="auto"/>
              </w:rPr>
              <w:t>vesting of all other RSUs that would have vested two years following his separation.</w:t>
            </w:r>
          </w:p>
        </w:tc>
        <w:tc>
          <w:tcPr>
            <w:tcW w:w="0" w:type="dxa"/>
            <w:vAlign w:val="bottom"/>
          </w:tcPr>
          <w:p>
            <w:pPr>
              <w:spacing w:after="0"/>
              <w:rPr>
                <w:sz w:val="1"/>
                <w:szCs w:val="1"/>
                <w:color w:val="auto"/>
              </w:rPr>
            </w:pPr>
          </w:p>
        </w:tc>
      </w:tr>
      <w:tr>
        <w:trPr>
          <w:trHeight w:val="228"/>
        </w:trPr>
        <w:tc>
          <w:tcPr>
            <w:tcW w:w="1700" w:type="dxa"/>
            <w:vAlign w:val="bottom"/>
            <w:tcBorders>
              <w:right w:val="single" w:sz="8" w:color="520B90"/>
            </w:tcBorders>
          </w:tcPr>
          <w:p>
            <w:pPr>
              <w:spacing w:after="0"/>
              <w:rPr>
                <w:sz w:val="19"/>
                <w:szCs w:val="19"/>
                <w:color w:val="auto"/>
              </w:rPr>
            </w:pPr>
          </w:p>
        </w:tc>
        <w:tc>
          <w:tcPr>
            <w:tcW w:w="9540" w:type="dxa"/>
            <w:vAlign w:val="bottom"/>
          </w:tcPr>
          <w:p>
            <w:pPr>
              <w:ind w:left="20"/>
              <w:spacing w:after="0"/>
              <w:rPr>
                <w:sz w:val="20"/>
                <w:szCs w:val="20"/>
                <w:color w:val="auto"/>
              </w:rPr>
            </w:pPr>
            <w:r>
              <w:rPr>
                <w:rFonts w:ascii="Arial" w:cs="Arial" w:eastAsia="Arial" w:hAnsi="Arial"/>
                <w:sz w:val="17"/>
                <w:szCs w:val="17"/>
                <w:color w:val="auto"/>
              </w:rPr>
              <w:t>See "IV. Executive Compensation—Potential Payments Upon Termination of Employment" for further details regarding</w:t>
            </w:r>
          </w:p>
        </w:tc>
        <w:tc>
          <w:tcPr>
            <w:tcW w:w="0" w:type="dxa"/>
            <w:vAlign w:val="bottom"/>
          </w:tcPr>
          <w:p>
            <w:pPr>
              <w:spacing w:after="0"/>
              <w:rPr>
                <w:sz w:val="1"/>
                <w:szCs w:val="1"/>
                <w:color w:val="auto"/>
              </w:rPr>
            </w:pPr>
          </w:p>
        </w:tc>
      </w:tr>
      <w:tr>
        <w:trPr>
          <w:trHeight w:val="247"/>
        </w:trPr>
        <w:tc>
          <w:tcPr>
            <w:tcW w:w="1700" w:type="dxa"/>
            <w:vAlign w:val="bottom"/>
            <w:tcBorders>
              <w:right w:val="single" w:sz="8" w:color="520B90"/>
            </w:tcBorders>
          </w:tcPr>
          <w:p>
            <w:pPr>
              <w:spacing w:after="0"/>
              <w:rPr>
                <w:sz w:val="21"/>
                <w:szCs w:val="21"/>
                <w:color w:val="auto"/>
              </w:rPr>
            </w:pPr>
          </w:p>
        </w:tc>
        <w:tc>
          <w:tcPr>
            <w:tcW w:w="9540" w:type="dxa"/>
            <w:vAlign w:val="bottom"/>
          </w:tcPr>
          <w:p>
            <w:pPr>
              <w:ind w:left="20"/>
              <w:spacing w:after="0"/>
              <w:rPr>
                <w:sz w:val="20"/>
                <w:szCs w:val="20"/>
                <w:color w:val="auto"/>
              </w:rPr>
            </w:pPr>
            <w:r>
              <w:rPr>
                <w:rFonts w:ascii="Arial" w:cs="Arial" w:eastAsia="Arial" w:hAnsi="Arial"/>
                <w:sz w:val="17"/>
                <w:szCs w:val="17"/>
                <w:color w:val="auto"/>
              </w:rPr>
              <w:t>payments received by Mr. Moskowitz pursuant to his Severance Agreement.</w:t>
            </w:r>
          </w:p>
        </w:tc>
        <w:tc>
          <w:tcPr>
            <w:tcW w:w="0" w:type="dxa"/>
            <w:vAlign w:val="bottom"/>
          </w:tcPr>
          <w:p>
            <w:pPr>
              <w:spacing w:after="0"/>
              <w:rPr>
                <w:sz w:val="1"/>
                <w:szCs w:val="1"/>
                <w:color w:val="auto"/>
              </w:rPr>
            </w:pPr>
          </w:p>
        </w:tc>
      </w:tr>
      <w:tr>
        <w:trPr>
          <w:trHeight w:val="26"/>
        </w:trPr>
        <w:tc>
          <w:tcPr>
            <w:tcW w:w="1700" w:type="dxa"/>
            <w:vAlign w:val="bottom"/>
            <w:tcBorders>
              <w:right w:val="single" w:sz="8" w:color="D6D6D4"/>
            </w:tcBorders>
            <w:shd w:val="clear" w:color="auto" w:fill="D6D6D4"/>
          </w:tcPr>
          <w:p>
            <w:pPr>
              <w:spacing w:after="0"/>
              <w:rPr>
                <w:sz w:val="2"/>
                <w:szCs w:val="2"/>
                <w:color w:val="auto"/>
              </w:rPr>
            </w:pPr>
          </w:p>
        </w:tc>
        <w:tc>
          <w:tcPr>
            <w:tcW w:w="9540" w:type="dxa"/>
            <w:vAlign w:val="bottom"/>
            <w:shd w:val="clear" w:color="auto" w:fill="D6D6D4"/>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Program Overview</w:t>
      </w:r>
    </w:p>
    <w:p>
      <w:pPr>
        <w:spacing w:after="0" w:line="166" w:lineRule="exact"/>
        <w:rPr>
          <w:sz w:val="20"/>
          <w:szCs w:val="20"/>
          <w:color w:val="auto"/>
        </w:rPr>
      </w:pPr>
    </w:p>
    <w:p>
      <w:pPr>
        <w:ind w:right="480"/>
        <w:spacing w:after="0" w:line="274" w:lineRule="auto"/>
        <w:rPr>
          <w:sz w:val="20"/>
          <w:szCs w:val="20"/>
          <w:color w:val="auto"/>
        </w:rPr>
      </w:pPr>
      <w:r>
        <w:rPr>
          <w:rFonts w:ascii="Arial" w:cs="Arial" w:eastAsia="Arial" w:hAnsi="Arial"/>
          <w:sz w:val="18"/>
          <w:szCs w:val="18"/>
          <w:color w:val="auto"/>
        </w:rPr>
        <w:t>Our executive compensation program reflects our commitment to best practices in compensation governance. Among other attributes, our program is designed to:</w:t>
      </w:r>
    </w:p>
    <w:p>
      <w:pPr>
        <w:spacing w:after="0" w:line="57" w:lineRule="exact"/>
        <w:rPr>
          <w:sz w:val="20"/>
          <w:szCs w:val="20"/>
          <w:color w:val="auto"/>
        </w:rPr>
      </w:pPr>
    </w:p>
    <w:p>
      <w:pPr>
        <w:ind w:left="640" w:hanging="316"/>
        <w:spacing w:after="0"/>
        <w:tabs>
          <w:tab w:leader="none" w:pos="640" w:val="left"/>
        </w:tabs>
        <w:numPr>
          <w:ilvl w:val="0"/>
          <w:numId w:val="115"/>
        </w:numPr>
        <w:rPr>
          <w:rFonts w:ascii="Arial" w:cs="Arial" w:eastAsia="Arial" w:hAnsi="Arial"/>
          <w:sz w:val="18"/>
          <w:szCs w:val="18"/>
          <w:color w:val="520B90"/>
        </w:rPr>
      </w:pPr>
      <w:r>
        <w:rPr>
          <w:rFonts w:ascii="Arial" w:cs="Arial" w:eastAsia="Arial" w:hAnsi="Arial"/>
          <w:sz w:val="18"/>
          <w:szCs w:val="18"/>
          <w:color w:val="auto"/>
        </w:rPr>
        <w:t>align executive pay with Company performance against pre-established goals;</w:t>
      </w:r>
    </w:p>
    <w:p>
      <w:pPr>
        <w:spacing w:after="0" w:line="110" w:lineRule="exact"/>
        <w:rPr>
          <w:rFonts w:ascii="Arial" w:cs="Arial" w:eastAsia="Arial" w:hAnsi="Arial"/>
          <w:sz w:val="18"/>
          <w:szCs w:val="18"/>
          <w:color w:val="520B90"/>
        </w:rPr>
      </w:pPr>
    </w:p>
    <w:p>
      <w:pPr>
        <w:ind w:left="640" w:right="420" w:hanging="316"/>
        <w:spacing w:after="0" w:line="274" w:lineRule="auto"/>
        <w:tabs>
          <w:tab w:leader="none" w:pos="635" w:val="left"/>
        </w:tabs>
        <w:numPr>
          <w:ilvl w:val="0"/>
          <w:numId w:val="115"/>
        </w:numPr>
        <w:rPr>
          <w:rFonts w:ascii="Arial" w:cs="Arial" w:eastAsia="Arial" w:hAnsi="Arial"/>
          <w:sz w:val="18"/>
          <w:szCs w:val="18"/>
          <w:color w:val="520B90"/>
        </w:rPr>
      </w:pPr>
      <w:r>
        <w:rPr>
          <w:rFonts w:ascii="Arial" w:cs="Arial" w:eastAsia="Arial" w:hAnsi="Arial"/>
          <w:sz w:val="18"/>
          <w:szCs w:val="18"/>
          <w:color w:val="auto"/>
        </w:rPr>
        <w:t>provide a fair and competitive mix of compensation opportunities to attract, retain and motivate our executives to achieve important business objectives;</w:t>
      </w:r>
    </w:p>
    <w:p>
      <w:pPr>
        <w:spacing w:after="0" w:line="56" w:lineRule="exact"/>
        <w:rPr>
          <w:rFonts w:ascii="Arial" w:cs="Arial" w:eastAsia="Arial" w:hAnsi="Arial"/>
          <w:sz w:val="18"/>
          <w:szCs w:val="18"/>
          <w:color w:val="520B90"/>
        </w:rPr>
      </w:pPr>
    </w:p>
    <w:p>
      <w:pPr>
        <w:ind w:left="640" w:hanging="316"/>
        <w:spacing w:after="0"/>
        <w:tabs>
          <w:tab w:leader="none" w:pos="640" w:val="left"/>
        </w:tabs>
        <w:numPr>
          <w:ilvl w:val="0"/>
          <w:numId w:val="115"/>
        </w:numPr>
        <w:rPr>
          <w:rFonts w:ascii="Arial" w:cs="Arial" w:eastAsia="Arial" w:hAnsi="Arial"/>
          <w:sz w:val="18"/>
          <w:szCs w:val="18"/>
          <w:color w:val="520B90"/>
        </w:rPr>
      </w:pPr>
      <w:r>
        <w:rPr>
          <w:rFonts w:ascii="Arial" w:cs="Arial" w:eastAsia="Arial" w:hAnsi="Arial"/>
          <w:sz w:val="18"/>
          <w:szCs w:val="18"/>
          <w:color w:val="auto"/>
        </w:rPr>
        <w:t>reward our executive team for delivering superior financial and operating results and creating long-term stockholder value; and</w:t>
      </w:r>
    </w:p>
    <w:p>
      <w:pPr>
        <w:spacing w:after="0" w:line="110" w:lineRule="exact"/>
        <w:rPr>
          <w:rFonts w:ascii="Arial" w:cs="Arial" w:eastAsia="Arial" w:hAnsi="Arial"/>
          <w:sz w:val="18"/>
          <w:szCs w:val="18"/>
          <w:color w:val="520B90"/>
        </w:rPr>
      </w:pPr>
    </w:p>
    <w:p>
      <w:pPr>
        <w:ind w:left="640" w:right="780" w:hanging="316"/>
        <w:spacing w:after="0" w:line="274" w:lineRule="auto"/>
        <w:tabs>
          <w:tab w:leader="none" w:pos="635" w:val="left"/>
        </w:tabs>
        <w:numPr>
          <w:ilvl w:val="0"/>
          <w:numId w:val="115"/>
        </w:numPr>
        <w:rPr>
          <w:rFonts w:ascii="Arial" w:cs="Arial" w:eastAsia="Arial" w:hAnsi="Arial"/>
          <w:sz w:val="18"/>
          <w:szCs w:val="18"/>
          <w:color w:val="520B90"/>
        </w:rPr>
      </w:pPr>
      <w:r>
        <w:rPr>
          <w:rFonts w:ascii="Arial" w:cs="Arial" w:eastAsia="Arial" w:hAnsi="Arial"/>
          <w:sz w:val="18"/>
          <w:szCs w:val="18"/>
          <w:color w:val="auto"/>
        </w:rPr>
        <w:t>foster a culture of stewardship that aligns our executives' long-term interests, in the form of equity ownership, with those of our stockholders.</w:t>
      </w:r>
    </w:p>
    <w:p>
      <w:pPr>
        <w:spacing w:after="0" w:line="338"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ind w:right="200"/>
        <w:spacing w:after="0" w:line="274" w:lineRule="auto"/>
        <w:rPr>
          <w:sz w:val="20"/>
          <w:szCs w:val="20"/>
          <w:color w:val="auto"/>
        </w:rPr>
      </w:pPr>
      <w:r>
        <w:rPr>
          <w:rFonts w:ascii="Arial" w:cs="Arial" w:eastAsia="Arial" w:hAnsi="Arial"/>
          <w:sz w:val="18"/>
          <w:szCs w:val="18"/>
          <w:color w:val="auto"/>
        </w:rPr>
        <w:t>We believe that our executive compensation program includes features that align the interests of our executive management with those of our stockholders and is designed to exclude features that may result in misalignment.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Other notable highlights of our executive compensation program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835660</wp:posOffset>
            </wp:positionH>
            <wp:positionV relativeFrom="paragraph">
              <wp:posOffset>81280</wp:posOffset>
            </wp:positionV>
            <wp:extent cx="5479415" cy="211772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479415" cy="2117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Further, at the 2025 Annual Meeting, we submitted our executive compensation program to an advisory stockholder vote, and our stockholders overwhelmingly approved our program, with approximately 93% of votes cast in favor of the proposal. The Committee has interpreted this vote to mean that our stockholders were supportive of our overall executive compensation philosophy and program.</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Robust Stockholder Engagement</w:t>
      </w:r>
    </w:p>
    <w:p>
      <w:pPr>
        <w:spacing w:after="0" w:line="164" w:lineRule="exact"/>
        <w:rPr>
          <w:sz w:val="20"/>
          <w:szCs w:val="20"/>
          <w:color w:val="auto"/>
        </w:rPr>
      </w:pPr>
    </w:p>
    <w:p>
      <w:pPr>
        <w:ind w:right="380"/>
        <w:spacing w:after="0" w:line="250" w:lineRule="auto"/>
        <w:rPr>
          <w:sz w:val="20"/>
          <w:szCs w:val="20"/>
          <w:color w:val="auto"/>
        </w:rPr>
      </w:pPr>
      <w:r>
        <w:rPr>
          <w:rFonts w:ascii="Arial" w:cs="Arial" w:eastAsia="Arial" w:hAnsi="Arial"/>
          <w:sz w:val="18"/>
          <w:szCs w:val="18"/>
          <w:color w:val="auto"/>
        </w:rPr>
        <w:t>We frequently engage with our stockholders to solicit their input on the issues important to them. In 2025, we engaged with stockholders representing approximately half of our outstanding Common Stock (based on December 31, 2025). In these engagements, members of our management or Board met with investor portfolio managers and analysts, as well as governance and stewardship team members. Our leadership has also met with the sell-side analyst community, participated in investor conferences and held informal direct stockholder discussions throughout the year. Our stockholders previously expressed a desire for our compensation program to include a return-based performance metric to reinforce the importance of capital discipline, which led us to incorporate a ROIC metric into our LTI compensation program starting in 2024.</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Philosophy, Strategy and Design</w:t>
      </w:r>
    </w:p>
    <w:p>
      <w:pPr>
        <w:spacing w:after="0" w:line="166" w:lineRule="exact"/>
        <w:rPr>
          <w:sz w:val="20"/>
          <w:szCs w:val="20"/>
          <w:color w:val="auto"/>
        </w:rPr>
      </w:pPr>
    </w:p>
    <w:p>
      <w:pPr>
        <w:ind w:right="300"/>
        <w:spacing w:after="0" w:line="274" w:lineRule="auto"/>
        <w:rPr>
          <w:sz w:val="20"/>
          <w:szCs w:val="20"/>
          <w:color w:val="auto"/>
        </w:rPr>
      </w:pPr>
      <w:r>
        <w:rPr>
          <w:rFonts w:ascii="Arial" w:cs="Arial" w:eastAsia="Arial" w:hAnsi="Arial"/>
          <w:sz w:val="18"/>
          <w:szCs w:val="18"/>
          <w:color w:val="auto"/>
        </w:rPr>
        <w:t>Our executive compensation program includes a range of features that are designed to align the interests of our executive management with those of our stockholders and to exclude features that may result in misalignment.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for Performance Alignment</w:t>
      </w:r>
    </w:p>
    <w:p>
      <w:pPr>
        <w:spacing w:after="0" w:line="16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seek to accomplish our goal of aligning pay with performance by providing our executives with a competitive compensation package that rewards performance against specific, strategic, financial and operational goals that the Committee believes are critical to the Company's long-term success and the achievement of sustainable long-term stockholder returns. We believe attracting, retaining and motivating talented management is essential to creating stockholder value throughout the business cycles of our industry.</w:t>
      </w:r>
    </w:p>
    <w:p>
      <w:pPr>
        <w:spacing w:after="0" w:line="126"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Committee aims to target total direct compensation ("TDC") (i.e., the sum of base salary, target STIs and LTIs) for our executives at approximately the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of market, while continuing to provide our executives with the opportunity to earn actual TDC above the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should our performance exceed predetermined criteria and below the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should our performance fall short of such criteria. The</w:t>
      </w:r>
    </w:p>
    <w:p>
      <w:pPr>
        <w:spacing w:after="0" w:line="368"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43" w:name="page44"/>
    <w:bookmarkEnd w:id="43"/>
    <w:p>
      <w:pPr>
        <w:ind w:right="60"/>
        <w:spacing w:after="0" w:line="274" w:lineRule="auto"/>
        <w:rPr>
          <w:sz w:val="20"/>
          <w:szCs w:val="20"/>
          <w:color w:val="auto"/>
        </w:rPr>
      </w:pPr>
      <w:r>
        <w:rPr>
          <w:rFonts w:ascii="Arial" w:cs="Arial" w:eastAsia="Arial" w:hAnsi="Arial"/>
          <w:sz w:val="18"/>
          <w:szCs w:val="18"/>
          <w:color w:val="auto"/>
        </w:rPr>
        <w:t>Committee believes that targeting these levels of compensation aligns with our overall total rewards strategy, which in turn helps us achieve our executive compensation objectives and supports our long-term success.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In administering our executive compensation program, we are guided by the following principal objectives:</w:t>
      </w:r>
    </w:p>
    <w:p>
      <w:pPr>
        <w:spacing w:after="0" w:line="97" w:lineRule="exact"/>
        <w:rPr>
          <w:sz w:val="20"/>
          <w:szCs w:val="20"/>
          <w:color w:val="auto"/>
        </w:rPr>
      </w:pPr>
    </w:p>
    <w:p>
      <w:pPr>
        <w:ind w:left="640" w:hanging="316"/>
        <w:spacing w:after="0"/>
        <w:tabs>
          <w:tab w:leader="none" w:pos="640" w:val="left"/>
        </w:tabs>
        <w:numPr>
          <w:ilvl w:val="0"/>
          <w:numId w:val="116"/>
        </w:numPr>
        <w:rPr>
          <w:rFonts w:ascii="Arial" w:cs="Arial" w:eastAsia="Arial" w:hAnsi="Arial"/>
          <w:sz w:val="18"/>
          <w:szCs w:val="18"/>
          <w:color w:val="520B90"/>
        </w:rPr>
      </w:pPr>
      <w:r>
        <w:rPr>
          <w:rFonts w:ascii="Arial" w:cs="Arial" w:eastAsia="Arial" w:hAnsi="Arial"/>
          <w:sz w:val="18"/>
          <w:szCs w:val="18"/>
          <w:color w:val="auto"/>
        </w:rPr>
        <w:t>Aligning annual incentive compensation with financial, operational and strategic objectives; and</w:t>
      </w:r>
    </w:p>
    <w:p>
      <w:pPr>
        <w:spacing w:after="0" w:line="84" w:lineRule="exact"/>
        <w:rPr>
          <w:rFonts w:ascii="Arial" w:cs="Arial" w:eastAsia="Arial" w:hAnsi="Arial"/>
          <w:sz w:val="18"/>
          <w:szCs w:val="18"/>
          <w:color w:val="520B90"/>
        </w:rPr>
      </w:pPr>
    </w:p>
    <w:p>
      <w:pPr>
        <w:ind w:left="640" w:hanging="316"/>
        <w:spacing w:after="0"/>
        <w:tabs>
          <w:tab w:leader="none" w:pos="640" w:val="left"/>
        </w:tabs>
        <w:numPr>
          <w:ilvl w:val="0"/>
          <w:numId w:val="116"/>
        </w:numPr>
        <w:rPr>
          <w:rFonts w:ascii="Arial" w:cs="Arial" w:eastAsia="Arial" w:hAnsi="Arial"/>
          <w:sz w:val="18"/>
          <w:szCs w:val="18"/>
          <w:color w:val="520B90"/>
        </w:rPr>
      </w:pPr>
      <w:r>
        <w:rPr>
          <w:rFonts w:ascii="Arial" w:cs="Arial" w:eastAsia="Arial" w:hAnsi="Arial"/>
          <w:sz w:val="18"/>
          <w:szCs w:val="18"/>
          <w:color w:val="auto"/>
        </w:rPr>
        <w:t>Rewarding share price appreciation, multi-year profitability and relative performance through LTI awards.</w:t>
      </w:r>
    </w:p>
    <w:p>
      <w:pPr>
        <w:spacing w:after="0" w:line="164"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The charts below shows the approximate allocation of base salary, annual incentives and certain RSUs for 2025 (as shown in "IV. Executive Compensation—Summary Compensation Table") among fixed, short-term variable and long-term variable compensation for Mr. Hillabrant, who served as our President and CEO as of December 31, 2025, and for the following NEOs who served as executive officers of the Company as of December 31, 2025: Messrs. Patel, Schlanger, Levendos and Adams and Ms. Piche. The 2025 CEO TDC allocation refers to certain annualized compensation elements of Mr. Hillabrant's 2025 compensation and excludes his make-whole Time RSU award and make-whole cash bonus that he received in connection with his appointment as President and CEO to cover the bonus and equity forfeited upon separating from his prior employer. In addition, the LTI component of Mr. Hillabrant's annualized compensation reflects his target LTI award for 2026 to better demonstrate Mr. Hillabrant's TDC on a go forward basis. Further, the 2025 NEO TDC allocation reflects annualized base salary and STIs, where applicable, and excludes grants of new hire RSUs, promotion RSUs and Transformation RSUs. See "—Executive Summary" above and "— Executive Compensation Elements—Long-Term Incentives—Off-Cycle Awards" for further information.</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520B90"/>
        </w:rPr>
        <w:t>2025 CEO and NEO Total Direct Compensation 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852805</wp:posOffset>
            </wp:positionH>
            <wp:positionV relativeFrom="paragraph">
              <wp:posOffset>48895</wp:posOffset>
            </wp:positionV>
            <wp:extent cx="5445760" cy="263017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445760" cy="263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 Setting</w:t>
      </w:r>
    </w:p>
    <w:p>
      <w:pPr>
        <w:spacing w:after="0" w:line="16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regularly review our executive compensation program to ensure that we provide the opportunity for each of our NEOs to receive competitive compensation without providing an incentive for excessive risk-taking. With the support of the Compensation Consultant, the Committee annually reviews each individual component of compensation as well as the aggregate compensation that may be paid or awarded to each of our NEOs and compares them:</w:t>
      </w:r>
    </w:p>
    <w:p>
      <w:pPr>
        <w:spacing w:after="0" w:line="126" w:lineRule="exact"/>
        <w:rPr>
          <w:sz w:val="20"/>
          <w:szCs w:val="20"/>
          <w:color w:val="auto"/>
        </w:rPr>
      </w:pPr>
    </w:p>
    <w:p>
      <w:pPr>
        <w:ind w:left="640" w:right="440" w:hanging="316"/>
        <w:spacing w:after="0" w:line="274" w:lineRule="auto"/>
        <w:tabs>
          <w:tab w:leader="none" w:pos="635" w:val="left"/>
        </w:tabs>
        <w:numPr>
          <w:ilvl w:val="0"/>
          <w:numId w:val="117"/>
        </w:numPr>
        <w:rPr>
          <w:rFonts w:ascii="Arial" w:cs="Arial" w:eastAsia="Arial" w:hAnsi="Arial"/>
          <w:sz w:val="18"/>
          <w:szCs w:val="18"/>
          <w:color w:val="520B90"/>
        </w:rPr>
      </w:pPr>
      <w:r>
        <w:rPr>
          <w:rFonts w:ascii="Arial" w:cs="Arial" w:eastAsia="Arial" w:hAnsi="Arial"/>
          <w:sz w:val="18"/>
          <w:szCs w:val="18"/>
          <w:color w:val="auto"/>
        </w:rPr>
        <w:t>Externally against compensation awarded and paid to executive officers holding comparable positions at companies with which we compete for executive talent; and</w:t>
      </w:r>
    </w:p>
    <w:p>
      <w:pPr>
        <w:spacing w:after="0" w:line="109" w:lineRule="exact"/>
        <w:rPr>
          <w:rFonts w:ascii="Arial" w:cs="Arial" w:eastAsia="Arial" w:hAnsi="Arial"/>
          <w:sz w:val="18"/>
          <w:szCs w:val="18"/>
          <w:color w:val="520B90"/>
        </w:rPr>
      </w:pPr>
    </w:p>
    <w:p>
      <w:pPr>
        <w:ind w:left="640" w:right="180" w:hanging="316"/>
        <w:spacing w:after="0" w:line="274" w:lineRule="auto"/>
        <w:tabs>
          <w:tab w:leader="none" w:pos="635" w:val="left"/>
        </w:tabs>
        <w:numPr>
          <w:ilvl w:val="0"/>
          <w:numId w:val="117"/>
        </w:numPr>
        <w:rPr>
          <w:rFonts w:ascii="Arial" w:cs="Arial" w:eastAsia="Arial" w:hAnsi="Arial"/>
          <w:sz w:val="18"/>
          <w:szCs w:val="18"/>
          <w:color w:val="520B90"/>
        </w:rPr>
      </w:pPr>
      <w:r>
        <w:rPr>
          <w:rFonts w:ascii="Arial" w:cs="Arial" w:eastAsia="Arial" w:hAnsi="Arial"/>
          <w:sz w:val="18"/>
          <w:szCs w:val="18"/>
          <w:color w:val="auto"/>
        </w:rPr>
        <w:t>Internally against other members of the executive team to ensure internal equity, taking into account individual performance, skills and experience.</w:t>
      </w:r>
    </w:p>
    <w:p>
      <w:pPr>
        <w:spacing w:after="0" w:line="338"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44" w:name="page45"/>
    <w:bookmarkEnd w:id="44"/>
    <w:p>
      <w:pPr>
        <w:ind w:right="20"/>
        <w:spacing w:after="0" w:line="259" w:lineRule="auto"/>
        <w:rPr>
          <w:sz w:val="20"/>
          <w:szCs w:val="20"/>
          <w:color w:val="auto"/>
        </w:rPr>
      </w:pPr>
      <w:r>
        <w:rPr>
          <w:rFonts w:ascii="Arial" w:cs="Arial" w:eastAsia="Arial" w:hAnsi="Arial"/>
          <w:sz w:val="18"/>
          <w:szCs w:val="18"/>
          <w:color w:val="auto"/>
        </w:rPr>
        <w:t>We assess our compensation programs to ensure that elements of compensation are positioned at approximately the median as compared with the compensation of executives in our industry sector and among companies in other industries of comparable size, scope and organizational complexity. We also seek to provide a direct link between pay and the enhancement of stockholder value.</w:t>
      </w:r>
    </w:p>
    <w:p>
      <w:pPr>
        <w:spacing w:after="0" w:line="124" w:lineRule="exact"/>
        <w:rPr>
          <w:sz w:val="20"/>
          <w:szCs w:val="20"/>
          <w:color w:val="auto"/>
        </w:rPr>
      </w:pPr>
    </w:p>
    <w:p>
      <w:pPr>
        <w:ind w:right="400"/>
        <w:spacing w:after="0" w:line="274" w:lineRule="auto"/>
        <w:rPr>
          <w:sz w:val="20"/>
          <w:szCs w:val="20"/>
          <w:color w:val="auto"/>
        </w:rPr>
      </w:pPr>
      <w:r>
        <w:rPr>
          <w:rFonts w:ascii="Arial" w:cs="Arial" w:eastAsia="Arial" w:hAnsi="Arial"/>
          <w:sz w:val="18"/>
          <w:szCs w:val="18"/>
          <w:color w:val="auto"/>
        </w:rPr>
        <w:t>The Committee has established a number of processes to assist it in ensuring that our executive compensation program is achieving these objectives as detailed below.</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Market Analysis</w:t>
      </w:r>
    </w:p>
    <w:p>
      <w:pPr>
        <w:spacing w:after="0" w:line="16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Committee determines the levels for each element of total target compensation (i.e., base salary, STIs and LTIs) by annually engaging in a competitive market analysis with respect to each of these compensation elements for each executive position ("Competitive Market Analysis"). The Committee usually begins this Competitive Market Analysis several months before the compensation decisions are made. Compensation decisions are typically made at the first regularly scheduled Committee meeting of each year (usually held during the first quarter of the year) ("First Regular Committee Meeting"). Market data used in the Committee's Competitive Market Analysis includes peer group data and published and custom survey data.</w:t>
      </w:r>
    </w:p>
    <w:p>
      <w:pPr>
        <w:spacing w:after="0" w:line="13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Peer Group Data</w:t>
      </w:r>
    </w:p>
    <w:p>
      <w:pPr>
        <w:spacing w:after="0" w:line="164" w:lineRule="exact"/>
        <w:rPr>
          <w:sz w:val="20"/>
          <w:szCs w:val="20"/>
          <w:color w:val="auto"/>
        </w:rPr>
      </w:pPr>
    </w:p>
    <w:p>
      <w:pPr>
        <w:ind w:right="340"/>
        <w:spacing w:after="0" w:line="274" w:lineRule="auto"/>
        <w:rPr>
          <w:sz w:val="20"/>
          <w:szCs w:val="20"/>
          <w:color w:val="auto"/>
        </w:rPr>
      </w:pPr>
      <w:r>
        <w:rPr>
          <w:rFonts w:ascii="Arial" w:cs="Arial" w:eastAsia="Arial" w:hAnsi="Arial"/>
          <w:sz w:val="18"/>
          <w:szCs w:val="18"/>
          <w:color w:val="auto"/>
        </w:rPr>
        <w:t>Each year the Committee reviews publicly disclosed compensation data from companies comprising our "Peer Group," as discussed further below, when establishing executive pay levels and program design.</w:t>
      </w:r>
    </w:p>
    <w:p>
      <w:pPr>
        <w:spacing w:after="0" w:line="11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Generally, in the second half of each year, the Committee reviews the Peer Group composition in advance of the Competitive Market Analysis. This Peer Group review is conducted in collaboration with the Compensation Consultant and also considers management's perspective on current or prospective peer companies. While the Committee typically conducts this Peer Group review annually, it has strived to keep the Peer Group composition fairly constant year-to-year to provide consistency in market data results and allow the Committee to spot trends in pay levels and program design over time.</w:t>
      </w:r>
    </w:p>
    <w:p>
      <w:pPr>
        <w:spacing w:after="0" w:line="131" w:lineRule="exact"/>
        <w:rPr>
          <w:sz w:val="20"/>
          <w:szCs w:val="20"/>
          <w:color w:val="auto"/>
        </w:rPr>
      </w:pPr>
    </w:p>
    <w:p>
      <w:pPr>
        <w:ind w:firstLine="477"/>
        <w:spacing w:after="0" w:line="265" w:lineRule="auto"/>
        <w:rPr>
          <w:sz w:val="20"/>
          <w:szCs w:val="20"/>
          <w:color w:val="auto"/>
        </w:rPr>
      </w:pPr>
      <w:r>
        <w:rPr>
          <w:rFonts w:ascii="Arial" w:cs="Arial" w:eastAsia="Arial" w:hAnsi="Arial"/>
          <w:sz w:val="17"/>
          <w:szCs w:val="17"/>
          <w:i w:val="1"/>
          <w:iCs w:val="1"/>
          <w:u w:val="single" w:color="auto"/>
          <w:color w:val="auto"/>
        </w:rPr>
        <w:t>2025 Compensation Peer Group</w:t>
      </w:r>
      <w:r>
        <w:rPr>
          <w:rFonts w:ascii="Arial" w:cs="Arial" w:eastAsia="Arial" w:hAnsi="Arial"/>
          <w:sz w:val="17"/>
          <w:szCs w:val="17"/>
          <w:i w:val="1"/>
          <w:iCs w:val="1"/>
          <w:color w:val="auto"/>
        </w:rPr>
        <w:t xml:space="preserve">. </w:t>
      </w:r>
      <w:r>
        <w:rPr>
          <w:rFonts w:ascii="Arial" w:cs="Arial" w:eastAsia="Arial" w:hAnsi="Arial"/>
          <w:sz w:val="17"/>
          <w:szCs w:val="17"/>
          <w:color w:val="auto"/>
        </w:rPr>
        <w:t>In 2024, the Committee elected to delay its review of the compensation peer group for 2025 primarily as</w:t>
      </w:r>
      <w:r>
        <w:rPr>
          <w:rFonts w:ascii="Arial" w:cs="Arial" w:eastAsia="Arial" w:hAnsi="Arial"/>
          <w:sz w:val="17"/>
          <w:szCs w:val="17"/>
          <w:i w:val="1"/>
          <w:iCs w:val="1"/>
          <w:color w:val="auto"/>
        </w:rPr>
        <w:t xml:space="preserve"> </w:t>
      </w:r>
      <w:r>
        <w:rPr>
          <w:rFonts w:ascii="Arial" w:cs="Arial" w:eastAsia="Arial" w:hAnsi="Arial"/>
          <w:sz w:val="17"/>
          <w:szCs w:val="17"/>
          <w:color w:val="auto"/>
        </w:rPr>
        <w:t>a result of the Company's Fiber Business strategic review, as its outcome could impact the scope and scale of our business</w:t>
      </w:r>
      <w:r>
        <w:rPr>
          <w:rFonts w:ascii="Arial" w:cs="Arial" w:eastAsia="Arial" w:hAnsi="Arial"/>
          <w:sz w:val="17"/>
          <w:szCs w:val="17"/>
          <w:i w:val="1"/>
          <w:iCs w:val="1"/>
          <w:color w:val="auto"/>
        </w:rPr>
        <w:t>.</w:t>
      </w:r>
      <w:r>
        <w:rPr>
          <w:rFonts w:ascii="Arial" w:cs="Arial" w:eastAsia="Arial" w:hAnsi="Arial"/>
          <w:sz w:val="17"/>
          <w:szCs w:val="17"/>
          <w:color w:val="auto"/>
        </w:rPr>
        <w:t xml:space="preserve"> In March 2025, the Company announced that it entered into a definitive agreement to sell its Fiber Business, concluding the strategic review. Following this announcement, at its next regularly scheduled meeting in May 2025, the Committee conducted a review of the Peer Group with the assistance of the Compensation Consultant to determine whether the Peer Group continues to reflect the size, scope and other characteristics of the Company, resulting in the Committee's approval of changes to the Peer Group that were intended to reflect the anticipated scope and scale of the business following the close of the Strategic Fiber Transaction by placing the Company closer to the median for its projected post-divestiture revenue and market capitalization. In addition, the changes to the Peer Group contemplated an increased weighting of REIT companies aimed at representing the Company's anticipated business portfolio post divestiture as a U.S.-focused, standalone towers REIT.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Based on its review, the Committee elected to:</w:t>
      </w:r>
    </w:p>
    <w:p>
      <w:pPr>
        <w:spacing w:after="0" w:line="164" w:lineRule="exact"/>
        <w:rPr>
          <w:sz w:val="20"/>
          <w:szCs w:val="20"/>
          <w:color w:val="auto"/>
        </w:rPr>
      </w:pPr>
    </w:p>
    <w:p>
      <w:pPr>
        <w:ind w:left="640" w:right="600" w:hanging="316"/>
        <w:spacing w:after="0" w:line="274" w:lineRule="auto"/>
        <w:tabs>
          <w:tab w:leader="none" w:pos="635" w:val="left"/>
        </w:tabs>
        <w:numPr>
          <w:ilvl w:val="0"/>
          <w:numId w:val="118"/>
        </w:numPr>
        <w:rPr>
          <w:rFonts w:ascii="Arial" w:cs="Arial" w:eastAsia="Arial" w:hAnsi="Arial"/>
          <w:sz w:val="18"/>
          <w:szCs w:val="18"/>
          <w:color w:val="520B90"/>
        </w:rPr>
      </w:pPr>
      <w:r>
        <w:rPr>
          <w:rFonts w:ascii="Arial" w:cs="Arial" w:eastAsia="Arial" w:hAnsi="Arial"/>
          <w:sz w:val="18"/>
          <w:szCs w:val="18"/>
          <w:color w:val="auto"/>
        </w:rPr>
        <w:t>Remove ten companies: Applied Materials, Inc., Booking Holdings Inc., BXP, Inc., Charter Communications, Inc., Intuit Inc., KLA Corporation, LAM Research Corporation, Lumen Technologies, Inc., NetApp, Inc. and ServiceNow, Inc.; and</w:t>
      </w:r>
    </w:p>
    <w:p>
      <w:pPr>
        <w:spacing w:after="0" w:line="109" w:lineRule="exact"/>
        <w:rPr>
          <w:rFonts w:ascii="Arial" w:cs="Arial" w:eastAsia="Arial" w:hAnsi="Arial"/>
          <w:sz w:val="18"/>
          <w:szCs w:val="18"/>
          <w:color w:val="520B90"/>
        </w:rPr>
      </w:pPr>
    </w:p>
    <w:p>
      <w:pPr>
        <w:ind w:left="640" w:right="20" w:hanging="316"/>
        <w:spacing w:after="0" w:line="274" w:lineRule="auto"/>
        <w:tabs>
          <w:tab w:leader="none" w:pos="635" w:val="left"/>
        </w:tabs>
        <w:numPr>
          <w:ilvl w:val="0"/>
          <w:numId w:val="118"/>
        </w:numPr>
        <w:rPr>
          <w:rFonts w:ascii="Arial" w:cs="Arial" w:eastAsia="Arial" w:hAnsi="Arial"/>
          <w:sz w:val="18"/>
          <w:szCs w:val="18"/>
          <w:color w:val="520B90"/>
        </w:rPr>
      </w:pPr>
      <w:r>
        <w:rPr>
          <w:rFonts w:ascii="Arial" w:cs="Arial" w:eastAsia="Arial" w:hAnsi="Arial"/>
          <w:sz w:val="18"/>
          <w:szCs w:val="18"/>
          <w:color w:val="auto"/>
        </w:rPr>
        <w:t>Add eight companies: Alexandria Real Estate Equities, Inc., AvalonBay Communities Inc., Equity Residential, Extra Space Storage Inc., Invitation Homes Inc., Iron Mountain Inc., Mid-America Apartment Communities, Inc. and Weyerhaeuser Company.</w:t>
      </w:r>
    </w:p>
    <w:p>
      <w:pPr>
        <w:spacing w:after="0" w:line="338"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393"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These changes resulted in the following "2025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835660</wp:posOffset>
            </wp:positionH>
            <wp:positionV relativeFrom="paragraph">
              <wp:posOffset>114300</wp:posOffset>
            </wp:positionV>
            <wp:extent cx="5479415" cy="156337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479415" cy="1563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2025 Peer Group was used in 2025 as a benchmarking tool to establish pay levels and program design for the 2025 fiscal year.</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Published and Custom Survey Data</w:t>
      </w:r>
    </w:p>
    <w:p>
      <w:pPr>
        <w:spacing w:after="0" w:line="16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For certain executive positions, the Committee analyzes market data reported in proprietary compensation surveys published by third parties. This analysis provides information regarding levels of executive compensation for positions for which publicly disclosed data are not widely available. Survey participants include companies in the S&amp;P 500 Index, as well as companies in industries similar to ours. The Committee reviews and may utilize this data since we do not recruit executives exclusively from the communications infrastructure, telecommunications and REIT industries.</w:t>
      </w:r>
    </w:p>
    <w:p>
      <w:pPr>
        <w:spacing w:after="0" w:line="1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to the foregoing data, the Compensation Consultant may analyze and provide additional market data regarding best practices and compensation plan design from the Peer Group and other sources as requested by the Committee. The market data described above is used by the Committee in the Competitive Market Analysis to make decisions regarding executive compensation. No single group, survey or set of market data is used by the Committee as the sole gauge for determining executive compensation; rather, the information is used collectively, and no formulaic quantitative methodology is used by the Committee when using such data to determine executive compensation.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Assessment of Individual and Company Performance</w:t>
      </w:r>
    </w:p>
    <w:p>
      <w:pPr>
        <w:spacing w:after="0" w:line="16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addition to market data, the Committee considers other factors in connection with its evaluation and determination of the components of compensation. These other factors may include our financial and operating performance, the applicable executive's individual performance, the executive's level of experience, the size of year-over-year changes in compensation and the duties and level of responsibility of a particular executive position. These factors are discussed in more detail below.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Compensation Review</w:t>
      </w:r>
    </w:p>
    <w:p>
      <w:pPr>
        <w:spacing w:after="0" w:line="16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Through the Competitive Market Analysis and in its deliberations regarding executive compensation decisions, the Committee reviews and compares the individual components of compensation and the total compensation for each NEO against the market data. In addition, the Committee reviews year-over-year changes in compensation for each NEO against the market data. These analyses are an important aspect of the Committee's regular executive compensation decision-making process.</w:t>
      </w:r>
    </w:p>
    <w:p>
      <w:pPr>
        <w:spacing w:after="0" w:line="355"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46" w:name="page47"/>
    <w:bookmarkEnd w:id="46"/>
    <w:p>
      <w:pPr>
        <w:jc w:val="center"/>
        <w:ind w:right="-39"/>
        <w:spacing w:after="0"/>
        <w:rPr>
          <w:sz w:val="20"/>
          <w:szCs w:val="20"/>
          <w:color w:val="auto"/>
        </w:rPr>
      </w:pPr>
      <w:r>
        <w:rPr>
          <w:rFonts w:ascii="Arial" w:cs="Arial" w:eastAsia="Arial" w:hAnsi="Arial"/>
          <w:sz w:val="18"/>
          <w:szCs w:val="18"/>
          <w:b w:val="1"/>
          <w:bCs w:val="1"/>
          <w:color w:val="auto"/>
        </w:rPr>
        <w:t>Executive Compensation Elements</w:t>
      </w:r>
    </w:p>
    <w:p>
      <w:pPr>
        <w:spacing w:after="0" w:line="166"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color w:val="auto"/>
        </w:rPr>
        <w:t>Our executive compensation program is designed to meet the objectives of our "pay for performance" philosophy by linking a significant portion of each executive's compensation to Company performance.</w:t>
      </w:r>
    </w:p>
    <w:p>
      <w:pPr>
        <w:spacing w:after="0" w:line="110" w:lineRule="exact"/>
        <w:rPr>
          <w:sz w:val="20"/>
          <w:szCs w:val="20"/>
          <w:color w:val="auto"/>
        </w:rPr>
      </w:pPr>
    </w:p>
    <w:p>
      <w:pPr>
        <w:ind w:right="720"/>
        <w:spacing w:after="0" w:line="274" w:lineRule="auto"/>
        <w:rPr>
          <w:sz w:val="20"/>
          <w:szCs w:val="20"/>
          <w:color w:val="auto"/>
        </w:rPr>
      </w:pPr>
      <w:r>
        <w:rPr>
          <w:rFonts w:ascii="Arial" w:cs="Arial" w:eastAsia="Arial" w:hAnsi="Arial"/>
          <w:sz w:val="18"/>
          <w:szCs w:val="18"/>
          <w:color w:val="auto"/>
        </w:rPr>
        <w:t>The following table summarizes the purpose and key characteristics of each of the primary components of our executive compensation program.</w:t>
      </w:r>
    </w:p>
    <w:p>
      <w:pPr>
        <w:sectPr>
          <w:pgSz w:w="11900" w:h="16838" w:orient="portrait"/>
          <w:cols w:equalWidth="0" w:num="1">
            <w:col w:w="11220"/>
          </w:cols>
          <w:pgMar w:left="320" w:top="1391" w:right="359" w:bottom="1440" w:gutter="0" w:footer="0" w:header="0"/>
        </w:sectPr>
      </w:pP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80" w:type="dxa"/>
            <w:vAlign w:val="bottom"/>
            <w:tcBorders>
              <w:bottom w:val="single" w:sz="8" w:color="520B90"/>
            </w:tcBorders>
          </w:tcPr>
          <w:p>
            <w:pPr>
              <w:ind w:left="20"/>
              <w:spacing w:after="0"/>
              <w:rPr>
                <w:sz w:val="20"/>
                <w:szCs w:val="20"/>
                <w:color w:val="auto"/>
              </w:rPr>
            </w:pPr>
            <w:r>
              <w:rPr>
                <w:rFonts w:ascii="Arial" w:cs="Arial" w:eastAsia="Arial" w:hAnsi="Arial"/>
                <w:sz w:val="16"/>
                <w:szCs w:val="16"/>
                <w:b w:val="1"/>
                <w:bCs w:val="1"/>
                <w:color w:val="520B90"/>
              </w:rPr>
              <w:t>COMPENSATION ELEMENT</w:t>
            </w:r>
          </w:p>
        </w:tc>
        <w:tc>
          <w:tcPr>
            <w:tcW w:w="80" w:type="dxa"/>
            <w:vAlign w:val="bottom"/>
          </w:tcPr>
          <w:p>
            <w:pPr>
              <w:spacing w:after="0"/>
              <w:rPr>
                <w:sz w:val="18"/>
                <w:szCs w:val="18"/>
                <w:color w:val="auto"/>
              </w:rPr>
            </w:pPr>
          </w:p>
        </w:tc>
        <w:tc>
          <w:tcPr>
            <w:tcW w:w="4000" w:type="dxa"/>
            <w:vAlign w:val="bottom"/>
            <w:tcBorders>
              <w:bottom w:val="single" w:sz="8" w:color="520B90"/>
            </w:tcBorders>
          </w:tcPr>
          <w:p>
            <w:pPr>
              <w:ind w:left="20"/>
              <w:spacing w:after="0"/>
              <w:rPr>
                <w:sz w:val="20"/>
                <w:szCs w:val="20"/>
                <w:color w:val="auto"/>
              </w:rPr>
            </w:pPr>
            <w:r>
              <w:rPr>
                <w:rFonts w:ascii="Arial" w:cs="Arial" w:eastAsia="Arial" w:hAnsi="Arial"/>
                <w:sz w:val="16"/>
                <w:szCs w:val="16"/>
                <w:b w:val="1"/>
                <w:bCs w:val="1"/>
                <w:color w:val="520B90"/>
              </w:rPr>
              <w:t>PURPOSE</w:t>
            </w:r>
          </w:p>
        </w:tc>
        <w:tc>
          <w:tcPr>
            <w:tcW w:w="0" w:type="dxa"/>
            <w:vAlign w:val="bottom"/>
          </w:tcPr>
          <w:p>
            <w:pPr>
              <w:spacing w:after="0"/>
              <w:rPr>
                <w:sz w:val="1"/>
                <w:szCs w:val="1"/>
                <w:color w:val="auto"/>
              </w:rPr>
            </w:pPr>
          </w:p>
        </w:tc>
      </w:tr>
      <w:tr>
        <w:trPr>
          <w:trHeight w:val="126"/>
        </w:trPr>
        <w:tc>
          <w:tcPr>
            <w:tcW w:w="3080" w:type="dxa"/>
            <w:vAlign w:val="bottom"/>
          </w:tcPr>
          <w:p>
            <w:pPr>
              <w:spacing w:after="0"/>
              <w:rPr>
                <w:sz w:val="10"/>
                <w:szCs w:val="10"/>
                <w:color w:val="auto"/>
              </w:rPr>
            </w:pPr>
          </w:p>
        </w:tc>
        <w:tc>
          <w:tcPr>
            <w:tcW w:w="80" w:type="dxa"/>
            <w:vAlign w:val="bottom"/>
            <w:vMerge w:val="restart"/>
          </w:tcPr>
          <w:p>
            <w:pPr>
              <w:spacing w:after="0"/>
              <w:rPr>
                <w:sz w:val="10"/>
                <w:szCs w:val="10"/>
                <w:color w:val="auto"/>
              </w:rPr>
            </w:pPr>
          </w:p>
        </w:tc>
        <w:tc>
          <w:tcPr>
            <w:tcW w:w="4000" w:type="dxa"/>
            <w:vAlign w:val="bottom"/>
            <w:vMerge w:val="restart"/>
          </w:tcPr>
          <w:p>
            <w:pPr>
              <w:ind w:left="20"/>
              <w:spacing w:after="0"/>
              <w:rPr>
                <w:sz w:val="20"/>
                <w:szCs w:val="20"/>
                <w:color w:val="auto"/>
              </w:rPr>
            </w:pPr>
            <w:r>
              <w:rPr>
                <w:rFonts w:ascii="Arial" w:cs="Arial" w:eastAsia="Arial" w:hAnsi="Arial"/>
                <w:sz w:val="16"/>
                <w:szCs w:val="16"/>
                <w:color w:val="auto"/>
              </w:rPr>
              <w:t>Provide a base level of income, targeting the market</w:t>
            </w:r>
          </w:p>
        </w:tc>
        <w:tc>
          <w:tcPr>
            <w:tcW w:w="0" w:type="dxa"/>
            <w:vAlign w:val="bottom"/>
          </w:tcPr>
          <w:p>
            <w:pPr>
              <w:spacing w:after="0"/>
              <w:rPr>
                <w:sz w:val="1"/>
                <w:szCs w:val="1"/>
                <w:color w:val="auto"/>
              </w:rPr>
            </w:pPr>
          </w:p>
        </w:tc>
      </w:tr>
      <w:tr>
        <w:trPr>
          <w:trHeight w:val="159"/>
        </w:trPr>
        <w:tc>
          <w:tcPr>
            <w:tcW w:w="3080" w:type="dxa"/>
            <w:vAlign w:val="bottom"/>
            <w:shd w:val="clear" w:color="auto" w:fill="520B90"/>
          </w:tcPr>
          <w:p>
            <w:pPr>
              <w:ind w:left="20"/>
              <w:spacing w:after="0" w:line="159" w:lineRule="exact"/>
              <w:rPr>
                <w:sz w:val="20"/>
                <w:szCs w:val="20"/>
                <w:color w:val="auto"/>
              </w:rPr>
            </w:pPr>
            <w:r>
              <w:rPr>
                <w:rFonts w:ascii="Arial" w:cs="Arial" w:eastAsia="Arial" w:hAnsi="Arial"/>
                <w:sz w:val="16"/>
                <w:szCs w:val="16"/>
                <w:b w:val="1"/>
                <w:bCs w:val="1"/>
                <w:color w:val="FFFFFF"/>
              </w:rPr>
              <w:t>BASE SALARY</w:t>
            </w:r>
          </w:p>
        </w:tc>
        <w:tc>
          <w:tcPr>
            <w:tcW w:w="80" w:type="dxa"/>
            <w:vAlign w:val="bottom"/>
            <w:vMerge w:val="continue"/>
          </w:tcPr>
          <w:p>
            <w:pPr>
              <w:spacing w:after="0"/>
              <w:rPr>
                <w:sz w:val="13"/>
                <w:szCs w:val="13"/>
                <w:color w:val="auto"/>
              </w:rPr>
            </w:pPr>
          </w:p>
        </w:tc>
        <w:tc>
          <w:tcPr>
            <w:tcW w:w="4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3080" w:type="dxa"/>
            <w:vAlign w:val="bottom"/>
            <w:shd w:val="clear" w:color="auto" w:fill="520B90"/>
          </w:tcPr>
          <w:p>
            <w:pPr>
              <w:spacing w:after="0"/>
              <w:rPr>
                <w:sz w:val="18"/>
                <w:szCs w:val="18"/>
                <w:color w:val="auto"/>
              </w:rPr>
            </w:pPr>
          </w:p>
        </w:tc>
        <w:tc>
          <w:tcPr>
            <w:tcW w:w="80" w:type="dxa"/>
            <w:vAlign w:val="bottom"/>
          </w:tcPr>
          <w:p>
            <w:pPr>
              <w:spacing w:after="0"/>
              <w:rPr>
                <w:sz w:val="18"/>
                <w:szCs w:val="18"/>
                <w:color w:val="auto"/>
              </w:rPr>
            </w:pPr>
          </w:p>
        </w:tc>
        <w:tc>
          <w:tcPr>
            <w:tcW w:w="4000" w:type="dxa"/>
            <w:vAlign w:val="bottom"/>
            <w:tcBorders>
              <w:bottom w:val="single" w:sz="8" w:color="E6E7E7"/>
            </w:tcBorders>
          </w:tcPr>
          <w:p>
            <w:pPr>
              <w:ind w:left="20"/>
              <w:spacing w:after="0"/>
              <w:rPr>
                <w:sz w:val="20"/>
                <w:szCs w:val="20"/>
                <w:color w:val="auto"/>
              </w:rPr>
            </w:pPr>
            <w:r>
              <w:rPr>
                <w:rFonts w:ascii="Arial" w:cs="Arial" w:eastAsia="Arial" w:hAnsi="Arial"/>
                <w:sz w:val="16"/>
                <w:szCs w:val="16"/>
                <w:color w:val="auto"/>
              </w:rPr>
              <w:t>median for executive talent.</w:t>
            </w:r>
          </w:p>
        </w:tc>
        <w:tc>
          <w:tcPr>
            <w:tcW w:w="0" w:type="dxa"/>
            <w:vAlign w:val="bottom"/>
          </w:tcPr>
          <w:p>
            <w:pPr>
              <w:spacing w:after="0"/>
              <w:rPr>
                <w:sz w:val="1"/>
                <w:szCs w:val="1"/>
                <w:color w:val="auto"/>
              </w:rPr>
            </w:pPr>
          </w:p>
        </w:tc>
      </w:tr>
      <w:tr>
        <w:trPr>
          <w:trHeight w:val="74"/>
        </w:trPr>
        <w:tc>
          <w:tcPr>
            <w:tcW w:w="308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000" w:type="dxa"/>
            <w:vAlign w:val="bottom"/>
            <w:vMerge w:val="restart"/>
          </w:tcPr>
          <w:p>
            <w:pPr>
              <w:ind w:left="20"/>
              <w:spacing w:after="0"/>
              <w:rPr>
                <w:sz w:val="20"/>
                <w:szCs w:val="20"/>
                <w:color w:val="auto"/>
              </w:rPr>
            </w:pPr>
            <w:r>
              <w:rPr>
                <w:rFonts w:ascii="Arial" w:cs="Arial" w:eastAsia="Arial" w:hAnsi="Arial"/>
                <w:sz w:val="16"/>
                <w:szCs w:val="16"/>
                <w:color w:val="auto"/>
              </w:rPr>
              <w:t>Motivate executives to achieve our short-term financial</w:t>
            </w:r>
          </w:p>
        </w:tc>
        <w:tc>
          <w:tcPr>
            <w:tcW w:w="0" w:type="dxa"/>
            <w:vAlign w:val="bottom"/>
          </w:tcPr>
          <w:p>
            <w:pPr>
              <w:spacing w:after="0"/>
              <w:rPr>
                <w:sz w:val="1"/>
                <w:szCs w:val="1"/>
                <w:color w:val="auto"/>
              </w:rPr>
            </w:pPr>
          </w:p>
        </w:tc>
      </w:tr>
      <w:tr>
        <w:trPr>
          <w:trHeight w:val="159"/>
        </w:trPr>
        <w:tc>
          <w:tcPr>
            <w:tcW w:w="3080" w:type="dxa"/>
            <w:vAlign w:val="bottom"/>
            <w:shd w:val="clear" w:color="auto" w:fill="9983B7"/>
          </w:tcPr>
          <w:p>
            <w:pPr>
              <w:ind w:left="20"/>
              <w:spacing w:after="0" w:line="159" w:lineRule="exact"/>
              <w:rPr>
                <w:sz w:val="20"/>
                <w:szCs w:val="20"/>
                <w:color w:val="auto"/>
              </w:rPr>
            </w:pPr>
            <w:r>
              <w:rPr>
                <w:rFonts w:ascii="Arial" w:cs="Arial" w:eastAsia="Arial" w:hAnsi="Arial"/>
                <w:sz w:val="16"/>
                <w:szCs w:val="16"/>
                <w:b w:val="1"/>
                <w:bCs w:val="1"/>
                <w:color w:val="FFFFFF"/>
              </w:rPr>
              <w:t>SHORT-TERM INCENTIVES</w:t>
            </w:r>
          </w:p>
        </w:tc>
        <w:tc>
          <w:tcPr>
            <w:tcW w:w="80" w:type="dxa"/>
            <w:vAlign w:val="bottom"/>
            <w:vMerge w:val="continue"/>
          </w:tcPr>
          <w:p>
            <w:pPr>
              <w:spacing w:after="0"/>
              <w:rPr>
                <w:sz w:val="13"/>
                <w:szCs w:val="13"/>
                <w:color w:val="auto"/>
              </w:rPr>
            </w:pPr>
          </w:p>
        </w:tc>
        <w:tc>
          <w:tcPr>
            <w:tcW w:w="4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3080" w:type="dxa"/>
            <w:vAlign w:val="bottom"/>
            <w:shd w:val="clear" w:color="auto" w:fill="9983B7"/>
          </w:tcPr>
          <w:p>
            <w:pPr>
              <w:ind w:left="20"/>
              <w:spacing w:after="0"/>
              <w:rPr>
                <w:sz w:val="20"/>
                <w:szCs w:val="20"/>
                <w:color w:val="auto"/>
              </w:rPr>
            </w:pPr>
            <w:r>
              <w:rPr>
                <w:rFonts w:ascii="Arial" w:cs="Arial" w:eastAsia="Arial" w:hAnsi="Arial"/>
                <w:sz w:val="16"/>
                <w:szCs w:val="16"/>
                <w:b w:val="1"/>
                <w:bCs w:val="1"/>
                <w:color w:val="FFFFFF"/>
              </w:rPr>
              <w:t>(Annual cash incentive)</w:t>
            </w:r>
          </w:p>
        </w:tc>
        <w:tc>
          <w:tcPr>
            <w:tcW w:w="8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Arial" w:cs="Arial" w:eastAsia="Arial" w:hAnsi="Arial"/>
                <w:sz w:val="16"/>
                <w:szCs w:val="16"/>
                <w:color w:val="auto"/>
              </w:rPr>
              <w:t>and operational objectives.</w:t>
            </w:r>
          </w:p>
        </w:tc>
        <w:tc>
          <w:tcPr>
            <w:tcW w:w="0" w:type="dxa"/>
            <w:vAlign w:val="bottom"/>
          </w:tcPr>
          <w:p>
            <w:pPr>
              <w:spacing w:after="0"/>
              <w:rPr>
                <w:sz w:val="1"/>
                <w:szCs w:val="1"/>
                <w:color w:val="auto"/>
              </w:rPr>
            </w:pPr>
          </w:p>
        </w:tc>
      </w:tr>
      <w:tr>
        <w:trPr>
          <w:trHeight w:val="312"/>
        </w:trPr>
        <w:tc>
          <w:tcPr>
            <w:tcW w:w="3080" w:type="dxa"/>
            <w:vAlign w:val="bottom"/>
            <w:shd w:val="clear" w:color="auto" w:fill="9983B7"/>
          </w:tcPr>
          <w:p>
            <w:pPr>
              <w:spacing w:after="0"/>
              <w:rPr>
                <w:sz w:val="24"/>
                <w:szCs w:val="24"/>
                <w:color w:val="auto"/>
              </w:rPr>
            </w:pPr>
          </w:p>
        </w:tc>
        <w:tc>
          <w:tcPr>
            <w:tcW w:w="80" w:type="dxa"/>
            <w:vAlign w:val="bottom"/>
          </w:tcPr>
          <w:p>
            <w:pPr>
              <w:spacing w:after="0"/>
              <w:rPr>
                <w:sz w:val="24"/>
                <w:szCs w:val="24"/>
                <w:color w:val="auto"/>
              </w:rPr>
            </w:pPr>
          </w:p>
        </w:tc>
        <w:tc>
          <w:tcPr>
            <w:tcW w:w="4000" w:type="dxa"/>
            <w:vAlign w:val="bottom"/>
            <w:tcBorders>
              <w:bottom w:val="single" w:sz="8" w:color="E6E7E7"/>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520B90"/>
        </w:rPr>
        <w:t>KEY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18415</wp:posOffset>
            </wp:positionV>
            <wp:extent cx="253809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538095" cy="8255"/>
                    </a:xfrm>
                    <a:prstGeom prst="rect">
                      <a:avLst/>
                    </a:prstGeom>
                    <a:noFill/>
                  </pic:spPr>
                </pic:pic>
              </a:graphicData>
            </a:graphic>
          </wp:anchor>
        </w:drawing>
      </w:r>
    </w:p>
    <w:p>
      <w:pPr>
        <w:spacing w:after="0" w:line="153" w:lineRule="exact"/>
        <w:rPr>
          <w:sz w:val="20"/>
          <w:szCs w:val="20"/>
          <w:color w:val="auto"/>
        </w:rPr>
      </w:pPr>
    </w:p>
    <w:p>
      <w:pPr>
        <w:ind w:right="160"/>
        <w:spacing w:after="0"/>
        <w:rPr>
          <w:sz w:val="20"/>
          <w:szCs w:val="20"/>
          <w:color w:val="auto"/>
        </w:rPr>
      </w:pPr>
      <w:r>
        <w:rPr>
          <w:rFonts w:ascii="Arial" w:cs="Arial" w:eastAsia="Arial" w:hAnsi="Arial"/>
          <w:sz w:val="16"/>
          <w:szCs w:val="16"/>
          <w:color w:val="auto"/>
        </w:rPr>
        <w:t>Fixed compensation. Reviewed annually and adjusted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2540</wp:posOffset>
            </wp:positionV>
            <wp:extent cx="253809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538095" cy="8255"/>
                    </a:xfrm>
                    <a:prstGeom prst="rect">
                      <a:avLst/>
                    </a:prstGeom>
                    <a:noFill/>
                  </pic:spPr>
                </pic:pic>
              </a:graphicData>
            </a:graphic>
          </wp:anchor>
        </w:drawing>
      </w:r>
    </w:p>
    <w:p>
      <w:pPr>
        <w:spacing w:after="0" w:line="75" w:lineRule="exact"/>
        <w:rPr>
          <w:sz w:val="20"/>
          <w:szCs w:val="20"/>
          <w:color w:val="auto"/>
        </w:rPr>
      </w:pPr>
    </w:p>
    <w:p>
      <w:pPr>
        <w:ind w:right="160"/>
        <w:spacing w:after="0" w:line="223" w:lineRule="auto"/>
        <w:rPr>
          <w:sz w:val="20"/>
          <w:szCs w:val="20"/>
          <w:color w:val="auto"/>
        </w:rPr>
      </w:pPr>
      <w:r>
        <w:rPr>
          <w:rFonts w:ascii="Arial" w:cs="Arial" w:eastAsia="Arial" w:hAnsi="Arial"/>
          <w:sz w:val="16"/>
          <w:szCs w:val="16"/>
          <w:color w:val="auto"/>
        </w:rPr>
        <w:t>Variable, cash-based compensation. Award potential ranges from 0% to 175% of target based on corporate performance measured against pre-established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3175</wp:posOffset>
            </wp:positionV>
            <wp:extent cx="253809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538095" cy="8255"/>
                    </a:xfrm>
                    <a:prstGeom prst="rect">
                      <a:avLst/>
                    </a:prstGeom>
                    <a:noFill/>
                  </pic:spPr>
                </pic:pic>
              </a:graphicData>
            </a:graphic>
          </wp:anchor>
        </w:drawing>
      </w:r>
    </w:p>
    <w:p>
      <w:pPr>
        <w:spacing w:after="0" w:line="72" w:lineRule="exact"/>
        <w:rPr>
          <w:sz w:val="20"/>
          <w:szCs w:val="20"/>
          <w:color w:val="auto"/>
        </w:rPr>
      </w:pPr>
    </w:p>
    <w:p>
      <w:pPr>
        <w:sectPr>
          <w:pgSz w:w="11900" w:h="16838" w:orient="portrait"/>
          <w:cols w:equalWidth="0" w:num="2">
            <w:col w:w="7160" w:space="100"/>
            <w:col w:w="3960"/>
          </w:cols>
          <w:pgMar w:left="320" w:top="1391" w:right="35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3080" w:type="dxa"/>
            <w:vAlign w:val="bottom"/>
            <w:shd w:val="clear" w:color="auto" w:fill="9A9B9D"/>
          </w:tcPr>
          <w:p>
            <w:pPr>
              <w:ind w:left="20"/>
              <w:spacing w:after="0"/>
              <w:rPr>
                <w:sz w:val="20"/>
                <w:szCs w:val="20"/>
                <w:color w:val="auto"/>
              </w:rPr>
            </w:pPr>
            <w:r>
              <w:rPr>
                <w:rFonts w:ascii="Arial" w:cs="Arial" w:eastAsia="Arial" w:hAnsi="Arial"/>
                <w:sz w:val="16"/>
                <w:szCs w:val="16"/>
                <w:b w:val="1"/>
                <w:bCs w:val="1"/>
                <w:color w:val="FFFFFF"/>
              </w:rPr>
              <w:t>PERFORMANCE-BASED LTIs</w:t>
            </w:r>
          </w:p>
        </w:tc>
        <w:tc>
          <w:tcPr>
            <w:tcW w:w="80" w:type="dxa"/>
            <w:vAlign w:val="bottom"/>
          </w:tcPr>
          <w:p>
            <w:pPr>
              <w:spacing w:after="0"/>
              <w:rPr>
                <w:sz w:val="16"/>
                <w:szCs w:val="16"/>
                <w:color w:val="auto"/>
              </w:rPr>
            </w:pPr>
          </w:p>
        </w:tc>
        <w:tc>
          <w:tcPr>
            <w:tcW w:w="4000" w:type="dxa"/>
            <w:vAlign w:val="bottom"/>
          </w:tcPr>
          <w:p>
            <w:pPr>
              <w:ind w:left="20"/>
              <w:spacing w:after="0"/>
              <w:rPr>
                <w:sz w:val="20"/>
                <w:szCs w:val="20"/>
                <w:color w:val="auto"/>
              </w:rPr>
            </w:pPr>
            <w:r>
              <w:rPr>
                <w:rFonts w:ascii="Arial" w:cs="Arial" w:eastAsia="Arial" w:hAnsi="Arial"/>
                <w:sz w:val="16"/>
                <w:szCs w:val="16"/>
                <w:color w:val="auto"/>
              </w:rPr>
              <w:t>Align the interests of our executives with those of our</w:t>
            </w:r>
          </w:p>
        </w:tc>
      </w:tr>
      <w:tr>
        <w:trPr>
          <w:trHeight w:val="159"/>
        </w:trPr>
        <w:tc>
          <w:tcPr>
            <w:tcW w:w="3080" w:type="dxa"/>
            <w:vAlign w:val="bottom"/>
            <w:shd w:val="clear" w:color="auto" w:fill="9A9B9D"/>
          </w:tcPr>
          <w:p>
            <w:pPr>
              <w:ind w:left="20"/>
              <w:spacing w:after="0" w:line="159" w:lineRule="exact"/>
              <w:rPr>
                <w:sz w:val="20"/>
                <w:szCs w:val="20"/>
                <w:color w:val="auto"/>
              </w:rPr>
            </w:pPr>
            <w:r>
              <w:rPr>
                <w:rFonts w:ascii="Arial" w:cs="Arial" w:eastAsia="Arial" w:hAnsi="Arial"/>
                <w:sz w:val="16"/>
                <w:szCs w:val="16"/>
                <w:b w:val="1"/>
                <w:bCs w:val="1"/>
                <w:color w:val="FFFFFF"/>
              </w:rPr>
              <w:t>(Cumulative AFFO/Share)</w:t>
            </w:r>
          </w:p>
        </w:tc>
        <w:tc>
          <w:tcPr>
            <w:tcW w:w="80" w:type="dxa"/>
            <w:vAlign w:val="bottom"/>
          </w:tcPr>
          <w:p>
            <w:pPr>
              <w:spacing w:after="0"/>
              <w:rPr>
                <w:sz w:val="13"/>
                <w:szCs w:val="13"/>
                <w:color w:val="auto"/>
              </w:rPr>
            </w:pPr>
          </w:p>
        </w:tc>
        <w:tc>
          <w:tcPr>
            <w:tcW w:w="4000" w:type="dxa"/>
            <w:vAlign w:val="bottom"/>
          </w:tcPr>
          <w:p>
            <w:pPr>
              <w:ind w:left="20"/>
              <w:spacing w:after="0" w:line="159" w:lineRule="exact"/>
              <w:rPr>
                <w:sz w:val="20"/>
                <w:szCs w:val="20"/>
                <w:color w:val="auto"/>
              </w:rPr>
            </w:pPr>
            <w:r>
              <w:rPr>
                <w:rFonts w:ascii="Arial" w:cs="Arial" w:eastAsia="Arial" w:hAnsi="Arial"/>
                <w:sz w:val="16"/>
                <w:szCs w:val="16"/>
                <w:color w:val="auto"/>
              </w:rPr>
              <w:t>stockholders by enhancing the focus on multi-year</w:t>
            </w:r>
          </w:p>
        </w:tc>
      </w:tr>
      <w:tr>
        <w:trPr>
          <w:trHeight w:val="210"/>
        </w:trPr>
        <w:tc>
          <w:tcPr>
            <w:tcW w:w="3080" w:type="dxa"/>
            <w:vAlign w:val="bottom"/>
            <w:shd w:val="clear" w:color="auto" w:fill="9A9B9D"/>
          </w:tcPr>
          <w:p>
            <w:pPr>
              <w:spacing w:after="0"/>
              <w:rPr>
                <w:sz w:val="18"/>
                <w:szCs w:val="18"/>
                <w:color w:val="auto"/>
              </w:rPr>
            </w:pPr>
          </w:p>
        </w:tc>
        <w:tc>
          <w:tcPr>
            <w:tcW w:w="8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Arial" w:cs="Arial" w:eastAsia="Arial" w:hAnsi="Arial"/>
                <w:sz w:val="16"/>
                <w:szCs w:val="16"/>
                <w:color w:val="auto"/>
              </w:rPr>
              <w:t>profitability.</w:t>
            </w:r>
          </w:p>
        </w:tc>
      </w:tr>
      <w:tr>
        <w:trPr>
          <w:trHeight w:val="320"/>
        </w:trPr>
        <w:tc>
          <w:tcPr>
            <w:tcW w:w="3080" w:type="dxa"/>
            <w:vAlign w:val="bottom"/>
            <w:shd w:val="clear" w:color="auto" w:fill="9A9B9D"/>
          </w:tcPr>
          <w:p>
            <w:pPr>
              <w:spacing w:after="0"/>
              <w:rPr>
                <w:sz w:val="24"/>
                <w:szCs w:val="24"/>
                <w:color w:val="auto"/>
              </w:rPr>
            </w:pPr>
          </w:p>
        </w:tc>
        <w:tc>
          <w:tcPr>
            <w:tcW w:w="80" w:type="dxa"/>
            <w:vAlign w:val="bottom"/>
          </w:tcPr>
          <w:p>
            <w:pPr>
              <w:spacing w:after="0"/>
              <w:rPr>
                <w:sz w:val="24"/>
                <w:szCs w:val="24"/>
                <w:color w:val="auto"/>
              </w:rPr>
            </w:pPr>
          </w:p>
        </w:tc>
        <w:tc>
          <w:tcPr>
            <w:tcW w:w="4000" w:type="dxa"/>
            <w:vAlign w:val="bottom"/>
            <w:tcBorders>
              <w:bottom w:val="single" w:sz="8" w:color="E6E7E7"/>
            </w:tcBorders>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60"/>
        <w:spacing w:after="0" w:line="220" w:lineRule="auto"/>
        <w:rPr>
          <w:sz w:val="20"/>
          <w:szCs w:val="20"/>
          <w:color w:val="auto"/>
        </w:rPr>
      </w:pPr>
      <w:r>
        <w:rPr>
          <w:rFonts w:ascii="Arial" w:cs="Arial" w:eastAsia="Arial" w:hAnsi="Arial"/>
          <w:sz w:val="16"/>
          <w:szCs w:val="16"/>
          <w:color w:val="auto"/>
        </w:rPr>
        <w:t>Variable, stock-based compensation. The number of earned units can range from 0% to 200% based on our cumulative AFFO/Share over a three-year period. "Cliff" vesting following the end of the three-year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3175</wp:posOffset>
            </wp:positionV>
            <wp:extent cx="253809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538095" cy="8255"/>
                    </a:xfrm>
                    <a:prstGeom prst="rect">
                      <a:avLst/>
                    </a:prstGeom>
                    <a:noFill/>
                  </pic:spPr>
                </pic:pic>
              </a:graphicData>
            </a:graphic>
          </wp:anchor>
        </w:drawing>
      </w:r>
    </w:p>
    <w:p>
      <w:pPr>
        <w:spacing w:after="0" w:line="71" w:lineRule="exact"/>
        <w:rPr>
          <w:sz w:val="20"/>
          <w:szCs w:val="20"/>
          <w:color w:val="auto"/>
        </w:rPr>
      </w:pPr>
    </w:p>
    <w:p>
      <w:pPr>
        <w:sectPr>
          <w:pgSz w:w="11900" w:h="16838" w:orient="portrait"/>
          <w:cols w:equalWidth="0" w:num="2">
            <w:col w:w="7160" w:space="100"/>
            <w:col w:w="3960"/>
          </w:cols>
          <w:pgMar w:left="320" w:top="1391" w:right="35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3080" w:type="dxa"/>
            <w:vAlign w:val="bottom"/>
            <w:shd w:val="clear" w:color="auto" w:fill="9983B7"/>
          </w:tcPr>
          <w:p>
            <w:pPr>
              <w:ind w:left="20"/>
              <w:spacing w:after="0"/>
              <w:rPr>
                <w:sz w:val="20"/>
                <w:szCs w:val="20"/>
                <w:color w:val="auto"/>
              </w:rPr>
            </w:pPr>
            <w:r>
              <w:rPr>
                <w:rFonts w:ascii="Arial" w:cs="Arial" w:eastAsia="Arial" w:hAnsi="Arial"/>
                <w:sz w:val="16"/>
                <w:szCs w:val="16"/>
                <w:b w:val="1"/>
                <w:bCs w:val="1"/>
                <w:color w:val="FFFFFF"/>
              </w:rPr>
              <w:t>PERFORMANCE-BASED LTIs</w:t>
            </w:r>
          </w:p>
        </w:tc>
        <w:tc>
          <w:tcPr>
            <w:tcW w:w="80" w:type="dxa"/>
            <w:vAlign w:val="bottom"/>
          </w:tcPr>
          <w:p>
            <w:pPr>
              <w:spacing w:after="0"/>
              <w:rPr>
                <w:sz w:val="16"/>
                <w:szCs w:val="16"/>
                <w:color w:val="auto"/>
              </w:rPr>
            </w:pPr>
          </w:p>
        </w:tc>
        <w:tc>
          <w:tcPr>
            <w:tcW w:w="4000" w:type="dxa"/>
            <w:vAlign w:val="bottom"/>
          </w:tcPr>
          <w:p>
            <w:pPr>
              <w:ind w:left="20"/>
              <w:spacing w:after="0"/>
              <w:rPr>
                <w:sz w:val="20"/>
                <w:szCs w:val="20"/>
                <w:color w:val="auto"/>
              </w:rPr>
            </w:pPr>
            <w:r>
              <w:rPr>
                <w:rFonts w:ascii="Arial" w:cs="Arial" w:eastAsia="Arial" w:hAnsi="Arial"/>
                <w:sz w:val="16"/>
                <w:szCs w:val="16"/>
                <w:color w:val="auto"/>
                <w:w w:val="99"/>
              </w:rPr>
              <w:t>Position the interests of our executives in line with those</w:t>
            </w:r>
          </w:p>
        </w:tc>
      </w:tr>
      <w:tr>
        <w:trPr>
          <w:trHeight w:val="159"/>
        </w:trPr>
        <w:tc>
          <w:tcPr>
            <w:tcW w:w="3080" w:type="dxa"/>
            <w:vAlign w:val="bottom"/>
            <w:shd w:val="clear" w:color="auto" w:fill="9983B7"/>
          </w:tcPr>
          <w:p>
            <w:pPr>
              <w:ind w:left="20"/>
              <w:spacing w:after="0" w:line="159" w:lineRule="exact"/>
              <w:rPr>
                <w:sz w:val="20"/>
                <w:szCs w:val="20"/>
                <w:color w:val="auto"/>
              </w:rPr>
            </w:pPr>
            <w:r>
              <w:rPr>
                <w:rFonts w:ascii="Arial" w:cs="Arial" w:eastAsia="Arial" w:hAnsi="Arial"/>
                <w:sz w:val="16"/>
                <w:szCs w:val="16"/>
                <w:b w:val="1"/>
                <w:bCs w:val="1"/>
                <w:color w:val="FFFFFF"/>
              </w:rPr>
              <w:t>(Average ROIC)</w:t>
            </w:r>
          </w:p>
        </w:tc>
        <w:tc>
          <w:tcPr>
            <w:tcW w:w="80" w:type="dxa"/>
            <w:vAlign w:val="bottom"/>
          </w:tcPr>
          <w:p>
            <w:pPr>
              <w:spacing w:after="0"/>
              <w:rPr>
                <w:sz w:val="13"/>
                <w:szCs w:val="13"/>
                <w:color w:val="auto"/>
              </w:rPr>
            </w:pPr>
          </w:p>
        </w:tc>
        <w:tc>
          <w:tcPr>
            <w:tcW w:w="4000" w:type="dxa"/>
            <w:vAlign w:val="bottom"/>
          </w:tcPr>
          <w:p>
            <w:pPr>
              <w:ind w:left="20"/>
              <w:spacing w:after="0" w:line="159" w:lineRule="exact"/>
              <w:rPr>
                <w:sz w:val="20"/>
                <w:szCs w:val="20"/>
                <w:color w:val="auto"/>
              </w:rPr>
            </w:pPr>
            <w:r>
              <w:rPr>
                <w:rFonts w:ascii="Arial" w:cs="Arial" w:eastAsia="Arial" w:hAnsi="Arial"/>
                <w:sz w:val="16"/>
                <w:szCs w:val="16"/>
                <w:color w:val="auto"/>
              </w:rPr>
              <w:t>of our stockholders by creating a direct correlation</w:t>
            </w:r>
          </w:p>
        </w:tc>
      </w:tr>
      <w:tr>
        <w:trPr>
          <w:trHeight w:val="159"/>
        </w:trPr>
        <w:tc>
          <w:tcPr>
            <w:tcW w:w="3080" w:type="dxa"/>
            <w:vAlign w:val="bottom"/>
            <w:shd w:val="clear" w:color="auto" w:fill="9983B7"/>
          </w:tcPr>
          <w:p>
            <w:pPr>
              <w:spacing w:after="0"/>
              <w:rPr>
                <w:sz w:val="13"/>
                <w:szCs w:val="13"/>
                <w:color w:val="auto"/>
              </w:rPr>
            </w:pPr>
          </w:p>
        </w:tc>
        <w:tc>
          <w:tcPr>
            <w:tcW w:w="80" w:type="dxa"/>
            <w:vAlign w:val="bottom"/>
          </w:tcPr>
          <w:p>
            <w:pPr>
              <w:spacing w:after="0"/>
              <w:rPr>
                <w:sz w:val="13"/>
                <w:szCs w:val="13"/>
                <w:color w:val="auto"/>
              </w:rPr>
            </w:pPr>
          </w:p>
        </w:tc>
        <w:tc>
          <w:tcPr>
            <w:tcW w:w="4000" w:type="dxa"/>
            <w:vAlign w:val="bottom"/>
          </w:tcPr>
          <w:p>
            <w:pPr>
              <w:ind w:left="20"/>
              <w:spacing w:after="0" w:line="159" w:lineRule="exact"/>
              <w:rPr>
                <w:sz w:val="20"/>
                <w:szCs w:val="20"/>
                <w:color w:val="auto"/>
              </w:rPr>
            </w:pPr>
            <w:r>
              <w:rPr>
                <w:rFonts w:ascii="Arial" w:cs="Arial" w:eastAsia="Arial" w:hAnsi="Arial"/>
                <w:sz w:val="16"/>
                <w:szCs w:val="16"/>
                <w:color w:val="auto"/>
              </w:rPr>
              <w:t>between realizable pay and our Average ROIC over a</w:t>
            </w:r>
          </w:p>
        </w:tc>
      </w:tr>
      <w:tr>
        <w:trPr>
          <w:trHeight w:val="159"/>
        </w:trPr>
        <w:tc>
          <w:tcPr>
            <w:tcW w:w="3080" w:type="dxa"/>
            <w:vAlign w:val="bottom"/>
            <w:shd w:val="clear" w:color="auto" w:fill="9983B7"/>
          </w:tcPr>
          <w:p>
            <w:pPr>
              <w:spacing w:after="0"/>
              <w:rPr>
                <w:sz w:val="13"/>
                <w:szCs w:val="13"/>
                <w:color w:val="auto"/>
              </w:rPr>
            </w:pPr>
          </w:p>
        </w:tc>
        <w:tc>
          <w:tcPr>
            <w:tcW w:w="80" w:type="dxa"/>
            <w:vAlign w:val="bottom"/>
          </w:tcPr>
          <w:p>
            <w:pPr>
              <w:spacing w:after="0"/>
              <w:rPr>
                <w:sz w:val="13"/>
                <w:szCs w:val="13"/>
                <w:color w:val="auto"/>
              </w:rPr>
            </w:pPr>
          </w:p>
        </w:tc>
        <w:tc>
          <w:tcPr>
            <w:tcW w:w="4000" w:type="dxa"/>
            <w:vAlign w:val="bottom"/>
          </w:tcPr>
          <w:p>
            <w:pPr>
              <w:ind w:left="20"/>
              <w:spacing w:after="0" w:line="159" w:lineRule="exact"/>
              <w:rPr>
                <w:sz w:val="20"/>
                <w:szCs w:val="20"/>
                <w:color w:val="auto"/>
              </w:rPr>
            </w:pPr>
            <w:r>
              <w:rPr>
                <w:rFonts w:ascii="Arial" w:cs="Arial" w:eastAsia="Arial" w:hAnsi="Arial"/>
                <w:sz w:val="16"/>
                <w:szCs w:val="16"/>
                <w:color w:val="auto"/>
              </w:rPr>
              <w:t>three-year performance period and reinforcing the</w:t>
            </w:r>
          </w:p>
        </w:tc>
      </w:tr>
      <w:tr>
        <w:trPr>
          <w:trHeight w:val="211"/>
        </w:trPr>
        <w:tc>
          <w:tcPr>
            <w:tcW w:w="3080" w:type="dxa"/>
            <w:vAlign w:val="bottom"/>
            <w:shd w:val="clear" w:color="auto" w:fill="9983B7"/>
          </w:tcPr>
          <w:p>
            <w:pPr>
              <w:spacing w:after="0"/>
              <w:rPr>
                <w:sz w:val="18"/>
                <w:szCs w:val="18"/>
                <w:color w:val="auto"/>
              </w:rPr>
            </w:pPr>
          </w:p>
        </w:tc>
        <w:tc>
          <w:tcPr>
            <w:tcW w:w="80" w:type="dxa"/>
            <w:vAlign w:val="bottom"/>
          </w:tcPr>
          <w:p>
            <w:pPr>
              <w:spacing w:after="0"/>
              <w:rPr>
                <w:sz w:val="18"/>
                <w:szCs w:val="18"/>
                <w:color w:val="auto"/>
              </w:rPr>
            </w:pPr>
          </w:p>
        </w:tc>
        <w:tc>
          <w:tcPr>
            <w:tcW w:w="4000" w:type="dxa"/>
            <w:vAlign w:val="bottom"/>
            <w:tcBorders>
              <w:bottom w:val="single" w:sz="8" w:color="E6E7E7"/>
            </w:tcBorders>
          </w:tcPr>
          <w:p>
            <w:pPr>
              <w:ind w:left="20"/>
              <w:spacing w:after="0"/>
              <w:rPr>
                <w:sz w:val="20"/>
                <w:szCs w:val="20"/>
                <w:color w:val="auto"/>
              </w:rPr>
            </w:pPr>
            <w:r>
              <w:rPr>
                <w:rFonts w:ascii="Arial" w:cs="Arial" w:eastAsia="Arial" w:hAnsi="Arial"/>
                <w:sz w:val="16"/>
                <w:szCs w:val="16"/>
                <w:color w:val="auto"/>
              </w:rPr>
              <w:t>importance of capital discipline.</w:t>
            </w:r>
          </w:p>
        </w:tc>
      </w:tr>
    </w:tbl>
    <w:p>
      <w:pPr>
        <w:spacing w:after="0" w:line="6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 xml:space="preserve">PERFORMANCE-BASED LTIs MODIFIER  </w:t>
      </w:r>
      <w:r>
        <w:rPr>
          <w:rFonts w:ascii="Arial" w:cs="Arial" w:eastAsia="Arial" w:hAnsi="Arial"/>
          <w:sz w:val="16"/>
          <w:szCs w:val="16"/>
          <w:color w:val="000000"/>
        </w:rPr>
        <w:t>Prioritize the Company's financial performance, while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-109855</wp:posOffset>
            </wp:positionV>
            <wp:extent cx="1949450" cy="537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949450" cy="537845"/>
                    </a:xfrm>
                    <a:prstGeom prst="rect">
                      <a:avLst/>
                    </a:prstGeom>
                    <a:noFill/>
                  </pic:spPr>
                </pic:pic>
              </a:graphicData>
            </a:graphic>
          </wp:anchor>
        </w:drawing>
      </w:r>
    </w:p>
    <w:p>
      <w:pPr>
        <w:ind w:left="3180" w:right="80" w:hanging="3162"/>
        <w:spacing w:after="0" w:line="218" w:lineRule="auto"/>
        <w:tabs>
          <w:tab w:leader="none" w:pos="3160" w:val="left"/>
        </w:tabs>
        <w:rPr>
          <w:sz w:val="20"/>
          <w:szCs w:val="20"/>
          <w:color w:val="auto"/>
        </w:rPr>
      </w:pPr>
      <w:r>
        <w:rPr>
          <w:rFonts w:ascii="Arial" w:cs="Arial" w:eastAsia="Arial" w:hAnsi="Arial"/>
          <w:sz w:val="16"/>
          <w:szCs w:val="16"/>
          <w:b w:val="1"/>
          <w:bCs w:val="1"/>
          <w:color w:val="FFFFFF"/>
        </w:rPr>
        <w:t>(Relative TSR)</w:t>
      </w:r>
      <w:r>
        <w:rPr>
          <w:sz w:val="20"/>
          <w:szCs w:val="20"/>
          <w:color w:val="auto"/>
        </w:rPr>
        <w:tab/>
      </w:r>
      <w:r>
        <w:rPr>
          <w:rFonts w:ascii="Arial" w:cs="Arial" w:eastAsia="Arial" w:hAnsi="Arial"/>
          <w:sz w:val="16"/>
          <w:szCs w:val="16"/>
          <w:color w:val="auto"/>
        </w:rPr>
        <w:t>also aligning the interests of our executives with those of our stockholders by creating a correlation between realizable pay and stockholder return performance on a relative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2012315</wp:posOffset>
            </wp:positionH>
            <wp:positionV relativeFrom="paragraph">
              <wp:posOffset>3175</wp:posOffset>
            </wp:positionV>
            <wp:extent cx="252984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529840" cy="825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80" w:type="dxa"/>
            <w:vAlign w:val="bottom"/>
            <w:shd w:val="clear" w:color="auto" w:fill="520B90"/>
          </w:tcPr>
          <w:p>
            <w:pPr>
              <w:ind w:left="20"/>
              <w:spacing w:after="0"/>
              <w:rPr>
                <w:sz w:val="20"/>
                <w:szCs w:val="20"/>
                <w:color w:val="auto"/>
              </w:rPr>
            </w:pPr>
            <w:r>
              <w:rPr>
                <w:rFonts w:ascii="Arial" w:cs="Arial" w:eastAsia="Arial" w:hAnsi="Arial"/>
                <w:sz w:val="16"/>
                <w:szCs w:val="16"/>
                <w:b w:val="1"/>
                <w:bCs w:val="1"/>
                <w:color w:val="FFFFFF"/>
              </w:rPr>
              <w:t>SERVICE-BASED LTIs</w:t>
            </w:r>
          </w:p>
        </w:tc>
        <w:tc>
          <w:tcPr>
            <w:tcW w:w="80" w:type="dxa"/>
            <w:vAlign w:val="bottom"/>
          </w:tcPr>
          <w:p>
            <w:pPr>
              <w:spacing w:after="0"/>
              <w:rPr>
                <w:sz w:val="16"/>
                <w:szCs w:val="16"/>
                <w:color w:val="auto"/>
              </w:rPr>
            </w:pPr>
          </w:p>
        </w:tc>
        <w:tc>
          <w:tcPr>
            <w:tcW w:w="4000" w:type="dxa"/>
            <w:vAlign w:val="bottom"/>
          </w:tcPr>
          <w:p>
            <w:pPr>
              <w:ind w:left="20"/>
              <w:spacing w:after="0"/>
              <w:rPr>
                <w:sz w:val="20"/>
                <w:szCs w:val="20"/>
                <w:color w:val="auto"/>
              </w:rPr>
            </w:pPr>
            <w:r>
              <w:rPr>
                <w:rFonts w:ascii="Arial" w:cs="Arial" w:eastAsia="Arial" w:hAnsi="Arial"/>
                <w:sz w:val="16"/>
                <w:szCs w:val="16"/>
                <w:color w:val="auto"/>
              </w:rPr>
              <w:t>Motivate executives to contribute to long-term increases</w:t>
            </w:r>
          </w:p>
        </w:tc>
      </w:tr>
      <w:tr>
        <w:trPr>
          <w:trHeight w:val="159"/>
        </w:trPr>
        <w:tc>
          <w:tcPr>
            <w:tcW w:w="3080" w:type="dxa"/>
            <w:vAlign w:val="bottom"/>
            <w:shd w:val="clear" w:color="auto" w:fill="520B90"/>
          </w:tcPr>
          <w:p>
            <w:pPr>
              <w:ind w:left="20"/>
              <w:spacing w:after="0" w:line="159" w:lineRule="exact"/>
              <w:rPr>
                <w:sz w:val="20"/>
                <w:szCs w:val="20"/>
                <w:color w:val="auto"/>
              </w:rPr>
            </w:pPr>
            <w:r>
              <w:rPr>
                <w:rFonts w:ascii="Arial" w:cs="Arial" w:eastAsia="Arial" w:hAnsi="Arial"/>
                <w:sz w:val="16"/>
                <w:szCs w:val="16"/>
                <w:b w:val="1"/>
                <w:bCs w:val="1"/>
                <w:color w:val="FFFFFF"/>
              </w:rPr>
              <w:t>(Time RSUs)</w:t>
            </w:r>
          </w:p>
        </w:tc>
        <w:tc>
          <w:tcPr>
            <w:tcW w:w="80" w:type="dxa"/>
            <w:vAlign w:val="bottom"/>
          </w:tcPr>
          <w:p>
            <w:pPr>
              <w:spacing w:after="0"/>
              <w:rPr>
                <w:sz w:val="13"/>
                <w:szCs w:val="13"/>
                <w:color w:val="auto"/>
              </w:rPr>
            </w:pPr>
          </w:p>
        </w:tc>
        <w:tc>
          <w:tcPr>
            <w:tcW w:w="4000" w:type="dxa"/>
            <w:vAlign w:val="bottom"/>
          </w:tcPr>
          <w:p>
            <w:pPr>
              <w:ind w:left="20"/>
              <w:spacing w:after="0" w:line="159" w:lineRule="exact"/>
              <w:rPr>
                <w:sz w:val="20"/>
                <w:szCs w:val="20"/>
                <w:color w:val="auto"/>
              </w:rPr>
            </w:pPr>
            <w:r>
              <w:rPr>
                <w:rFonts w:ascii="Arial" w:cs="Arial" w:eastAsia="Arial" w:hAnsi="Arial"/>
                <w:sz w:val="16"/>
                <w:szCs w:val="16"/>
                <w:color w:val="auto"/>
              </w:rPr>
              <w:t>in stockholder value, build executive ownership and</w:t>
            </w:r>
          </w:p>
        </w:tc>
      </w:tr>
      <w:tr>
        <w:trPr>
          <w:trHeight w:val="211"/>
        </w:trPr>
        <w:tc>
          <w:tcPr>
            <w:tcW w:w="3080" w:type="dxa"/>
            <w:vAlign w:val="bottom"/>
            <w:shd w:val="clear" w:color="auto" w:fill="520B90"/>
          </w:tcPr>
          <w:p>
            <w:pPr>
              <w:spacing w:after="0"/>
              <w:rPr>
                <w:sz w:val="18"/>
                <w:szCs w:val="18"/>
                <w:color w:val="auto"/>
              </w:rPr>
            </w:pPr>
          </w:p>
        </w:tc>
        <w:tc>
          <w:tcPr>
            <w:tcW w:w="80" w:type="dxa"/>
            <w:vAlign w:val="bottom"/>
          </w:tcPr>
          <w:p>
            <w:pPr>
              <w:spacing w:after="0"/>
              <w:rPr>
                <w:sz w:val="18"/>
                <w:szCs w:val="18"/>
                <w:color w:val="auto"/>
              </w:rPr>
            </w:pPr>
          </w:p>
        </w:tc>
        <w:tc>
          <w:tcPr>
            <w:tcW w:w="4000" w:type="dxa"/>
            <w:vAlign w:val="bottom"/>
            <w:tcBorders>
              <w:bottom w:val="single" w:sz="8" w:color="E6E7E7"/>
            </w:tcBorders>
          </w:tcPr>
          <w:p>
            <w:pPr>
              <w:ind w:left="20"/>
              <w:spacing w:after="0"/>
              <w:rPr>
                <w:sz w:val="20"/>
                <w:szCs w:val="20"/>
                <w:color w:val="auto"/>
              </w:rPr>
            </w:pPr>
            <w:r>
              <w:rPr>
                <w:rFonts w:ascii="Arial" w:cs="Arial" w:eastAsia="Arial" w:hAnsi="Arial"/>
                <w:sz w:val="16"/>
                <w:szCs w:val="16"/>
                <w:color w:val="auto"/>
              </w:rPr>
              <w:t>retain executives through ratable, multi-year vesting.</w:t>
            </w:r>
          </w:p>
        </w:tc>
      </w:tr>
    </w:tbl>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00"/>
        <w:spacing w:after="0" w:line="220" w:lineRule="auto"/>
        <w:rPr>
          <w:sz w:val="20"/>
          <w:szCs w:val="20"/>
          <w:color w:val="auto"/>
        </w:rPr>
      </w:pPr>
      <w:r>
        <w:rPr>
          <w:rFonts w:ascii="Arial" w:cs="Arial" w:eastAsia="Arial" w:hAnsi="Arial"/>
          <w:sz w:val="16"/>
          <w:szCs w:val="16"/>
          <w:color w:val="auto"/>
        </w:rPr>
        <w:t>Variable, stock-based compensation. The number of earned units can range from 0% to 200% based on our Average ROIC over a three-year performance period. "Cliff" vesting following the end of the three-year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3175</wp:posOffset>
            </wp:positionV>
            <wp:extent cx="253809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538095" cy="8255"/>
                    </a:xfrm>
                    <a:prstGeom prst="rect">
                      <a:avLst/>
                    </a:prstGeom>
                    <a:noFill/>
                  </pic:spPr>
                </pic:pic>
              </a:graphicData>
            </a:graphic>
          </wp:anchor>
        </w:drawing>
      </w:r>
    </w:p>
    <w:p>
      <w:pPr>
        <w:spacing w:after="0" w:line="76" w:lineRule="exact"/>
        <w:rPr>
          <w:sz w:val="20"/>
          <w:szCs w:val="20"/>
          <w:color w:val="auto"/>
        </w:rPr>
      </w:pPr>
    </w:p>
    <w:p>
      <w:pPr>
        <w:ind w:right="40"/>
        <w:spacing w:after="0" w:line="220" w:lineRule="auto"/>
        <w:rPr>
          <w:sz w:val="20"/>
          <w:szCs w:val="20"/>
          <w:color w:val="auto"/>
        </w:rPr>
      </w:pPr>
      <w:r>
        <w:rPr>
          <w:rFonts w:ascii="Arial" w:cs="Arial" w:eastAsia="Arial" w:hAnsi="Arial"/>
          <w:sz w:val="16"/>
          <w:szCs w:val="16"/>
          <w:color w:val="auto"/>
        </w:rPr>
        <w:t>Performance modifier to AFFO/Share and Average ROIC LTI awards by +/- 15% based on our TSR relative to the REIT constituents of the S&amp;P 500 Index and the S&amp;P 500 Index as a whole, with above-median target at the 55th percentile.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3175</wp:posOffset>
            </wp:positionV>
            <wp:extent cx="253809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538095" cy="8255"/>
                    </a:xfrm>
                    <a:prstGeom prst="rect">
                      <a:avLst/>
                    </a:prstGeom>
                    <a:noFill/>
                  </pic:spPr>
                </pic:pic>
              </a:graphicData>
            </a:graphic>
          </wp:anchor>
        </w:drawing>
      </w:r>
    </w:p>
    <w:p>
      <w:pPr>
        <w:spacing w:after="0" w:line="76" w:lineRule="exact"/>
        <w:rPr>
          <w:sz w:val="20"/>
          <w:szCs w:val="20"/>
          <w:color w:val="auto"/>
        </w:rPr>
      </w:pPr>
    </w:p>
    <w:p>
      <w:pPr>
        <w:ind w:right="80"/>
        <w:spacing w:after="0" w:line="246" w:lineRule="auto"/>
        <w:rPr>
          <w:sz w:val="20"/>
          <w:szCs w:val="20"/>
          <w:color w:val="auto"/>
        </w:rPr>
      </w:pPr>
      <w:r>
        <w:rPr>
          <w:rFonts w:ascii="Arial" w:cs="Arial" w:eastAsia="Arial" w:hAnsi="Arial"/>
          <w:sz w:val="15"/>
          <w:szCs w:val="15"/>
          <w:color w:val="auto"/>
        </w:rPr>
        <w:t>Variable, stock-based compensation. Long-term award with ratable vesting over three years that provides a direct correlation of realizable pay to stockholder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0</wp:posOffset>
            </wp:positionV>
            <wp:extent cx="253809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538095" cy="8255"/>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7160" w:space="100"/>
            <w:col w:w="3960"/>
          </w:cols>
          <w:pgMar w:left="320" w:top="1391" w:right="359" w:bottom="1440" w:gutter="0" w:footer="0" w:header="0"/>
          <w:type w:val="continuous"/>
        </w:sectPr>
      </w:pPr>
    </w:p>
    <w:p>
      <w:pPr>
        <w:ind w:right="240"/>
        <w:spacing w:after="0" w:line="255" w:lineRule="auto"/>
        <w:rPr>
          <w:sz w:val="20"/>
          <w:szCs w:val="20"/>
          <w:color w:val="auto"/>
        </w:rPr>
      </w:pPr>
      <w:r>
        <w:rPr>
          <w:rFonts w:ascii="Arial" w:cs="Arial" w:eastAsia="Arial" w:hAnsi="Arial"/>
          <w:sz w:val="18"/>
          <w:szCs w:val="18"/>
          <w:color w:val="auto"/>
        </w:rPr>
        <w:t>The Committee takes several objectives into consideration when assessing the reasonableness of the TDC of the NEOs, particularly the compensation of our CEO. These objectives include ensuring alignment with our vision and business strategy, creating sustainable long-term stockholder value through the amount and mix of compensation provided and advancing the core principles of our compensation philosophy and objectives while remaining within our risk tolerance.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Target Direct Compensation</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explained above, the Committee reviewed target pay and determined 2025 total target compensation for the NEOs to align with market data of our peers. As a result of a challenging market environment, for 2025, the Committee made no changes to target TDC for the NEOs, except for Ms. Piche, who was not eligible to receive an LTI award for 2024 due to the timing of her appointment as EVP and COO–Towers in the fourth quarter of 2024.</w:t>
      </w:r>
    </w:p>
    <w:p>
      <w:pPr>
        <w:spacing w:after="0" w:line="355"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391" w:right="35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color w:val="auto"/>
        </w:rPr>
        <w:t>The following table illustrates the TDC for each NEO for 2025:</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60" w:type="dxa"/>
            <w:vAlign w:val="bottom"/>
            <w:vMerge w:val="restart"/>
          </w:tcPr>
          <w:p>
            <w:pPr>
              <w:ind w:left="20"/>
              <w:spacing w:after="0"/>
              <w:rPr>
                <w:sz w:val="20"/>
                <w:szCs w:val="20"/>
                <w:color w:val="auto"/>
              </w:rPr>
            </w:pPr>
            <w:r>
              <w:rPr>
                <w:rFonts w:ascii="Arial" w:cs="Arial" w:eastAsia="Arial" w:hAnsi="Arial"/>
                <w:sz w:val="13"/>
                <w:szCs w:val="13"/>
                <w:b w:val="1"/>
                <w:bCs w:val="1"/>
                <w:color w:val="520B90"/>
              </w:rPr>
              <w:t>Name</w:t>
            </w:r>
          </w:p>
        </w:tc>
        <w:tc>
          <w:tcPr>
            <w:tcW w:w="100" w:type="dxa"/>
            <w:vAlign w:val="bottom"/>
          </w:tcPr>
          <w:p>
            <w:pPr>
              <w:spacing w:after="0"/>
              <w:rPr>
                <w:sz w:val="14"/>
                <w:szCs w:val="14"/>
                <w:color w:val="auto"/>
              </w:rPr>
            </w:pPr>
          </w:p>
        </w:tc>
        <w:tc>
          <w:tcPr>
            <w:tcW w:w="2960" w:type="dxa"/>
            <w:vAlign w:val="bottom"/>
            <w:vMerge w:val="restart"/>
          </w:tcPr>
          <w:p>
            <w:pPr>
              <w:ind w:left="20"/>
              <w:spacing w:after="0"/>
              <w:rPr>
                <w:sz w:val="20"/>
                <w:szCs w:val="20"/>
                <w:color w:val="auto"/>
              </w:rPr>
            </w:pPr>
            <w:r>
              <w:rPr>
                <w:rFonts w:ascii="Arial" w:cs="Arial" w:eastAsia="Arial" w:hAnsi="Arial"/>
                <w:sz w:val="13"/>
                <w:szCs w:val="13"/>
                <w:b w:val="1"/>
                <w:bCs w:val="1"/>
                <w:color w:val="520B90"/>
              </w:rPr>
              <w:t>Title</w:t>
            </w:r>
          </w:p>
        </w:tc>
        <w:tc>
          <w:tcPr>
            <w:tcW w:w="100" w:type="dxa"/>
            <w:vAlign w:val="bottom"/>
          </w:tcPr>
          <w:p>
            <w:pPr>
              <w:spacing w:after="0"/>
              <w:rPr>
                <w:sz w:val="14"/>
                <w:szCs w:val="14"/>
                <w:color w:val="auto"/>
              </w:rPr>
            </w:pPr>
          </w:p>
        </w:tc>
        <w:tc>
          <w:tcPr>
            <w:tcW w:w="1080" w:type="dxa"/>
            <w:vAlign w:val="bottom"/>
          </w:tcPr>
          <w:p>
            <w:pPr>
              <w:ind w:left="160"/>
              <w:spacing w:after="0"/>
              <w:rPr>
                <w:sz w:val="20"/>
                <w:szCs w:val="20"/>
                <w:color w:val="auto"/>
              </w:rPr>
            </w:pPr>
            <w:r>
              <w:rPr>
                <w:rFonts w:ascii="Arial" w:cs="Arial" w:eastAsia="Arial" w:hAnsi="Arial"/>
                <w:sz w:val="13"/>
                <w:szCs w:val="13"/>
                <w:b w:val="1"/>
                <w:bCs w:val="1"/>
                <w:color w:val="520B90"/>
              </w:rPr>
              <w:t>Base Salary</w:t>
            </w:r>
          </w:p>
        </w:tc>
        <w:tc>
          <w:tcPr>
            <w:tcW w:w="100" w:type="dxa"/>
            <w:vAlign w:val="bottom"/>
          </w:tcPr>
          <w:p>
            <w:pPr>
              <w:spacing w:after="0"/>
              <w:rPr>
                <w:sz w:val="14"/>
                <w:szCs w:val="14"/>
                <w:color w:val="auto"/>
              </w:rPr>
            </w:pPr>
          </w:p>
        </w:tc>
        <w:tc>
          <w:tcPr>
            <w:tcW w:w="1020" w:type="dxa"/>
            <w:vAlign w:val="bottom"/>
          </w:tcPr>
          <w:p>
            <w:pPr>
              <w:ind w:left="200"/>
              <w:spacing w:after="0"/>
              <w:rPr>
                <w:sz w:val="20"/>
                <w:szCs w:val="20"/>
                <w:color w:val="auto"/>
              </w:rPr>
            </w:pPr>
            <w:r>
              <w:rPr>
                <w:rFonts w:ascii="Arial" w:cs="Arial" w:eastAsia="Arial" w:hAnsi="Arial"/>
                <w:sz w:val="13"/>
                <w:szCs w:val="13"/>
                <w:b w:val="1"/>
                <w:bCs w:val="1"/>
                <w:color w:val="520B90"/>
              </w:rPr>
              <w:t>Target STI</w:t>
            </w:r>
          </w:p>
        </w:tc>
        <w:tc>
          <w:tcPr>
            <w:tcW w:w="120" w:type="dxa"/>
            <w:vAlign w:val="bottom"/>
          </w:tcPr>
          <w:p>
            <w:pPr>
              <w:spacing w:after="0"/>
              <w:rPr>
                <w:sz w:val="14"/>
                <w:szCs w:val="14"/>
                <w:color w:val="auto"/>
              </w:rPr>
            </w:pPr>
          </w:p>
        </w:tc>
        <w:tc>
          <w:tcPr>
            <w:tcW w:w="1120" w:type="dxa"/>
            <w:vAlign w:val="bottom"/>
          </w:tcPr>
          <w:p>
            <w:pPr>
              <w:ind w:left="240"/>
              <w:spacing w:after="0"/>
              <w:rPr>
                <w:sz w:val="20"/>
                <w:szCs w:val="20"/>
                <w:color w:val="auto"/>
              </w:rPr>
            </w:pPr>
            <w:r>
              <w:rPr>
                <w:rFonts w:ascii="Arial" w:cs="Arial" w:eastAsia="Arial" w:hAnsi="Arial"/>
                <w:sz w:val="13"/>
                <w:szCs w:val="13"/>
                <w:b w:val="1"/>
                <w:bCs w:val="1"/>
                <w:color w:val="520B90"/>
              </w:rPr>
              <w:t>Target LTI</w:t>
            </w:r>
          </w:p>
        </w:tc>
        <w:tc>
          <w:tcPr>
            <w:tcW w:w="100" w:type="dxa"/>
            <w:vAlign w:val="bottom"/>
          </w:tcPr>
          <w:p>
            <w:pPr>
              <w:spacing w:after="0"/>
              <w:rPr>
                <w:sz w:val="14"/>
                <w:szCs w:val="14"/>
                <w:color w:val="auto"/>
              </w:rPr>
            </w:pPr>
          </w:p>
        </w:tc>
        <w:tc>
          <w:tcPr>
            <w:tcW w:w="1080" w:type="dxa"/>
            <w:vAlign w:val="bottom"/>
          </w:tcPr>
          <w:p>
            <w:pPr>
              <w:ind w:left="200"/>
              <w:spacing w:after="0"/>
              <w:rPr>
                <w:sz w:val="20"/>
                <w:szCs w:val="20"/>
                <w:color w:val="auto"/>
              </w:rPr>
            </w:pPr>
            <w:r>
              <w:rPr>
                <w:rFonts w:ascii="Arial" w:cs="Arial" w:eastAsia="Arial" w:hAnsi="Arial"/>
                <w:sz w:val="13"/>
                <w:szCs w:val="13"/>
                <w:b w:val="1"/>
                <w:bCs w:val="1"/>
                <w:color w:val="520B90"/>
              </w:rPr>
              <w:t>Target TDC</w:t>
            </w:r>
          </w:p>
        </w:tc>
        <w:tc>
          <w:tcPr>
            <w:tcW w:w="1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520B90"/>
              </w:rPr>
              <w:t>Increase in</w:t>
            </w:r>
          </w:p>
        </w:tc>
        <w:tc>
          <w:tcPr>
            <w:tcW w:w="0" w:type="dxa"/>
            <w:vAlign w:val="bottom"/>
          </w:tcPr>
          <w:p>
            <w:pPr>
              <w:spacing w:after="0"/>
              <w:rPr>
                <w:sz w:val="1"/>
                <w:szCs w:val="1"/>
                <w:color w:val="auto"/>
              </w:rPr>
            </w:pPr>
          </w:p>
        </w:tc>
      </w:tr>
      <w:tr>
        <w:trPr>
          <w:trHeight w:val="183"/>
        </w:trPr>
        <w:tc>
          <w:tcPr>
            <w:tcW w:w="24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960" w:type="dxa"/>
            <w:vAlign w:val="bottom"/>
            <w:vMerge w:val="continue"/>
          </w:tcPr>
          <w:p>
            <w:pPr>
              <w:spacing w:after="0"/>
              <w:rPr>
                <w:sz w:val="15"/>
                <w:szCs w:val="15"/>
                <w:color w:val="auto"/>
              </w:rPr>
            </w:pPr>
          </w:p>
        </w:tc>
        <w:tc>
          <w:tcPr>
            <w:tcW w:w="1180" w:type="dxa"/>
            <w:vAlign w:val="bottom"/>
            <w:gridSpan w:val="2"/>
          </w:tcPr>
          <w:p>
            <w:pPr>
              <w:jc w:val="center"/>
              <w:ind w:left="34"/>
              <w:spacing w:after="0"/>
              <w:rPr>
                <w:sz w:val="20"/>
                <w:szCs w:val="20"/>
                <w:color w:val="auto"/>
              </w:rPr>
            </w:pPr>
            <w:r>
              <w:rPr>
                <w:rFonts w:ascii="Arial" w:cs="Arial" w:eastAsia="Arial" w:hAnsi="Arial"/>
                <w:sz w:val="13"/>
                <w:szCs w:val="13"/>
                <w:b w:val="1"/>
                <w:bCs w:val="1"/>
                <w:color w:val="520B90"/>
              </w:rPr>
              <w:t>($)</w:t>
            </w:r>
          </w:p>
        </w:tc>
        <w:tc>
          <w:tcPr>
            <w:tcW w:w="1120" w:type="dxa"/>
            <w:vAlign w:val="bottom"/>
            <w:gridSpan w:val="2"/>
          </w:tcPr>
          <w:p>
            <w:pPr>
              <w:jc w:val="center"/>
              <w:ind w:left="54"/>
              <w:spacing w:after="0"/>
              <w:rPr>
                <w:sz w:val="20"/>
                <w:szCs w:val="20"/>
                <w:color w:val="auto"/>
              </w:rPr>
            </w:pPr>
            <w:r>
              <w:rPr>
                <w:rFonts w:ascii="Arial" w:cs="Arial" w:eastAsia="Arial" w:hAnsi="Arial"/>
                <w:sz w:val="13"/>
                <w:szCs w:val="13"/>
                <w:b w:val="1"/>
                <w:bCs w:val="1"/>
                <w:color w:val="520B90"/>
              </w:rPr>
              <w:t>($)</w:t>
            </w:r>
          </w:p>
        </w:tc>
        <w:tc>
          <w:tcPr>
            <w:tcW w:w="1240" w:type="dxa"/>
            <w:vAlign w:val="bottom"/>
            <w:gridSpan w:val="2"/>
          </w:tcPr>
          <w:p>
            <w:pPr>
              <w:jc w:val="center"/>
              <w:ind w:left="54"/>
              <w:spacing w:after="0"/>
              <w:rPr>
                <w:sz w:val="20"/>
                <w:szCs w:val="20"/>
                <w:color w:val="auto"/>
              </w:rPr>
            </w:pPr>
            <w:r>
              <w:rPr>
                <w:rFonts w:ascii="Arial" w:cs="Arial" w:eastAsia="Arial" w:hAnsi="Arial"/>
                <w:sz w:val="13"/>
                <w:szCs w:val="13"/>
                <w:b w:val="1"/>
                <w:bCs w:val="1"/>
                <w:color w:val="520B90"/>
              </w:rPr>
              <w:t>($)</w:t>
            </w:r>
          </w:p>
        </w:tc>
        <w:tc>
          <w:tcPr>
            <w:tcW w:w="1180" w:type="dxa"/>
            <w:vAlign w:val="bottom"/>
            <w:gridSpan w:val="2"/>
          </w:tcPr>
          <w:p>
            <w:pPr>
              <w:jc w:val="center"/>
              <w:ind w:left="34"/>
              <w:spacing w:after="0"/>
              <w:rPr>
                <w:sz w:val="20"/>
                <w:szCs w:val="20"/>
                <w:color w:val="auto"/>
              </w:rPr>
            </w:pPr>
            <w:r>
              <w:rPr>
                <w:rFonts w:ascii="Arial" w:cs="Arial" w:eastAsia="Arial" w:hAnsi="Arial"/>
                <w:sz w:val="13"/>
                <w:szCs w:val="13"/>
                <w:b w:val="1"/>
                <w:bCs w:val="1"/>
                <w:color w:val="520B90"/>
              </w:rPr>
              <w:t>($)</w:t>
            </w:r>
          </w:p>
        </w:tc>
        <w:tc>
          <w:tcPr>
            <w:tcW w:w="1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520B90"/>
              </w:rPr>
              <w:t>TDC</w:t>
            </w:r>
          </w:p>
        </w:tc>
        <w:tc>
          <w:tcPr>
            <w:tcW w:w="0" w:type="dxa"/>
            <w:vAlign w:val="bottom"/>
          </w:tcPr>
          <w:p>
            <w:pPr>
              <w:spacing w:after="0"/>
              <w:rPr>
                <w:sz w:val="1"/>
                <w:szCs w:val="1"/>
                <w:color w:val="auto"/>
              </w:rPr>
            </w:pPr>
          </w:p>
        </w:tc>
      </w:tr>
      <w:tr>
        <w:trPr>
          <w:trHeight w:val="207"/>
        </w:trPr>
        <w:tc>
          <w:tcPr>
            <w:tcW w:w="2460" w:type="dxa"/>
            <w:vAlign w:val="bottom"/>
            <w:tcBorders>
              <w:top w:val="single" w:sz="8" w:color="520B90"/>
            </w:tcBorders>
            <w:shd w:val="clear" w:color="auto" w:fill="E6E7E7"/>
          </w:tcPr>
          <w:p>
            <w:pPr>
              <w:ind w:left="20"/>
              <w:spacing w:after="0" w:line="207" w:lineRule="exact"/>
              <w:rPr>
                <w:sz w:val="20"/>
                <w:szCs w:val="20"/>
                <w:color w:val="auto"/>
              </w:rPr>
            </w:pPr>
            <w:r>
              <w:rPr>
                <w:rFonts w:ascii="Arial" w:cs="Arial" w:eastAsia="Arial" w:hAnsi="Arial"/>
                <w:sz w:val="16"/>
                <w:szCs w:val="16"/>
                <w:b w:val="1"/>
                <w:bCs w:val="1"/>
                <w:color w:val="520B90"/>
              </w:rPr>
              <w:t>Christian H. Hillabrant</w:t>
            </w:r>
            <w:r>
              <w:rPr>
                <w:rFonts w:ascii="Arial" w:cs="Arial" w:eastAsia="Arial" w:hAnsi="Arial"/>
                <w:sz w:val="20"/>
                <w:szCs w:val="20"/>
                <w:b w:val="1"/>
                <w:bCs w:val="1"/>
                <w:color w:val="520B90"/>
                <w:vertAlign w:val="superscript"/>
              </w:rPr>
              <w:t>(a)</w:t>
            </w:r>
          </w:p>
        </w:tc>
        <w:tc>
          <w:tcPr>
            <w:tcW w:w="100" w:type="dxa"/>
            <w:vAlign w:val="bottom"/>
          </w:tcPr>
          <w:p>
            <w:pPr>
              <w:spacing w:after="0"/>
              <w:rPr>
                <w:sz w:val="18"/>
                <w:szCs w:val="18"/>
                <w:color w:val="auto"/>
              </w:rPr>
            </w:pPr>
          </w:p>
        </w:tc>
        <w:tc>
          <w:tcPr>
            <w:tcW w:w="2960" w:type="dxa"/>
            <w:vAlign w:val="bottom"/>
            <w:tcBorders>
              <w:top w:val="single" w:sz="8" w:color="520B90"/>
            </w:tcBorders>
            <w:shd w:val="clear" w:color="auto" w:fill="E6E7E7"/>
          </w:tcPr>
          <w:p>
            <w:pPr>
              <w:ind w:left="20"/>
              <w:spacing w:after="0"/>
              <w:rPr>
                <w:sz w:val="20"/>
                <w:szCs w:val="20"/>
                <w:color w:val="auto"/>
              </w:rPr>
            </w:pPr>
            <w:r>
              <w:rPr>
                <w:rFonts w:ascii="Arial" w:cs="Arial" w:eastAsia="Arial" w:hAnsi="Arial"/>
                <w:sz w:val="16"/>
                <w:szCs w:val="16"/>
                <w:color w:val="auto"/>
              </w:rPr>
              <w:t>President &amp; CEO</w:t>
            </w:r>
          </w:p>
        </w:tc>
        <w:tc>
          <w:tcPr>
            <w:tcW w:w="100" w:type="dxa"/>
            <w:vAlign w:val="bottom"/>
          </w:tcPr>
          <w:p>
            <w:pPr>
              <w:spacing w:after="0"/>
              <w:rPr>
                <w:sz w:val="18"/>
                <w:szCs w:val="18"/>
                <w:color w:val="auto"/>
              </w:rPr>
            </w:pPr>
          </w:p>
        </w:tc>
        <w:tc>
          <w:tcPr>
            <w:tcW w:w="1080" w:type="dxa"/>
            <w:vAlign w:val="bottom"/>
            <w:tcBorders>
              <w:top w:val="single" w:sz="8" w:color="520B90"/>
            </w:tcBorders>
            <w:shd w:val="clear" w:color="auto" w:fill="E6E7E7"/>
          </w:tcPr>
          <w:p>
            <w:pPr>
              <w:jc w:val="center"/>
              <w:spacing w:after="0"/>
              <w:rPr>
                <w:sz w:val="20"/>
                <w:szCs w:val="20"/>
                <w:color w:val="auto"/>
              </w:rPr>
            </w:pPr>
            <w:r>
              <w:rPr>
                <w:rFonts w:ascii="Arial" w:cs="Arial" w:eastAsia="Arial" w:hAnsi="Arial"/>
                <w:sz w:val="16"/>
                <w:szCs w:val="16"/>
                <w:color w:val="auto"/>
              </w:rPr>
              <w:t>1,000,000</w:t>
            </w:r>
          </w:p>
        </w:tc>
        <w:tc>
          <w:tcPr>
            <w:tcW w:w="100" w:type="dxa"/>
            <w:vAlign w:val="bottom"/>
          </w:tcPr>
          <w:p>
            <w:pPr>
              <w:spacing w:after="0"/>
              <w:rPr>
                <w:sz w:val="18"/>
                <w:szCs w:val="18"/>
                <w:color w:val="auto"/>
              </w:rPr>
            </w:pPr>
          </w:p>
        </w:tc>
        <w:tc>
          <w:tcPr>
            <w:tcW w:w="1020" w:type="dxa"/>
            <w:vAlign w:val="bottom"/>
            <w:tcBorders>
              <w:top w:val="single" w:sz="8" w:color="520B90"/>
            </w:tcBorders>
            <w:shd w:val="clear" w:color="auto" w:fill="E6E7E7"/>
          </w:tcPr>
          <w:p>
            <w:pPr>
              <w:jc w:val="center"/>
              <w:spacing w:after="0"/>
              <w:rPr>
                <w:sz w:val="20"/>
                <w:szCs w:val="20"/>
                <w:color w:val="auto"/>
              </w:rPr>
            </w:pPr>
            <w:r>
              <w:rPr>
                <w:rFonts w:ascii="Arial" w:cs="Arial" w:eastAsia="Arial" w:hAnsi="Arial"/>
                <w:sz w:val="16"/>
                <w:szCs w:val="16"/>
                <w:color w:val="auto"/>
              </w:rPr>
              <w:t>2,000,000</w:t>
            </w:r>
          </w:p>
        </w:tc>
        <w:tc>
          <w:tcPr>
            <w:tcW w:w="120" w:type="dxa"/>
            <w:vAlign w:val="bottom"/>
          </w:tcPr>
          <w:p>
            <w:pPr>
              <w:spacing w:after="0"/>
              <w:rPr>
                <w:sz w:val="18"/>
                <w:szCs w:val="18"/>
                <w:color w:val="auto"/>
              </w:rPr>
            </w:pPr>
          </w:p>
        </w:tc>
        <w:tc>
          <w:tcPr>
            <w:tcW w:w="1120" w:type="dxa"/>
            <w:vAlign w:val="bottom"/>
            <w:tcBorders>
              <w:top w:val="single" w:sz="8" w:color="520B90"/>
            </w:tcBorders>
            <w:shd w:val="clear" w:color="auto" w:fill="E6E7E7"/>
          </w:tcPr>
          <w:p>
            <w:pPr>
              <w:jc w:val="center"/>
              <w:spacing w:after="0"/>
              <w:rPr>
                <w:sz w:val="20"/>
                <w:szCs w:val="20"/>
                <w:color w:val="auto"/>
              </w:rPr>
            </w:pPr>
            <w:r>
              <w:rPr>
                <w:rFonts w:ascii="Arial" w:cs="Arial" w:eastAsia="Arial" w:hAnsi="Arial"/>
                <w:sz w:val="16"/>
                <w:szCs w:val="16"/>
                <w:color w:val="auto"/>
                <w:w w:val="99"/>
              </w:rPr>
              <w:t>10,500,000</w:t>
            </w:r>
          </w:p>
        </w:tc>
        <w:tc>
          <w:tcPr>
            <w:tcW w:w="100" w:type="dxa"/>
            <w:vAlign w:val="bottom"/>
          </w:tcPr>
          <w:p>
            <w:pPr>
              <w:spacing w:after="0"/>
              <w:rPr>
                <w:sz w:val="18"/>
                <w:szCs w:val="18"/>
                <w:color w:val="auto"/>
              </w:rPr>
            </w:pPr>
          </w:p>
        </w:tc>
        <w:tc>
          <w:tcPr>
            <w:tcW w:w="1080" w:type="dxa"/>
            <w:vAlign w:val="bottom"/>
            <w:tcBorders>
              <w:top w:val="single" w:sz="8" w:color="520B90"/>
            </w:tcBorders>
            <w:shd w:val="clear" w:color="auto" w:fill="E6E7E7"/>
          </w:tcPr>
          <w:p>
            <w:pPr>
              <w:jc w:val="center"/>
              <w:spacing w:after="0"/>
              <w:rPr>
                <w:sz w:val="20"/>
                <w:szCs w:val="20"/>
                <w:color w:val="auto"/>
              </w:rPr>
            </w:pPr>
            <w:r>
              <w:rPr>
                <w:rFonts w:ascii="Arial" w:cs="Arial" w:eastAsia="Arial" w:hAnsi="Arial"/>
                <w:sz w:val="16"/>
                <w:szCs w:val="16"/>
                <w:color w:val="auto"/>
                <w:w w:val="99"/>
              </w:rPr>
              <w:t>13,500,000</w:t>
            </w:r>
          </w:p>
        </w:tc>
        <w:tc>
          <w:tcPr>
            <w:tcW w:w="120" w:type="dxa"/>
            <w:vAlign w:val="bottom"/>
          </w:tcPr>
          <w:p>
            <w:pPr>
              <w:spacing w:after="0"/>
              <w:rPr>
                <w:sz w:val="18"/>
                <w:szCs w:val="18"/>
                <w:color w:val="auto"/>
              </w:rPr>
            </w:pPr>
          </w:p>
        </w:tc>
        <w:tc>
          <w:tcPr>
            <w:tcW w:w="880" w:type="dxa"/>
            <w:vAlign w:val="bottom"/>
            <w:tcBorders>
              <w:top w:val="single" w:sz="8" w:color="520B90"/>
            </w:tcBorders>
            <w:shd w:val="clear" w:color="auto" w:fill="E6E7E7"/>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2"/>
        </w:trPr>
        <w:tc>
          <w:tcPr>
            <w:tcW w:w="2460" w:type="dxa"/>
            <w:vAlign w:val="bottom"/>
          </w:tcPr>
          <w:p>
            <w:pPr>
              <w:ind w:left="20"/>
              <w:spacing w:after="0" w:line="211" w:lineRule="exact"/>
              <w:rPr>
                <w:sz w:val="20"/>
                <w:szCs w:val="20"/>
                <w:color w:val="auto"/>
              </w:rPr>
            </w:pPr>
            <w:r>
              <w:rPr>
                <w:rFonts w:ascii="Arial" w:cs="Arial" w:eastAsia="Arial" w:hAnsi="Arial"/>
                <w:sz w:val="16"/>
                <w:szCs w:val="16"/>
                <w:b w:val="1"/>
                <w:bCs w:val="1"/>
                <w:color w:val="520B90"/>
              </w:rPr>
              <w:t>Sunit S. Patel</w:t>
            </w:r>
            <w:r>
              <w:rPr>
                <w:rFonts w:ascii="Arial" w:cs="Arial" w:eastAsia="Arial" w:hAnsi="Arial"/>
                <w:sz w:val="20"/>
                <w:szCs w:val="20"/>
                <w:b w:val="1"/>
                <w:bCs w:val="1"/>
                <w:color w:val="520B90"/>
                <w:vertAlign w:val="superscript"/>
              </w:rPr>
              <w:t>(b)</w:t>
            </w:r>
          </w:p>
        </w:tc>
        <w:tc>
          <w:tcPr>
            <w:tcW w:w="100" w:type="dxa"/>
            <w:vAlign w:val="bottom"/>
          </w:tcPr>
          <w:p>
            <w:pPr>
              <w:spacing w:after="0"/>
              <w:rPr>
                <w:sz w:val="18"/>
                <w:szCs w:val="18"/>
                <w:color w:val="auto"/>
              </w:rPr>
            </w:pPr>
          </w:p>
        </w:tc>
        <w:tc>
          <w:tcPr>
            <w:tcW w:w="2960" w:type="dxa"/>
            <w:vAlign w:val="bottom"/>
          </w:tcPr>
          <w:p>
            <w:pPr>
              <w:ind w:left="20"/>
              <w:spacing w:after="0"/>
              <w:rPr>
                <w:sz w:val="20"/>
                <w:szCs w:val="20"/>
                <w:color w:val="auto"/>
              </w:rPr>
            </w:pPr>
            <w:r>
              <w:rPr>
                <w:rFonts w:ascii="Arial" w:cs="Arial" w:eastAsia="Arial" w:hAnsi="Arial"/>
                <w:sz w:val="16"/>
                <w:szCs w:val="16"/>
                <w:color w:val="auto"/>
              </w:rPr>
              <w:t>EVP &amp; CFO</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6"/>
              </w:rPr>
              <w:t>625,000</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6"/>
              </w:rPr>
              <w:t>625,000</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8"/>
              </w:rPr>
              <w:t>4,450,000</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8"/>
              </w:rPr>
              <w:t>5,700,000</w:t>
            </w: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59"/>
        </w:trPr>
        <w:tc>
          <w:tcPr>
            <w:tcW w:w="2460" w:type="dxa"/>
            <w:vAlign w:val="bottom"/>
            <w:vMerge w:val="restart"/>
            <w:shd w:val="clear" w:color="auto" w:fill="E6E7E7"/>
          </w:tcPr>
          <w:p>
            <w:pPr>
              <w:ind w:left="20"/>
              <w:spacing w:after="0"/>
              <w:rPr>
                <w:sz w:val="20"/>
                <w:szCs w:val="20"/>
                <w:color w:val="auto"/>
              </w:rPr>
            </w:pPr>
            <w:r>
              <w:rPr>
                <w:rFonts w:ascii="Arial" w:cs="Arial" w:eastAsia="Arial" w:hAnsi="Arial"/>
                <w:sz w:val="16"/>
                <w:szCs w:val="16"/>
                <w:b w:val="1"/>
                <w:bCs w:val="1"/>
                <w:color w:val="520B90"/>
              </w:rPr>
              <w:t>Daniel K. Schlanger</w:t>
            </w:r>
          </w:p>
        </w:tc>
        <w:tc>
          <w:tcPr>
            <w:tcW w:w="100" w:type="dxa"/>
            <w:vAlign w:val="bottom"/>
          </w:tcPr>
          <w:p>
            <w:pPr>
              <w:spacing w:after="0"/>
              <w:rPr>
                <w:sz w:val="13"/>
                <w:szCs w:val="13"/>
                <w:color w:val="auto"/>
              </w:rPr>
            </w:pPr>
          </w:p>
        </w:tc>
        <w:tc>
          <w:tcPr>
            <w:tcW w:w="2960" w:type="dxa"/>
            <w:vAlign w:val="bottom"/>
            <w:shd w:val="clear" w:color="auto" w:fill="E6E7E7"/>
          </w:tcPr>
          <w:p>
            <w:pPr>
              <w:ind w:left="20"/>
              <w:spacing w:after="0" w:line="159" w:lineRule="exact"/>
              <w:rPr>
                <w:sz w:val="20"/>
                <w:szCs w:val="20"/>
                <w:color w:val="auto"/>
              </w:rPr>
            </w:pPr>
            <w:r>
              <w:rPr>
                <w:rFonts w:ascii="Arial" w:cs="Arial" w:eastAsia="Arial" w:hAnsi="Arial"/>
                <w:sz w:val="16"/>
                <w:szCs w:val="16"/>
                <w:color w:val="auto"/>
              </w:rPr>
              <w:t>EVP &amp; CTRO; Former Interim President</w:t>
            </w:r>
          </w:p>
        </w:tc>
        <w:tc>
          <w:tcPr>
            <w:tcW w:w="100" w:type="dxa"/>
            <w:vAlign w:val="bottom"/>
          </w:tcPr>
          <w:p>
            <w:pPr>
              <w:spacing w:after="0"/>
              <w:rPr>
                <w:sz w:val="13"/>
                <w:szCs w:val="13"/>
                <w:color w:val="auto"/>
              </w:rPr>
            </w:pPr>
          </w:p>
        </w:tc>
        <w:tc>
          <w:tcPr>
            <w:tcW w:w="108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6"/>
              </w:rPr>
              <w:t>640,000</w:t>
            </w:r>
          </w:p>
        </w:tc>
        <w:tc>
          <w:tcPr>
            <w:tcW w:w="100" w:type="dxa"/>
            <w:vAlign w:val="bottom"/>
          </w:tcPr>
          <w:p>
            <w:pPr>
              <w:spacing w:after="0"/>
              <w:rPr>
                <w:sz w:val="13"/>
                <w:szCs w:val="13"/>
                <w:color w:val="auto"/>
              </w:rPr>
            </w:pPr>
          </w:p>
        </w:tc>
        <w:tc>
          <w:tcPr>
            <w:tcW w:w="102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6"/>
              </w:rPr>
              <w:t>640,000</w:t>
            </w:r>
          </w:p>
        </w:tc>
        <w:tc>
          <w:tcPr>
            <w:tcW w:w="120" w:type="dxa"/>
            <w:vAlign w:val="bottom"/>
          </w:tcPr>
          <w:p>
            <w:pPr>
              <w:spacing w:after="0"/>
              <w:rPr>
                <w:sz w:val="13"/>
                <w:szCs w:val="13"/>
                <w:color w:val="auto"/>
              </w:rPr>
            </w:pPr>
          </w:p>
        </w:tc>
        <w:tc>
          <w:tcPr>
            <w:tcW w:w="112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8"/>
              </w:rPr>
              <w:t>4,125,000</w:t>
            </w:r>
          </w:p>
        </w:tc>
        <w:tc>
          <w:tcPr>
            <w:tcW w:w="100" w:type="dxa"/>
            <w:vAlign w:val="bottom"/>
          </w:tcPr>
          <w:p>
            <w:pPr>
              <w:spacing w:after="0"/>
              <w:rPr>
                <w:sz w:val="13"/>
                <w:szCs w:val="13"/>
                <w:color w:val="auto"/>
              </w:rPr>
            </w:pPr>
          </w:p>
        </w:tc>
        <w:tc>
          <w:tcPr>
            <w:tcW w:w="108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8"/>
              </w:rPr>
              <w:t>5,405,000</w:t>
            </w:r>
          </w:p>
        </w:tc>
        <w:tc>
          <w:tcPr>
            <w:tcW w:w="120" w:type="dxa"/>
            <w:vAlign w:val="bottom"/>
          </w:tcPr>
          <w:p>
            <w:pPr>
              <w:spacing w:after="0"/>
              <w:rPr>
                <w:sz w:val="13"/>
                <w:szCs w:val="13"/>
                <w:color w:val="auto"/>
              </w:rPr>
            </w:pPr>
          </w:p>
        </w:tc>
        <w:tc>
          <w:tcPr>
            <w:tcW w:w="88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37"/>
        </w:trPr>
        <w:tc>
          <w:tcPr>
            <w:tcW w:w="2460" w:type="dxa"/>
            <w:vAlign w:val="bottom"/>
            <w:vMerge w:val="continue"/>
            <w:shd w:val="clear" w:color="auto" w:fill="E6E7E7"/>
          </w:tcPr>
          <w:p>
            <w:pPr>
              <w:spacing w:after="0"/>
              <w:rPr>
                <w:sz w:val="11"/>
                <w:szCs w:val="11"/>
                <w:color w:val="auto"/>
              </w:rPr>
            </w:pPr>
          </w:p>
        </w:tc>
        <w:tc>
          <w:tcPr>
            <w:tcW w:w="100" w:type="dxa"/>
            <w:vAlign w:val="bottom"/>
          </w:tcPr>
          <w:p>
            <w:pPr>
              <w:spacing w:after="0"/>
              <w:rPr>
                <w:sz w:val="11"/>
                <w:szCs w:val="11"/>
                <w:color w:val="auto"/>
              </w:rPr>
            </w:pPr>
          </w:p>
        </w:tc>
        <w:tc>
          <w:tcPr>
            <w:tcW w:w="2960" w:type="dxa"/>
            <w:vAlign w:val="bottom"/>
            <w:vMerge w:val="restart"/>
            <w:shd w:val="clear" w:color="auto" w:fill="E6E7E7"/>
          </w:tcPr>
          <w:p>
            <w:pPr>
              <w:ind w:left="20"/>
              <w:spacing w:after="0"/>
              <w:rPr>
                <w:sz w:val="20"/>
                <w:szCs w:val="20"/>
                <w:color w:val="auto"/>
              </w:rPr>
            </w:pPr>
            <w:r>
              <w:rPr>
                <w:rFonts w:ascii="Arial" w:cs="Arial" w:eastAsia="Arial" w:hAnsi="Arial"/>
                <w:sz w:val="16"/>
                <w:szCs w:val="16"/>
                <w:color w:val="auto"/>
              </w:rPr>
              <w:t>&amp; CEO; Former CFO</w:t>
            </w:r>
          </w:p>
        </w:tc>
        <w:tc>
          <w:tcPr>
            <w:tcW w:w="100" w:type="dxa"/>
            <w:vAlign w:val="bottom"/>
          </w:tcPr>
          <w:p>
            <w:pPr>
              <w:spacing w:after="0"/>
              <w:rPr>
                <w:sz w:val="11"/>
                <w:szCs w:val="11"/>
                <w:color w:val="auto"/>
              </w:rPr>
            </w:pPr>
          </w:p>
        </w:tc>
        <w:tc>
          <w:tcPr>
            <w:tcW w:w="1080" w:type="dxa"/>
            <w:vAlign w:val="bottom"/>
            <w:vMerge w:val="continue"/>
            <w:shd w:val="clear" w:color="auto" w:fill="E6E7E7"/>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vMerge w:val="continue"/>
            <w:shd w:val="clear" w:color="auto" w:fill="E6E7E7"/>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continue"/>
            <w:shd w:val="clear" w:color="auto" w:fill="E6E7E7"/>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vMerge w:val="continue"/>
            <w:shd w:val="clear" w:color="auto" w:fill="E6E7E7"/>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continue"/>
            <w:shd w:val="clear" w:color="auto" w:fill="E6E7E7"/>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460" w:type="dxa"/>
            <w:vAlign w:val="bottom"/>
            <w:shd w:val="clear" w:color="auto" w:fill="E6E7E7"/>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vMerge w:val="continue"/>
            <w:shd w:val="clear" w:color="auto" w:fill="E6E7E7"/>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shd w:val="clear" w:color="auto" w:fill="E6E7E7"/>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shd w:val="clear" w:color="auto" w:fill="E6E7E7"/>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shd w:val="clear" w:color="auto" w:fill="E6E7E7"/>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shd w:val="clear" w:color="auto" w:fill="E6E7E7"/>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shd w:val="clear" w:color="auto" w:fill="E6E7E7"/>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2460" w:type="dxa"/>
            <w:vAlign w:val="bottom"/>
          </w:tcPr>
          <w:p>
            <w:pPr>
              <w:ind w:left="20"/>
              <w:spacing w:after="0"/>
              <w:rPr>
                <w:sz w:val="20"/>
                <w:szCs w:val="20"/>
                <w:color w:val="auto"/>
              </w:rPr>
            </w:pPr>
            <w:r>
              <w:rPr>
                <w:rFonts w:ascii="Arial" w:cs="Arial" w:eastAsia="Arial" w:hAnsi="Arial"/>
                <w:sz w:val="16"/>
                <w:szCs w:val="16"/>
                <w:b w:val="1"/>
                <w:bCs w:val="1"/>
                <w:color w:val="520B90"/>
              </w:rPr>
              <w:t>Christopher D. Levendos</w:t>
            </w:r>
          </w:p>
        </w:tc>
        <w:tc>
          <w:tcPr>
            <w:tcW w:w="100" w:type="dxa"/>
            <w:vAlign w:val="bottom"/>
          </w:tcPr>
          <w:p>
            <w:pPr>
              <w:spacing w:after="0"/>
              <w:rPr>
                <w:sz w:val="18"/>
                <w:szCs w:val="18"/>
                <w:color w:val="auto"/>
              </w:rPr>
            </w:pPr>
          </w:p>
        </w:tc>
        <w:tc>
          <w:tcPr>
            <w:tcW w:w="2960" w:type="dxa"/>
            <w:vAlign w:val="bottom"/>
          </w:tcPr>
          <w:p>
            <w:pPr>
              <w:ind w:left="20"/>
              <w:spacing w:after="0"/>
              <w:rPr>
                <w:sz w:val="20"/>
                <w:szCs w:val="20"/>
                <w:color w:val="auto"/>
              </w:rPr>
            </w:pPr>
            <w:r>
              <w:rPr>
                <w:rFonts w:ascii="Arial" w:cs="Arial" w:eastAsia="Arial" w:hAnsi="Arial"/>
                <w:sz w:val="16"/>
                <w:szCs w:val="16"/>
                <w:color w:val="auto"/>
              </w:rPr>
              <w:t>EVP &amp; COO—Fiber</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6"/>
              </w:rPr>
              <w:t>600,000</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6"/>
              </w:rPr>
              <w:t>600,000</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8"/>
              </w:rPr>
              <w:t>4,350,000</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8"/>
              </w:rPr>
              <w:t>5,550,000</w:t>
            </w: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2"/>
        </w:trPr>
        <w:tc>
          <w:tcPr>
            <w:tcW w:w="2460" w:type="dxa"/>
            <w:vAlign w:val="bottom"/>
            <w:shd w:val="clear" w:color="auto" w:fill="E6E7E7"/>
          </w:tcPr>
          <w:p>
            <w:pPr>
              <w:ind w:left="20"/>
              <w:spacing w:after="0"/>
              <w:rPr>
                <w:sz w:val="20"/>
                <w:szCs w:val="20"/>
                <w:color w:val="auto"/>
              </w:rPr>
            </w:pPr>
            <w:r>
              <w:rPr>
                <w:rFonts w:ascii="Arial" w:cs="Arial" w:eastAsia="Arial" w:hAnsi="Arial"/>
                <w:sz w:val="16"/>
                <w:szCs w:val="16"/>
                <w:b w:val="1"/>
                <w:bCs w:val="1"/>
                <w:color w:val="520B90"/>
              </w:rPr>
              <w:t>Edward B. Adams, Jr.</w:t>
            </w:r>
          </w:p>
        </w:tc>
        <w:tc>
          <w:tcPr>
            <w:tcW w:w="100" w:type="dxa"/>
            <w:vAlign w:val="bottom"/>
          </w:tcPr>
          <w:p>
            <w:pPr>
              <w:spacing w:after="0"/>
              <w:rPr>
                <w:sz w:val="18"/>
                <w:szCs w:val="18"/>
                <w:color w:val="auto"/>
              </w:rPr>
            </w:pPr>
          </w:p>
        </w:tc>
        <w:tc>
          <w:tcPr>
            <w:tcW w:w="2960" w:type="dxa"/>
            <w:vAlign w:val="bottom"/>
            <w:shd w:val="clear" w:color="auto" w:fill="E6E7E7"/>
          </w:tcPr>
          <w:p>
            <w:pPr>
              <w:ind w:left="20"/>
              <w:spacing w:after="0"/>
              <w:rPr>
                <w:sz w:val="20"/>
                <w:szCs w:val="20"/>
                <w:color w:val="auto"/>
              </w:rPr>
            </w:pPr>
            <w:r>
              <w:rPr>
                <w:rFonts w:ascii="Arial" w:cs="Arial" w:eastAsia="Arial" w:hAnsi="Arial"/>
                <w:sz w:val="16"/>
                <w:szCs w:val="16"/>
                <w:color w:val="auto"/>
              </w:rPr>
              <w:t>EVP &amp; General Counsel</w:t>
            </w:r>
          </w:p>
        </w:tc>
        <w:tc>
          <w:tcPr>
            <w:tcW w:w="100" w:type="dxa"/>
            <w:vAlign w:val="bottom"/>
          </w:tcPr>
          <w:p>
            <w:pPr>
              <w:spacing w:after="0"/>
              <w:rPr>
                <w:sz w:val="18"/>
                <w:szCs w:val="18"/>
                <w:color w:val="auto"/>
              </w:rPr>
            </w:pPr>
          </w:p>
        </w:tc>
        <w:tc>
          <w:tcPr>
            <w:tcW w:w="108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6"/>
              </w:rPr>
              <w:t>515,000</w:t>
            </w:r>
          </w:p>
        </w:tc>
        <w:tc>
          <w:tcPr>
            <w:tcW w:w="100" w:type="dxa"/>
            <w:vAlign w:val="bottom"/>
          </w:tcPr>
          <w:p>
            <w:pPr>
              <w:spacing w:after="0"/>
              <w:rPr>
                <w:sz w:val="18"/>
                <w:szCs w:val="18"/>
                <w:color w:val="auto"/>
              </w:rPr>
            </w:pPr>
          </w:p>
        </w:tc>
        <w:tc>
          <w:tcPr>
            <w:tcW w:w="102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6"/>
              </w:rPr>
              <w:t>515,000</w:t>
            </w:r>
          </w:p>
        </w:tc>
        <w:tc>
          <w:tcPr>
            <w:tcW w:w="120" w:type="dxa"/>
            <w:vAlign w:val="bottom"/>
          </w:tcPr>
          <w:p>
            <w:pPr>
              <w:spacing w:after="0"/>
              <w:rPr>
                <w:sz w:val="18"/>
                <w:szCs w:val="18"/>
                <w:color w:val="auto"/>
              </w:rPr>
            </w:pPr>
          </w:p>
        </w:tc>
        <w:tc>
          <w:tcPr>
            <w:tcW w:w="112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8"/>
              </w:rPr>
              <w:t>2,900,000</w:t>
            </w:r>
          </w:p>
        </w:tc>
        <w:tc>
          <w:tcPr>
            <w:tcW w:w="100" w:type="dxa"/>
            <w:vAlign w:val="bottom"/>
          </w:tcPr>
          <w:p>
            <w:pPr>
              <w:spacing w:after="0"/>
              <w:rPr>
                <w:sz w:val="18"/>
                <w:szCs w:val="18"/>
                <w:color w:val="auto"/>
              </w:rPr>
            </w:pPr>
          </w:p>
        </w:tc>
        <w:tc>
          <w:tcPr>
            <w:tcW w:w="108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8"/>
              </w:rPr>
              <w:t>3,930,000</w:t>
            </w:r>
          </w:p>
        </w:tc>
        <w:tc>
          <w:tcPr>
            <w:tcW w:w="120" w:type="dxa"/>
            <w:vAlign w:val="bottom"/>
          </w:tcPr>
          <w:p>
            <w:pPr>
              <w:spacing w:after="0"/>
              <w:rPr>
                <w:sz w:val="18"/>
                <w:szCs w:val="18"/>
                <w:color w:val="auto"/>
              </w:rPr>
            </w:pPr>
          </w:p>
        </w:tc>
        <w:tc>
          <w:tcPr>
            <w:tcW w:w="88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2"/>
        </w:trPr>
        <w:tc>
          <w:tcPr>
            <w:tcW w:w="2460" w:type="dxa"/>
            <w:vAlign w:val="bottom"/>
          </w:tcPr>
          <w:p>
            <w:pPr>
              <w:ind w:left="20"/>
              <w:spacing w:after="0"/>
              <w:rPr>
                <w:sz w:val="20"/>
                <w:szCs w:val="20"/>
                <w:color w:val="auto"/>
              </w:rPr>
            </w:pPr>
            <w:r>
              <w:rPr>
                <w:rFonts w:ascii="Arial" w:cs="Arial" w:eastAsia="Arial" w:hAnsi="Arial"/>
                <w:sz w:val="16"/>
                <w:szCs w:val="16"/>
                <w:b w:val="1"/>
                <w:bCs w:val="1"/>
                <w:color w:val="520B90"/>
              </w:rPr>
              <w:t>Catherine Piche</w:t>
            </w:r>
          </w:p>
        </w:tc>
        <w:tc>
          <w:tcPr>
            <w:tcW w:w="100" w:type="dxa"/>
            <w:vAlign w:val="bottom"/>
          </w:tcPr>
          <w:p>
            <w:pPr>
              <w:spacing w:after="0"/>
              <w:rPr>
                <w:sz w:val="18"/>
                <w:szCs w:val="18"/>
                <w:color w:val="auto"/>
              </w:rPr>
            </w:pPr>
          </w:p>
        </w:tc>
        <w:tc>
          <w:tcPr>
            <w:tcW w:w="2960" w:type="dxa"/>
            <w:vAlign w:val="bottom"/>
          </w:tcPr>
          <w:p>
            <w:pPr>
              <w:ind w:left="20"/>
              <w:spacing w:after="0"/>
              <w:rPr>
                <w:sz w:val="20"/>
                <w:szCs w:val="20"/>
                <w:color w:val="auto"/>
              </w:rPr>
            </w:pPr>
            <w:r>
              <w:rPr>
                <w:rFonts w:ascii="Arial" w:cs="Arial" w:eastAsia="Arial" w:hAnsi="Arial"/>
                <w:sz w:val="16"/>
                <w:szCs w:val="16"/>
                <w:color w:val="auto"/>
              </w:rPr>
              <w:t>EVP &amp; COO—Towers</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6"/>
              </w:rPr>
              <w:t>550,000</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6"/>
              </w:rPr>
              <w:t>550,000</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8"/>
              </w:rPr>
              <w:t>3,700,000</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8"/>
              </w:rPr>
              <w:t>4,800,000</w:t>
            </w: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2"/>
        </w:trPr>
        <w:tc>
          <w:tcPr>
            <w:tcW w:w="2460" w:type="dxa"/>
            <w:vAlign w:val="bottom"/>
            <w:shd w:val="clear" w:color="auto" w:fill="E6E7E7"/>
          </w:tcPr>
          <w:p>
            <w:pPr>
              <w:ind w:left="20"/>
              <w:spacing w:after="0" w:line="211" w:lineRule="exact"/>
              <w:rPr>
                <w:sz w:val="20"/>
                <w:szCs w:val="20"/>
                <w:color w:val="auto"/>
              </w:rPr>
            </w:pPr>
            <w:r>
              <w:rPr>
                <w:rFonts w:ascii="Arial" w:cs="Arial" w:eastAsia="Arial" w:hAnsi="Arial"/>
                <w:sz w:val="16"/>
                <w:szCs w:val="16"/>
                <w:b w:val="1"/>
                <w:bCs w:val="1"/>
                <w:color w:val="520B90"/>
              </w:rPr>
              <w:t>Steven J. Moskowitz</w:t>
            </w:r>
            <w:r>
              <w:rPr>
                <w:rFonts w:ascii="Arial" w:cs="Arial" w:eastAsia="Arial" w:hAnsi="Arial"/>
                <w:sz w:val="20"/>
                <w:szCs w:val="20"/>
                <w:b w:val="1"/>
                <w:bCs w:val="1"/>
                <w:color w:val="520B90"/>
                <w:vertAlign w:val="superscript"/>
              </w:rPr>
              <w:t>(c)</w:t>
            </w:r>
          </w:p>
        </w:tc>
        <w:tc>
          <w:tcPr>
            <w:tcW w:w="100" w:type="dxa"/>
            <w:vAlign w:val="bottom"/>
          </w:tcPr>
          <w:p>
            <w:pPr>
              <w:spacing w:after="0"/>
              <w:rPr>
                <w:sz w:val="18"/>
                <w:szCs w:val="18"/>
                <w:color w:val="auto"/>
              </w:rPr>
            </w:pPr>
          </w:p>
        </w:tc>
        <w:tc>
          <w:tcPr>
            <w:tcW w:w="2960" w:type="dxa"/>
            <w:vAlign w:val="bottom"/>
            <w:shd w:val="clear" w:color="auto" w:fill="E6E7E7"/>
          </w:tcPr>
          <w:p>
            <w:pPr>
              <w:ind w:left="20"/>
              <w:spacing w:after="0"/>
              <w:rPr>
                <w:sz w:val="20"/>
                <w:szCs w:val="20"/>
                <w:color w:val="auto"/>
              </w:rPr>
            </w:pPr>
            <w:r>
              <w:rPr>
                <w:rFonts w:ascii="Arial" w:cs="Arial" w:eastAsia="Arial" w:hAnsi="Arial"/>
                <w:sz w:val="16"/>
                <w:szCs w:val="16"/>
                <w:color w:val="auto"/>
              </w:rPr>
              <w:t>Former President &amp; CEO</w:t>
            </w:r>
          </w:p>
        </w:tc>
        <w:tc>
          <w:tcPr>
            <w:tcW w:w="100" w:type="dxa"/>
            <w:vAlign w:val="bottom"/>
          </w:tcPr>
          <w:p>
            <w:pPr>
              <w:spacing w:after="0"/>
              <w:rPr>
                <w:sz w:val="18"/>
                <w:szCs w:val="18"/>
                <w:color w:val="auto"/>
              </w:rPr>
            </w:pPr>
          </w:p>
        </w:tc>
        <w:tc>
          <w:tcPr>
            <w:tcW w:w="108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6"/>
              </w:rPr>
              <w:t>900,000</w:t>
            </w:r>
          </w:p>
        </w:tc>
        <w:tc>
          <w:tcPr>
            <w:tcW w:w="100" w:type="dxa"/>
            <w:vAlign w:val="bottom"/>
          </w:tcPr>
          <w:p>
            <w:pPr>
              <w:spacing w:after="0"/>
              <w:rPr>
                <w:sz w:val="18"/>
                <w:szCs w:val="18"/>
                <w:color w:val="auto"/>
              </w:rPr>
            </w:pPr>
          </w:p>
        </w:tc>
        <w:tc>
          <w:tcPr>
            <w:tcW w:w="102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1,575,000</w:t>
            </w:r>
          </w:p>
        </w:tc>
        <w:tc>
          <w:tcPr>
            <w:tcW w:w="120" w:type="dxa"/>
            <w:vAlign w:val="bottom"/>
          </w:tcPr>
          <w:p>
            <w:pPr>
              <w:spacing w:after="0"/>
              <w:rPr>
                <w:sz w:val="18"/>
                <w:szCs w:val="18"/>
                <w:color w:val="auto"/>
              </w:rPr>
            </w:pPr>
          </w:p>
        </w:tc>
        <w:tc>
          <w:tcPr>
            <w:tcW w:w="112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9"/>
              </w:rPr>
              <w:t>12,300,000</w:t>
            </w:r>
          </w:p>
        </w:tc>
        <w:tc>
          <w:tcPr>
            <w:tcW w:w="100" w:type="dxa"/>
            <w:vAlign w:val="bottom"/>
          </w:tcPr>
          <w:p>
            <w:pPr>
              <w:spacing w:after="0"/>
              <w:rPr>
                <w:sz w:val="18"/>
                <w:szCs w:val="18"/>
                <w:color w:val="auto"/>
              </w:rPr>
            </w:pPr>
          </w:p>
        </w:tc>
        <w:tc>
          <w:tcPr>
            <w:tcW w:w="108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9"/>
              </w:rPr>
              <w:t>14,775,000</w:t>
            </w:r>
          </w:p>
        </w:tc>
        <w:tc>
          <w:tcPr>
            <w:tcW w:w="120" w:type="dxa"/>
            <w:vAlign w:val="bottom"/>
          </w:tcPr>
          <w:p>
            <w:pPr>
              <w:spacing w:after="0"/>
              <w:rPr>
                <w:sz w:val="18"/>
                <w:szCs w:val="18"/>
                <w:color w:val="auto"/>
              </w:rPr>
            </w:pPr>
          </w:p>
        </w:tc>
        <w:tc>
          <w:tcPr>
            <w:tcW w:w="88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109220</wp:posOffset>
            </wp:positionV>
            <wp:extent cx="73088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30885" cy="8255"/>
                    </a:xfrm>
                    <a:prstGeom prst="rect">
                      <a:avLst/>
                    </a:prstGeom>
                    <a:noFill/>
                  </pic:spPr>
                </pic:pic>
              </a:graphicData>
            </a:graphic>
          </wp:anchor>
        </w:drawing>
      </w:r>
    </w:p>
    <w:p>
      <w:pPr>
        <w:spacing w:after="0" w:line="232" w:lineRule="exact"/>
        <w:rPr>
          <w:sz w:val="20"/>
          <w:szCs w:val="20"/>
          <w:color w:val="auto"/>
        </w:rPr>
      </w:pPr>
    </w:p>
    <w:p>
      <w:pPr>
        <w:ind w:left="320" w:hanging="314"/>
        <w:spacing w:after="0"/>
        <w:tabs>
          <w:tab w:leader="none" w:pos="320" w:val="left"/>
        </w:tabs>
        <w:numPr>
          <w:ilvl w:val="0"/>
          <w:numId w:val="119"/>
        </w:numPr>
        <w:rPr>
          <w:rFonts w:ascii="Arial" w:cs="Arial" w:eastAsia="Arial" w:hAnsi="Arial"/>
          <w:sz w:val="13"/>
          <w:szCs w:val="13"/>
          <w:color w:val="auto"/>
        </w:rPr>
      </w:pPr>
      <w:r>
        <w:rPr>
          <w:rFonts w:ascii="Arial" w:cs="Arial" w:eastAsia="Arial" w:hAnsi="Arial"/>
          <w:sz w:val="13"/>
          <w:szCs w:val="13"/>
          <w:color w:val="auto"/>
        </w:rPr>
        <w:t>Reflects Mr. Hillabrant's annualized compensation effective September 15, 2025, which was the effective date of his appointment to the position of President &amp; CEO.</w:t>
      </w:r>
    </w:p>
    <w:p>
      <w:pPr>
        <w:spacing w:after="0" w:line="21" w:lineRule="exact"/>
        <w:rPr>
          <w:rFonts w:ascii="Arial" w:cs="Arial" w:eastAsia="Arial" w:hAnsi="Arial"/>
          <w:sz w:val="13"/>
          <w:szCs w:val="13"/>
          <w:color w:val="auto"/>
        </w:rPr>
      </w:pPr>
    </w:p>
    <w:p>
      <w:pPr>
        <w:ind w:left="320" w:hanging="314"/>
        <w:spacing w:after="0"/>
        <w:tabs>
          <w:tab w:leader="none" w:pos="320" w:val="left"/>
        </w:tabs>
        <w:numPr>
          <w:ilvl w:val="0"/>
          <w:numId w:val="119"/>
        </w:numPr>
        <w:rPr>
          <w:rFonts w:ascii="Arial" w:cs="Arial" w:eastAsia="Arial" w:hAnsi="Arial"/>
          <w:sz w:val="13"/>
          <w:szCs w:val="13"/>
          <w:color w:val="auto"/>
        </w:rPr>
      </w:pPr>
      <w:r>
        <w:rPr>
          <w:rFonts w:ascii="Arial" w:cs="Arial" w:eastAsia="Arial" w:hAnsi="Arial"/>
          <w:sz w:val="13"/>
          <w:szCs w:val="13"/>
          <w:color w:val="auto"/>
        </w:rPr>
        <w:t>Reflects Mr. Patel's annualized compensation effective April 1, 2025, which was the effective date of his appointment to the position of EVP &amp; CFO.</w:t>
      </w:r>
    </w:p>
    <w:p>
      <w:pPr>
        <w:spacing w:after="0" w:line="9" w:lineRule="exact"/>
        <w:rPr>
          <w:rFonts w:ascii="Arial" w:cs="Arial" w:eastAsia="Arial" w:hAnsi="Arial"/>
          <w:sz w:val="13"/>
          <w:szCs w:val="13"/>
          <w:color w:val="auto"/>
        </w:rPr>
      </w:pPr>
    </w:p>
    <w:p>
      <w:pPr>
        <w:ind w:left="320" w:hanging="314"/>
        <w:spacing w:after="0"/>
        <w:tabs>
          <w:tab w:leader="none" w:pos="320" w:val="left"/>
        </w:tabs>
        <w:numPr>
          <w:ilvl w:val="0"/>
          <w:numId w:val="119"/>
        </w:numPr>
        <w:rPr>
          <w:rFonts w:ascii="Arial" w:cs="Arial" w:eastAsia="Arial" w:hAnsi="Arial"/>
          <w:sz w:val="13"/>
          <w:szCs w:val="13"/>
          <w:color w:val="auto"/>
        </w:rPr>
      </w:pPr>
      <w:r>
        <w:rPr>
          <w:rFonts w:ascii="Arial" w:cs="Arial" w:eastAsia="Arial" w:hAnsi="Arial"/>
          <w:sz w:val="13"/>
          <w:szCs w:val="13"/>
          <w:color w:val="auto"/>
        </w:rPr>
        <w:t>Mr. Moskowitz ceased serving as our President &amp; CEO, effective March 23, 2025.</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166" w:lineRule="exact"/>
        <w:rPr>
          <w:sz w:val="20"/>
          <w:szCs w:val="20"/>
          <w:color w:val="auto"/>
        </w:rPr>
      </w:pPr>
    </w:p>
    <w:p>
      <w:pPr>
        <w:ind w:right="260"/>
        <w:spacing w:after="0" w:line="274" w:lineRule="auto"/>
        <w:rPr>
          <w:sz w:val="20"/>
          <w:szCs w:val="20"/>
          <w:color w:val="auto"/>
        </w:rPr>
      </w:pPr>
      <w:r>
        <w:rPr>
          <w:rFonts w:ascii="Arial" w:cs="Arial" w:eastAsia="Arial" w:hAnsi="Arial"/>
          <w:sz w:val="18"/>
          <w:szCs w:val="18"/>
          <w:color w:val="auto"/>
        </w:rPr>
        <w:t>Base salary is one of the main components of cash compensation for our executives. This element of pay provides a foundation for attracting and retaining executives and establishing a minimum level of compensation upon which our executives may rely.</w:t>
      </w:r>
    </w:p>
    <w:p>
      <w:pPr>
        <w:spacing w:after="0" w:line="11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Committee bases its decisions regarding base salary on multiple factors, including the level of responsibility and performance of the executive, considering such executive's contribution, accountability and experience, as well as the executive's base salary as compared to the Competitive Market Analysis. The Committee reviews recommendations made by the CEO with regard to base salary for executives other than himself and then either approves or revises such recommendations. The Committee and Board independently review the performance of the CEO when determining and approving the base salary for the CEO.</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For 2025, the Committee did not approve any adjustments to the base salaries of the NEOs: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Borders>
              <w:bottom w:val="single" w:sz="8" w:color="520B90"/>
            </w:tcBorders>
          </w:tcPr>
          <w:p>
            <w:pPr>
              <w:spacing w:after="0"/>
              <w:rPr>
                <w:sz w:val="15"/>
                <w:szCs w:val="15"/>
                <w:color w:val="auto"/>
              </w:rPr>
            </w:pPr>
          </w:p>
        </w:tc>
        <w:tc>
          <w:tcPr>
            <w:tcW w:w="80" w:type="dxa"/>
            <w:vAlign w:val="bottom"/>
            <w:tcBorders>
              <w:bottom w:val="single" w:sz="8" w:color="520B90"/>
            </w:tcBorders>
          </w:tcPr>
          <w:p>
            <w:pPr>
              <w:spacing w:after="0"/>
              <w:rPr>
                <w:sz w:val="15"/>
                <w:szCs w:val="15"/>
                <w:color w:val="auto"/>
              </w:rPr>
            </w:pPr>
          </w:p>
        </w:tc>
        <w:tc>
          <w:tcPr>
            <w:tcW w:w="1520" w:type="dxa"/>
            <w:vAlign w:val="bottom"/>
            <w:tcBorders>
              <w:bottom w:val="single" w:sz="8" w:color="520B90"/>
            </w:tcBorders>
          </w:tcPr>
          <w:p>
            <w:pPr>
              <w:jc w:val="center"/>
              <w:spacing w:after="0"/>
              <w:rPr>
                <w:sz w:val="20"/>
                <w:szCs w:val="20"/>
                <w:color w:val="auto"/>
              </w:rPr>
            </w:pPr>
            <w:r>
              <w:rPr>
                <w:rFonts w:ascii="Arial" w:cs="Arial" w:eastAsia="Arial" w:hAnsi="Arial"/>
                <w:sz w:val="13"/>
                <w:szCs w:val="13"/>
                <w:b w:val="1"/>
                <w:bCs w:val="1"/>
                <w:color w:val="520B90"/>
              </w:rPr>
              <w:t>Base Salary</w:t>
            </w:r>
          </w:p>
        </w:tc>
        <w:tc>
          <w:tcPr>
            <w:tcW w:w="100" w:type="dxa"/>
            <w:vAlign w:val="bottom"/>
            <w:tcBorders>
              <w:bottom w:val="single" w:sz="8" w:color="520B90"/>
            </w:tcBorders>
          </w:tcPr>
          <w:p>
            <w:pPr>
              <w:spacing w:after="0"/>
              <w:rPr>
                <w:sz w:val="15"/>
                <w:szCs w:val="15"/>
                <w:color w:val="auto"/>
              </w:rPr>
            </w:pPr>
          </w:p>
        </w:tc>
        <w:tc>
          <w:tcPr>
            <w:tcW w:w="1520" w:type="dxa"/>
            <w:vAlign w:val="bottom"/>
            <w:tcBorders>
              <w:bottom w:val="single" w:sz="8" w:color="520B90"/>
            </w:tcBorders>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680" w:type="dxa"/>
            <w:vAlign w:val="bottom"/>
            <w:vMerge w:val="restart"/>
          </w:tcPr>
          <w:p>
            <w:pPr>
              <w:ind w:left="20"/>
              <w:spacing w:after="0"/>
              <w:rPr>
                <w:sz w:val="20"/>
                <w:szCs w:val="20"/>
                <w:color w:val="auto"/>
              </w:rPr>
            </w:pPr>
            <w:r>
              <w:rPr>
                <w:rFonts w:ascii="Arial" w:cs="Arial" w:eastAsia="Arial" w:hAnsi="Arial"/>
                <w:sz w:val="13"/>
                <w:szCs w:val="13"/>
                <w:b w:val="1"/>
                <w:bCs w:val="1"/>
                <w:color w:val="520B90"/>
              </w:rPr>
              <w:t>Name</w:t>
            </w:r>
          </w:p>
        </w:tc>
        <w:tc>
          <w:tcPr>
            <w:tcW w:w="100" w:type="dxa"/>
            <w:vAlign w:val="bottom"/>
          </w:tcPr>
          <w:p>
            <w:pPr>
              <w:spacing w:after="0"/>
              <w:rPr>
                <w:sz w:val="2"/>
                <w:szCs w:val="2"/>
                <w:color w:val="auto"/>
              </w:rPr>
            </w:pPr>
          </w:p>
        </w:tc>
        <w:tc>
          <w:tcPr>
            <w:tcW w:w="3620" w:type="dxa"/>
            <w:vAlign w:val="bottom"/>
            <w:vMerge w:val="restart"/>
          </w:tcPr>
          <w:p>
            <w:pPr>
              <w:spacing w:after="0"/>
              <w:rPr>
                <w:sz w:val="20"/>
                <w:szCs w:val="20"/>
                <w:color w:val="auto"/>
              </w:rPr>
            </w:pPr>
            <w:r>
              <w:rPr>
                <w:rFonts w:ascii="Arial" w:cs="Arial" w:eastAsia="Arial" w:hAnsi="Arial"/>
                <w:sz w:val="13"/>
                <w:szCs w:val="13"/>
                <w:b w:val="1"/>
                <w:bCs w:val="1"/>
                <w:color w:val="520B90"/>
              </w:rPr>
              <w:t>Title</w:t>
            </w:r>
          </w:p>
        </w:tc>
        <w:tc>
          <w:tcPr>
            <w:tcW w:w="100" w:type="dxa"/>
            <w:vAlign w:val="bottom"/>
          </w:tcPr>
          <w:p>
            <w:pPr>
              <w:spacing w:after="0"/>
              <w:rPr>
                <w:sz w:val="2"/>
                <w:szCs w:val="2"/>
                <w:color w:val="auto"/>
              </w:rPr>
            </w:pPr>
          </w:p>
        </w:tc>
        <w:tc>
          <w:tcPr>
            <w:tcW w:w="1520" w:type="dxa"/>
            <w:vAlign w:val="bottom"/>
            <w:tcBorders>
              <w:bottom w:val="single" w:sz="8" w:color="520B90"/>
            </w:tcBorders>
          </w:tcPr>
          <w:p>
            <w:pPr>
              <w:spacing w:after="0"/>
              <w:rPr>
                <w:sz w:val="2"/>
                <w:szCs w:val="2"/>
                <w:color w:val="auto"/>
              </w:rPr>
            </w:pPr>
          </w:p>
        </w:tc>
        <w:tc>
          <w:tcPr>
            <w:tcW w:w="1600" w:type="dxa"/>
            <w:vAlign w:val="bottom"/>
            <w:tcBorders>
              <w:bottom w:val="single" w:sz="8" w:color="520B90"/>
            </w:tcBorders>
            <w:gridSpan w:val="2"/>
          </w:tcPr>
          <w:p>
            <w:pPr>
              <w:spacing w:after="0"/>
              <w:rPr>
                <w:sz w:val="2"/>
                <w:szCs w:val="2"/>
                <w:color w:val="auto"/>
              </w:rPr>
            </w:pPr>
          </w:p>
        </w:tc>
        <w:tc>
          <w:tcPr>
            <w:tcW w:w="100" w:type="dxa"/>
            <w:vAlign w:val="bottom"/>
            <w:tcBorders>
              <w:bottom w:val="single" w:sz="8" w:color="520B90"/>
            </w:tcBorders>
          </w:tcPr>
          <w:p>
            <w:pPr>
              <w:spacing w:after="0"/>
              <w:rPr>
                <w:sz w:val="2"/>
                <w:szCs w:val="2"/>
                <w:color w:val="auto"/>
              </w:rPr>
            </w:pPr>
          </w:p>
        </w:tc>
        <w:tc>
          <w:tcPr>
            <w:tcW w:w="1520" w:type="dxa"/>
            <w:vAlign w:val="bottom"/>
            <w:tcBorders>
              <w:bottom w:val="single" w:sz="8" w:color="520B90"/>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620" w:type="dxa"/>
            <w:vAlign w:val="bottom"/>
            <w:vMerge w:val="continue"/>
          </w:tcPr>
          <w:p>
            <w:pPr>
              <w:spacing w:after="0"/>
              <w:rPr>
                <w:sz w:val="15"/>
                <w:szCs w:val="15"/>
                <w:color w:val="auto"/>
              </w:rPr>
            </w:pPr>
          </w:p>
        </w:tc>
        <w:tc>
          <w:tcPr>
            <w:tcW w:w="1620" w:type="dxa"/>
            <w:vAlign w:val="bottom"/>
            <w:gridSpan w:val="2"/>
          </w:tcPr>
          <w:p>
            <w:pPr>
              <w:jc w:val="center"/>
              <w:ind w:left="14"/>
              <w:spacing w:after="0"/>
              <w:rPr>
                <w:sz w:val="20"/>
                <w:szCs w:val="20"/>
                <w:color w:val="auto"/>
              </w:rPr>
            </w:pPr>
            <w:r>
              <w:rPr>
                <w:rFonts w:ascii="Arial" w:cs="Arial" w:eastAsia="Arial" w:hAnsi="Arial"/>
                <w:sz w:val="13"/>
                <w:szCs w:val="13"/>
                <w:b w:val="1"/>
                <w:bCs w:val="1"/>
                <w:color w:val="520B90"/>
              </w:rPr>
              <w:t>2025</w:t>
            </w:r>
          </w:p>
        </w:tc>
        <w:tc>
          <w:tcPr>
            <w:tcW w:w="1600" w:type="dxa"/>
            <w:vAlign w:val="bottom"/>
            <w:gridSpan w:val="2"/>
          </w:tcPr>
          <w:p>
            <w:pPr>
              <w:jc w:val="center"/>
              <w:ind w:left="34"/>
              <w:spacing w:after="0"/>
              <w:rPr>
                <w:sz w:val="20"/>
                <w:szCs w:val="20"/>
                <w:color w:val="auto"/>
              </w:rPr>
            </w:pPr>
            <w:r>
              <w:rPr>
                <w:rFonts w:ascii="Arial" w:cs="Arial" w:eastAsia="Arial" w:hAnsi="Arial"/>
                <w:sz w:val="13"/>
                <w:szCs w:val="13"/>
                <w:b w:val="1"/>
                <w:bCs w:val="1"/>
                <w:color w:val="520B90"/>
              </w:rPr>
              <w:t>2024</w:t>
            </w:r>
          </w:p>
        </w:tc>
        <w:tc>
          <w:tcPr>
            <w:tcW w:w="10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3"/>
                <w:szCs w:val="13"/>
                <w:b w:val="1"/>
                <w:bCs w:val="1"/>
                <w:color w:val="520B90"/>
              </w:rPr>
              <w:t>% Increase</w:t>
            </w:r>
          </w:p>
        </w:tc>
        <w:tc>
          <w:tcPr>
            <w:tcW w:w="0" w:type="dxa"/>
            <w:vAlign w:val="bottom"/>
          </w:tcPr>
          <w:p>
            <w:pPr>
              <w:spacing w:after="0"/>
              <w:rPr>
                <w:sz w:val="1"/>
                <w:szCs w:val="1"/>
                <w:color w:val="auto"/>
              </w:rPr>
            </w:pPr>
          </w:p>
        </w:tc>
      </w:tr>
      <w:tr>
        <w:trPr>
          <w:trHeight w:val="207"/>
        </w:trPr>
        <w:tc>
          <w:tcPr>
            <w:tcW w:w="2680" w:type="dxa"/>
            <w:vAlign w:val="bottom"/>
            <w:tcBorders>
              <w:top w:val="single" w:sz="8" w:color="520B90"/>
            </w:tcBorders>
            <w:shd w:val="clear" w:color="auto" w:fill="E6E7E7"/>
          </w:tcPr>
          <w:p>
            <w:pPr>
              <w:ind w:left="20"/>
              <w:spacing w:after="0" w:line="207" w:lineRule="exact"/>
              <w:rPr>
                <w:sz w:val="20"/>
                <w:szCs w:val="20"/>
                <w:color w:val="auto"/>
              </w:rPr>
            </w:pPr>
            <w:r>
              <w:rPr>
                <w:rFonts w:ascii="Arial" w:cs="Arial" w:eastAsia="Arial" w:hAnsi="Arial"/>
                <w:sz w:val="16"/>
                <w:szCs w:val="16"/>
                <w:b w:val="1"/>
                <w:bCs w:val="1"/>
                <w:color w:val="520B90"/>
              </w:rPr>
              <w:t>Christian H. Hillabrant</w:t>
            </w:r>
            <w:r>
              <w:rPr>
                <w:rFonts w:ascii="Arial" w:cs="Arial" w:eastAsia="Arial" w:hAnsi="Arial"/>
                <w:sz w:val="20"/>
                <w:szCs w:val="20"/>
                <w:b w:val="1"/>
                <w:bCs w:val="1"/>
                <w:color w:val="520B90"/>
                <w:vertAlign w:val="superscript"/>
              </w:rPr>
              <w:t>(a)</w:t>
            </w:r>
          </w:p>
        </w:tc>
        <w:tc>
          <w:tcPr>
            <w:tcW w:w="100" w:type="dxa"/>
            <w:vAlign w:val="bottom"/>
          </w:tcPr>
          <w:p>
            <w:pPr>
              <w:spacing w:after="0"/>
              <w:rPr>
                <w:sz w:val="18"/>
                <w:szCs w:val="18"/>
                <w:color w:val="auto"/>
              </w:rPr>
            </w:pPr>
          </w:p>
        </w:tc>
        <w:tc>
          <w:tcPr>
            <w:tcW w:w="3620" w:type="dxa"/>
            <w:vAlign w:val="bottom"/>
            <w:tcBorders>
              <w:top w:val="single" w:sz="8" w:color="520B90"/>
            </w:tcBorders>
            <w:shd w:val="clear" w:color="auto" w:fill="E6E7E7"/>
          </w:tcPr>
          <w:p>
            <w:pPr>
              <w:spacing w:after="0"/>
              <w:rPr>
                <w:sz w:val="20"/>
                <w:szCs w:val="20"/>
                <w:color w:val="auto"/>
              </w:rPr>
            </w:pPr>
            <w:r>
              <w:rPr>
                <w:rFonts w:ascii="Arial" w:cs="Arial" w:eastAsia="Arial" w:hAnsi="Arial"/>
                <w:sz w:val="16"/>
                <w:szCs w:val="16"/>
                <w:color w:val="auto"/>
              </w:rPr>
              <w:t>President &amp; CEO</w:t>
            </w:r>
          </w:p>
        </w:tc>
        <w:tc>
          <w:tcPr>
            <w:tcW w:w="100" w:type="dxa"/>
            <w:vAlign w:val="bottom"/>
          </w:tcPr>
          <w:p>
            <w:pPr>
              <w:spacing w:after="0"/>
              <w:rPr>
                <w:sz w:val="18"/>
                <w:szCs w:val="18"/>
                <w:color w:val="auto"/>
              </w:rPr>
            </w:pPr>
          </w:p>
        </w:tc>
        <w:tc>
          <w:tcPr>
            <w:tcW w:w="1520" w:type="dxa"/>
            <w:vAlign w:val="bottom"/>
            <w:tcBorders>
              <w:top w:val="single" w:sz="8" w:color="520B90"/>
            </w:tcBorders>
            <w:shd w:val="clear" w:color="auto" w:fill="E6E7E7"/>
          </w:tcPr>
          <w:p>
            <w:pPr>
              <w:jc w:val="center"/>
              <w:spacing w:after="0"/>
              <w:rPr>
                <w:sz w:val="20"/>
                <w:szCs w:val="20"/>
                <w:color w:val="auto"/>
              </w:rPr>
            </w:pPr>
            <w:r>
              <w:rPr>
                <w:rFonts w:ascii="Arial" w:cs="Arial" w:eastAsia="Arial" w:hAnsi="Arial"/>
                <w:sz w:val="16"/>
                <w:szCs w:val="16"/>
                <w:color w:val="auto"/>
                <w:w w:val="97"/>
              </w:rPr>
              <w:t>$1,000,000</w:t>
            </w:r>
          </w:p>
        </w:tc>
        <w:tc>
          <w:tcPr>
            <w:tcW w:w="80" w:type="dxa"/>
            <w:vAlign w:val="bottom"/>
          </w:tcPr>
          <w:p>
            <w:pPr>
              <w:spacing w:after="0"/>
              <w:rPr>
                <w:sz w:val="18"/>
                <w:szCs w:val="18"/>
                <w:color w:val="auto"/>
              </w:rPr>
            </w:pPr>
          </w:p>
        </w:tc>
        <w:tc>
          <w:tcPr>
            <w:tcW w:w="1520" w:type="dxa"/>
            <w:vAlign w:val="bottom"/>
            <w:tcBorders>
              <w:top w:val="single" w:sz="8" w:color="520B90"/>
            </w:tcBorders>
            <w:shd w:val="clear" w:color="auto" w:fill="E6E7E7"/>
          </w:tcPr>
          <w:p>
            <w:pPr>
              <w:jc w:val="center"/>
              <w:spacing w:after="0"/>
              <w:rPr>
                <w:sz w:val="20"/>
                <w:szCs w:val="20"/>
                <w:color w:val="auto"/>
              </w:rPr>
            </w:pPr>
            <w:r>
              <w:rPr>
                <w:rFonts w:ascii="Arial" w:cs="Arial" w:eastAsia="Arial" w:hAnsi="Arial"/>
                <w:sz w:val="16"/>
                <w:szCs w:val="16"/>
                <w:color w:val="auto"/>
                <w:w w:val="97"/>
              </w:rPr>
              <w:t>N/A</w:t>
            </w:r>
          </w:p>
        </w:tc>
        <w:tc>
          <w:tcPr>
            <w:tcW w:w="100" w:type="dxa"/>
            <w:vAlign w:val="bottom"/>
          </w:tcPr>
          <w:p>
            <w:pPr>
              <w:spacing w:after="0"/>
              <w:rPr>
                <w:sz w:val="18"/>
                <w:szCs w:val="18"/>
                <w:color w:val="auto"/>
              </w:rPr>
            </w:pPr>
          </w:p>
        </w:tc>
        <w:tc>
          <w:tcPr>
            <w:tcW w:w="1520" w:type="dxa"/>
            <w:vAlign w:val="bottom"/>
            <w:tcBorders>
              <w:top w:val="single" w:sz="8" w:color="520B90"/>
            </w:tcBorders>
            <w:shd w:val="clear" w:color="auto" w:fill="E6E7E7"/>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2"/>
        </w:trPr>
        <w:tc>
          <w:tcPr>
            <w:tcW w:w="2680" w:type="dxa"/>
            <w:vAlign w:val="bottom"/>
          </w:tcPr>
          <w:p>
            <w:pPr>
              <w:ind w:left="20"/>
              <w:spacing w:after="0" w:line="211" w:lineRule="exact"/>
              <w:rPr>
                <w:sz w:val="20"/>
                <w:szCs w:val="20"/>
                <w:color w:val="auto"/>
              </w:rPr>
            </w:pPr>
            <w:r>
              <w:rPr>
                <w:rFonts w:ascii="Arial" w:cs="Arial" w:eastAsia="Arial" w:hAnsi="Arial"/>
                <w:sz w:val="16"/>
                <w:szCs w:val="16"/>
                <w:b w:val="1"/>
                <w:bCs w:val="1"/>
                <w:color w:val="520B90"/>
              </w:rPr>
              <w:t>Sunit S. Patel</w:t>
            </w:r>
            <w:r>
              <w:rPr>
                <w:rFonts w:ascii="Arial" w:cs="Arial" w:eastAsia="Arial" w:hAnsi="Arial"/>
                <w:sz w:val="20"/>
                <w:szCs w:val="20"/>
                <w:b w:val="1"/>
                <w:bCs w:val="1"/>
                <w:color w:val="520B90"/>
                <w:vertAlign w:val="superscript"/>
              </w:rPr>
              <w:t>(b)</w:t>
            </w:r>
          </w:p>
        </w:tc>
        <w:tc>
          <w:tcPr>
            <w:tcW w:w="10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6"/>
                <w:szCs w:val="16"/>
                <w:color w:val="auto"/>
              </w:rPr>
              <w:t>EVP &amp; CFO</w:t>
            </w: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98"/>
              </w:rPr>
              <w:t>$625,000</w:t>
            </w:r>
          </w:p>
        </w:tc>
        <w:tc>
          <w:tcPr>
            <w:tcW w:w="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97"/>
              </w:rPr>
              <w:t>N/A</w:t>
            </w: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38"/>
        </w:trPr>
        <w:tc>
          <w:tcPr>
            <w:tcW w:w="2680" w:type="dxa"/>
            <w:vAlign w:val="bottom"/>
            <w:shd w:val="clear" w:color="auto" w:fill="E6E7E7"/>
          </w:tcPr>
          <w:p>
            <w:pPr>
              <w:ind w:left="20"/>
              <w:spacing w:after="0"/>
              <w:rPr>
                <w:sz w:val="20"/>
                <w:szCs w:val="20"/>
                <w:color w:val="auto"/>
              </w:rPr>
            </w:pPr>
            <w:r>
              <w:rPr>
                <w:rFonts w:ascii="Arial" w:cs="Arial" w:eastAsia="Arial" w:hAnsi="Arial"/>
                <w:sz w:val="16"/>
                <w:szCs w:val="16"/>
                <w:b w:val="1"/>
                <w:bCs w:val="1"/>
                <w:color w:val="520B90"/>
              </w:rPr>
              <w:t>Daniel K. Schlanger</w:t>
            </w:r>
            <w:r>
              <w:rPr>
                <w:rFonts w:ascii="Arial" w:cs="Arial" w:eastAsia="Arial" w:hAnsi="Arial"/>
                <w:sz w:val="20"/>
                <w:szCs w:val="20"/>
                <w:b w:val="1"/>
                <w:bCs w:val="1"/>
                <w:color w:val="520B90"/>
                <w:vertAlign w:val="superscript"/>
              </w:rPr>
              <w:t>(c)</w:t>
            </w:r>
          </w:p>
        </w:tc>
        <w:tc>
          <w:tcPr>
            <w:tcW w:w="100" w:type="dxa"/>
            <w:vAlign w:val="bottom"/>
          </w:tcPr>
          <w:p>
            <w:pPr>
              <w:spacing w:after="0"/>
              <w:rPr>
                <w:sz w:val="20"/>
                <w:szCs w:val="20"/>
                <w:color w:val="auto"/>
              </w:rPr>
            </w:pPr>
          </w:p>
        </w:tc>
        <w:tc>
          <w:tcPr>
            <w:tcW w:w="3620" w:type="dxa"/>
            <w:vAlign w:val="bottom"/>
            <w:shd w:val="clear" w:color="auto" w:fill="E6E7E7"/>
          </w:tcPr>
          <w:p>
            <w:pPr>
              <w:spacing w:after="0"/>
              <w:rPr>
                <w:sz w:val="20"/>
                <w:szCs w:val="20"/>
                <w:color w:val="auto"/>
              </w:rPr>
            </w:pPr>
            <w:r>
              <w:rPr>
                <w:rFonts w:ascii="Arial" w:cs="Arial" w:eastAsia="Arial" w:hAnsi="Arial"/>
                <w:sz w:val="16"/>
                <w:szCs w:val="16"/>
                <w:color w:val="auto"/>
              </w:rPr>
              <w:t>EVP &amp; CTRO; Former Interim President &amp; CEO;</w:t>
            </w:r>
          </w:p>
        </w:tc>
        <w:tc>
          <w:tcPr>
            <w:tcW w:w="100" w:type="dxa"/>
            <w:vAlign w:val="bottom"/>
          </w:tcPr>
          <w:p>
            <w:pPr>
              <w:spacing w:after="0"/>
              <w:rPr>
                <w:sz w:val="20"/>
                <w:szCs w:val="20"/>
                <w:color w:val="auto"/>
              </w:rPr>
            </w:pPr>
          </w:p>
        </w:tc>
        <w:tc>
          <w:tcPr>
            <w:tcW w:w="152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8"/>
              </w:rPr>
              <w:t>$640,000</w:t>
            </w:r>
          </w:p>
        </w:tc>
        <w:tc>
          <w:tcPr>
            <w:tcW w:w="80" w:type="dxa"/>
            <w:vAlign w:val="bottom"/>
          </w:tcPr>
          <w:p>
            <w:pPr>
              <w:spacing w:after="0"/>
              <w:rPr>
                <w:sz w:val="20"/>
                <w:szCs w:val="20"/>
                <w:color w:val="auto"/>
              </w:rPr>
            </w:pPr>
          </w:p>
        </w:tc>
        <w:tc>
          <w:tcPr>
            <w:tcW w:w="152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8"/>
              </w:rPr>
              <w:t>$640,000</w:t>
            </w:r>
          </w:p>
        </w:tc>
        <w:tc>
          <w:tcPr>
            <w:tcW w:w="100" w:type="dxa"/>
            <w:vAlign w:val="bottom"/>
          </w:tcPr>
          <w:p>
            <w:pPr>
              <w:spacing w:after="0"/>
              <w:rPr>
                <w:sz w:val="20"/>
                <w:szCs w:val="20"/>
                <w:color w:val="auto"/>
              </w:rPr>
            </w:pPr>
          </w:p>
        </w:tc>
        <w:tc>
          <w:tcPr>
            <w:tcW w:w="152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32"/>
        </w:trPr>
        <w:tc>
          <w:tcPr>
            <w:tcW w:w="2680" w:type="dxa"/>
            <w:vAlign w:val="bottom"/>
            <w:shd w:val="clear" w:color="auto" w:fill="E6E7E7"/>
          </w:tcPr>
          <w:p>
            <w:pPr>
              <w:spacing w:after="0"/>
              <w:rPr>
                <w:sz w:val="11"/>
                <w:szCs w:val="11"/>
                <w:color w:val="auto"/>
              </w:rPr>
            </w:pPr>
          </w:p>
        </w:tc>
        <w:tc>
          <w:tcPr>
            <w:tcW w:w="100" w:type="dxa"/>
            <w:vAlign w:val="bottom"/>
          </w:tcPr>
          <w:p>
            <w:pPr>
              <w:spacing w:after="0"/>
              <w:rPr>
                <w:sz w:val="11"/>
                <w:szCs w:val="11"/>
                <w:color w:val="auto"/>
              </w:rPr>
            </w:pPr>
          </w:p>
        </w:tc>
        <w:tc>
          <w:tcPr>
            <w:tcW w:w="3620" w:type="dxa"/>
            <w:vAlign w:val="bottom"/>
            <w:shd w:val="clear" w:color="auto" w:fill="E6E7E7"/>
          </w:tcPr>
          <w:p>
            <w:pPr>
              <w:spacing w:after="0" w:line="133" w:lineRule="exact"/>
              <w:rPr>
                <w:sz w:val="20"/>
                <w:szCs w:val="20"/>
                <w:color w:val="auto"/>
              </w:rPr>
            </w:pPr>
            <w:r>
              <w:rPr>
                <w:rFonts w:ascii="Arial" w:cs="Arial" w:eastAsia="Arial" w:hAnsi="Arial"/>
                <w:sz w:val="15"/>
                <w:szCs w:val="15"/>
                <w:color w:val="auto"/>
              </w:rPr>
              <w:t>Former CFO</w:t>
            </w:r>
          </w:p>
        </w:tc>
        <w:tc>
          <w:tcPr>
            <w:tcW w:w="100" w:type="dxa"/>
            <w:vAlign w:val="bottom"/>
          </w:tcPr>
          <w:p>
            <w:pPr>
              <w:spacing w:after="0"/>
              <w:rPr>
                <w:sz w:val="11"/>
                <w:szCs w:val="11"/>
                <w:color w:val="auto"/>
              </w:rPr>
            </w:pPr>
          </w:p>
        </w:tc>
        <w:tc>
          <w:tcPr>
            <w:tcW w:w="1520" w:type="dxa"/>
            <w:vAlign w:val="bottom"/>
            <w:shd w:val="clear" w:color="auto" w:fill="E6E7E7"/>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shd w:val="clear" w:color="auto" w:fill="E6E7E7"/>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shd w:val="clear" w:color="auto" w:fill="E6E7E7"/>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2680" w:type="dxa"/>
            <w:vAlign w:val="bottom"/>
          </w:tcPr>
          <w:p>
            <w:pPr>
              <w:ind w:left="20"/>
              <w:spacing w:after="0"/>
              <w:rPr>
                <w:sz w:val="20"/>
                <w:szCs w:val="20"/>
                <w:color w:val="auto"/>
              </w:rPr>
            </w:pPr>
            <w:r>
              <w:rPr>
                <w:rFonts w:ascii="Arial" w:cs="Arial" w:eastAsia="Arial" w:hAnsi="Arial"/>
                <w:sz w:val="16"/>
                <w:szCs w:val="16"/>
                <w:b w:val="1"/>
                <w:bCs w:val="1"/>
                <w:color w:val="520B90"/>
              </w:rPr>
              <w:t>Christopher D. Levendos</w:t>
            </w:r>
          </w:p>
        </w:tc>
        <w:tc>
          <w:tcPr>
            <w:tcW w:w="10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6"/>
                <w:szCs w:val="16"/>
                <w:color w:val="auto"/>
              </w:rPr>
              <w:t>EVP &amp; COO—Fiber</w:t>
            </w: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98"/>
              </w:rPr>
              <w:t>$600,000</w:t>
            </w:r>
          </w:p>
        </w:tc>
        <w:tc>
          <w:tcPr>
            <w:tcW w:w="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98"/>
              </w:rPr>
              <w:t>$600,000</w:t>
            </w: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2"/>
        </w:trPr>
        <w:tc>
          <w:tcPr>
            <w:tcW w:w="2680" w:type="dxa"/>
            <w:vAlign w:val="bottom"/>
            <w:shd w:val="clear" w:color="auto" w:fill="E6E7E7"/>
          </w:tcPr>
          <w:p>
            <w:pPr>
              <w:ind w:left="20"/>
              <w:spacing w:after="0"/>
              <w:rPr>
                <w:sz w:val="20"/>
                <w:szCs w:val="20"/>
                <w:color w:val="auto"/>
              </w:rPr>
            </w:pPr>
            <w:r>
              <w:rPr>
                <w:rFonts w:ascii="Arial" w:cs="Arial" w:eastAsia="Arial" w:hAnsi="Arial"/>
                <w:sz w:val="16"/>
                <w:szCs w:val="16"/>
                <w:b w:val="1"/>
                <w:bCs w:val="1"/>
                <w:color w:val="520B90"/>
              </w:rPr>
              <w:t>Edward B. Adams, Jr.</w:t>
            </w:r>
          </w:p>
        </w:tc>
        <w:tc>
          <w:tcPr>
            <w:tcW w:w="100" w:type="dxa"/>
            <w:vAlign w:val="bottom"/>
          </w:tcPr>
          <w:p>
            <w:pPr>
              <w:spacing w:after="0"/>
              <w:rPr>
                <w:sz w:val="18"/>
                <w:szCs w:val="18"/>
                <w:color w:val="auto"/>
              </w:rPr>
            </w:pPr>
          </w:p>
        </w:tc>
        <w:tc>
          <w:tcPr>
            <w:tcW w:w="3620" w:type="dxa"/>
            <w:vAlign w:val="bottom"/>
            <w:shd w:val="clear" w:color="auto" w:fill="E6E7E7"/>
          </w:tcPr>
          <w:p>
            <w:pPr>
              <w:spacing w:after="0"/>
              <w:rPr>
                <w:sz w:val="20"/>
                <w:szCs w:val="20"/>
                <w:color w:val="auto"/>
              </w:rPr>
            </w:pPr>
            <w:r>
              <w:rPr>
                <w:rFonts w:ascii="Arial" w:cs="Arial" w:eastAsia="Arial" w:hAnsi="Arial"/>
                <w:sz w:val="16"/>
                <w:szCs w:val="16"/>
                <w:color w:val="auto"/>
              </w:rPr>
              <w:t>EVP &amp; General Counsel</w:t>
            </w:r>
          </w:p>
        </w:tc>
        <w:tc>
          <w:tcPr>
            <w:tcW w:w="100" w:type="dxa"/>
            <w:vAlign w:val="bottom"/>
          </w:tcPr>
          <w:p>
            <w:pPr>
              <w:spacing w:after="0"/>
              <w:rPr>
                <w:sz w:val="18"/>
                <w:szCs w:val="18"/>
                <w:color w:val="auto"/>
              </w:rPr>
            </w:pPr>
          </w:p>
        </w:tc>
        <w:tc>
          <w:tcPr>
            <w:tcW w:w="152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8"/>
              </w:rPr>
              <w:t>$515,000</w:t>
            </w:r>
          </w:p>
        </w:tc>
        <w:tc>
          <w:tcPr>
            <w:tcW w:w="80" w:type="dxa"/>
            <w:vAlign w:val="bottom"/>
          </w:tcPr>
          <w:p>
            <w:pPr>
              <w:spacing w:after="0"/>
              <w:rPr>
                <w:sz w:val="18"/>
                <w:szCs w:val="18"/>
                <w:color w:val="auto"/>
              </w:rPr>
            </w:pPr>
          </w:p>
        </w:tc>
        <w:tc>
          <w:tcPr>
            <w:tcW w:w="152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8"/>
              </w:rPr>
              <w:t>$515,000</w:t>
            </w:r>
          </w:p>
        </w:tc>
        <w:tc>
          <w:tcPr>
            <w:tcW w:w="100" w:type="dxa"/>
            <w:vAlign w:val="bottom"/>
          </w:tcPr>
          <w:p>
            <w:pPr>
              <w:spacing w:after="0"/>
              <w:rPr>
                <w:sz w:val="18"/>
                <w:szCs w:val="18"/>
                <w:color w:val="auto"/>
              </w:rPr>
            </w:pPr>
          </w:p>
        </w:tc>
        <w:tc>
          <w:tcPr>
            <w:tcW w:w="152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2"/>
        </w:trPr>
        <w:tc>
          <w:tcPr>
            <w:tcW w:w="2680" w:type="dxa"/>
            <w:vAlign w:val="bottom"/>
          </w:tcPr>
          <w:p>
            <w:pPr>
              <w:ind w:left="20"/>
              <w:spacing w:after="0"/>
              <w:rPr>
                <w:sz w:val="20"/>
                <w:szCs w:val="20"/>
                <w:color w:val="auto"/>
              </w:rPr>
            </w:pPr>
            <w:r>
              <w:rPr>
                <w:rFonts w:ascii="Arial" w:cs="Arial" w:eastAsia="Arial" w:hAnsi="Arial"/>
                <w:sz w:val="16"/>
                <w:szCs w:val="16"/>
                <w:b w:val="1"/>
                <w:bCs w:val="1"/>
                <w:color w:val="520B90"/>
              </w:rPr>
              <w:t>Catherine Piche</w:t>
            </w:r>
          </w:p>
        </w:tc>
        <w:tc>
          <w:tcPr>
            <w:tcW w:w="10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6"/>
                <w:szCs w:val="16"/>
                <w:color w:val="auto"/>
              </w:rPr>
              <w:t>EVP &amp; COO—Towers</w:t>
            </w: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98"/>
              </w:rPr>
              <w:t>$550,000</w:t>
            </w:r>
          </w:p>
        </w:tc>
        <w:tc>
          <w:tcPr>
            <w:tcW w:w="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98"/>
              </w:rPr>
              <w:t>$550,000</w:t>
            </w: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2"/>
        </w:trPr>
        <w:tc>
          <w:tcPr>
            <w:tcW w:w="2680" w:type="dxa"/>
            <w:vAlign w:val="bottom"/>
            <w:shd w:val="clear" w:color="auto" w:fill="E6E7E7"/>
          </w:tcPr>
          <w:p>
            <w:pPr>
              <w:ind w:left="20"/>
              <w:spacing w:after="0" w:line="211" w:lineRule="exact"/>
              <w:rPr>
                <w:sz w:val="20"/>
                <w:szCs w:val="20"/>
                <w:color w:val="auto"/>
              </w:rPr>
            </w:pPr>
            <w:r>
              <w:rPr>
                <w:rFonts w:ascii="Arial" w:cs="Arial" w:eastAsia="Arial" w:hAnsi="Arial"/>
                <w:sz w:val="16"/>
                <w:szCs w:val="16"/>
                <w:b w:val="1"/>
                <w:bCs w:val="1"/>
                <w:color w:val="520B90"/>
              </w:rPr>
              <w:t>Steven J. Moskowitz</w:t>
            </w:r>
            <w:r>
              <w:rPr>
                <w:rFonts w:ascii="Arial" w:cs="Arial" w:eastAsia="Arial" w:hAnsi="Arial"/>
                <w:sz w:val="20"/>
                <w:szCs w:val="20"/>
                <w:b w:val="1"/>
                <w:bCs w:val="1"/>
                <w:color w:val="520B90"/>
                <w:vertAlign w:val="superscript"/>
              </w:rPr>
              <w:t>(d)</w:t>
            </w:r>
          </w:p>
        </w:tc>
        <w:tc>
          <w:tcPr>
            <w:tcW w:w="100" w:type="dxa"/>
            <w:vAlign w:val="bottom"/>
          </w:tcPr>
          <w:p>
            <w:pPr>
              <w:spacing w:after="0"/>
              <w:rPr>
                <w:sz w:val="18"/>
                <w:szCs w:val="18"/>
                <w:color w:val="auto"/>
              </w:rPr>
            </w:pPr>
          </w:p>
        </w:tc>
        <w:tc>
          <w:tcPr>
            <w:tcW w:w="3620" w:type="dxa"/>
            <w:vAlign w:val="bottom"/>
            <w:shd w:val="clear" w:color="auto" w:fill="E6E7E7"/>
          </w:tcPr>
          <w:p>
            <w:pPr>
              <w:spacing w:after="0"/>
              <w:rPr>
                <w:sz w:val="20"/>
                <w:szCs w:val="20"/>
                <w:color w:val="auto"/>
              </w:rPr>
            </w:pPr>
            <w:r>
              <w:rPr>
                <w:rFonts w:ascii="Arial" w:cs="Arial" w:eastAsia="Arial" w:hAnsi="Arial"/>
                <w:sz w:val="16"/>
                <w:szCs w:val="16"/>
                <w:color w:val="auto"/>
              </w:rPr>
              <w:t>Former President &amp; CEO</w:t>
            </w:r>
          </w:p>
        </w:tc>
        <w:tc>
          <w:tcPr>
            <w:tcW w:w="100" w:type="dxa"/>
            <w:vAlign w:val="bottom"/>
          </w:tcPr>
          <w:p>
            <w:pPr>
              <w:spacing w:after="0"/>
              <w:rPr>
                <w:sz w:val="18"/>
                <w:szCs w:val="18"/>
                <w:color w:val="auto"/>
              </w:rPr>
            </w:pPr>
          </w:p>
        </w:tc>
        <w:tc>
          <w:tcPr>
            <w:tcW w:w="152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8"/>
              </w:rPr>
              <w:t>$900,000</w:t>
            </w:r>
          </w:p>
        </w:tc>
        <w:tc>
          <w:tcPr>
            <w:tcW w:w="80" w:type="dxa"/>
            <w:vAlign w:val="bottom"/>
          </w:tcPr>
          <w:p>
            <w:pPr>
              <w:spacing w:after="0"/>
              <w:rPr>
                <w:sz w:val="18"/>
                <w:szCs w:val="18"/>
                <w:color w:val="auto"/>
              </w:rPr>
            </w:pPr>
          </w:p>
        </w:tc>
        <w:tc>
          <w:tcPr>
            <w:tcW w:w="152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8"/>
              </w:rPr>
              <w:t>$900,000</w:t>
            </w:r>
          </w:p>
        </w:tc>
        <w:tc>
          <w:tcPr>
            <w:tcW w:w="100" w:type="dxa"/>
            <w:vAlign w:val="bottom"/>
          </w:tcPr>
          <w:p>
            <w:pPr>
              <w:spacing w:after="0"/>
              <w:rPr>
                <w:sz w:val="18"/>
                <w:szCs w:val="18"/>
                <w:color w:val="auto"/>
              </w:rPr>
            </w:pPr>
          </w:p>
        </w:tc>
        <w:tc>
          <w:tcPr>
            <w:tcW w:w="152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134620</wp:posOffset>
            </wp:positionV>
            <wp:extent cx="73088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30885" cy="8255"/>
                    </a:xfrm>
                    <a:prstGeom prst="rect">
                      <a:avLst/>
                    </a:prstGeom>
                    <a:noFill/>
                  </pic:spPr>
                </pic:pic>
              </a:graphicData>
            </a:graphic>
          </wp:anchor>
        </w:drawing>
      </w:r>
    </w:p>
    <w:p>
      <w:pPr>
        <w:spacing w:after="0" w:line="272" w:lineRule="exact"/>
        <w:rPr>
          <w:sz w:val="20"/>
          <w:szCs w:val="20"/>
          <w:color w:val="auto"/>
        </w:rPr>
      </w:pPr>
    </w:p>
    <w:p>
      <w:pPr>
        <w:ind w:left="320" w:hanging="314"/>
        <w:spacing w:after="0"/>
        <w:tabs>
          <w:tab w:leader="none" w:pos="32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Mr. Hillabrant was appointed as our President &amp; CEO, effective September 15, 2025, and, therefore, received a pro-rated portion of the 2025 base salary noted in the table.</w:t>
      </w:r>
    </w:p>
    <w:p>
      <w:pPr>
        <w:spacing w:after="0" w:line="21" w:lineRule="exact"/>
        <w:rPr>
          <w:rFonts w:ascii="Arial" w:cs="Arial" w:eastAsia="Arial" w:hAnsi="Arial"/>
          <w:sz w:val="13"/>
          <w:szCs w:val="13"/>
          <w:color w:val="auto"/>
        </w:rPr>
      </w:pPr>
    </w:p>
    <w:p>
      <w:pPr>
        <w:ind w:left="320" w:hanging="314"/>
        <w:spacing w:after="0"/>
        <w:tabs>
          <w:tab w:leader="none" w:pos="32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Mr. Patel was appointed as our EVP &amp; CFO, effective April 1, 2025, and, therefore, received a pro-rated portion of the 2025 base salary noted in the table.</w:t>
      </w:r>
    </w:p>
    <w:p>
      <w:pPr>
        <w:spacing w:after="0" w:line="9" w:lineRule="exact"/>
        <w:rPr>
          <w:rFonts w:ascii="Arial" w:cs="Arial" w:eastAsia="Arial" w:hAnsi="Arial"/>
          <w:sz w:val="13"/>
          <w:szCs w:val="13"/>
          <w:color w:val="auto"/>
        </w:rPr>
      </w:pPr>
    </w:p>
    <w:p>
      <w:pPr>
        <w:ind w:left="320" w:right="20" w:hanging="314"/>
        <w:spacing w:after="0" w:line="254" w:lineRule="auto"/>
        <w:tabs>
          <w:tab w:leader="none" w:pos="315" w:val="left"/>
        </w:tabs>
        <w:numPr>
          <w:ilvl w:val="0"/>
          <w:numId w:val="120"/>
        </w:numPr>
        <w:rPr>
          <w:rFonts w:ascii="Arial" w:cs="Arial" w:eastAsia="Arial" w:hAnsi="Arial"/>
          <w:sz w:val="13"/>
          <w:szCs w:val="13"/>
          <w:color w:val="auto"/>
        </w:rPr>
      </w:pPr>
      <w:r>
        <w:rPr>
          <w:rFonts w:ascii="Arial" w:cs="Arial" w:eastAsia="Arial" w:hAnsi="Arial"/>
          <w:sz w:val="13"/>
          <w:szCs w:val="13"/>
          <w:color w:val="auto"/>
        </w:rPr>
        <w:t>Mr. Schlanger's base salary for 2025 is reflective of all executive officer positions that he held with the Company for 2025. He did not receive any adjustments to his base salary as a result of his appointment to Interim President &amp; CEO on March 23, 2025, and did not receive any further adjustments to his base salary when he transitioned from Interim President &amp; CEO to EVP &amp; CTRO on September 15, 2025. Mr. Schlanger received a $100,000 monthly stipend in addition to his base salary as CFO for his service as our Interim President &amp; CEO from March 23, 2025, to September 15, 2025, to recognize the difference in cash compensation levels between his role as CFO and that of a CEO.</w:t>
      </w:r>
    </w:p>
    <w:p>
      <w:pPr>
        <w:spacing w:after="0" w:line="2" w:lineRule="exact"/>
        <w:rPr>
          <w:rFonts w:ascii="Arial" w:cs="Arial" w:eastAsia="Arial" w:hAnsi="Arial"/>
          <w:sz w:val="13"/>
          <w:szCs w:val="13"/>
          <w:color w:val="auto"/>
        </w:rPr>
      </w:pPr>
    </w:p>
    <w:p>
      <w:pPr>
        <w:ind w:left="320" w:hanging="314"/>
        <w:spacing w:after="0"/>
        <w:tabs>
          <w:tab w:leader="none" w:pos="32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Mr. Moskowitz ceased serving as our President &amp; CEO, effective March 23, 2025.</w:t>
      </w:r>
    </w:p>
    <w:p>
      <w:pPr>
        <w:spacing w:after="0" w:line="381"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Short-Term Incentives</w:t>
      </w:r>
    </w:p>
    <w:p>
      <w:pPr>
        <w:spacing w:after="0" w:line="166" w:lineRule="exact"/>
        <w:rPr>
          <w:sz w:val="20"/>
          <w:szCs w:val="20"/>
          <w:color w:val="auto"/>
        </w:rPr>
      </w:pPr>
    </w:p>
    <w:p>
      <w:pPr>
        <w:ind w:right="140"/>
        <w:spacing w:after="0" w:line="274" w:lineRule="auto"/>
        <w:rPr>
          <w:sz w:val="20"/>
          <w:szCs w:val="20"/>
          <w:color w:val="auto"/>
        </w:rPr>
      </w:pPr>
      <w:r>
        <w:rPr>
          <w:rFonts w:ascii="Arial" w:cs="Arial" w:eastAsia="Arial" w:hAnsi="Arial"/>
          <w:sz w:val="18"/>
          <w:szCs w:val="18"/>
          <w:color w:val="auto"/>
        </w:rPr>
        <w:t>The STI component of compensation represents a significant portion of the overall cash compensation opportunity for our executives. STIs are a variable element of compensation that are linked to the achievement of specific short-term financial objectives each year.</w:t>
      </w:r>
    </w:p>
    <w:p>
      <w:pPr>
        <w:spacing w:after="0" w:line="1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NEO's STIs are earned based upon meeting certain performance goals and may be earned at above-target or below-target levels based on the degree of achievement of those goals. In order to accomplish its overall executive compensation objectives, the Committee has identified the following principles for developing the overall framework of the STI program. The program should:</w:t>
      </w:r>
    </w:p>
    <w:p>
      <w:pPr>
        <w:spacing w:after="0" w:line="124" w:lineRule="exact"/>
        <w:rPr>
          <w:sz w:val="20"/>
          <w:szCs w:val="20"/>
          <w:color w:val="auto"/>
        </w:rPr>
      </w:pPr>
    </w:p>
    <w:p>
      <w:pPr>
        <w:ind w:left="640" w:hanging="316"/>
        <w:spacing w:after="0"/>
        <w:tabs>
          <w:tab w:leader="none" w:pos="640" w:val="left"/>
        </w:tabs>
        <w:numPr>
          <w:ilvl w:val="0"/>
          <w:numId w:val="121"/>
        </w:numPr>
        <w:rPr>
          <w:rFonts w:ascii="Arial" w:cs="Arial" w:eastAsia="Arial" w:hAnsi="Arial"/>
          <w:sz w:val="18"/>
          <w:szCs w:val="18"/>
          <w:color w:val="520B90"/>
        </w:rPr>
      </w:pPr>
      <w:r>
        <w:rPr>
          <w:rFonts w:ascii="Arial" w:cs="Arial" w:eastAsia="Arial" w:hAnsi="Arial"/>
          <w:sz w:val="18"/>
          <w:szCs w:val="18"/>
          <w:color w:val="auto"/>
        </w:rPr>
        <w:t>be performance-based and market competitive;</w:t>
      </w:r>
    </w:p>
    <w:p>
      <w:pPr>
        <w:spacing w:after="0" w:line="163" w:lineRule="exact"/>
        <w:rPr>
          <w:rFonts w:ascii="Arial" w:cs="Arial" w:eastAsia="Arial" w:hAnsi="Arial"/>
          <w:sz w:val="18"/>
          <w:szCs w:val="18"/>
          <w:color w:val="520B90"/>
        </w:rPr>
      </w:pPr>
    </w:p>
    <w:p>
      <w:pPr>
        <w:ind w:left="640" w:hanging="316"/>
        <w:spacing w:after="0"/>
        <w:tabs>
          <w:tab w:leader="none" w:pos="640" w:val="left"/>
        </w:tabs>
        <w:numPr>
          <w:ilvl w:val="0"/>
          <w:numId w:val="121"/>
        </w:numPr>
        <w:rPr>
          <w:rFonts w:ascii="Arial" w:cs="Arial" w:eastAsia="Arial" w:hAnsi="Arial"/>
          <w:sz w:val="18"/>
          <w:szCs w:val="18"/>
          <w:color w:val="520B90"/>
        </w:rPr>
      </w:pPr>
      <w:r>
        <w:rPr>
          <w:rFonts w:ascii="Arial" w:cs="Arial" w:eastAsia="Arial" w:hAnsi="Arial"/>
          <w:sz w:val="18"/>
          <w:szCs w:val="18"/>
          <w:color w:val="auto"/>
        </w:rPr>
        <w:t>link the financial measures with stockholder expectations; and</w:t>
      </w:r>
    </w:p>
    <w:p>
      <w:pPr>
        <w:spacing w:after="0" w:line="163" w:lineRule="exact"/>
        <w:rPr>
          <w:rFonts w:ascii="Arial" w:cs="Arial" w:eastAsia="Arial" w:hAnsi="Arial"/>
          <w:sz w:val="18"/>
          <w:szCs w:val="18"/>
          <w:color w:val="520B90"/>
        </w:rPr>
      </w:pPr>
    </w:p>
    <w:p>
      <w:pPr>
        <w:ind w:left="640" w:hanging="316"/>
        <w:spacing w:after="0"/>
        <w:tabs>
          <w:tab w:leader="none" w:pos="640" w:val="left"/>
        </w:tabs>
        <w:numPr>
          <w:ilvl w:val="0"/>
          <w:numId w:val="121"/>
        </w:numPr>
        <w:rPr>
          <w:rFonts w:ascii="Arial" w:cs="Arial" w:eastAsia="Arial" w:hAnsi="Arial"/>
          <w:sz w:val="18"/>
          <w:szCs w:val="18"/>
          <w:color w:val="520B90"/>
        </w:rPr>
      </w:pPr>
      <w:r>
        <w:rPr>
          <w:rFonts w:ascii="Arial" w:cs="Arial" w:eastAsia="Arial" w:hAnsi="Arial"/>
          <w:sz w:val="18"/>
          <w:szCs w:val="18"/>
          <w:color w:val="auto"/>
        </w:rPr>
        <w:t>motivate executives to achieve short-term financial objectives, while avoiding excessive risk.</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Annual Incentives</w:t>
      </w:r>
    </w:p>
    <w:p>
      <w:pPr>
        <w:spacing w:after="0" w:line="16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To achieve the program objectives, our STIs for executives are generally composed of performance-based annual incentives paid in accordance with an annually approved AIP. The AIP is a cash-based, STI program that provides executives with the opportunity to earn an annual cash incentive based on the achievement of annual performance goals. Such performance goals are pre-established based on the annual expectations for our business and are meant to be challenging, yet achievable. The Compensation Consultant has reviewed the performance goals and has noted that the performance goals represent meaningful targets that are challenging and indicative of value creation. The performance period covered by the AIP is from January 1 to December 31 of the applicable calendar year.</w:t>
      </w:r>
    </w:p>
    <w:p>
      <w:pPr>
        <w:spacing w:after="0" w:line="1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2025, each NEO was eligible to earn between 0% and 175% of such executive's target opportunity under the AIP. To mitigate excessive risk, annual incentives are capped at the maximum payout opportunity even if actual performance exceeds the maximum performance goal. The following table illustrates the 2025 annual incentive target opportunity and the potential range of payouts as a percentage of target for each NEO:</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80" w:type="dxa"/>
            <w:vAlign w:val="bottom"/>
            <w:vMerge w:val="restart"/>
          </w:tcPr>
          <w:p>
            <w:pPr>
              <w:ind w:left="20"/>
              <w:spacing w:after="0"/>
              <w:rPr>
                <w:sz w:val="20"/>
                <w:szCs w:val="20"/>
                <w:color w:val="auto"/>
              </w:rPr>
            </w:pPr>
            <w:r>
              <w:rPr>
                <w:rFonts w:ascii="Arial" w:cs="Arial" w:eastAsia="Arial" w:hAnsi="Arial"/>
                <w:sz w:val="13"/>
                <w:szCs w:val="13"/>
                <w:b w:val="1"/>
                <w:bCs w:val="1"/>
                <w:color w:val="520B90"/>
              </w:rPr>
              <w:t>Name</w:t>
            </w:r>
          </w:p>
        </w:tc>
        <w:tc>
          <w:tcPr>
            <w:tcW w:w="100" w:type="dxa"/>
            <w:vAlign w:val="bottom"/>
          </w:tcPr>
          <w:p>
            <w:pPr>
              <w:spacing w:after="0"/>
              <w:rPr>
                <w:sz w:val="12"/>
                <w:szCs w:val="12"/>
                <w:color w:val="auto"/>
              </w:rPr>
            </w:pPr>
          </w:p>
        </w:tc>
        <w:tc>
          <w:tcPr>
            <w:tcW w:w="3220" w:type="dxa"/>
            <w:vAlign w:val="bottom"/>
            <w:vMerge w:val="restart"/>
          </w:tcPr>
          <w:p>
            <w:pPr>
              <w:spacing w:after="0"/>
              <w:rPr>
                <w:sz w:val="20"/>
                <w:szCs w:val="20"/>
                <w:color w:val="auto"/>
              </w:rPr>
            </w:pPr>
            <w:r>
              <w:rPr>
                <w:rFonts w:ascii="Arial" w:cs="Arial" w:eastAsia="Arial" w:hAnsi="Arial"/>
                <w:sz w:val="13"/>
                <w:szCs w:val="13"/>
                <w:b w:val="1"/>
                <w:bCs w:val="1"/>
                <w:color w:val="520B90"/>
              </w:rPr>
              <w:t>Title</w:t>
            </w:r>
          </w:p>
        </w:tc>
        <w:tc>
          <w:tcPr>
            <w:tcW w:w="100" w:type="dxa"/>
            <w:vAlign w:val="bottom"/>
          </w:tcPr>
          <w:p>
            <w:pPr>
              <w:spacing w:after="0"/>
              <w:rPr>
                <w:sz w:val="12"/>
                <w:szCs w:val="12"/>
                <w:color w:val="auto"/>
              </w:rPr>
            </w:pPr>
          </w:p>
        </w:tc>
        <w:tc>
          <w:tcPr>
            <w:tcW w:w="2300" w:type="dxa"/>
            <w:vAlign w:val="bottom"/>
          </w:tcPr>
          <w:p>
            <w:pPr>
              <w:jc w:val="center"/>
              <w:spacing w:after="0"/>
              <w:rPr>
                <w:sz w:val="20"/>
                <w:szCs w:val="20"/>
                <w:color w:val="auto"/>
              </w:rPr>
            </w:pPr>
            <w:r>
              <w:rPr>
                <w:rFonts w:ascii="Arial" w:cs="Arial" w:eastAsia="Arial" w:hAnsi="Arial"/>
                <w:sz w:val="13"/>
                <w:szCs w:val="13"/>
                <w:b w:val="1"/>
                <w:bCs w:val="1"/>
                <w:color w:val="520B90"/>
              </w:rPr>
              <w:t>Target Opportunity</w:t>
            </w:r>
          </w:p>
        </w:tc>
        <w:tc>
          <w:tcPr>
            <w:tcW w:w="80" w:type="dxa"/>
            <w:vAlign w:val="bottom"/>
          </w:tcPr>
          <w:p>
            <w:pPr>
              <w:spacing w:after="0"/>
              <w:rPr>
                <w:sz w:val="12"/>
                <w:szCs w:val="12"/>
                <w:color w:val="auto"/>
              </w:rPr>
            </w:pPr>
          </w:p>
        </w:tc>
        <w:tc>
          <w:tcPr>
            <w:tcW w:w="2560" w:type="dxa"/>
            <w:vAlign w:val="bottom"/>
          </w:tcPr>
          <w:p>
            <w:pPr>
              <w:jc w:val="center"/>
              <w:spacing w:after="0"/>
              <w:rPr>
                <w:sz w:val="20"/>
                <w:szCs w:val="20"/>
                <w:color w:val="auto"/>
              </w:rPr>
            </w:pPr>
            <w:r>
              <w:rPr>
                <w:rFonts w:ascii="Arial" w:cs="Arial" w:eastAsia="Arial" w:hAnsi="Arial"/>
                <w:sz w:val="13"/>
                <w:szCs w:val="13"/>
                <w:b w:val="1"/>
                <w:bCs w:val="1"/>
                <w:color w:val="520B90"/>
              </w:rPr>
              <w:t>Potential Payout Range</w:t>
            </w:r>
          </w:p>
        </w:tc>
        <w:tc>
          <w:tcPr>
            <w:tcW w:w="0" w:type="dxa"/>
            <w:vAlign w:val="bottom"/>
          </w:tcPr>
          <w:p>
            <w:pPr>
              <w:spacing w:after="0"/>
              <w:rPr>
                <w:sz w:val="1"/>
                <w:szCs w:val="1"/>
                <w:color w:val="auto"/>
              </w:rPr>
            </w:pPr>
          </w:p>
        </w:tc>
      </w:tr>
      <w:tr>
        <w:trPr>
          <w:trHeight w:val="182"/>
        </w:trPr>
        <w:tc>
          <w:tcPr>
            <w:tcW w:w="2880" w:type="dxa"/>
            <w:vAlign w:val="bottom"/>
            <w:tcBorders>
              <w:bottom w:val="single" w:sz="8" w:color="520B90"/>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220" w:type="dxa"/>
            <w:vAlign w:val="bottom"/>
            <w:tcBorders>
              <w:bottom w:val="single" w:sz="8" w:color="520B90"/>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Borders>
              <w:bottom w:val="single" w:sz="8" w:color="520B90"/>
            </w:tcBorders>
          </w:tcPr>
          <w:p>
            <w:pPr>
              <w:jc w:val="center"/>
              <w:spacing w:after="0"/>
              <w:rPr>
                <w:sz w:val="20"/>
                <w:szCs w:val="20"/>
                <w:color w:val="auto"/>
              </w:rPr>
            </w:pPr>
            <w:r>
              <w:rPr>
                <w:rFonts w:ascii="Arial" w:cs="Arial" w:eastAsia="Arial" w:hAnsi="Arial"/>
                <w:sz w:val="13"/>
                <w:szCs w:val="13"/>
                <w:b w:val="1"/>
                <w:bCs w:val="1"/>
                <w:color w:val="520B90"/>
              </w:rPr>
              <w:t>(as % of Base Salary)</w:t>
            </w:r>
          </w:p>
        </w:tc>
        <w:tc>
          <w:tcPr>
            <w:tcW w:w="80" w:type="dxa"/>
            <w:vAlign w:val="bottom"/>
          </w:tcPr>
          <w:p>
            <w:pPr>
              <w:spacing w:after="0"/>
              <w:rPr>
                <w:sz w:val="15"/>
                <w:szCs w:val="15"/>
                <w:color w:val="auto"/>
              </w:rPr>
            </w:pPr>
          </w:p>
        </w:tc>
        <w:tc>
          <w:tcPr>
            <w:tcW w:w="2560" w:type="dxa"/>
            <w:vAlign w:val="bottom"/>
            <w:tcBorders>
              <w:bottom w:val="single" w:sz="8" w:color="520B90"/>
            </w:tcBorders>
          </w:tcPr>
          <w:p>
            <w:pPr>
              <w:jc w:val="center"/>
              <w:spacing w:after="0"/>
              <w:rPr>
                <w:sz w:val="20"/>
                <w:szCs w:val="20"/>
                <w:color w:val="auto"/>
              </w:rPr>
            </w:pPr>
            <w:r>
              <w:rPr>
                <w:rFonts w:ascii="Arial" w:cs="Arial" w:eastAsia="Arial" w:hAnsi="Arial"/>
                <w:sz w:val="13"/>
                <w:szCs w:val="13"/>
                <w:b w:val="1"/>
                <w:bCs w:val="1"/>
                <w:color w:val="520B90"/>
              </w:rPr>
              <w:t>(as % of Target Opportunity)</w:t>
            </w:r>
          </w:p>
        </w:tc>
        <w:tc>
          <w:tcPr>
            <w:tcW w:w="0" w:type="dxa"/>
            <w:vAlign w:val="bottom"/>
          </w:tcPr>
          <w:p>
            <w:pPr>
              <w:spacing w:after="0"/>
              <w:rPr>
                <w:sz w:val="1"/>
                <w:szCs w:val="1"/>
                <w:color w:val="auto"/>
              </w:rPr>
            </w:pPr>
          </w:p>
        </w:tc>
      </w:tr>
      <w:tr>
        <w:trPr>
          <w:trHeight w:val="207"/>
        </w:trPr>
        <w:tc>
          <w:tcPr>
            <w:tcW w:w="2880" w:type="dxa"/>
            <w:vAlign w:val="bottom"/>
            <w:shd w:val="clear" w:color="auto" w:fill="E6E7E7"/>
          </w:tcPr>
          <w:p>
            <w:pPr>
              <w:ind w:left="20"/>
              <w:spacing w:after="0"/>
              <w:rPr>
                <w:sz w:val="20"/>
                <w:szCs w:val="20"/>
                <w:color w:val="auto"/>
              </w:rPr>
            </w:pPr>
            <w:r>
              <w:rPr>
                <w:rFonts w:ascii="Arial" w:cs="Arial" w:eastAsia="Arial" w:hAnsi="Arial"/>
                <w:sz w:val="16"/>
                <w:szCs w:val="16"/>
                <w:b w:val="1"/>
                <w:bCs w:val="1"/>
                <w:color w:val="520B90"/>
              </w:rPr>
              <w:t>Christian Hillabrant</w:t>
            </w:r>
          </w:p>
        </w:tc>
        <w:tc>
          <w:tcPr>
            <w:tcW w:w="100" w:type="dxa"/>
            <w:vAlign w:val="bottom"/>
          </w:tcPr>
          <w:p>
            <w:pPr>
              <w:spacing w:after="0"/>
              <w:rPr>
                <w:sz w:val="18"/>
                <w:szCs w:val="18"/>
                <w:color w:val="auto"/>
              </w:rPr>
            </w:pPr>
          </w:p>
        </w:tc>
        <w:tc>
          <w:tcPr>
            <w:tcW w:w="3220" w:type="dxa"/>
            <w:vAlign w:val="bottom"/>
            <w:shd w:val="clear" w:color="auto" w:fill="E6E7E7"/>
          </w:tcPr>
          <w:p>
            <w:pPr>
              <w:spacing w:after="0"/>
              <w:rPr>
                <w:sz w:val="20"/>
                <w:szCs w:val="20"/>
                <w:color w:val="auto"/>
              </w:rPr>
            </w:pPr>
            <w:r>
              <w:rPr>
                <w:rFonts w:ascii="Arial" w:cs="Arial" w:eastAsia="Arial" w:hAnsi="Arial"/>
                <w:sz w:val="16"/>
                <w:szCs w:val="16"/>
                <w:color w:val="auto"/>
              </w:rPr>
              <w:t>President &amp; CEO</w:t>
            </w:r>
          </w:p>
        </w:tc>
        <w:tc>
          <w:tcPr>
            <w:tcW w:w="100" w:type="dxa"/>
            <w:vAlign w:val="bottom"/>
          </w:tcPr>
          <w:p>
            <w:pPr>
              <w:spacing w:after="0"/>
              <w:rPr>
                <w:sz w:val="18"/>
                <w:szCs w:val="18"/>
                <w:color w:val="auto"/>
              </w:rPr>
            </w:pPr>
          </w:p>
        </w:tc>
        <w:tc>
          <w:tcPr>
            <w:tcW w:w="230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7"/>
              </w:rPr>
              <w:t>200%</w:t>
            </w:r>
          </w:p>
        </w:tc>
        <w:tc>
          <w:tcPr>
            <w:tcW w:w="80" w:type="dxa"/>
            <w:vAlign w:val="bottom"/>
          </w:tcPr>
          <w:p>
            <w:pPr>
              <w:spacing w:after="0"/>
              <w:rPr>
                <w:sz w:val="18"/>
                <w:szCs w:val="18"/>
                <w:color w:val="auto"/>
              </w:rPr>
            </w:pPr>
          </w:p>
        </w:tc>
        <w:tc>
          <w:tcPr>
            <w:tcW w:w="256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9"/>
              </w:rPr>
              <w:t>0% - 175%</w:t>
            </w:r>
          </w:p>
        </w:tc>
        <w:tc>
          <w:tcPr>
            <w:tcW w:w="0" w:type="dxa"/>
            <w:vAlign w:val="bottom"/>
          </w:tcPr>
          <w:p>
            <w:pPr>
              <w:spacing w:after="0"/>
              <w:rPr>
                <w:sz w:val="1"/>
                <w:szCs w:val="1"/>
                <w:color w:val="auto"/>
              </w:rPr>
            </w:pPr>
          </w:p>
        </w:tc>
      </w:tr>
      <w:tr>
        <w:trPr>
          <w:trHeight w:val="212"/>
        </w:trPr>
        <w:tc>
          <w:tcPr>
            <w:tcW w:w="2880" w:type="dxa"/>
            <w:vAlign w:val="bottom"/>
          </w:tcPr>
          <w:p>
            <w:pPr>
              <w:ind w:left="20"/>
              <w:spacing w:after="0"/>
              <w:rPr>
                <w:sz w:val="20"/>
                <w:szCs w:val="20"/>
                <w:color w:val="auto"/>
              </w:rPr>
            </w:pPr>
            <w:r>
              <w:rPr>
                <w:rFonts w:ascii="Arial" w:cs="Arial" w:eastAsia="Arial" w:hAnsi="Arial"/>
                <w:sz w:val="16"/>
                <w:szCs w:val="16"/>
                <w:b w:val="1"/>
                <w:bCs w:val="1"/>
                <w:color w:val="520B90"/>
              </w:rPr>
              <w:t>Sunit S. Patel</w:t>
            </w:r>
          </w:p>
        </w:tc>
        <w:tc>
          <w:tcPr>
            <w:tcW w:w="10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6"/>
                <w:szCs w:val="16"/>
                <w:color w:val="auto"/>
              </w:rPr>
              <w:t>EVP &amp; CFO</w:t>
            </w:r>
          </w:p>
        </w:tc>
        <w:tc>
          <w:tcPr>
            <w:tcW w:w="10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6"/>
                <w:szCs w:val="16"/>
                <w:color w:val="auto"/>
                <w:w w:val="97"/>
              </w:rPr>
              <w:t>100%</w:t>
            </w:r>
          </w:p>
        </w:tc>
        <w:tc>
          <w:tcPr>
            <w:tcW w:w="80" w:type="dxa"/>
            <w:vAlign w:val="bottom"/>
          </w:tcPr>
          <w:p>
            <w:pPr>
              <w:spacing w:after="0"/>
              <w:rPr>
                <w:sz w:val="18"/>
                <w:szCs w:val="18"/>
                <w:color w:val="auto"/>
              </w:rPr>
            </w:pPr>
          </w:p>
        </w:tc>
        <w:tc>
          <w:tcPr>
            <w:tcW w:w="2560" w:type="dxa"/>
            <w:vAlign w:val="bottom"/>
          </w:tcPr>
          <w:p>
            <w:pPr>
              <w:jc w:val="center"/>
              <w:spacing w:after="0"/>
              <w:rPr>
                <w:sz w:val="20"/>
                <w:szCs w:val="20"/>
                <w:color w:val="auto"/>
              </w:rPr>
            </w:pPr>
            <w:r>
              <w:rPr>
                <w:rFonts w:ascii="Arial" w:cs="Arial" w:eastAsia="Arial" w:hAnsi="Arial"/>
                <w:sz w:val="16"/>
                <w:szCs w:val="16"/>
                <w:color w:val="auto"/>
                <w:w w:val="99"/>
              </w:rPr>
              <w:t>0% - 175%</w:t>
            </w:r>
          </w:p>
        </w:tc>
        <w:tc>
          <w:tcPr>
            <w:tcW w:w="0" w:type="dxa"/>
            <w:vAlign w:val="bottom"/>
          </w:tcPr>
          <w:p>
            <w:pPr>
              <w:spacing w:after="0"/>
              <w:rPr>
                <w:sz w:val="1"/>
                <w:szCs w:val="1"/>
                <w:color w:val="auto"/>
              </w:rPr>
            </w:pPr>
          </w:p>
        </w:tc>
      </w:tr>
      <w:tr>
        <w:trPr>
          <w:trHeight w:val="159"/>
        </w:trPr>
        <w:tc>
          <w:tcPr>
            <w:tcW w:w="2880" w:type="dxa"/>
            <w:vAlign w:val="bottom"/>
            <w:vMerge w:val="restart"/>
            <w:shd w:val="clear" w:color="auto" w:fill="E6E7E7"/>
          </w:tcPr>
          <w:p>
            <w:pPr>
              <w:ind w:left="20"/>
              <w:spacing w:after="0"/>
              <w:rPr>
                <w:sz w:val="20"/>
                <w:szCs w:val="20"/>
                <w:color w:val="auto"/>
              </w:rPr>
            </w:pPr>
            <w:r>
              <w:rPr>
                <w:rFonts w:ascii="Arial" w:cs="Arial" w:eastAsia="Arial" w:hAnsi="Arial"/>
                <w:sz w:val="16"/>
                <w:szCs w:val="16"/>
                <w:b w:val="1"/>
                <w:bCs w:val="1"/>
                <w:color w:val="520B90"/>
              </w:rPr>
              <w:t>Daniel K. Schlanger</w:t>
            </w:r>
          </w:p>
        </w:tc>
        <w:tc>
          <w:tcPr>
            <w:tcW w:w="100" w:type="dxa"/>
            <w:vAlign w:val="bottom"/>
          </w:tcPr>
          <w:p>
            <w:pPr>
              <w:spacing w:after="0"/>
              <w:rPr>
                <w:sz w:val="13"/>
                <w:szCs w:val="13"/>
                <w:color w:val="auto"/>
              </w:rPr>
            </w:pPr>
          </w:p>
        </w:tc>
        <w:tc>
          <w:tcPr>
            <w:tcW w:w="3220" w:type="dxa"/>
            <w:vAlign w:val="bottom"/>
            <w:shd w:val="clear" w:color="auto" w:fill="E6E7E7"/>
          </w:tcPr>
          <w:p>
            <w:pPr>
              <w:spacing w:after="0" w:line="159" w:lineRule="exact"/>
              <w:rPr>
                <w:sz w:val="20"/>
                <w:szCs w:val="20"/>
                <w:color w:val="auto"/>
              </w:rPr>
            </w:pPr>
            <w:r>
              <w:rPr>
                <w:rFonts w:ascii="Arial" w:cs="Arial" w:eastAsia="Arial" w:hAnsi="Arial"/>
                <w:sz w:val="16"/>
                <w:szCs w:val="16"/>
                <w:color w:val="auto"/>
              </w:rPr>
              <w:t>EVP &amp; CTRO; Former Interim President &amp;</w:t>
            </w:r>
          </w:p>
        </w:tc>
        <w:tc>
          <w:tcPr>
            <w:tcW w:w="100" w:type="dxa"/>
            <w:vAlign w:val="bottom"/>
          </w:tcPr>
          <w:p>
            <w:pPr>
              <w:spacing w:after="0"/>
              <w:rPr>
                <w:sz w:val="13"/>
                <w:szCs w:val="13"/>
                <w:color w:val="auto"/>
              </w:rPr>
            </w:pPr>
          </w:p>
        </w:tc>
        <w:tc>
          <w:tcPr>
            <w:tcW w:w="230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7"/>
              </w:rPr>
              <w:t>100%</w:t>
            </w:r>
          </w:p>
        </w:tc>
        <w:tc>
          <w:tcPr>
            <w:tcW w:w="80" w:type="dxa"/>
            <w:vAlign w:val="bottom"/>
          </w:tcPr>
          <w:p>
            <w:pPr>
              <w:spacing w:after="0"/>
              <w:rPr>
                <w:sz w:val="13"/>
                <w:szCs w:val="13"/>
                <w:color w:val="auto"/>
              </w:rPr>
            </w:pPr>
          </w:p>
        </w:tc>
        <w:tc>
          <w:tcPr>
            <w:tcW w:w="256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9"/>
              </w:rPr>
              <w:t>0% - 175%</w:t>
            </w:r>
          </w:p>
        </w:tc>
        <w:tc>
          <w:tcPr>
            <w:tcW w:w="0" w:type="dxa"/>
            <w:vAlign w:val="bottom"/>
          </w:tcPr>
          <w:p>
            <w:pPr>
              <w:spacing w:after="0"/>
              <w:rPr>
                <w:sz w:val="1"/>
                <w:szCs w:val="1"/>
                <w:color w:val="auto"/>
              </w:rPr>
            </w:pPr>
          </w:p>
        </w:tc>
      </w:tr>
      <w:tr>
        <w:trPr>
          <w:trHeight w:val="137"/>
        </w:trPr>
        <w:tc>
          <w:tcPr>
            <w:tcW w:w="2880" w:type="dxa"/>
            <w:vAlign w:val="bottom"/>
            <w:vMerge w:val="continue"/>
            <w:shd w:val="clear" w:color="auto" w:fill="E6E7E7"/>
          </w:tcPr>
          <w:p>
            <w:pPr>
              <w:spacing w:after="0"/>
              <w:rPr>
                <w:sz w:val="11"/>
                <w:szCs w:val="11"/>
                <w:color w:val="auto"/>
              </w:rPr>
            </w:pPr>
          </w:p>
        </w:tc>
        <w:tc>
          <w:tcPr>
            <w:tcW w:w="100" w:type="dxa"/>
            <w:vAlign w:val="bottom"/>
          </w:tcPr>
          <w:p>
            <w:pPr>
              <w:spacing w:after="0"/>
              <w:rPr>
                <w:sz w:val="11"/>
                <w:szCs w:val="11"/>
                <w:color w:val="auto"/>
              </w:rPr>
            </w:pPr>
          </w:p>
        </w:tc>
        <w:tc>
          <w:tcPr>
            <w:tcW w:w="3220" w:type="dxa"/>
            <w:vAlign w:val="bottom"/>
            <w:vMerge w:val="restart"/>
            <w:shd w:val="clear" w:color="auto" w:fill="E6E7E7"/>
          </w:tcPr>
          <w:p>
            <w:pPr>
              <w:spacing w:after="0"/>
              <w:rPr>
                <w:sz w:val="20"/>
                <w:szCs w:val="20"/>
                <w:color w:val="auto"/>
              </w:rPr>
            </w:pPr>
            <w:r>
              <w:rPr>
                <w:rFonts w:ascii="Arial" w:cs="Arial" w:eastAsia="Arial" w:hAnsi="Arial"/>
                <w:sz w:val="16"/>
                <w:szCs w:val="16"/>
                <w:color w:val="auto"/>
              </w:rPr>
              <w:t>CEO; Former CFO</w:t>
            </w:r>
          </w:p>
        </w:tc>
        <w:tc>
          <w:tcPr>
            <w:tcW w:w="100" w:type="dxa"/>
            <w:vAlign w:val="bottom"/>
          </w:tcPr>
          <w:p>
            <w:pPr>
              <w:spacing w:after="0"/>
              <w:rPr>
                <w:sz w:val="11"/>
                <w:szCs w:val="11"/>
                <w:color w:val="auto"/>
              </w:rPr>
            </w:pPr>
          </w:p>
        </w:tc>
        <w:tc>
          <w:tcPr>
            <w:tcW w:w="2300" w:type="dxa"/>
            <w:vAlign w:val="bottom"/>
            <w:vMerge w:val="continue"/>
            <w:shd w:val="clear" w:color="auto" w:fill="E6E7E7"/>
          </w:tcPr>
          <w:p>
            <w:pPr>
              <w:spacing w:after="0"/>
              <w:rPr>
                <w:sz w:val="11"/>
                <w:szCs w:val="11"/>
                <w:color w:val="auto"/>
              </w:rPr>
            </w:pPr>
          </w:p>
        </w:tc>
        <w:tc>
          <w:tcPr>
            <w:tcW w:w="80" w:type="dxa"/>
            <w:vAlign w:val="bottom"/>
          </w:tcPr>
          <w:p>
            <w:pPr>
              <w:spacing w:after="0"/>
              <w:rPr>
                <w:sz w:val="11"/>
                <w:szCs w:val="11"/>
                <w:color w:val="auto"/>
              </w:rPr>
            </w:pPr>
          </w:p>
        </w:tc>
        <w:tc>
          <w:tcPr>
            <w:tcW w:w="2560" w:type="dxa"/>
            <w:vAlign w:val="bottom"/>
            <w:vMerge w:val="continue"/>
            <w:shd w:val="clear" w:color="auto" w:fill="E6E7E7"/>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880" w:type="dxa"/>
            <w:vAlign w:val="bottom"/>
            <w:shd w:val="clear" w:color="auto" w:fill="E6E7E7"/>
          </w:tcPr>
          <w:p>
            <w:pPr>
              <w:spacing w:after="0"/>
              <w:rPr>
                <w:sz w:val="6"/>
                <w:szCs w:val="6"/>
                <w:color w:val="auto"/>
              </w:rPr>
            </w:pPr>
          </w:p>
        </w:tc>
        <w:tc>
          <w:tcPr>
            <w:tcW w:w="100" w:type="dxa"/>
            <w:vAlign w:val="bottom"/>
          </w:tcPr>
          <w:p>
            <w:pPr>
              <w:spacing w:after="0"/>
              <w:rPr>
                <w:sz w:val="6"/>
                <w:szCs w:val="6"/>
                <w:color w:val="auto"/>
              </w:rPr>
            </w:pPr>
          </w:p>
        </w:tc>
        <w:tc>
          <w:tcPr>
            <w:tcW w:w="3220" w:type="dxa"/>
            <w:vAlign w:val="bottom"/>
            <w:vMerge w:val="continue"/>
            <w:shd w:val="clear" w:color="auto" w:fill="E6E7E7"/>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shd w:val="clear" w:color="auto" w:fill="E6E7E7"/>
          </w:tcPr>
          <w:p>
            <w:pPr>
              <w:spacing w:after="0"/>
              <w:rPr>
                <w:sz w:val="6"/>
                <w:szCs w:val="6"/>
                <w:color w:val="auto"/>
              </w:rPr>
            </w:pPr>
          </w:p>
        </w:tc>
        <w:tc>
          <w:tcPr>
            <w:tcW w:w="80" w:type="dxa"/>
            <w:vAlign w:val="bottom"/>
          </w:tcPr>
          <w:p>
            <w:pPr>
              <w:spacing w:after="0"/>
              <w:rPr>
                <w:sz w:val="6"/>
                <w:szCs w:val="6"/>
                <w:color w:val="auto"/>
              </w:rPr>
            </w:pPr>
          </w:p>
        </w:tc>
        <w:tc>
          <w:tcPr>
            <w:tcW w:w="2560" w:type="dxa"/>
            <w:vAlign w:val="bottom"/>
            <w:shd w:val="clear" w:color="auto" w:fill="E6E7E7"/>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2880" w:type="dxa"/>
            <w:vAlign w:val="bottom"/>
          </w:tcPr>
          <w:p>
            <w:pPr>
              <w:ind w:left="20"/>
              <w:spacing w:after="0"/>
              <w:rPr>
                <w:sz w:val="20"/>
                <w:szCs w:val="20"/>
                <w:color w:val="auto"/>
              </w:rPr>
            </w:pPr>
            <w:r>
              <w:rPr>
                <w:rFonts w:ascii="Arial" w:cs="Arial" w:eastAsia="Arial" w:hAnsi="Arial"/>
                <w:sz w:val="16"/>
                <w:szCs w:val="16"/>
                <w:b w:val="1"/>
                <w:bCs w:val="1"/>
                <w:color w:val="520B90"/>
              </w:rPr>
              <w:t>Christopher D. Levendos</w:t>
            </w:r>
          </w:p>
        </w:tc>
        <w:tc>
          <w:tcPr>
            <w:tcW w:w="10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6"/>
                <w:szCs w:val="16"/>
                <w:color w:val="auto"/>
              </w:rPr>
              <w:t>EVP &amp; COO—Fiber</w:t>
            </w:r>
          </w:p>
        </w:tc>
        <w:tc>
          <w:tcPr>
            <w:tcW w:w="10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6"/>
                <w:szCs w:val="16"/>
                <w:color w:val="auto"/>
                <w:w w:val="97"/>
              </w:rPr>
              <w:t>100%</w:t>
            </w:r>
          </w:p>
        </w:tc>
        <w:tc>
          <w:tcPr>
            <w:tcW w:w="80" w:type="dxa"/>
            <w:vAlign w:val="bottom"/>
          </w:tcPr>
          <w:p>
            <w:pPr>
              <w:spacing w:after="0"/>
              <w:rPr>
                <w:sz w:val="18"/>
                <w:szCs w:val="18"/>
                <w:color w:val="auto"/>
              </w:rPr>
            </w:pPr>
          </w:p>
        </w:tc>
        <w:tc>
          <w:tcPr>
            <w:tcW w:w="2560" w:type="dxa"/>
            <w:vAlign w:val="bottom"/>
          </w:tcPr>
          <w:p>
            <w:pPr>
              <w:jc w:val="center"/>
              <w:spacing w:after="0"/>
              <w:rPr>
                <w:sz w:val="20"/>
                <w:szCs w:val="20"/>
                <w:color w:val="auto"/>
              </w:rPr>
            </w:pPr>
            <w:r>
              <w:rPr>
                <w:rFonts w:ascii="Arial" w:cs="Arial" w:eastAsia="Arial" w:hAnsi="Arial"/>
                <w:sz w:val="16"/>
                <w:szCs w:val="16"/>
                <w:color w:val="auto"/>
                <w:w w:val="99"/>
              </w:rPr>
              <w:t>0% - 175%</w:t>
            </w:r>
          </w:p>
        </w:tc>
        <w:tc>
          <w:tcPr>
            <w:tcW w:w="0" w:type="dxa"/>
            <w:vAlign w:val="bottom"/>
          </w:tcPr>
          <w:p>
            <w:pPr>
              <w:spacing w:after="0"/>
              <w:rPr>
                <w:sz w:val="1"/>
                <w:szCs w:val="1"/>
                <w:color w:val="auto"/>
              </w:rPr>
            </w:pPr>
          </w:p>
        </w:tc>
      </w:tr>
      <w:tr>
        <w:trPr>
          <w:trHeight w:val="212"/>
        </w:trPr>
        <w:tc>
          <w:tcPr>
            <w:tcW w:w="2880" w:type="dxa"/>
            <w:vAlign w:val="bottom"/>
            <w:shd w:val="clear" w:color="auto" w:fill="E6E7E7"/>
          </w:tcPr>
          <w:p>
            <w:pPr>
              <w:ind w:left="20"/>
              <w:spacing w:after="0"/>
              <w:rPr>
                <w:sz w:val="20"/>
                <w:szCs w:val="20"/>
                <w:color w:val="auto"/>
              </w:rPr>
            </w:pPr>
            <w:r>
              <w:rPr>
                <w:rFonts w:ascii="Arial" w:cs="Arial" w:eastAsia="Arial" w:hAnsi="Arial"/>
                <w:sz w:val="16"/>
                <w:szCs w:val="16"/>
                <w:b w:val="1"/>
                <w:bCs w:val="1"/>
                <w:color w:val="520B90"/>
              </w:rPr>
              <w:t>Edward B. Adams, Jr.</w:t>
            </w:r>
          </w:p>
        </w:tc>
        <w:tc>
          <w:tcPr>
            <w:tcW w:w="100" w:type="dxa"/>
            <w:vAlign w:val="bottom"/>
          </w:tcPr>
          <w:p>
            <w:pPr>
              <w:spacing w:after="0"/>
              <w:rPr>
                <w:sz w:val="18"/>
                <w:szCs w:val="18"/>
                <w:color w:val="auto"/>
              </w:rPr>
            </w:pPr>
          </w:p>
        </w:tc>
        <w:tc>
          <w:tcPr>
            <w:tcW w:w="3220" w:type="dxa"/>
            <w:vAlign w:val="bottom"/>
            <w:shd w:val="clear" w:color="auto" w:fill="E6E7E7"/>
          </w:tcPr>
          <w:p>
            <w:pPr>
              <w:spacing w:after="0"/>
              <w:rPr>
                <w:sz w:val="20"/>
                <w:szCs w:val="20"/>
                <w:color w:val="auto"/>
              </w:rPr>
            </w:pPr>
            <w:r>
              <w:rPr>
                <w:rFonts w:ascii="Arial" w:cs="Arial" w:eastAsia="Arial" w:hAnsi="Arial"/>
                <w:sz w:val="16"/>
                <w:szCs w:val="16"/>
                <w:color w:val="auto"/>
              </w:rPr>
              <w:t>EVP &amp; General Counsel</w:t>
            </w:r>
          </w:p>
        </w:tc>
        <w:tc>
          <w:tcPr>
            <w:tcW w:w="100" w:type="dxa"/>
            <w:vAlign w:val="bottom"/>
          </w:tcPr>
          <w:p>
            <w:pPr>
              <w:spacing w:after="0"/>
              <w:rPr>
                <w:sz w:val="18"/>
                <w:szCs w:val="18"/>
                <w:color w:val="auto"/>
              </w:rPr>
            </w:pPr>
          </w:p>
        </w:tc>
        <w:tc>
          <w:tcPr>
            <w:tcW w:w="230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7"/>
              </w:rPr>
              <w:t>100%</w:t>
            </w:r>
          </w:p>
        </w:tc>
        <w:tc>
          <w:tcPr>
            <w:tcW w:w="80" w:type="dxa"/>
            <w:vAlign w:val="bottom"/>
          </w:tcPr>
          <w:p>
            <w:pPr>
              <w:spacing w:after="0"/>
              <w:rPr>
                <w:sz w:val="18"/>
                <w:szCs w:val="18"/>
                <w:color w:val="auto"/>
              </w:rPr>
            </w:pPr>
          </w:p>
        </w:tc>
        <w:tc>
          <w:tcPr>
            <w:tcW w:w="256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9"/>
              </w:rPr>
              <w:t>0% - 175%</w:t>
            </w:r>
          </w:p>
        </w:tc>
        <w:tc>
          <w:tcPr>
            <w:tcW w:w="0" w:type="dxa"/>
            <w:vAlign w:val="bottom"/>
          </w:tcPr>
          <w:p>
            <w:pPr>
              <w:spacing w:after="0"/>
              <w:rPr>
                <w:sz w:val="1"/>
                <w:szCs w:val="1"/>
                <w:color w:val="auto"/>
              </w:rPr>
            </w:pPr>
          </w:p>
        </w:tc>
      </w:tr>
      <w:tr>
        <w:trPr>
          <w:trHeight w:val="212"/>
        </w:trPr>
        <w:tc>
          <w:tcPr>
            <w:tcW w:w="2880" w:type="dxa"/>
            <w:vAlign w:val="bottom"/>
          </w:tcPr>
          <w:p>
            <w:pPr>
              <w:ind w:left="20"/>
              <w:spacing w:after="0"/>
              <w:rPr>
                <w:sz w:val="20"/>
                <w:szCs w:val="20"/>
                <w:color w:val="auto"/>
              </w:rPr>
            </w:pPr>
            <w:r>
              <w:rPr>
                <w:rFonts w:ascii="Arial" w:cs="Arial" w:eastAsia="Arial" w:hAnsi="Arial"/>
                <w:sz w:val="16"/>
                <w:szCs w:val="16"/>
                <w:b w:val="1"/>
                <w:bCs w:val="1"/>
                <w:color w:val="520B90"/>
              </w:rPr>
              <w:t>Catherine Piche</w:t>
            </w:r>
          </w:p>
        </w:tc>
        <w:tc>
          <w:tcPr>
            <w:tcW w:w="10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6"/>
                <w:szCs w:val="16"/>
                <w:color w:val="auto"/>
              </w:rPr>
              <w:t>EVP &amp; COO—Towers</w:t>
            </w:r>
          </w:p>
        </w:tc>
        <w:tc>
          <w:tcPr>
            <w:tcW w:w="10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6"/>
                <w:szCs w:val="16"/>
                <w:color w:val="auto"/>
                <w:w w:val="97"/>
              </w:rPr>
              <w:t>100%</w:t>
            </w:r>
          </w:p>
        </w:tc>
        <w:tc>
          <w:tcPr>
            <w:tcW w:w="80" w:type="dxa"/>
            <w:vAlign w:val="bottom"/>
          </w:tcPr>
          <w:p>
            <w:pPr>
              <w:spacing w:after="0"/>
              <w:rPr>
                <w:sz w:val="18"/>
                <w:szCs w:val="18"/>
                <w:color w:val="auto"/>
              </w:rPr>
            </w:pPr>
          </w:p>
        </w:tc>
        <w:tc>
          <w:tcPr>
            <w:tcW w:w="2560" w:type="dxa"/>
            <w:vAlign w:val="bottom"/>
          </w:tcPr>
          <w:p>
            <w:pPr>
              <w:jc w:val="center"/>
              <w:spacing w:after="0"/>
              <w:rPr>
                <w:sz w:val="20"/>
                <w:szCs w:val="20"/>
                <w:color w:val="auto"/>
              </w:rPr>
            </w:pPr>
            <w:r>
              <w:rPr>
                <w:rFonts w:ascii="Arial" w:cs="Arial" w:eastAsia="Arial" w:hAnsi="Arial"/>
                <w:sz w:val="16"/>
                <w:szCs w:val="16"/>
                <w:color w:val="auto"/>
                <w:w w:val="99"/>
              </w:rPr>
              <w:t>0% - 175%</w:t>
            </w:r>
          </w:p>
        </w:tc>
        <w:tc>
          <w:tcPr>
            <w:tcW w:w="0" w:type="dxa"/>
            <w:vAlign w:val="bottom"/>
          </w:tcPr>
          <w:p>
            <w:pPr>
              <w:spacing w:after="0"/>
              <w:rPr>
                <w:sz w:val="1"/>
                <w:szCs w:val="1"/>
                <w:color w:val="auto"/>
              </w:rPr>
            </w:pPr>
          </w:p>
        </w:tc>
      </w:tr>
      <w:tr>
        <w:trPr>
          <w:trHeight w:val="212"/>
        </w:trPr>
        <w:tc>
          <w:tcPr>
            <w:tcW w:w="2880" w:type="dxa"/>
            <w:vAlign w:val="bottom"/>
            <w:shd w:val="clear" w:color="auto" w:fill="E6E7E7"/>
          </w:tcPr>
          <w:p>
            <w:pPr>
              <w:ind w:left="20"/>
              <w:spacing w:after="0" w:line="211" w:lineRule="exact"/>
              <w:rPr>
                <w:sz w:val="20"/>
                <w:szCs w:val="20"/>
                <w:color w:val="auto"/>
              </w:rPr>
            </w:pPr>
            <w:r>
              <w:rPr>
                <w:rFonts w:ascii="Arial" w:cs="Arial" w:eastAsia="Arial" w:hAnsi="Arial"/>
                <w:sz w:val="16"/>
                <w:szCs w:val="16"/>
                <w:b w:val="1"/>
                <w:bCs w:val="1"/>
                <w:color w:val="520B90"/>
              </w:rPr>
              <w:t>Steven J. Moskowitz</w:t>
            </w:r>
            <w:r>
              <w:rPr>
                <w:rFonts w:ascii="Arial" w:cs="Arial" w:eastAsia="Arial" w:hAnsi="Arial"/>
                <w:sz w:val="20"/>
                <w:szCs w:val="20"/>
                <w:b w:val="1"/>
                <w:bCs w:val="1"/>
                <w:color w:val="520B90"/>
                <w:vertAlign w:val="superscript"/>
              </w:rPr>
              <w:t>(a)</w:t>
            </w:r>
          </w:p>
        </w:tc>
        <w:tc>
          <w:tcPr>
            <w:tcW w:w="100" w:type="dxa"/>
            <w:vAlign w:val="bottom"/>
          </w:tcPr>
          <w:p>
            <w:pPr>
              <w:spacing w:after="0"/>
              <w:rPr>
                <w:sz w:val="18"/>
                <w:szCs w:val="18"/>
                <w:color w:val="auto"/>
              </w:rPr>
            </w:pPr>
          </w:p>
        </w:tc>
        <w:tc>
          <w:tcPr>
            <w:tcW w:w="3220" w:type="dxa"/>
            <w:vAlign w:val="bottom"/>
            <w:shd w:val="clear" w:color="auto" w:fill="E6E7E7"/>
          </w:tcPr>
          <w:p>
            <w:pPr>
              <w:spacing w:after="0"/>
              <w:rPr>
                <w:sz w:val="20"/>
                <w:szCs w:val="20"/>
                <w:color w:val="auto"/>
              </w:rPr>
            </w:pPr>
            <w:r>
              <w:rPr>
                <w:rFonts w:ascii="Arial" w:cs="Arial" w:eastAsia="Arial" w:hAnsi="Arial"/>
                <w:sz w:val="16"/>
                <w:szCs w:val="16"/>
                <w:color w:val="auto"/>
              </w:rPr>
              <w:t>Former President &amp; CEO</w:t>
            </w:r>
          </w:p>
        </w:tc>
        <w:tc>
          <w:tcPr>
            <w:tcW w:w="100" w:type="dxa"/>
            <w:vAlign w:val="bottom"/>
          </w:tcPr>
          <w:p>
            <w:pPr>
              <w:spacing w:after="0"/>
              <w:rPr>
                <w:sz w:val="18"/>
                <w:szCs w:val="18"/>
                <w:color w:val="auto"/>
              </w:rPr>
            </w:pPr>
          </w:p>
        </w:tc>
        <w:tc>
          <w:tcPr>
            <w:tcW w:w="230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7"/>
              </w:rPr>
              <w:t>175%</w:t>
            </w:r>
          </w:p>
        </w:tc>
        <w:tc>
          <w:tcPr>
            <w:tcW w:w="80" w:type="dxa"/>
            <w:vAlign w:val="bottom"/>
          </w:tcPr>
          <w:p>
            <w:pPr>
              <w:spacing w:after="0"/>
              <w:rPr>
                <w:sz w:val="18"/>
                <w:szCs w:val="18"/>
                <w:color w:val="auto"/>
              </w:rPr>
            </w:pPr>
          </w:p>
        </w:tc>
        <w:tc>
          <w:tcPr>
            <w:tcW w:w="256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9"/>
              </w:rPr>
              <w:t>0% - 175%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126365</wp:posOffset>
            </wp:positionV>
            <wp:extent cx="73088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30885" cy="8255"/>
                    </a:xfrm>
                    <a:prstGeom prst="rect">
                      <a:avLst/>
                    </a:prstGeom>
                    <a:noFill/>
                  </pic:spPr>
                </pic:pic>
              </a:graphicData>
            </a:graphic>
          </wp:anchor>
        </w:drawing>
      </w:r>
    </w:p>
    <w:p>
      <w:pPr>
        <w:spacing w:after="0" w:line="272" w:lineRule="exact"/>
        <w:rPr>
          <w:sz w:val="20"/>
          <w:szCs w:val="20"/>
          <w:color w:val="auto"/>
        </w:rPr>
      </w:pPr>
    </w:p>
    <w:p>
      <w:pPr>
        <w:ind w:left="320" w:hanging="314"/>
        <w:spacing w:after="0"/>
        <w:tabs>
          <w:tab w:leader="none" w:pos="32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Mr. Moskowitz ceased serving as our President &amp; CEO, effective March 23, 2025.</w:t>
      </w:r>
    </w:p>
    <w:p>
      <w:pPr>
        <w:spacing w:after="0" w:line="164" w:lineRule="exact"/>
        <w:rPr>
          <w:sz w:val="20"/>
          <w:szCs w:val="20"/>
          <w:color w:val="auto"/>
        </w:rPr>
      </w:pPr>
    </w:p>
    <w:p>
      <w:pPr>
        <w:ind w:left="480"/>
        <w:spacing w:after="0"/>
        <w:rPr>
          <w:sz w:val="20"/>
          <w:szCs w:val="20"/>
          <w:color w:val="auto"/>
        </w:rPr>
      </w:pPr>
      <w:r>
        <w:rPr>
          <w:rFonts w:ascii="Arial" w:cs="Arial" w:eastAsia="Arial" w:hAnsi="Arial"/>
          <w:sz w:val="18"/>
          <w:szCs w:val="18"/>
          <w:i w:val="1"/>
          <w:iCs w:val="1"/>
          <w:u w:val="single" w:color="auto"/>
          <w:color w:val="auto"/>
        </w:rPr>
        <w:t>2025 Annual Incentive Performance Structure and Achievement</w:t>
      </w:r>
      <w:r>
        <w:rPr>
          <w:rFonts w:ascii="Arial" w:cs="Arial" w:eastAsia="Arial" w:hAnsi="Arial"/>
          <w:sz w:val="18"/>
          <w:szCs w:val="18"/>
          <w:color w:val="auto"/>
        </w:rPr>
        <w:t>.</w:t>
      </w:r>
    </w:p>
    <w:p>
      <w:pPr>
        <w:spacing w:after="0" w:line="164"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The annual incentive structure is designed to recognize and motivate strong financial performance. The performance measures, relative weightings and threshold-target-maximum payout ranges were designed based on our 2025 financial budget, as approved by the Board in the first quarter of 2025. For 2025, the Committee modified the annual incentive structure to (1) remove AFFO/Share as a performance measure,</w:t>
      </w:r>
    </w:p>
    <w:p>
      <w:pPr>
        <w:spacing w:after="0" w:line="1" w:lineRule="exact"/>
        <w:rPr>
          <w:sz w:val="20"/>
          <w:szCs w:val="20"/>
          <w:color w:val="auto"/>
        </w:rPr>
      </w:pPr>
    </w:p>
    <w:p>
      <w:pPr>
        <w:ind w:right="100" w:firstLine="6"/>
        <w:spacing w:after="0" w:line="255" w:lineRule="auto"/>
        <w:tabs>
          <w:tab w:leader="none" w:pos="26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introduce organic revenue growth as a new financial performance measure and (3) increase the weighting of Adjusted EBITDA from 50% to 70%.</w:t>
      </w:r>
    </w:p>
    <w:p>
      <w:pPr>
        <w:spacing w:after="0" w:line="355"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1"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The components of the total annual incentive payout under the AIP for 2025 were as follows:</w:t>
      </w:r>
    </w:p>
    <w:p>
      <w:pPr>
        <w:spacing w:after="0" w:line="140" w:lineRule="exact"/>
        <w:rPr>
          <w:sz w:val="20"/>
          <w:szCs w:val="20"/>
          <w:color w:val="auto"/>
        </w:rPr>
      </w:pPr>
    </w:p>
    <w:tbl>
      <w:tblPr>
        <w:tblLayout w:type="fixed"/>
        <w:tblInd w:w="200" w:type="dxa"/>
        <w:tblCellMar>
          <w:top w:w="0" w:type="dxa"/>
          <w:left w:w="0" w:type="dxa"/>
          <w:bottom w:w="0" w:type="dxa"/>
          <w:right w:w="0" w:type="dxa"/>
        </w:tblCellMar>
      </w:tblPr>
      <w:tr>
        <w:trPr>
          <w:trHeight w:val="213"/>
        </w:trPr>
        <w:tc>
          <w:tcPr>
            <w:tcW w:w="3560" w:type="dxa"/>
            <w:vAlign w:val="bottom"/>
            <w:tcBorders>
              <w:bottom w:val="single" w:sz="8" w:color="520B90"/>
            </w:tcBorders>
          </w:tcPr>
          <w:p>
            <w:pPr>
              <w:ind w:left="100"/>
              <w:spacing w:after="0"/>
              <w:rPr>
                <w:sz w:val="20"/>
                <w:szCs w:val="20"/>
                <w:color w:val="auto"/>
              </w:rPr>
            </w:pPr>
            <w:r>
              <w:rPr>
                <w:rFonts w:ascii="Arial" w:cs="Arial" w:eastAsia="Arial" w:hAnsi="Arial"/>
                <w:sz w:val="16"/>
                <w:szCs w:val="16"/>
                <w:b w:val="1"/>
                <w:bCs w:val="1"/>
                <w:color w:val="520B90"/>
              </w:rPr>
              <w:t>Performance Measure</w:t>
            </w:r>
          </w:p>
        </w:tc>
        <w:tc>
          <w:tcPr>
            <w:tcW w:w="2380" w:type="dxa"/>
            <w:vAlign w:val="bottom"/>
            <w:tcBorders>
              <w:bottom w:val="single" w:sz="8" w:color="520B90"/>
            </w:tcBorders>
          </w:tcPr>
          <w:p>
            <w:pPr>
              <w:jc w:val="center"/>
              <w:ind w:left="181"/>
              <w:spacing w:after="0"/>
              <w:rPr>
                <w:sz w:val="20"/>
                <w:szCs w:val="20"/>
                <w:color w:val="auto"/>
              </w:rPr>
            </w:pPr>
            <w:r>
              <w:rPr>
                <w:rFonts w:ascii="Arial" w:cs="Arial" w:eastAsia="Arial" w:hAnsi="Arial"/>
                <w:sz w:val="16"/>
                <w:szCs w:val="16"/>
                <w:b w:val="1"/>
                <w:bCs w:val="1"/>
                <w:color w:val="520B90"/>
                <w:w w:val="98"/>
              </w:rPr>
              <w:t>2025 Weighting</w:t>
            </w:r>
          </w:p>
        </w:tc>
        <w:tc>
          <w:tcPr>
            <w:tcW w:w="1840" w:type="dxa"/>
            <w:vAlign w:val="bottom"/>
            <w:tcBorders>
              <w:bottom w:val="single" w:sz="8" w:color="520B90"/>
            </w:tcBorders>
          </w:tcPr>
          <w:p>
            <w:pPr>
              <w:jc w:val="center"/>
              <w:spacing w:after="0"/>
              <w:rPr>
                <w:sz w:val="20"/>
                <w:szCs w:val="20"/>
                <w:color w:val="auto"/>
              </w:rPr>
            </w:pPr>
            <w:r>
              <w:rPr>
                <w:rFonts w:ascii="Arial" w:cs="Arial" w:eastAsia="Arial" w:hAnsi="Arial"/>
                <w:sz w:val="16"/>
                <w:szCs w:val="16"/>
                <w:b w:val="1"/>
                <w:bCs w:val="1"/>
                <w:color w:val="520B90"/>
                <w:w w:val="98"/>
              </w:rPr>
              <w:t>2025 Actual</w:t>
            </w:r>
          </w:p>
        </w:tc>
        <w:tc>
          <w:tcPr>
            <w:tcW w:w="3100" w:type="dxa"/>
            <w:vAlign w:val="bottom"/>
            <w:tcBorders>
              <w:bottom w:val="single" w:sz="8" w:color="520B90"/>
            </w:tcBorders>
          </w:tcPr>
          <w:p>
            <w:pPr>
              <w:ind w:left="500"/>
              <w:spacing w:after="0"/>
              <w:rPr>
                <w:sz w:val="20"/>
                <w:szCs w:val="20"/>
                <w:color w:val="auto"/>
              </w:rPr>
            </w:pPr>
            <w:r>
              <w:rPr>
                <w:rFonts w:ascii="Arial" w:cs="Arial" w:eastAsia="Arial" w:hAnsi="Arial"/>
                <w:sz w:val="16"/>
                <w:szCs w:val="16"/>
                <w:b w:val="1"/>
                <w:bCs w:val="1"/>
                <w:color w:val="520B90"/>
              </w:rPr>
              <w:t>2025 Weighted Achievement</w:t>
            </w:r>
          </w:p>
        </w:tc>
      </w:tr>
      <w:tr>
        <w:trPr>
          <w:trHeight w:val="207"/>
        </w:trPr>
        <w:tc>
          <w:tcPr>
            <w:tcW w:w="3560" w:type="dxa"/>
            <w:vAlign w:val="bottom"/>
          </w:tcPr>
          <w:p>
            <w:pPr>
              <w:ind w:left="120"/>
              <w:spacing w:after="0" w:line="207" w:lineRule="exact"/>
              <w:rPr>
                <w:sz w:val="20"/>
                <w:szCs w:val="20"/>
                <w:color w:val="auto"/>
              </w:rPr>
            </w:pPr>
            <w:r>
              <w:rPr>
                <w:rFonts w:ascii="Arial" w:cs="Arial" w:eastAsia="Arial" w:hAnsi="Arial"/>
                <w:sz w:val="16"/>
                <w:szCs w:val="16"/>
                <w:color w:val="auto"/>
              </w:rPr>
              <w:t>Adjusted EBITDA</w:t>
            </w:r>
            <w:r>
              <w:rPr>
                <w:rFonts w:ascii="Arial" w:cs="Arial" w:eastAsia="Arial" w:hAnsi="Arial"/>
                <w:sz w:val="20"/>
                <w:szCs w:val="20"/>
                <w:color w:val="auto"/>
                <w:vertAlign w:val="superscript"/>
              </w:rPr>
              <w:t>(a)</w:t>
            </w:r>
          </w:p>
        </w:tc>
        <w:tc>
          <w:tcPr>
            <w:tcW w:w="2380" w:type="dxa"/>
            <w:vAlign w:val="bottom"/>
          </w:tcPr>
          <w:p>
            <w:pPr>
              <w:jc w:val="center"/>
              <w:ind w:left="181"/>
              <w:spacing w:after="0"/>
              <w:rPr>
                <w:sz w:val="20"/>
                <w:szCs w:val="20"/>
                <w:color w:val="auto"/>
              </w:rPr>
            </w:pPr>
            <w:r>
              <w:rPr>
                <w:rFonts w:ascii="Arial" w:cs="Arial" w:eastAsia="Arial" w:hAnsi="Arial"/>
                <w:sz w:val="16"/>
                <w:szCs w:val="16"/>
                <w:color w:val="auto"/>
                <w:w w:val="99"/>
              </w:rPr>
              <w:t>70%</w:t>
            </w:r>
          </w:p>
        </w:tc>
        <w:tc>
          <w:tcPr>
            <w:tcW w:w="1840" w:type="dxa"/>
            <w:vAlign w:val="bottom"/>
          </w:tcPr>
          <w:p>
            <w:pPr>
              <w:jc w:val="center"/>
              <w:spacing w:after="0"/>
              <w:rPr>
                <w:sz w:val="20"/>
                <w:szCs w:val="20"/>
                <w:color w:val="auto"/>
              </w:rPr>
            </w:pPr>
            <w:r>
              <w:rPr>
                <w:rFonts w:ascii="Arial" w:cs="Arial" w:eastAsia="Arial" w:hAnsi="Arial"/>
                <w:sz w:val="16"/>
                <w:szCs w:val="16"/>
                <w:color w:val="auto"/>
                <w:w w:val="97"/>
              </w:rPr>
              <w:t>124%</w:t>
            </w:r>
          </w:p>
        </w:tc>
        <w:tc>
          <w:tcPr>
            <w:tcW w:w="3100" w:type="dxa"/>
            <w:vAlign w:val="bottom"/>
          </w:tcPr>
          <w:p>
            <w:pPr>
              <w:jc w:val="center"/>
              <w:spacing w:after="0"/>
              <w:rPr>
                <w:sz w:val="20"/>
                <w:szCs w:val="20"/>
                <w:color w:val="auto"/>
              </w:rPr>
            </w:pPr>
            <w:r>
              <w:rPr>
                <w:rFonts w:ascii="Arial" w:cs="Arial" w:eastAsia="Arial" w:hAnsi="Arial"/>
                <w:sz w:val="16"/>
                <w:szCs w:val="16"/>
                <w:color w:val="auto"/>
                <w:w w:val="99"/>
              </w:rPr>
              <w:t>86.70%</w:t>
            </w:r>
          </w:p>
        </w:tc>
      </w:tr>
      <w:tr>
        <w:trPr>
          <w:trHeight w:val="223"/>
        </w:trPr>
        <w:tc>
          <w:tcPr>
            <w:tcW w:w="3560" w:type="dxa"/>
            <w:vAlign w:val="bottom"/>
            <w:tcBorders>
              <w:bottom w:val="single" w:sz="8" w:color="E6E7E7"/>
            </w:tcBorders>
          </w:tcPr>
          <w:p>
            <w:pPr>
              <w:ind w:left="120"/>
              <w:spacing w:after="0" w:line="223" w:lineRule="exact"/>
              <w:rPr>
                <w:sz w:val="20"/>
                <w:szCs w:val="20"/>
                <w:color w:val="auto"/>
              </w:rPr>
            </w:pPr>
            <w:r>
              <w:rPr>
                <w:rFonts w:ascii="Arial" w:cs="Arial" w:eastAsia="Arial" w:hAnsi="Arial"/>
                <w:sz w:val="16"/>
                <w:szCs w:val="16"/>
                <w:color w:val="auto"/>
              </w:rPr>
              <w:t>Organic Revenue Growth</w:t>
            </w:r>
            <w:r>
              <w:rPr>
                <w:rFonts w:ascii="Arial" w:cs="Arial" w:eastAsia="Arial" w:hAnsi="Arial"/>
                <w:sz w:val="20"/>
                <w:szCs w:val="20"/>
                <w:color w:val="auto"/>
                <w:vertAlign w:val="superscript"/>
              </w:rPr>
              <w:t>(a)</w:t>
            </w:r>
          </w:p>
        </w:tc>
        <w:tc>
          <w:tcPr>
            <w:tcW w:w="2380" w:type="dxa"/>
            <w:vAlign w:val="bottom"/>
            <w:tcBorders>
              <w:bottom w:val="single" w:sz="8" w:color="E6E7E7"/>
            </w:tcBorders>
          </w:tcPr>
          <w:p>
            <w:pPr>
              <w:jc w:val="center"/>
              <w:ind w:left="181"/>
              <w:spacing w:after="0"/>
              <w:rPr>
                <w:sz w:val="20"/>
                <w:szCs w:val="20"/>
                <w:color w:val="auto"/>
              </w:rPr>
            </w:pPr>
            <w:r>
              <w:rPr>
                <w:rFonts w:ascii="Arial" w:cs="Arial" w:eastAsia="Arial" w:hAnsi="Arial"/>
                <w:sz w:val="16"/>
                <w:szCs w:val="16"/>
                <w:color w:val="auto"/>
                <w:w w:val="99"/>
              </w:rPr>
              <w:t>30%</w:t>
            </w:r>
          </w:p>
        </w:tc>
        <w:tc>
          <w:tcPr>
            <w:tcW w:w="1840" w:type="dxa"/>
            <w:vAlign w:val="bottom"/>
            <w:tcBorders>
              <w:bottom w:val="single" w:sz="8" w:color="E6E7E7"/>
            </w:tcBorders>
          </w:tcPr>
          <w:p>
            <w:pPr>
              <w:jc w:val="center"/>
              <w:spacing w:after="0"/>
              <w:rPr>
                <w:sz w:val="20"/>
                <w:szCs w:val="20"/>
                <w:color w:val="auto"/>
              </w:rPr>
            </w:pPr>
            <w:r>
              <w:rPr>
                <w:rFonts w:ascii="Arial" w:cs="Arial" w:eastAsia="Arial" w:hAnsi="Arial"/>
                <w:sz w:val="16"/>
                <w:szCs w:val="16"/>
                <w:color w:val="auto"/>
                <w:w w:val="97"/>
              </w:rPr>
              <w:t>175%</w:t>
            </w:r>
          </w:p>
        </w:tc>
        <w:tc>
          <w:tcPr>
            <w:tcW w:w="3100" w:type="dxa"/>
            <w:vAlign w:val="bottom"/>
            <w:tcBorders>
              <w:bottom w:val="single" w:sz="8" w:color="E6E7E7"/>
            </w:tcBorders>
          </w:tcPr>
          <w:p>
            <w:pPr>
              <w:jc w:val="center"/>
              <w:spacing w:after="0"/>
              <w:rPr>
                <w:sz w:val="20"/>
                <w:szCs w:val="20"/>
                <w:color w:val="auto"/>
              </w:rPr>
            </w:pPr>
            <w:r>
              <w:rPr>
                <w:rFonts w:ascii="Arial" w:cs="Arial" w:eastAsia="Arial" w:hAnsi="Arial"/>
                <w:sz w:val="16"/>
                <w:szCs w:val="16"/>
                <w:color w:val="auto"/>
                <w:w w:val="99"/>
              </w:rPr>
              <w:t>52.50%</w:t>
            </w:r>
          </w:p>
        </w:tc>
      </w:tr>
      <w:tr>
        <w:trPr>
          <w:trHeight w:val="20"/>
        </w:trPr>
        <w:tc>
          <w:tcPr>
            <w:tcW w:w="3560" w:type="dxa"/>
            <w:vAlign w:val="bottom"/>
            <w:tcBorders>
              <w:bottom w:val="single" w:sz="8" w:color="E6E7E7"/>
            </w:tcBorders>
          </w:tcPr>
          <w:p>
            <w:pPr>
              <w:spacing w:after="0" w:line="20" w:lineRule="exact"/>
              <w:rPr>
                <w:sz w:val="1"/>
                <w:szCs w:val="1"/>
                <w:color w:val="auto"/>
              </w:rPr>
            </w:pPr>
          </w:p>
        </w:tc>
        <w:tc>
          <w:tcPr>
            <w:tcW w:w="2380" w:type="dxa"/>
            <w:vAlign w:val="bottom"/>
            <w:tcBorders>
              <w:bottom w:val="single" w:sz="8" w:color="E6E7E7"/>
            </w:tcBorders>
          </w:tcPr>
          <w:p>
            <w:pPr>
              <w:spacing w:after="0" w:line="20" w:lineRule="exact"/>
              <w:rPr>
                <w:sz w:val="1"/>
                <w:szCs w:val="1"/>
                <w:color w:val="auto"/>
              </w:rPr>
            </w:pPr>
          </w:p>
        </w:tc>
        <w:tc>
          <w:tcPr>
            <w:tcW w:w="1840" w:type="dxa"/>
            <w:vAlign w:val="bottom"/>
            <w:tcBorders>
              <w:bottom w:val="single" w:sz="8" w:color="E6E7E7"/>
            </w:tcBorders>
          </w:tcPr>
          <w:p>
            <w:pPr>
              <w:spacing w:after="0" w:line="20" w:lineRule="exact"/>
              <w:rPr>
                <w:sz w:val="1"/>
                <w:szCs w:val="1"/>
                <w:color w:val="auto"/>
              </w:rPr>
            </w:pPr>
          </w:p>
        </w:tc>
        <w:tc>
          <w:tcPr>
            <w:tcW w:w="3100" w:type="dxa"/>
            <w:vAlign w:val="bottom"/>
            <w:tcBorders>
              <w:bottom w:val="single" w:sz="8" w:color="E6E7E7"/>
            </w:tcBorders>
          </w:tcPr>
          <w:p>
            <w:pPr>
              <w:spacing w:after="0" w:line="20" w:lineRule="exact"/>
              <w:rPr>
                <w:sz w:val="1"/>
                <w:szCs w:val="1"/>
                <w:color w:val="auto"/>
              </w:rPr>
            </w:pPr>
          </w:p>
        </w:tc>
      </w:tr>
      <w:tr>
        <w:trPr>
          <w:trHeight w:val="205"/>
        </w:trPr>
        <w:tc>
          <w:tcPr>
            <w:tcW w:w="3560" w:type="dxa"/>
            <w:vAlign w:val="bottom"/>
            <w:tcBorders>
              <w:bottom w:val="single" w:sz="8" w:color="520B90"/>
            </w:tcBorders>
          </w:tcPr>
          <w:p>
            <w:pPr>
              <w:ind w:left="100"/>
              <w:spacing w:after="0"/>
              <w:rPr>
                <w:sz w:val="20"/>
                <w:szCs w:val="20"/>
                <w:color w:val="auto"/>
              </w:rPr>
            </w:pPr>
            <w:r>
              <w:rPr>
                <w:rFonts w:ascii="Arial" w:cs="Arial" w:eastAsia="Arial" w:hAnsi="Arial"/>
                <w:sz w:val="16"/>
                <w:szCs w:val="16"/>
                <w:b w:val="1"/>
                <w:bCs w:val="1"/>
                <w:color w:val="520B90"/>
              </w:rPr>
              <w:t>2025 Annual Incentive Achievement</w:t>
            </w:r>
          </w:p>
        </w:tc>
        <w:tc>
          <w:tcPr>
            <w:tcW w:w="2380" w:type="dxa"/>
            <w:vAlign w:val="bottom"/>
            <w:tcBorders>
              <w:bottom w:val="single" w:sz="8" w:color="520B90"/>
            </w:tcBorders>
          </w:tcPr>
          <w:p>
            <w:pPr>
              <w:spacing w:after="0"/>
              <w:rPr>
                <w:sz w:val="17"/>
                <w:szCs w:val="17"/>
                <w:color w:val="auto"/>
              </w:rPr>
            </w:pPr>
          </w:p>
        </w:tc>
        <w:tc>
          <w:tcPr>
            <w:tcW w:w="1840" w:type="dxa"/>
            <w:vAlign w:val="bottom"/>
            <w:tcBorders>
              <w:bottom w:val="single" w:sz="8" w:color="520B90"/>
            </w:tcBorders>
          </w:tcPr>
          <w:p>
            <w:pPr>
              <w:spacing w:after="0"/>
              <w:rPr>
                <w:sz w:val="17"/>
                <w:szCs w:val="17"/>
                <w:color w:val="auto"/>
              </w:rPr>
            </w:pPr>
          </w:p>
        </w:tc>
        <w:tc>
          <w:tcPr>
            <w:tcW w:w="3100" w:type="dxa"/>
            <w:vAlign w:val="bottom"/>
            <w:tcBorders>
              <w:bottom w:val="single" w:sz="8" w:color="520B90"/>
            </w:tcBorders>
          </w:tcPr>
          <w:p>
            <w:pPr>
              <w:jc w:val="center"/>
              <w:spacing w:after="0"/>
              <w:rPr>
                <w:sz w:val="20"/>
                <w:szCs w:val="20"/>
                <w:color w:val="auto"/>
              </w:rPr>
            </w:pPr>
            <w:r>
              <w:rPr>
                <w:rFonts w:ascii="Arial" w:cs="Arial" w:eastAsia="Arial" w:hAnsi="Arial"/>
                <w:sz w:val="16"/>
                <w:szCs w:val="16"/>
                <w:b w:val="1"/>
                <w:bCs w:val="1"/>
                <w:color w:val="520B90"/>
              </w:rPr>
              <w:t>139.16%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-318770</wp:posOffset>
            </wp:positionV>
            <wp:extent cx="690816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90816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159385</wp:posOffset>
            </wp:positionV>
            <wp:extent cx="73088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30885" cy="8255"/>
                    </a:xfrm>
                    <a:prstGeom prst="rect">
                      <a:avLst/>
                    </a:prstGeom>
                    <a:noFill/>
                  </pic:spPr>
                </pic:pic>
              </a:graphicData>
            </a:graphic>
          </wp:anchor>
        </w:drawing>
      </w:r>
    </w:p>
    <w:p>
      <w:pPr>
        <w:spacing w:after="0" w:line="351" w:lineRule="exact"/>
        <w:rPr>
          <w:sz w:val="20"/>
          <w:szCs w:val="20"/>
          <w:color w:val="auto"/>
        </w:rPr>
      </w:pPr>
    </w:p>
    <w:p>
      <w:pPr>
        <w:ind w:left="320" w:hanging="314"/>
        <w:spacing w:after="0"/>
        <w:tabs>
          <w:tab w:leader="none" w:pos="32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 xml:space="preserve">See </w:t>
      </w:r>
      <w:r>
        <w:rPr>
          <w:rFonts w:ascii="Arial" w:cs="Arial" w:eastAsia="Arial" w:hAnsi="Arial"/>
          <w:sz w:val="13"/>
          <w:szCs w:val="13"/>
          <w:i w:val="1"/>
          <w:iCs w:val="1"/>
          <w:color w:val="auto"/>
        </w:rPr>
        <w:t>Appendix B</w:t>
      </w:r>
      <w:r>
        <w:rPr>
          <w:rFonts w:ascii="Arial" w:cs="Arial" w:eastAsia="Arial" w:hAnsi="Arial"/>
          <w:sz w:val="13"/>
          <w:szCs w:val="13"/>
          <w:color w:val="auto"/>
        </w:rPr>
        <w:t xml:space="preserve"> for definition and reconciliation of this non-GAAP financial measure.</w:t>
      </w:r>
    </w:p>
    <w:p>
      <w:pPr>
        <w:spacing w:after="0" w:line="16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For 2025, the level at which corporate financial performance goals were established was based on the Board-approved financial budget and the guidance provided to investors for the applicable calendar year, with "target" goals representing the Board-approved budget amounts. The target levels established below were rigorous. For Adjusted EBITDA, the target level for 2025 was established below 2024 actual results in light of the headwinds facing the Company and the industry as a whole, including: a decrease in tower and small cells leasing activity due to reduced network spending by the major telecommunications providers, an increase in tower, small cells and fiber solutions churn activity primarily driven by the T-Mobile US, Inc. and Sprint network consolidation and increases in borrowing costs due to higher interest rates.</w:t>
      </w:r>
    </w:p>
    <w:p>
      <w:pPr>
        <w:spacing w:after="0" w:line="13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following table presents the 2025 corporate financial performance goals and actual results considered by the Committee in determining the NEOs' 2025 annual incentives. For each NEO, the annual incentive is financially driven, based on an objective formula that weighs the performance measures of Adjusted EBITDA at 70% and organic revenue growth at 30%. Based on actual performance and weighting of these metrics, each NEO received a payout of 139.16% of target as set forth in the table above.</w:t>
      </w:r>
    </w:p>
    <w:p>
      <w:pPr>
        <w:spacing w:after="0" w:line="204"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520B90"/>
        </w:rPr>
        <w:t>Annual Incentive Performance Metrics, Weighting, Payout Range and Achievement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7138670</wp:posOffset>
            </wp:positionH>
            <wp:positionV relativeFrom="paragraph">
              <wp:posOffset>107315</wp:posOffset>
            </wp:positionV>
            <wp:extent cx="825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3667760</wp:posOffset>
            </wp:positionH>
            <wp:positionV relativeFrom="paragraph">
              <wp:posOffset>107315</wp:posOffset>
            </wp:positionV>
            <wp:extent cx="825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107315</wp:posOffset>
            </wp:positionV>
            <wp:extent cx="825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107315</wp:posOffset>
            </wp:positionV>
            <wp:extent cx="825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88265</wp:posOffset>
            </wp:positionV>
            <wp:extent cx="7143115" cy="127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43115" cy="12700"/>
                    </a:xfrm>
                    <a:prstGeom prst="rect">
                      <a:avLst/>
                    </a:prstGeom>
                    <a:noFill/>
                  </pic:spPr>
                </pic:pic>
              </a:graphicData>
            </a:graphic>
          </wp:anchor>
        </w:drawing>
      </w:r>
    </w:p>
    <w:p>
      <w:pPr>
        <w:spacing w:after="0" w:line="150" w:lineRule="exact"/>
        <w:rPr>
          <w:sz w:val="20"/>
          <w:szCs w:val="20"/>
          <w:color w:val="auto"/>
        </w:rPr>
      </w:pPr>
    </w:p>
    <w:p>
      <w:pPr>
        <w:ind w:left="2280"/>
        <w:spacing w:after="0"/>
        <w:tabs>
          <w:tab w:leader="none" w:pos="7940" w:val="left"/>
        </w:tabs>
        <w:rPr>
          <w:sz w:val="20"/>
          <w:szCs w:val="20"/>
          <w:color w:val="auto"/>
        </w:rPr>
      </w:pPr>
      <w:r>
        <w:rPr>
          <w:rFonts w:ascii="Arial" w:cs="Arial" w:eastAsia="Arial" w:hAnsi="Arial"/>
          <w:sz w:val="16"/>
          <w:szCs w:val="16"/>
          <w:b w:val="1"/>
          <w:bCs w:val="1"/>
          <w:i w:val="1"/>
          <w:iCs w:val="1"/>
          <w:color w:val="520B90"/>
        </w:rPr>
        <w:t>70% Weighting</w:t>
      </w:r>
      <w:r>
        <w:rPr>
          <w:sz w:val="20"/>
          <w:szCs w:val="20"/>
          <w:color w:val="auto"/>
        </w:rPr>
        <w:tab/>
      </w:r>
      <w:r>
        <w:rPr>
          <w:rFonts w:ascii="Arial" w:cs="Arial" w:eastAsia="Arial" w:hAnsi="Arial"/>
          <w:sz w:val="15"/>
          <w:szCs w:val="15"/>
          <w:b w:val="1"/>
          <w:bCs w:val="1"/>
          <w:i w:val="1"/>
          <w:iCs w:val="1"/>
          <w:color w:val="520B90"/>
        </w:rPr>
        <w:t>30% Weighting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7138670</wp:posOffset>
            </wp:positionH>
            <wp:positionV relativeFrom="paragraph">
              <wp:posOffset>-100330</wp:posOffset>
            </wp:positionV>
            <wp:extent cx="825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7138670</wp:posOffset>
            </wp:positionH>
            <wp:positionV relativeFrom="paragraph">
              <wp:posOffset>-83185</wp:posOffset>
            </wp:positionV>
            <wp:extent cx="825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7138670</wp:posOffset>
            </wp:positionH>
            <wp:positionV relativeFrom="paragraph">
              <wp:posOffset>-66675</wp:posOffset>
            </wp:positionV>
            <wp:extent cx="825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7138670</wp:posOffset>
            </wp:positionH>
            <wp:positionV relativeFrom="paragraph">
              <wp:posOffset>-49530</wp:posOffset>
            </wp:positionV>
            <wp:extent cx="825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7138670</wp:posOffset>
            </wp:positionH>
            <wp:positionV relativeFrom="paragraph">
              <wp:posOffset>-33020</wp:posOffset>
            </wp:positionV>
            <wp:extent cx="825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7138670</wp:posOffset>
            </wp:positionH>
            <wp:positionV relativeFrom="paragraph">
              <wp:posOffset>-15875</wp:posOffset>
            </wp:positionV>
            <wp:extent cx="825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7138670</wp:posOffset>
            </wp:positionH>
            <wp:positionV relativeFrom="paragraph">
              <wp:posOffset>0</wp:posOffset>
            </wp:positionV>
            <wp:extent cx="825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7138670</wp:posOffset>
            </wp:positionH>
            <wp:positionV relativeFrom="paragraph">
              <wp:posOffset>17145</wp:posOffset>
            </wp:positionV>
            <wp:extent cx="825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3667760</wp:posOffset>
            </wp:positionH>
            <wp:positionV relativeFrom="paragraph">
              <wp:posOffset>-100330</wp:posOffset>
            </wp:positionV>
            <wp:extent cx="825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3667760</wp:posOffset>
            </wp:positionH>
            <wp:positionV relativeFrom="paragraph">
              <wp:posOffset>-83185</wp:posOffset>
            </wp:positionV>
            <wp:extent cx="825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3667760</wp:posOffset>
            </wp:positionH>
            <wp:positionV relativeFrom="paragraph">
              <wp:posOffset>-66675</wp:posOffset>
            </wp:positionV>
            <wp:extent cx="825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3667760</wp:posOffset>
            </wp:positionH>
            <wp:positionV relativeFrom="paragraph">
              <wp:posOffset>-49530</wp:posOffset>
            </wp:positionV>
            <wp:extent cx="825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3667760</wp:posOffset>
            </wp:positionH>
            <wp:positionV relativeFrom="paragraph">
              <wp:posOffset>-33020</wp:posOffset>
            </wp:positionV>
            <wp:extent cx="825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3667760</wp:posOffset>
            </wp:positionH>
            <wp:positionV relativeFrom="paragraph">
              <wp:posOffset>-15875</wp:posOffset>
            </wp:positionV>
            <wp:extent cx="825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3667760</wp:posOffset>
            </wp:positionH>
            <wp:positionV relativeFrom="paragraph">
              <wp:posOffset>0</wp:posOffset>
            </wp:positionV>
            <wp:extent cx="825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-100330</wp:posOffset>
            </wp:positionV>
            <wp:extent cx="3672840" cy="13462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672840" cy="134620"/>
                    </a:xfrm>
                    <a:prstGeom prst="rect">
                      <a:avLst/>
                    </a:prstGeom>
                    <a:noFill/>
                  </pic:spPr>
                </pic:pic>
              </a:graphicData>
            </a:graphic>
          </wp:anchor>
        </w:drawing>
      </w:r>
    </w:p>
    <w:p>
      <w:pPr>
        <w:sectPr>
          <w:pgSz w:w="11900" w:h="16838" w:orient="portrait"/>
          <w:cols w:equalWidth="0" w:num="1">
            <w:col w:w="11260"/>
          </w:cols>
          <w:pgMar w:left="320" w:top="1393" w:right="319" w:bottom="1440" w:gutter="0" w:footer="0" w:header="0"/>
        </w:sectPr>
      </w:pP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96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520B90"/>
                <w:w w:val="98"/>
              </w:rPr>
              <w:t>Performance Level</w:t>
            </w:r>
          </w:p>
        </w:tc>
        <w:tc>
          <w:tcPr>
            <w:tcW w:w="80" w:type="dxa"/>
            <w:vAlign w:val="bottom"/>
          </w:tcPr>
          <w:p>
            <w:pPr>
              <w:spacing w:after="0"/>
              <w:rPr>
                <w:sz w:val="21"/>
                <w:szCs w:val="21"/>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520B90"/>
                <w:w w:val="95"/>
              </w:rPr>
              <w:t>Adjusted EBITDA</w:t>
            </w:r>
            <w:r>
              <w:rPr>
                <w:rFonts w:ascii="Arial" w:cs="Arial" w:eastAsia="Arial" w:hAnsi="Arial"/>
                <w:sz w:val="22"/>
                <w:szCs w:val="22"/>
                <w:b w:val="1"/>
                <w:bCs w:val="1"/>
                <w:color w:val="520B90"/>
                <w:w w:val="95"/>
                <w:vertAlign w:val="superscript"/>
              </w:rPr>
              <w:t>(a)</w:t>
            </w:r>
          </w:p>
        </w:tc>
        <w:tc>
          <w:tcPr>
            <w:tcW w:w="10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520B90"/>
                <w:w w:val="99"/>
              </w:rPr>
              <w:t>Percent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19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b w:val="1"/>
                <w:bCs w:val="1"/>
                <w:color w:val="520B90"/>
                <w:w w:val="98"/>
              </w:rPr>
              <w:t>($ in millions)</w:t>
            </w:r>
          </w:p>
        </w:tc>
        <w:tc>
          <w:tcPr>
            <w:tcW w:w="100" w:type="dxa"/>
            <w:vAlign w:val="bottom"/>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18"/>
                <w:szCs w:val="18"/>
                <w:b w:val="1"/>
                <w:bCs w:val="1"/>
                <w:color w:val="520B90"/>
                <w:w w:val="96"/>
              </w:rPr>
              <w:t>Payout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1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228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1960" w:type="dxa"/>
            <w:vAlign w:val="bottom"/>
            <w:gridSpan w:val="2"/>
            <w:shd w:val="clear" w:color="auto" w:fill="E6E7E7"/>
          </w:tcPr>
          <w:p>
            <w:pPr>
              <w:jc w:val="center"/>
              <w:spacing w:after="0"/>
              <w:rPr>
                <w:sz w:val="20"/>
                <w:szCs w:val="20"/>
                <w:color w:val="auto"/>
              </w:rPr>
            </w:pPr>
            <w:r>
              <w:rPr>
                <w:rFonts w:ascii="Arial" w:cs="Arial" w:eastAsia="Arial" w:hAnsi="Arial"/>
                <w:sz w:val="18"/>
                <w:szCs w:val="18"/>
                <w:color w:val="auto"/>
                <w:w w:val="97"/>
              </w:rPr>
              <w:t>Maximum</w:t>
            </w:r>
          </w:p>
        </w:tc>
        <w:tc>
          <w:tcPr>
            <w:tcW w:w="80" w:type="dxa"/>
            <w:vAlign w:val="bottom"/>
            <w:vMerge w:val="continue"/>
          </w:tcPr>
          <w:p>
            <w:pPr>
              <w:spacing w:after="0"/>
              <w:rPr>
                <w:sz w:val="19"/>
                <w:szCs w:val="19"/>
                <w:color w:val="auto"/>
              </w:rPr>
            </w:pPr>
          </w:p>
        </w:tc>
        <w:tc>
          <w:tcPr>
            <w:tcW w:w="2280" w:type="dxa"/>
            <w:vAlign w:val="bottom"/>
            <w:shd w:val="clear" w:color="auto" w:fill="E6E7E7"/>
          </w:tcPr>
          <w:p>
            <w:pPr>
              <w:jc w:val="center"/>
              <w:spacing w:after="0"/>
              <w:rPr>
                <w:sz w:val="20"/>
                <w:szCs w:val="20"/>
                <w:color w:val="auto"/>
              </w:rPr>
            </w:pPr>
            <w:r>
              <w:rPr>
                <w:rFonts w:ascii="Arial" w:cs="Arial" w:eastAsia="Arial" w:hAnsi="Arial"/>
                <w:sz w:val="18"/>
                <w:szCs w:val="18"/>
                <w:color w:val="auto"/>
                <w:w w:val="98"/>
              </w:rPr>
              <w:t>$4,207</w:t>
            </w:r>
          </w:p>
        </w:tc>
        <w:tc>
          <w:tcPr>
            <w:tcW w:w="100" w:type="dxa"/>
            <w:vAlign w:val="bottom"/>
            <w:vMerge w:val="continue"/>
          </w:tcPr>
          <w:p>
            <w:pPr>
              <w:spacing w:after="0"/>
              <w:rPr>
                <w:sz w:val="19"/>
                <w:szCs w:val="19"/>
                <w:color w:val="auto"/>
              </w:rPr>
            </w:pPr>
          </w:p>
        </w:tc>
        <w:tc>
          <w:tcPr>
            <w:tcW w:w="1260" w:type="dxa"/>
            <w:vAlign w:val="bottom"/>
            <w:shd w:val="clear" w:color="auto" w:fill="E6E7E7"/>
          </w:tcPr>
          <w:p>
            <w:pPr>
              <w:jc w:val="center"/>
              <w:spacing w:after="0"/>
              <w:rPr>
                <w:sz w:val="20"/>
                <w:szCs w:val="20"/>
                <w:color w:val="auto"/>
              </w:rPr>
            </w:pPr>
            <w:r>
              <w:rPr>
                <w:rFonts w:ascii="Arial" w:cs="Arial" w:eastAsia="Arial" w:hAnsi="Arial"/>
                <w:sz w:val="18"/>
                <w:szCs w:val="18"/>
                <w:color w:val="auto"/>
                <w:w w:val="99"/>
              </w:rPr>
              <w:t>175%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960" w:type="dxa"/>
            <w:vAlign w:val="bottom"/>
            <w:gridSpan w:val="2"/>
          </w:tcPr>
          <w:p>
            <w:pPr>
              <w:jc w:val="center"/>
              <w:spacing w:after="0"/>
              <w:rPr>
                <w:sz w:val="20"/>
                <w:szCs w:val="20"/>
                <w:color w:val="auto"/>
              </w:rPr>
            </w:pPr>
            <w:r>
              <w:rPr>
                <w:rFonts w:ascii="Arial" w:cs="Arial" w:eastAsia="Arial" w:hAnsi="Arial"/>
                <w:sz w:val="18"/>
                <w:szCs w:val="18"/>
                <w:color w:val="auto"/>
                <w:w w:val="96"/>
              </w:rPr>
              <w:t>Target</w:t>
            </w:r>
          </w:p>
        </w:tc>
        <w:tc>
          <w:tcPr>
            <w:tcW w:w="80" w:type="dxa"/>
            <w:vAlign w:val="bottom"/>
          </w:tcPr>
          <w:p>
            <w:pPr>
              <w:spacing w:after="0"/>
              <w:rPr>
                <w:sz w:val="19"/>
                <w:szCs w:val="19"/>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8"/>
              </w:rPr>
              <w:t>$3,968</w:t>
            </w:r>
          </w:p>
        </w:tc>
        <w:tc>
          <w:tcPr>
            <w:tcW w:w="1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960" w:type="dxa"/>
            <w:vAlign w:val="bottom"/>
            <w:gridSpan w:val="2"/>
            <w:shd w:val="clear" w:color="auto" w:fill="E6E7E7"/>
          </w:tcPr>
          <w:p>
            <w:pPr>
              <w:jc w:val="center"/>
              <w:spacing w:after="0"/>
              <w:rPr>
                <w:sz w:val="20"/>
                <w:szCs w:val="20"/>
                <w:color w:val="auto"/>
              </w:rPr>
            </w:pPr>
            <w:r>
              <w:rPr>
                <w:rFonts w:ascii="Arial" w:cs="Arial" w:eastAsia="Arial" w:hAnsi="Arial"/>
                <w:sz w:val="18"/>
                <w:szCs w:val="18"/>
                <w:color w:val="auto"/>
                <w:w w:val="97"/>
              </w:rPr>
              <w:t>Threshold</w:t>
            </w:r>
          </w:p>
        </w:tc>
        <w:tc>
          <w:tcPr>
            <w:tcW w:w="80" w:type="dxa"/>
            <w:vAlign w:val="bottom"/>
          </w:tcPr>
          <w:p>
            <w:pPr>
              <w:spacing w:after="0"/>
              <w:rPr>
                <w:sz w:val="19"/>
                <w:szCs w:val="19"/>
                <w:color w:val="auto"/>
              </w:rPr>
            </w:pPr>
          </w:p>
        </w:tc>
        <w:tc>
          <w:tcPr>
            <w:tcW w:w="2280" w:type="dxa"/>
            <w:vAlign w:val="bottom"/>
            <w:shd w:val="clear" w:color="auto" w:fill="E6E7E7"/>
          </w:tcPr>
          <w:p>
            <w:pPr>
              <w:jc w:val="center"/>
              <w:spacing w:after="0"/>
              <w:rPr>
                <w:sz w:val="20"/>
                <w:szCs w:val="20"/>
                <w:color w:val="auto"/>
              </w:rPr>
            </w:pPr>
            <w:r>
              <w:rPr>
                <w:rFonts w:ascii="Arial" w:cs="Arial" w:eastAsia="Arial" w:hAnsi="Arial"/>
                <w:sz w:val="18"/>
                <w:szCs w:val="18"/>
                <w:color w:val="auto"/>
                <w:w w:val="98"/>
              </w:rPr>
              <w:t>$3,809</w:t>
            </w:r>
          </w:p>
        </w:tc>
        <w:tc>
          <w:tcPr>
            <w:tcW w:w="100" w:type="dxa"/>
            <w:vAlign w:val="bottom"/>
          </w:tcPr>
          <w:p>
            <w:pPr>
              <w:spacing w:after="0"/>
              <w:rPr>
                <w:sz w:val="19"/>
                <w:szCs w:val="19"/>
                <w:color w:val="auto"/>
              </w:rPr>
            </w:pPr>
          </w:p>
        </w:tc>
        <w:tc>
          <w:tcPr>
            <w:tcW w:w="1260" w:type="dxa"/>
            <w:vAlign w:val="bottom"/>
            <w:shd w:val="clear" w:color="auto" w:fill="E6E7E7"/>
          </w:tcPr>
          <w:p>
            <w:pPr>
              <w:jc w:val="center"/>
              <w:spacing w:after="0"/>
              <w:rPr>
                <w:sz w:val="20"/>
                <w:szCs w:val="20"/>
                <w:color w:val="auto"/>
              </w:rPr>
            </w:pPr>
            <w:r>
              <w:rPr>
                <w:rFonts w:ascii="Arial" w:cs="Arial" w:eastAsia="Arial" w:hAnsi="Arial"/>
                <w:sz w:val="18"/>
                <w:szCs w:val="18"/>
                <w:color w:val="auto"/>
                <w:w w:val="94"/>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960" w:type="dxa"/>
            <w:vAlign w:val="bottom"/>
            <w:tcBorders>
              <w:bottom w:val="single" w:sz="8" w:color="520B90"/>
            </w:tcBorders>
            <w:gridSpan w:val="2"/>
          </w:tcPr>
          <w:p>
            <w:pPr>
              <w:jc w:val="center"/>
              <w:spacing w:after="0"/>
              <w:rPr>
                <w:sz w:val="20"/>
                <w:szCs w:val="20"/>
                <w:color w:val="auto"/>
              </w:rPr>
            </w:pPr>
            <w:r>
              <w:rPr>
                <w:rFonts w:ascii="Arial" w:cs="Arial" w:eastAsia="Arial" w:hAnsi="Arial"/>
                <w:sz w:val="18"/>
                <w:szCs w:val="18"/>
                <w:color w:val="auto"/>
                <w:w w:val="98"/>
              </w:rPr>
              <w:t>Below Threshold</w:t>
            </w:r>
          </w:p>
        </w:tc>
        <w:tc>
          <w:tcPr>
            <w:tcW w:w="80" w:type="dxa"/>
            <w:vAlign w:val="bottom"/>
          </w:tcPr>
          <w:p>
            <w:pPr>
              <w:spacing w:after="0"/>
              <w:rPr>
                <w:sz w:val="19"/>
                <w:szCs w:val="19"/>
                <w:color w:val="auto"/>
              </w:rPr>
            </w:pPr>
          </w:p>
        </w:tc>
        <w:tc>
          <w:tcPr>
            <w:tcW w:w="2280" w:type="dxa"/>
            <w:vAlign w:val="bottom"/>
            <w:tcBorders>
              <w:bottom w:val="single" w:sz="8" w:color="520B90"/>
            </w:tcBorders>
          </w:tcPr>
          <w:p>
            <w:pPr>
              <w:jc w:val="center"/>
              <w:spacing w:after="0"/>
              <w:rPr>
                <w:sz w:val="20"/>
                <w:szCs w:val="20"/>
                <w:color w:val="auto"/>
              </w:rPr>
            </w:pPr>
            <w:r>
              <w:rPr>
                <w:rFonts w:ascii="Arial" w:cs="Arial" w:eastAsia="Arial" w:hAnsi="Arial"/>
                <w:sz w:val="18"/>
                <w:szCs w:val="18"/>
                <w:color w:val="auto"/>
                <w:w w:val="97"/>
              </w:rPr>
              <w:t>&lt;$3,809</w:t>
            </w:r>
          </w:p>
        </w:tc>
        <w:tc>
          <w:tcPr>
            <w:tcW w:w="100" w:type="dxa"/>
            <w:vAlign w:val="bottom"/>
          </w:tcPr>
          <w:p>
            <w:pPr>
              <w:spacing w:after="0"/>
              <w:rPr>
                <w:sz w:val="19"/>
                <w:szCs w:val="19"/>
                <w:color w:val="auto"/>
              </w:rPr>
            </w:pPr>
          </w:p>
        </w:tc>
        <w:tc>
          <w:tcPr>
            <w:tcW w:w="1260" w:type="dxa"/>
            <w:vAlign w:val="bottom"/>
            <w:tcBorders>
              <w:bottom w:val="single" w:sz="8" w:color="520B90"/>
            </w:tcBorders>
          </w:tcPr>
          <w:p>
            <w:pPr>
              <w:jc w:val="center"/>
              <w:spacing w:after="0"/>
              <w:rPr>
                <w:sz w:val="20"/>
                <w:szCs w:val="20"/>
                <w:color w:val="auto"/>
              </w:rPr>
            </w:pPr>
            <w:r>
              <w:rPr>
                <w:rFonts w:ascii="Arial" w:cs="Arial" w:eastAsia="Arial" w:hAnsi="Arial"/>
                <w:sz w:val="18"/>
                <w:szCs w:val="18"/>
                <w:color w:val="auto"/>
                <w:w w:val="99"/>
              </w:rPr>
              <w:t>0%</w:t>
            </w:r>
          </w:p>
        </w:tc>
        <w:tc>
          <w:tcPr>
            <w:tcW w:w="20" w:type="dxa"/>
            <w:vAlign w:val="bottom"/>
            <w:tcBorders>
              <w:bottom w:val="single" w:sz="8" w:color="520B90"/>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960" w:type="dxa"/>
            <w:vAlign w:val="bottom"/>
            <w:tcBorders>
              <w:bottom w:val="single" w:sz="8" w:color="520B90"/>
            </w:tcBorders>
            <w:gridSpan w:val="2"/>
            <w:shd w:val="clear" w:color="auto" w:fill="E6E7E7"/>
          </w:tcPr>
          <w:p>
            <w:pPr>
              <w:jc w:val="center"/>
              <w:spacing w:after="0"/>
              <w:rPr>
                <w:sz w:val="20"/>
                <w:szCs w:val="20"/>
                <w:color w:val="auto"/>
              </w:rPr>
            </w:pPr>
            <w:r>
              <w:rPr>
                <w:rFonts w:ascii="Arial" w:cs="Arial" w:eastAsia="Arial" w:hAnsi="Arial"/>
                <w:sz w:val="18"/>
                <w:szCs w:val="18"/>
                <w:color w:val="auto"/>
                <w:w w:val="95"/>
              </w:rPr>
              <w:t>Actual</w:t>
            </w:r>
          </w:p>
        </w:tc>
        <w:tc>
          <w:tcPr>
            <w:tcW w:w="80" w:type="dxa"/>
            <w:vAlign w:val="bottom"/>
            <w:tcBorders>
              <w:bottom w:val="single" w:sz="8" w:color="520B90"/>
            </w:tcBorders>
          </w:tcPr>
          <w:p>
            <w:pPr>
              <w:spacing w:after="0"/>
              <w:rPr>
                <w:sz w:val="20"/>
                <w:szCs w:val="20"/>
                <w:color w:val="auto"/>
              </w:rPr>
            </w:pPr>
          </w:p>
        </w:tc>
        <w:tc>
          <w:tcPr>
            <w:tcW w:w="2280" w:type="dxa"/>
            <w:vAlign w:val="bottom"/>
            <w:tcBorders>
              <w:bottom w:val="single" w:sz="8" w:color="520B90"/>
            </w:tcBorders>
            <w:shd w:val="clear" w:color="auto" w:fill="E6E7E7"/>
          </w:tcPr>
          <w:p>
            <w:pPr>
              <w:jc w:val="center"/>
              <w:spacing w:after="0"/>
              <w:rPr>
                <w:sz w:val="20"/>
                <w:szCs w:val="20"/>
                <w:color w:val="auto"/>
              </w:rPr>
            </w:pPr>
            <w:r>
              <w:rPr>
                <w:rFonts w:ascii="Arial" w:cs="Arial" w:eastAsia="Arial" w:hAnsi="Arial"/>
                <w:sz w:val="18"/>
                <w:szCs w:val="18"/>
                <w:color w:val="auto"/>
                <w:w w:val="98"/>
              </w:rPr>
              <w:t>$4,004</w:t>
            </w:r>
          </w:p>
        </w:tc>
        <w:tc>
          <w:tcPr>
            <w:tcW w:w="100" w:type="dxa"/>
            <w:vAlign w:val="bottom"/>
            <w:tcBorders>
              <w:bottom w:val="single" w:sz="8" w:color="520B90"/>
            </w:tcBorders>
          </w:tcPr>
          <w:p>
            <w:pPr>
              <w:spacing w:after="0"/>
              <w:rPr>
                <w:sz w:val="20"/>
                <w:szCs w:val="20"/>
                <w:color w:val="auto"/>
              </w:rPr>
            </w:pPr>
          </w:p>
        </w:tc>
        <w:tc>
          <w:tcPr>
            <w:tcW w:w="1260" w:type="dxa"/>
            <w:vAlign w:val="bottom"/>
            <w:tcBorders>
              <w:bottom w:val="single" w:sz="8" w:color="520B90"/>
            </w:tcBorders>
            <w:shd w:val="clear" w:color="auto" w:fill="E6E7E7"/>
          </w:tcPr>
          <w:p>
            <w:pPr>
              <w:jc w:val="center"/>
              <w:spacing w:after="0"/>
              <w:rPr>
                <w:sz w:val="20"/>
                <w:szCs w:val="20"/>
                <w:color w:val="auto"/>
              </w:rPr>
            </w:pPr>
            <w:r>
              <w:rPr>
                <w:rFonts w:ascii="Arial" w:cs="Arial" w:eastAsia="Arial" w:hAnsi="Arial"/>
                <w:sz w:val="18"/>
                <w:szCs w:val="18"/>
                <w:color w:val="auto"/>
                <w:w w:val="99"/>
              </w:rPr>
              <w:t>124%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E6E7E7"/>
              <w:bottom w:val="single" w:sz="8" w:color="520B90"/>
            </w:tcBorders>
          </w:tcPr>
          <w:p>
            <w:pPr>
              <w:spacing w:after="0" w:line="20" w:lineRule="exact"/>
              <w:rPr>
                <w:sz w:val="1"/>
                <w:szCs w:val="1"/>
                <w:color w:val="auto"/>
              </w:rPr>
            </w:pPr>
          </w:p>
        </w:tc>
        <w:tc>
          <w:tcPr>
            <w:tcW w:w="800" w:type="dxa"/>
            <w:vAlign w:val="bottom"/>
            <w:tcBorders>
              <w:top w:val="single" w:sz="8" w:color="E6E7E7"/>
              <w:bottom w:val="single" w:sz="8" w:color="520B90"/>
            </w:tcBorders>
          </w:tcPr>
          <w:p>
            <w:pPr>
              <w:spacing w:after="0" w:line="20" w:lineRule="exact"/>
              <w:rPr>
                <w:sz w:val="1"/>
                <w:szCs w:val="1"/>
                <w:color w:val="auto"/>
              </w:rPr>
            </w:pPr>
          </w:p>
        </w:tc>
        <w:tc>
          <w:tcPr>
            <w:tcW w:w="80" w:type="dxa"/>
            <w:vAlign w:val="bottom"/>
            <w:tcBorders>
              <w:bottom w:val="single" w:sz="8" w:color="520B90"/>
            </w:tcBorders>
          </w:tcPr>
          <w:p>
            <w:pPr>
              <w:spacing w:after="0" w:line="20" w:lineRule="exact"/>
              <w:rPr>
                <w:sz w:val="1"/>
                <w:szCs w:val="1"/>
                <w:color w:val="auto"/>
              </w:rPr>
            </w:pPr>
          </w:p>
        </w:tc>
        <w:tc>
          <w:tcPr>
            <w:tcW w:w="2280" w:type="dxa"/>
            <w:vAlign w:val="bottom"/>
            <w:tcBorders>
              <w:top w:val="single" w:sz="8" w:color="E6E7E7"/>
              <w:bottom w:val="single" w:sz="8" w:color="520B90"/>
            </w:tcBorders>
          </w:tcPr>
          <w:p>
            <w:pPr>
              <w:spacing w:after="0" w:line="20" w:lineRule="exact"/>
              <w:rPr>
                <w:sz w:val="1"/>
                <w:szCs w:val="1"/>
                <w:color w:val="auto"/>
              </w:rPr>
            </w:pPr>
          </w:p>
        </w:tc>
        <w:tc>
          <w:tcPr>
            <w:tcW w:w="100" w:type="dxa"/>
            <w:vAlign w:val="bottom"/>
            <w:tcBorders>
              <w:bottom w:val="single" w:sz="8" w:color="520B90"/>
            </w:tcBorders>
          </w:tcPr>
          <w:p>
            <w:pPr>
              <w:spacing w:after="0" w:line="20" w:lineRule="exact"/>
              <w:rPr>
                <w:sz w:val="1"/>
                <w:szCs w:val="1"/>
                <w:color w:val="auto"/>
              </w:rPr>
            </w:pPr>
          </w:p>
        </w:tc>
        <w:tc>
          <w:tcPr>
            <w:tcW w:w="1260" w:type="dxa"/>
            <w:vAlign w:val="bottom"/>
            <w:tcBorders>
              <w:top w:val="single" w:sz="8" w:color="E6E7E7"/>
              <w:bottom w:val="single" w:sz="8" w:color="520B9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1160" w:type="dxa"/>
            <w:vAlign w:val="bottom"/>
            <w:tcBorders>
              <w:bottom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3609340</wp:posOffset>
            </wp:positionH>
            <wp:positionV relativeFrom="paragraph">
              <wp:posOffset>-427990</wp:posOffset>
            </wp:positionV>
            <wp:extent cx="825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-410845</wp:posOffset>
            </wp:positionV>
            <wp:extent cx="825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-394335</wp:posOffset>
            </wp:positionV>
            <wp:extent cx="825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-377825</wp:posOffset>
            </wp:positionV>
            <wp:extent cx="825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-360680</wp:posOffset>
            </wp:positionV>
            <wp:extent cx="825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-344170</wp:posOffset>
            </wp:positionV>
            <wp:extent cx="825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-327025</wp:posOffset>
            </wp:positionV>
            <wp:extent cx="825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-310515</wp:posOffset>
            </wp:positionV>
            <wp:extent cx="825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-427990</wp:posOffset>
            </wp:positionV>
            <wp:extent cx="825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-410845</wp:posOffset>
            </wp:positionV>
            <wp:extent cx="825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-394335</wp:posOffset>
            </wp:positionV>
            <wp:extent cx="825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-377825</wp:posOffset>
            </wp:positionV>
            <wp:extent cx="825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-360680</wp:posOffset>
            </wp:positionV>
            <wp:extent cx="825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-344170</wp:posOffset>
            </wp:positionV>
            <wp:extent cx="825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-327025</wp:posOffset>
            </wp:positionV>
            <wp:extent cx="825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-310515</wp:posOffset>
            </wp:positionV>
            <wp:extent cx="825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-570865</wp:posOffset>
            </wp:positionV>
            <wp:extent cx="825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-553720</wp:posOffset>
            </wp:positionV>
            <wp:extent cx="825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-537210</wp:posOffset>
            </wp:positionV>
            <wp:extent cx="825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-520700</wp:posOffset>
            </wp:positionV>
            <wp:extent cx="825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-503555</wp:posOffset>
            </wp:positionV>
            <wp:extent cx="825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-487045</wp:posOffset>
            </wp:positionV>
            <wp:extent cx="825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-469900</wp:posOffset>
            </wp:positionV>
            <wp:extent cx="825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-453390</wp:posOffset>
            </wp:positionV>
            <wp:extent cx="8255" cy="1651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255" cy="16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-570865</wp:posOffset>
            </wp:positionV>
            <wp:extent cx="825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-553720</wp:posOffset>
            </wp:positionV>
            <wp:extent cx="825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-537210</wp:posOffset>
            </wp:positionV>
            <wp:extent cx="825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-520700</wp:posOffset>
            </wp:positionV>
            <wp:extent cx="825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-503555</wp:posOffset>
            </wp:positionV>
            <wp:extent cx="825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-487045</wp:posOffset>
            </wp:positionV>
            <wp:extent cx="825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-469900</wp:posOffset>
            </wp:positionV>
            <wp:extent cx="825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-453390</wp:posOffset>
            </wp:positionV>
            <wp:extent cx="8255" cy="1651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255" cy="16510"/>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-713740</wp:posOffset>
            </wp:positionV>
            <wp:extent cx="825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-696595</wp:posOffset>
            </wp:positionV>
            <wp:extent cx="825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-680085</wp:posOffset>
            </wp:positionV>
            <wp:extent cx="825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-663575</wp:posOffset>
            </wp:positionV>
            <wp:extent cx="825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-646430</wp:posOffset>
            </wp:positionV>
            <wp:extent cx="825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-629920</wp:posOffset>
            </wp:positionV>
            <wp:extent cx="825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-612775</wp:posOffset>
            </wp:positionV>
            <wp:extent cx="825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-596265</wp:posOffset>
            </wp:positionV>
            <wp:extent cx="8255" cy="1651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255" cy="16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-713740</wp:posOffset>
            </wp:positionV>
            <wp:extent cx="825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-696595</wp:posOffset>
            </wp:positionV>
            <wp:extent cx="825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-680085</wp:posOffset>
            </wp:positionV>
            <wp:extent cx="825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-663575</wp:posOffset>
            </wp:positionV>
            <wp:extent cx="825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-646430</wp:posOffset>
            </wp:positionV>
            <wp:extent cx="825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-629920</wp:posOffset>
            </wp:positionV>
            <wp:extent cx="825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-612775</wp:posOffset>
            </wp:positionV>
            <wp:extent cx="825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-596265</wp:posOffset>
            </wp:positionV>
            <wp:extent cx="8255" cy="1651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255" cy="16510"/>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-856615</wp:posOffset>
            </wp:positionV>
            <wp:extent cx="825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-839470</wp:posOffset>
            </wp:positionV>
            <wp:extent cx="825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-822960</wp:posOffset>
            </wp:positionV>
            <wp:extent cx="825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-806450</wp:posOffset>
            </wp:positionV>
            <wp:extent cx="825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-789305</wp:posOffset>
            </wp:positionV>
            <wp:extent cx="825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-772795</wp:posOffset>
            </wp:positionV>
            <wp:extent cx="825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-755650</wp:posOffset>
            </wp:positionV>
            <wp:extent cx="825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-739140</wp:posOffset>
            </wp:positionV>
            <wp:extent cx="8255" cy="1651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255" cy="16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-856615</wp:posOffset>
            </wp:positionV>
            <wp:extent cx="825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-839470</wp:posOffset>
            </wp:positionV>
            <wp:extent cx="825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-822960</wp:posOffset>
            </wp:positionV>
            <wp:extent cx="825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-806450</wp:posOffset>
            </wp:positionV>
            <wp:extent cx="825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-789305</wp:posOffset>
            </wp:positionV>
            <wp:extent cx="825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-772795</wp:posOffset>
            </wp:positionV>
            <wp:extent cx="825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-755650</wp:posOffset>
            </wp:positionV>
            <wp:extent cx="825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-739140</wp:posOffset>
            </wp:positionV>
            <wp:extent cx="8255" cy="1651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255" cy="16510"/>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-1243330</wp:posOffset>
            </wp:positionV>
            <wp:extent cx="8255" cy="1651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255" cy="16510"/>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-1217930</wp:posOffset>
            </wp:positionV>
            <wp:extent cx="825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-1201420</wp:posOffset>
            </wp:positionV>
            <wp:extent cx="825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-1184275</wp:posOffset>
            </wp:positionV>
            <wp:extent cx="825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-1167765</wp:posOffset>
            </wp:positionV>
            <wp:extent cx="825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-1150620</wp:posOffset>
            </wp:positionV>
            <wp:extent cx="825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-1134110</wp:posOffset>
            </wp:positionV>
            <wp:extent cx="825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-1116965</wp:posOffset>
            </wp:positionV>
            <wp:extent cx="825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-1100455</wp:posOffset>
            </wp:positionV>
            <wp:extent cx="825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-1083310</wp:posOffset>
            </wp:positionV>
            <wp:extent cx="825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-1066800</wp:posOffset>
            </wp:positionV>
            <wp:extent cx="825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-1049655</wp:posOffset>
            </wp:positionV>
            <wp:extent cx="825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-1033145</wp:posOffset>
            </wp:positionV>
            <wp:extent cx="825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-1016000</wp:posOffset>
            </wp:positionV>
            <wp:extent cx="825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-999490</wp:posOffset>
            </wp:positionV>
            <wp:extent cx="825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-982345</wp:posOffset>
            </wp:positionV>
            <wp:extent cx="825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-965835</wp:posOffset>
            </wp:positionV>
            <wp:extent cx="825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-949325</wp:posOffset>
            </wp:positionV>
            <wp:extent cx="825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-932180</wp:posOffset>
            </wp:positionV>
            <wp:extent cx="825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-915670</wp:posOffset>
            </wp:positionV>
            <wp:extent cx="825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-898525</wp:posOffset>
            </wp:positionV>
            <wp:extent cx="825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-882015</wp:posOffset>
            </wp:positionV>
            <wp:extent cx="8255" cy="1651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255" cy="16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-1234440</wp:posOffset>
            </wp:positionV>
            <wp:extent cx="825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-1217930</wp:posOffset>
            </wp:positionV>
            <wp:extent cx="825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-1201420</wp:posOffset>
            </wp:positionV>
            <wp:extent cx="825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-1184275</wp:posOffset>
            </wp:positionV>
            <wp:extent cx="825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-1167765</wp:posOffset>
            </wp:positionV>
            <wp:extent cx="825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-1150620</wp:posOffset>
            </wp:positionV>
            <wp:extent cx="825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-1134110</wp:posOffset>
            </wp:positionV>
            <wp:extent cx="825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-1116965</wp:posOffset>
            </wp:positionV>
            <wp:extent cx="825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-1100455</wp:posOffset>
            </wp:positionV>
            <wp:extent cx="825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-1083310</wp:posOffset>
            </wp:positionV>
            <wp:extent cx="825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-1066800</wp:posOffset>
            </wp:positionV>
            <wp:extent cx="825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-1049655</wp:posOffset>
            </wp:positionV>
            <wp:extent cx="825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-1033145</wp:posOffset>
            </wp:positionV>
            <wp:extent cx="825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-1016000</wp:posOffset>
            </wp:positionV>
            <wp:extent cx="825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-999490</wp:posOffset>
            </wp:positionV>
            <wp:extent cx="825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-982345</wp:posOffset>
            </wp:positionV>
            <wp:extent cx="825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-965835</wp:posOffset>
            </wp:positionV>
            <wp:extent cx="825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-949325</wp:posOffset>
            </wp:positionV>
            <wp:extent cx="825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-932180</wp:posOffset>
            </wp:positionV>
            <wp:extent cx="825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-915670</wp:posOffset>
            </wp:positionV>
            <wp:extent cx="825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-898525</wp:posOffset>
            </wp:positionV>
            <wp:extent cx="825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-882015</wp:posOffset>
            </wp:positionV>
            <wp:extent cx="8255" cy="1651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1840" w:type="dxa"/>
            <w:vAlign w:val="bottom"/>
            <w:tcBorders>
              <w:top w:val="single" w:sz="8" w:color="520B90"/>
            </w:tcBorders>
            <w:vMerge w:val="restart"/>
          </w:tcPr>
          <w:p>
            <w:pPr>
              <w:jc w:val="center"/>
              <w:spacing w:after="0"/>
              <w:rPr>
                <w:sz w:val="20"/>
                <w:szCs w:val="20"/>
                <w:color w:val="auto"/>
              </w:rPr>
            </w:pPr>
            <w:r>
              <w:rPr>
                <w:rFonts w:ascii="Arial" w:cs="Arial" w:eastAsia="Arial" w:hAnsi="Arial"/>
                <w:sz w:val="18"/>
                <w:szCs w:val="18"/>
                <w:b w:val="1"/>
                <w:bCs w:val="1"/>
                <w:color w:val="520B90"/>
                <w:w w:val="98"/>
              </w:rPr>
              <w:t>Performance Level</w:t>
            </w:r>
          </w:p>
        </w:tc>
        <w:tc>
          <w:tcPr>
            <w:tcW w:w="100" w:type="dxa"/>
            <w:vAlign w:val="bottom"/>
            <w:tcBorders>
              <w:top w:val="single" w:sz="8" w:color="520B90"/>
            </w:tcBorders>
          </w:tcPr>
          <w:p>
            <w:pPr>
              <w:spacing w:after="0"/>
              <w:rPr>
                <w:sz w:val="15"/>
                <w:szCs w:val="15"/>
                <w:color w:val="auto"/>
              </w:rPr>
            </w:pPr>
          </w:p>
        </w:tc>
        <w:tc>
          <w:tcPr>
            <w:tcW w:w="2120" w:type="dxa"/>
            <w:vAlign w:val="bottom"/>
            <w:tcBorders>
              <w:top w:val="single" w:sz="8" w:color="520B90"/>
            </w:tcBorders>
          </w:tcPr>
          <w:p>
            <w:pPr>
              <w:jc w:val="center"/>
              <w:spacing w:after="0" w:line="174" w:lineRule="exact"/>
              <w:rPr>
                <w:sz w:val="20"/>
                <w:szCs w:val="20"/>
                <w:color w:val="auto"/>
              </w:rPr>
            </w:pPr>
            <w:r>
              <w:rPr>
                <w:rFonts w:ascii="Arial" w:cs="Arial" w:eastAsia="Arial" w:hAnsi="Arial"/>
                <w:sz w:val="18"/>
                <w:szCs w:val="18"/>
                <w:b w:val="1"/>
                <w:bCs w:val="1"/>
                <w:color w:val="520B90"/>
                <w:w w:val="97"/>
              </w:rPr>
              <w:t>Organic Revenue</w:t>
            </w:r>
          </w:p>
        </w:tc>
        <w:tc>
          <w:tcPr>
            <w:tcW w:w="100" w:type="dxa"/>
            <w:vAlign w:val="bottom"/>
            <w:tcBorders>
              <w:top w:val="single" w:sz="8" w:color="520B90"/>
            </w:tcBorders>
          </w:tcPr>
          <w:p>
            <w:pPr>
              <w:spacing w:after="0"/>
              <w:rPr>
                <w:sz w:val="15"/>
                <w:szCs w:val="15"/>
                <w:color w:val="auto"/>
              </w:rPr>
            </w:pPr>
          </w:p>
        </w:tc>
        <w:tc>
          <w:tcPr>
            <w:tcW w:w="1300" w:type="dxa"/>
            <w:vAlign w:val="bottom"/>
            <w:tcBorders>
              <w:top w:val="single" w:sz="8" w:color="520B90"/>
            </w:tcBorders>
            <w:vMerge w:val="restart"/>
          </w:tcPr>
          <w:p>
            <w:pPr>
              <w:jc w:val="center"/>
              <w:spacing w:after="0"/>
              <w:rPr>
                <w:sz w:val="20"/>
                <w:szCs w:val="20"/>
                <w:color w:val="auto"/>
              </w:rPr>
            </w:pPr>
            <w:r>
              <w:rPr>
                <w:rFonts w:ascii="Arial" w:cs="Arial" w:eastAsia="Arial" w:hAnsi="Arial"/>
                <w:sz w:val="18"/>
                <w:szCs w:val="18"/>
                <w:b w:val="1"/>
                <w:bCs w:val="1"/>
                <w:color w:val="520B90"/>
                <w:w w:val="99"/>
              </w:rPr>
              <w:t>Percent</w:t>
            </w:r>
          </w:p>
        </w:tc>
        <w:tc>
          <w:tcPr>
            <w:tcW w:w="20" w:type="dxa"/>
            <w:vAlign w:val="bottom"/>
            <w:tcBorders>
              <w:top w:val="single" w:sz="8" w:color="520B90"/>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tcPr>
          <w:p>
            <w:pPr>
              <w:jc w:val="center"/>
              <w:spacing w:after="0" w:line="172" w:lineRule="exact"/>
              <w:rPr>
                <w:sz w:val="20"/>
                <w:szCs w:val="20"/>
                <w:color w:val="auto"/>
              </w:rPr>
            </w:pPr>
            <w:r>
              <w:rPr>
                <w:rFonts w:ascii="Arial" w:cs="Arial" w:eastAsia="Arial" w:hAnsi="Arial"/>
                <w:sz w:val="15"/>
                <w:szCs w:val="15"/>
                <w:b w:val="1"/>
                <w:bCs w:val="1"/>
                <w:color w:val="520B90"/>
              </w:rPr>
              <w:t>Growth</w:t>
            </w:r>
            <w:r>
              <w:rPr>
                <w:rFonts w:ascii="Arial" w:cs="Arial" w:eastAsia="Arial" w:hAnsi="Arial"/>
                <w:sz w:val="19"/>
                <w:szCs w:val="19"/>
                <w:b w:val="1"/>
                <w:bCs w:val="1"/>
                <w:color w:val="520B90"/>
                <w:vertAlign w:val="superscript"/>
              </w:rPr>
              <w:t>(a)</w:t>
            </w:r>
          </w:p>
        </w:tc>
        <w:tc>
          <w:tcPr>
            <w:tcW w:w="10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vMerge w:val="restart"/>
          </w:tcPr>
          <w:p>
            <w:pPr>
              <w:jc w:val="center"/>
              <w:spacing w:after="0"/>
              <w:rPr>
                <w:sz w:val="20"/>
                <w:szCs w:val="20"/>
                <w:color w:val="auto"/>
              </w:rPr>
            </w:pPr>
            <w:r>
              <w:rPr>
                <w:rFonts w:ascii="Arial" w:cs="Arial" w:eastAsia="Arial" w:hAnsi="Arial"/>
                <w:sz w:val="18"/>
                <w:szCs w:val="18"/>
                <w:b w:val="1"/>
                <w:bCs w:val="1"/>
                <w:color w:val="520B90"/>
                <w:w w:val="96"/>
              </w:rPr>
              <w:t>($ in millions)</w:t>
            </w:r>
          </w:p>
        </w:tc>
        <w:tc>
          <w:tcPr>
            <w:tcW w:w="100" w:type="dxa"/>
            <w:vAlign w:val="bottom"/>
          </w:tcPr>
          <w:p>
            <w:pPr>
              <w:spacing w:after="0"/>
              <w:rPr>
                <w:sz w:val="16"/>
                <w:szCs w:val="16"/>
                <w:color w:val="auto"/>
              </w:rPr>
            </w:pPr>
          </w:p>
        </w:tc>
        <w:tc>
          <w:tcPr>
            <w:tcW w:w="1300" w:type="dxa"/>
            <w:vAlign w:val="bottom"/>
          </w:tcPr>
          <w:p>
            <w:pPr>
              <w:jc w:val="center"/>
              <w:spacing w:after="0" w:line="185" w:lineRule="exact"/>
              <w:rPr>
                <w:sz w:val="20"/>
                <w:szCs w:val="20"/>
                <w:color w:val="auto"/>
              </w:rPr>
            </w:pPr>
            <w:r>
              <w:rPr>
                <w:rFonts w:ascii="Arial" w:cs="Arial" w:eastAsia="Arial" w:hAnsi="Arial"/>
                <w:sz w:val="18"/>
                <w:szCs w:val="18"/>
                <w:b w:val="1"/>
                <w:bCs w:val="1"/>
                <w:color w:val="520B90"/>
                <w:w w:val="96"/>
              </w:rPr>
              <w:t>Payout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1840" w:type="dxa"/>
            <w:vAlign w:val="bottom"/>
            <w:shd w:val="clear" w:color="auto" w:fill="E6E7E7"/>
          </w:tcPr>
          <w:p>
            <w:pPr>
              <w:jc w:val="center"/>
              <w:spacing w:after="0"/>
              <w:rPr>
                <w:sz w:val="20"/>
                <w:szCs w:val="20"/>
                <w:color w:val="auto"/>
              </w:rPr>
            </w:pPr>
            <w:r>
              <w:rPr>
                <w:rFonts w:ascii="Arial" w:cs="Arial" w:eastAsia="Arial" w:hAnsi="Arial"/>
                <w:sz w:val="18"/>
                <w:szCs w:val="18"/>
                <w:color w:val="auto"/>
                <w:w w:val="99"/>
              </w:rPr>
              <w:t>Maximum</w:t>
            </w:r>
          </w:p>
        </w:tc>
        <w:tc>
          <w:tcPr>
            <w:tcW w:w="100" w:type="dxa"/>
            <w:vAlign w:val="bottom"/>
          </w:tcPr>
          <w:p>
            <w:pPr>
              <w:spacing w:after="0"/>
              <w:rPr>
                <w:sz w:val="19"/>
                <w:szCs w:val="19"/>
                <w:color w:val="auto"/>
              </w:rPr>
            </w:pPr>
          </w:p>
        </w:tc>
        <w:tc>
          <w:tcPr>
            <w:tcW w:w="2120" w:type="dxa"/>
            <w:vAlign w:val="bottom"/>
            <w:shd w:val="clear" w:color="auto" w:fill="E6E7E7"/>
          </w:tcPr>
          <w:p>
            <w:pPr>
              <w:jc w:val="center"/>
              <w:spacing w:after="0"/>
              <w:rPr>
                <w:sz w:val="20"/>
                <w:szCs w:val="20"/>
                <w:color w:val="auto"/>
              </w:rPr>
            </w:pPr>
            <w:r>
              <w:rPr>
                <w:rFonts w:ascii="Arial" w:cs="Arial" w:eastAsia="Arial" w:hAnsi="Arial"/>
                <w:sz w:val="18"/>
                <w:szCs w:val="18"/>
                <w:color w:val="auto"/>
                <w:w w:val="99"/>
              </w:rPr>
              <w:t>$266</w:t>
            </w:r>
          </w:p>
        </w:tc>
        <w:tc>
          <w:tcPr>
            <w:tcW w:w="100" w:type="dxa"/>
            <w:vAlign w:val="bottom"/>
          </w:tcPr>
          <w:p>
            <w:pPr>
              <w:spacing w:after="0"/>
              <w:rPr>
                <w:sz w:val="19"/>
                <w:szCs w:val="19"/>
                <w:color w:val="auto"/>
              </w:rPr>
            </w:pPr>
          </w:p>
        </w:tc>
        <w:tc>
          <w:tcPr>
            <w:tcW w:w="1300" w:type="dxa"/>
            <w:vAlign w:val="bottom"/>
            <w:shd w:val="clear" w:color="auto" w:fill="E6E7E7"/>
          </w:tcPr>
          <w:p>
            <w:pPr>
              <w:jc w:val="center"/>
              <w:spacing w:after="0"/>
              <w:rPr>
                <w:sz w:val="20"/>
                <w:szCs w:val="20"/>
                <w:color w:val="auto"/>
              </w:rPr>
            </w:pPr>
            <w:r>
              <w:rPr>
                <w:rFonts w:ascii="Arial" w:cs="Arial" w:eastAsia="Arial" w:hAnsi="Arial"/>
                <w:sz w:val="18"/>
                <w:szCs w:val="18"/>
                <w:color w:val="auto"/>
                <w:w w:val="99"/>
              </w:rPr>
              <w:t>175%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40" w:type="dxa"/>
            <w:vAlign w:val="bottom"/>
          </w:tcPr>
          <w:p>
            <w:pPr>
              <w:jc w:val="center"/>
              <w:spacing w:after="0"/>
              <w:rPr>
                <w:sz w:val="20"/>
                <w:szCs w:val="20"/>
                <w:color w:val="auto"/>
              </w:rPr>
            </w:pPr>
            <w:r>
              <w:rPr>
                <w:rFonts w:ascii="Arial" w:cs="Arial" w:eastAsia="Arial" w:hAnsi="Arial"/>
                <w:sz w:val="18"/>
                <w:szCs w:val="18"/>
                <w:color w:val="auto"/>
                <w:w w:val="96"/>
              </w:rPr>
              <w:t>Target</w:t>
            </w:r>
          </w:p>
        </w:tc>
        <w:tc>
          <w:tcPr>
            <w:tcW w:w="100" w:type="dxa"/>
            <w:vAlign w:val="bottom"/>
          </w:tcPr>
          <w:p>
            <w:pPr>
              <w:spacing w:after="0"/>
              <w:rPr>
                <w:sz w:val="19"/>
                <w:szCs w:val="19"/>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9"/>
              </w:rPr>
              <w:t>$251</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40" w:type="dxa"/>
            <w:vAlign w:val="bottom"/>
            <w:shd w:val="clear" w:color="auto" w:fill="E6E7E7"/>
          </w:tcPr>
          <w:p>
            <w:pPr>
              <w:jc w:val="center"/>
              <w:spacing w:after="0"/>
              <w:rPr>
                <w:sz w:val="20"/>
                <w:szCs w:val="20"/>
                <w:color w:val="auto"/>
              </w:rPr>
            </w:pPr>
            <w:r>
              <w:rPr>
                <w:rFonts w:ascii="Arial" w:cs="Arial" w:eastAsia="Arial" w:hAnsi="Arial"/>
                <w:sz w:val="18"/>
                <w:szCs w:val="18"/>
                <w:color w:val="auto"/>
                <w:w w:val="97"/>
              </w:rPr>
              <w:t>Threshold</w:t>
            </w:r>
          </w:p>
        </w:tc>
        <w:tc>
          <w:tcPr>
            <w:tcW w:w="100" w:type="dxa"/>
            <w:vAlign w:val="bottom"/>
          </w:tcPr>
          <w:p>
            <w:pPr>
              <w:spacing w:after="0"/>
              <w:rPr>
                <w:sz w:val="19"/>
                <w:szCs w:val="19"/>
                <w:color w:val="auto"/>
              </w:rPr>
            </w:pPr>
          </w:p>
        </w:tc>
        <w:tc>
          <w:tcPr>
            <w:tcW w:w="2120" w:type="dxa"/>
            <w:vAlign w:val="bottom"/>
            <w:shd w:val="clear" w:color="auto" w:fill="E6E7E7"/>
          </w:tcPr>
          <w:p>
            <w:pPr>
              <w:jc w:val="center"/>
              <w:spacing w:after="0"/>
              <w:rPr>
                <w:sz w:val="20"/>
                <w:szCs w:val="20"/>
                <w:color w:val="auto"/>
              </w:rPr>
            </w:pPr>
            <w:r>
              <w:rPr>
                <w:rFonts w:ascii="Arial" w:cs="Arial" w:eastAsia="Arial" w:hAnsi="Arial"/>
                <w:sz w:val="18"/>
                <w:szCs w:val="18"/>
                <w:color w:val="auto"/>
                <w:w w:val="99"/>
              </w:rPr>
              <w:t>$241</w:t>
            </w:r>
          </w:p>
        </w:tc>
        <w:tc>
          <w:tcPr>
            <w:tcW w:w="100" w:type="dxa"/>
            <w:vAlign w:val="bottom"/>
          </w:tcPr>
          <w:p>
            <w:pPr>
              <w:spacing w:after="0"/>
              <w:rPr>
                <w:sz w:val="19"/>
                <w:szCs w:val="19"/>
                <w:color w:val="auto"/>
              </w:rPr>
            </w:pPr>
          </w:p>
        </w:tc>
        <w:tc>
          <w:tcPr>
            <w:tcW w:w="1300" w:type="dxa"/>
            <w:vAlign w:val="bottom"/>
            <w:shd w:val="clear" w:color="auto" w:fill="E6E7E7"/>
          </w:tcPr>
          <w:p>
            <w:pPr>
              <w:jc w:val="center"/>
              <w:spacing w:after="0"/>
              <w:rPr>
                <w:sz w:val="20"/>
                <w:szCs w:val="20"/>
                <w:color w:val="auto"/>
              </w:rPr>
            </w:pPr>
            <w:r>
              <w:rPr>
                <w:rFonts w:ascii="Arial" w:cs="Arial" w:eastAsia="Arial" w:hAnsi="Arial"/>
                <w:sz w:val="18"/>
                <w:szCs w:val="18"/>
                <w:color w:val="auto"/>
                <w:w w:val="94"/>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40" w:type="dxa"/>
            <w:vAlign w:val="bottom"/>
            <w:tcBorders>
              <w:bottom w:val="single" w:sz="8" w:color="520B90"/>
            </w:tcBorders>
          </w:tcPr>
          <w:p>
            <w:pPr>
              <w:jc w:val="center"/>
              <w:spacing w:after="0"/>
              <w:rPr>
                <w:sz w:val="20"/>
                <w:szCs w:val="20"/>
                <w:color w:val="auto"/>
              </w:rPr>
            </w:pPr>
            <w:r>
              <w:rPr>
                <w:rFonts w:ascii="Arial" w:cs="Arial" w:eastAsia="Arial" w:hAnsi="Arial"/>
                <w:sz w:val="18"/>
                <w:szCs w:val="18"/>
                <w:color w:val="auto"/>
                <w:w w:val="96"/>
              </w:rPr>
              <w:t>Below Threshold</w:t>
            </w:r>
          </w:p>
        </w:tc>
        <w:tc>
          <w:tcPr>
            <w:tcW w:w="100" w:type="dxa"/>
            <w:vAlign w:val="bottom"/>
          </w:tcPr>
          <w:p>
            <w:pPr>
              <w:spacing w:after="0"/>
              <w:rPr>
                <w:sz w:val="19"/>
                <w:szCs w:val="19"/>
                <w:color w:val="auto"/>
              </w:rPr>
            </w:pPr>
          </w:p>
        </w:tc>
        <w:tc>
          <w:tcPr>
            <w:tcW w:w="2120" w:type="dxa"/>
            <w:vAlign w:val="bottom"/>
            <w:tcBorders>
              <w:bottom w:val="single" w:sz="8" w:color="520B90"/>
            </w:tcBorders>
          </w:tcPr>
          <w:p>
            <w:pPr>
              <w:jc w:val="center"/>
              <w:spacing w:after="0"/>
              <w:rPr>
                <w:sz w:val="20"/>
                <w:szCs w:val="20"/>
                <w:color w:val="auto"/>
              </w:rPr>
            </w:pPr>
            <w:r>
              <w:rPr>
                <w:rFonts w:ascii="Arial" w:cs="Arial" w:eastAsia="Arial" w:hAnsi="Arial"/>
                <w:sz w:val="18"/>
                <w:szCs w:val="18"/>
                <w:color w:val="auto"/>
                <w:w w:val="94"/>
              </w:rPr>
              <w:t>&lt;$241</w:t>
            </w:r>
          </w:p>
        </w:tc>
        <w:tc>
          <w:tcPr>
            <w:tcW w:w="100" w:type="dxa"/>
            <w:vAlign w:val="bottom"/>
          </w:tcPr>
          <w:p>
            <w:pPr>
              <w:spacing w:after="0"/>
              <w:rPr>
                <w:sz w:val="19"/>
                <w:szCs w:val="19"/>
                <w:color w:val="auto"/>
              </w:rPr>
            </w:pPr>
          </w:p>
        </w:tc>
        <w:tc>
          <w:tcPr>
            <w:tcW w:w="1300" w:type="dxa"/>
            <w:vAlign w:val="bottom"/>
            <w:tcBorders>
              <w:bottom w:val="single" w:sz="8" w:color="520B90"/>
            </w:tcBorders>
          </w:tcPr>
          <w:p>
            <w:pPr>
              <w:jc w:val="center"/>
              <w:spacing w:after="0"/>
              <w:rPr>
                <w:sz w:val="20"/>
                <w:szCs w:val="20"/>
                <w:color w:val="auto"/>
              </w:rPr>
            </w:pPr>
            <w:r>
              <w:rPr>
                <w:rFonts w:ascii="Arial" w:cs="Arial" w:eastAsia="Arial" w:hAnsi="Arial"/>
                <w:sz w:val="18"/>
                <w:szCs w:val="18"/>
                <w:color w:val="auto"/>
                <w:w w:val="99"/>
              </w:rPr>
              <w:t>0%</w:t>
            </w:r>
          </w:p>
        </w:tc>
        <w:tc>
          <w:tcPr>
            <w:tcW w:w="20" w:type="dxa"/>
            <w:vAlign w:val="bottom"/>
            <w:tcBorders>
              <w:bottom w:val="single" w:sz="8" w:color="520B90"/>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840" w:type="dxa"/>
            <w:vAlign w:val="bottom"/>
            <w:tcBorders>
              <w:bottom w:val="single" w:sz="8" w:color="520B90"/>
            </w:tcBorders>
            <w:shd w:val="clear" w:color="auto" w:fill="E6E7E7"/>
          </w:tcPr>
          <w:p>
            <w:pPr>
              <w:jc w:val="center"/>
              <w:spacing w:after="0"/>
              <w:rPr>
                <w:sz w:val="20"/>
                <w:szCs w:val="20"/>
                <w:color w:val="auto"/>
              </w:rPr>
            </w:pPr>
            <w:r>
              <w:rPr>
                <w:rFonts w:ascii="Arial" w:cs="Arial" w:eastAsia="Arial" w:hAnsi="Arial"/>
                <w:sz w:val="18"/>
                <w:szCs w:val="18"/>
                <w:color w:val="auto"/>
                <w:w w:val="95"/>
              </w:rPr>
              <w:t>Actual</w:t>
            </w:r>
          </w:p>
        </w:tc>
        <w:tc>
          <w:tcPr>
            <w:tcW w:w="100" w:type="dxa"/>
            <w:vAlign w:val="bottom"/>
            <w:tcBorders>
              <w:bottom w:val="single" w:sz="8" w:color="520B90"/>
            </w:tcBorders>
          </w:tcPr>
          <w:p>
            <w:pPr>
              <w:spacing w:after="0"/>
              <w:rPr>
                <w:sz w:val="20"/>
                <w:szCs w:val="20"/>
                <w:color w:val="auto"/>
              </w:rPr>
            </w:pPr>
          </w:p>
        </w:tc>
        <w:tc>
          <w:tcPr>
            <w:tcW w:w="2120" w:type="dxa"/>
            <w:vAlign w:val="bottom"/>
            <w:tcBorders>
              <w:bottom w:val="single" w:sz="8" w:color="520B90"/>
            </w:tcBorders>
            <w:shd w:val="clear" w:color="auto" w:fill="E6E7E7"/>
          </w:tcPr>
          <w:p>
            <w:pPr>
              <w:jc w:val="center"/>
              <w:spacing w:after="0"/>
              <w:rPr>
                <w:sz w:val="20"/>
                <w:szCs w:val="20"/>
                <w:color w:val="auto"/>
              </w:rPr>
            </w:pPr>
            <w:r>
              <w:rPr>
                <w:rFonts w:ascii="Arial" w:cs="Arial" w:eastAsia="Arial" w:hAnsi="Arial"/>
                <w:sz w:val="18"/>
                <w:szCs w:val="18"/>
                <w:color w:val="auto"/>
                <w:w w:val="99"/>
              </w:rPr>
              <w:t>$285</w:t>
            </w:r>
          </w:p>
        </w:tc>
        <w:tc>
          <w:tcPr>
            <w:tcW w:w="100" w:type="dxa"/>
            <w:vAlign w:val="bottom"/>
            <w:tcBorders>
              <w:bottom w:val="single" w:sz="8" w:color="520B90"/>
            </w:tcBorders>
          </w:tcPr>
          <w:p>
            <w:pPr>
              <w:spacing w:after="0"/>
              <w:rPr>
                <w:sz w:val="20"/>
                <w:szCs w:val="20"/>
                <w:color w:val="auto"/>
              </w:rPr>
            </w:pPr>
          </w:p>
        </w:tc>
        <w:tc>
          <w:tcPr>
            <w:tcW w:w="1300" w:type="dxa"/>
            <w:vAlign w:val="bottom"/>
            <w:tcBorders>
              <w:bottom w:val="single" w:sz="8" w:color="520B90"/>
            </w:tcBorders>
            <w:shd w:val="clear" w:color="auto" w:fill="E6E7E7"/>
          </w:tcPr>
          <w:p>
            <w:pPr>
              <w:jc w:val="center"/>
              <w:spacing w:after="0"/>
              <w:rPr>
                <w:sz w:val="20"/>
                <w:szCs w:val="20"/>
                <w:color w:val="auto"/>
              </w:rPr>
            </w:pPr>
            <w:r>
              <w:rPr>
                <w:rFonts w:ascii="Arial" w:cs="Arial" w:eastAsia="Arial" w:hAnsi="Arial"/>
                <w:sz w:val="18"/>
                <w:szCs w:val="18"/>
                <w:color w:val="auto"/>
                <w:w w:val="99"/>
              </w:rPr>
              <w:t>175%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40" w:type="dxa"/>
            <w:vAlign w:val="bottom"/>
            <w:tcBorders>
              <w:top w:val="single" w:sz="8" w:color="E6E7E7"/>
              <w:bottom w:val="single" w:sz="8" w:color="520B90"/>
            </w:tcBorders>
          </w:tcPr>
          <w:p>
            <w:pPr>
              <w:spacing w:after="0" w:line="20" w:lineRule="exact"/>
              <w:rPr>
                <w:sz w:val="1"/>
                <w:szCs w:val="1"/>
                <w:color w:val="auto"/>
              </w:rPr>
            </w:pPr>
          </w:p>
        </w:tc>
        <w:tc>
          <w:tcPr>
            <w:tcW w:w="100" w:type="dxa"/>
            <w:vAlign w:val="bottom"/>
            <w:tcBorders>
              <w:bottom w:val="single" w:sz="8" w:color="520B90"/>
            </w:tcBorders>
          </w:tcPr>
          <w:p>
            <w:pPr>
              <w:spacing w:after="0" w:line="20" w:lineRule="exact"/>
              <w:rPr>
                <w:sz w:val="1"/>
                <w:szCs w:val="1"/>
                <w:color w:val="auto"/>
              </w:rPr>
            </w:pPr>
          </w:p>
        </w:tc>
        <w:tc>
          <w:tcPr>
            <w:tcW w:w="2120" w:type="dxa"/>
            <w:vAlign w:val="bottom"/>
            <w:tcBorders>
              <w:top w:val="single" w:sz="8" w:color="E6E7E7"/>
              <w:bottom w:val="single" w:sz="8" w:color="520B90"/>
            </w:tcBorders>
          </w:tcPr>
          <w:p>
            <w:pPr>
              <w:spacing w:after="0" w:line="20" w:lineRule="exact"/>
              <w:rPr>
                <w:sz w:val="1"/>
                <w:szCs w:val="1"/>
                <w:color w:val="auto"/>
              </w:rPr>
            </w:pPr>
          </w:p>
        </w:tc>
        <w:tc>
          <w:tcPr>
            <w:tcW w:w="100" w:type="dxa"/>
            <w:vAlign w:val="bottom"/>
            <w:tcBorders>
              <w:bottom w:val="single" w:sz="8" w:color="520B90"/>
            </w:tcBorders>
          </w:tcPr>
          <w:p>
            <w:pPr>
              <w:spacing w:after="0" w:line="20" w:lineRule="exact"/>
              <w:rPr>
                <w:sz w:val="1"/>
                <w:szCs w:val="1"/>
                <w:color w:val="auto"/>
              </w:rPr>
            </w:pPr>
          </w:p>
        </w:tc>
        <w:tc>
          <w:tcPr>
            <w:tcW w:w="1300" w:type="dxa"/>
            <w:vAlign w:val="bottom"/>
            <w:tcBorders>
              <w:top w:val="single" w:sz="8" w:color="E6E7E7"/>
              <w:bottom w:val="single" w:sz="8" w:color="520B9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-310515</wp:posOffset>
            </wp:positionV>
            <wp:extent cx="825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-293370</wp:posOffset>
            </wp:positionV>
            <wp:extent cx="825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-276860</wp:posOffset>
            </wp:positionV>
            <wp:extent cx="825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-259715</wp:posOffset>
            </wp:positionV>
            <wp:extent cx="825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-243205</wp:posOffset>
            </wp:positionV>
            <wp:extent cx="825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-226060</wp:posOffset>
            </wp:positionV>
            <wp:extent cx="825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-209550</wp:posOffset>
            </wp:positionV>
            <wp:extent cx="825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-192405</wp:posOffset>
            </wp:positionV>
            <wp:extent cx="825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-310515</wp:posOffset>
            </wp:positionV>
            <wp:extent cx="825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-293370</wp:posOffset>
            </wp:positionV>
            <wp:extent cx="825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-276860</wp:posOffset>
            </wp:positionV>
            <wp:extent cx="825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-259715</wp:posOffset>
            </wp:positionV>
            <wp:extent cx="825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-243205</wp:posOffset>
            </wp:positionV>
            <wp:extent cx="825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-226060</wp:posOffset>
            </wp:positionV>
            <wp:extent cx="825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-209550</wp:posOffset>
            </wp:positionV>
            <wp:extent cx="825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-192405</wp:posOffset>
            </wp:positionV>
            <wp:extent cx="825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-453390</wp:posOffset>
            </wp:positionV>
            <wp:extent cx="825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-436245</wp:posOffset>
            </wp:positionV>
            <wp:extent cx="825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-419735</wp:posOffset>
            </wp:positionV>
            <wp:extent cx="825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-402590</wp:posOffset>
            </wp:positionV>
            <wp:extent cx="825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-386080</wp:posOffset>
            </wp:positionV>
            <wp:extent cx="825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-368935</wp:posOffset>
            </wp:positionV>
            <wp:extent cx="825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-352425</wp:posOffset>
            </wp:positionV>
            <wp:extent cx="825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-335280</wp:posOffset>
            </wp:positionV>
            <wp:extent cx="8255" cy="1651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255" cy="165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-453390</wp:posOffset>
            </wp:positionV>
            <wp:extent cx="825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-436245</wp:posOffset>
            </wp:positionV>
            <wp:extent cx="825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-419735</wp:posOffset>
            </wp:positionV>
            <wp:extent cx="825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-402590</wp:posOffset>
            </wp:positionV>
            <wp:extent cx="825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-386080</wp:posOffset>
            </wp:positionV>
            <wp:extent cx="825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-368935</wp:posOffset>
            </wp:positionV>
            <wp:extent cx="825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-352425</wp:posOffset>
            </wp:positionV>
            <wp:extent cx="825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-335280</wp:posOffset>
            </wp:positionV>
            <wp:extent cx="8255" cy="1651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255" cy="1651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-596265</wp:posOffset>
            </wp:positionV>
            <wp:extent cx="825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-579120</wp:posOffset>
            </wp:positionV>
            <wp:extent cx="825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-562610</wp:posOffset>
            </wp:positionV>
            <wp:extent cx="825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-545465</wp:posOffset>
            </wp:positionV>
            <wp:extent cx="825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-528955</wp:posOffset>
            </wp:positionV>
            <wp:extent cx="825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-511810</wp:posOffset>
            </wp:positionV>
            <wp:extent cx="825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-495300</wp:posOffset>
            </wp:positionV>
            <wp:extent cx="825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-478155</wp:posOffset>
            </wp:positionV>
            <wp:extent cx="8255" cy="1651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255" cy="165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-596265</wp:posOffset>
            </wp:positionV>
            <wp:extent cx="825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-579120</wp:posOffset>
            </wp:positionV>
            <wp:extent cx="825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-562610</wp:posOffset>
            </wp:positionV>
            <wp:extent cx="825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-545465</wp:posOffset>
            </wp:positionV>
            <wp:extent cx="825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-528955</wp:posOffset>
            </wp:positionV>
            <wp:extent cx="825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-511810</wp:posOffset>
            </wp:positionV>
            <wp:extent cx="825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-495300</wp:posOffset>
            </wp:positionV>
            <wp:extent cx="825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-478155</wp:posOffset>
            </wp:positionV>
            <wp:extent cx="8255" cy="1651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255" cy="1651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-739140</wp:posOffset>
            </wp:positionV>
            <wp:extent cx="825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-721995</wp:posOffset>
            </wp:positionV>
            <wp:extent cx="825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-705485</wp:posOffset>
            </wp:positionV>
            <wp:extent cx="825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-688340</wp:posOffset>
            </wp:positionV>
            <wp:extent cx="825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-671830</wp:posOffset>
            </wp:positionV>
            <wp:extent cx="825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-654685</wp:posOffset>
            </wp:positionV>
            <wp:extent cx="825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-638175</wp:posOffset>
            </wp:positionV>
            <wp:extent cx="825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-621030</wp:posOffset>
            </wp:positionV>
            <wp:extent cx="8255" cy="1651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255" cy="165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-739140</wp:posOffset>
            </wp:positionV>
            <wp:extent cx="825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-721995</wp:posOffset>
            </wp:positionV>
            <wp:extent cx="825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-705485</wp:posOffset>
            </wp:positionV>
            <wp:extent cx="825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-688340</wp:posOffset>
            </wp:positionV>
            <wp:extent cx="825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-671830</wp:posOffset>
            </wp:positionV>
            <wp:extent cx="825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-654685</wp:posOffset>
            </wp:positionV>
            <wp:extent cx="825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-638175</wp:posOffset>
            </wp:positionV>
            <wp:extent cx="825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-621030</wp:posOffset>
            </wp:positionV>
            <wp:extent cx="8255" cy="1651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255" cy="1651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-1125220</wp:posOffset>
            </wp:positionV>
            <wp:extent cx="8255" cy="1651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255" cy="1651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-1100455</wp:posOffset>
            </wp:positionV>
            <wp:extent cx="825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-1083310</wp:posOffset>
            </wp:positionV>
            <wp:extent cx="825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-1066800</wp:posOffset>
            </wp:positionV>
            <wp:extent cx="825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-1049655</wp:posOffset>
            </wp:positionV>
            <wp:extent cx="825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-1033145</wp:posOffset>
            </wp:positionV>
            <wp:extent cx="825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-1016000</wp:posOffset>
            </wp:positionV>
            <wp:extent cx="825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-999490</wp:posOffset>
            </wp:positionV>
            <wp:extent cx="825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-982345</wp:posOffset>
            </wp:positionV>
            <wp:extent cx="825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-965835</wp:posOffset>
            </wp:positionV>
            <wp:extent cx="825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-949325</wp:posOffset>
            </wp:positionV>
            <wp:extent cx="825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-932180</wp:posOffset>
            </wp:positionV>
            <wp:extent cx="825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-915670</wp:posOffset>
            </wp:positionV>
            <wp:extent cx="825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-898525</wp:posOffset>
            </wp:positionV>
            <wp:extent cx="825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-882015</wp:posOffset>
            </wp:positionV>
            <wp:extent cx="825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-864870</wp:posOffset>
            </wp:positionV>
            <wp:extent cx="825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-848360</wp:posOffset>
            </wp:positionV>
            <wp:extent cx="825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-831215</wp:posOffset>
            </wp:positionV>
            <wp:extent cx="825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-814705</wp:posOffset>
            </wp:positionV>
            <wp:extent cx="825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-797560</wp:posOffset>
            </wp:positionV>
            <wp:extent cx="825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-781050</wp:posOffset>
            </wp:positionV>
            <wp:extent cx="825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-763905</wp:posOffset>
            </wp:positionV>
            <wp:extent cx="8255" cy="1651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255" cy="165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-1125220</wp:posOffset>
            </wp:positionV>
            <wp:extent cx="8255" cy="1651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255" cy="165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-1100455</wp:posOffset>
            </wp:positionV>
            <wp:extent cx="825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-1083310</wp:posOffset>
            </wp:positionV>
            <wp:extent cx="825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-1066800</wp:posOffset>
            </wp:positionV>
            <wp:extent cx="825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-1049655</wp:posOffset>
            </wp:positionV>
            <wp:extent cx="825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-1033145</wp:posOffset>
            </wp:positionV>
            <wp:extent cx="825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-1016000</wp:posOffset>
            </wp:positionV>
            <wp:extent cx="825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-999490</wp:posOffset>
            </wp:positionV>
            <wp:extent cx="825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-982345</wp:posOffset>
            </wp:positionV>
            <wp:extent cx="825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-965835</wp:posOffset>
            </wp:positionV>
            <wp:extent cx="825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-949325</wp:posOffset>
            </wp:positionV>
            <wp:extent cx="825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-932180</wp:posOffset>
            </wp:positionV>
            <wp:extent cx="825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-915670</wp:posOffset>
            </wp:positionV>
            <wp:extent cx="825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-898525</wp:posOffset>
            </wp:positionV>
            <wp:extent cx="825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-882015</wp:posOffset>
            </wp:positionV>
            <wp:extent cx="825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-864870</wp:posOffset>
            </wp:positionV>
            <wp:extent cx="825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-848360</wp:posOffset>
            </wp:positionV>
            <wp:extent cx="825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-831215</wp:posOffset>
            </wp:positionV>
            <wp:extent cx="825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-814705</wp:posOffset>
            </wp:positionV>
            <wp:extent cx="825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-797560</wp:posOffset>
            </wp:positionV>
            <wp:extent cx="825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-781050</wp:posOffset>
            </wp:positionV>
            <wp:extent cx="825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-763905</wp:posOffset>
            </wp:positionV>
            <wp:extent cx="8255" cy="1651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pacing w:after="0" w:line="291" w:lineRule="exact"/>
        <w:rPr>
          <w:sz w:val="20"/>
          <w:szCs w:val="20"/>
          <w:color w:val="auto"/>
        </w:rPr>
      </w:pPr>
    </w:p>
    <w:p>
      <w:pPr>
        <w:sectPr>
          <w:pgSz w:w="11900" w:h="16838" w:orient="portrait"/>
          <w:cols w:equalWidth="0" w:num="2">
            <w:col w:w="5700" w:space="80"/>
            <w:col w:w="5480"/>
          </w:cols>
          <w:pgMar w:left="320" w:top="1393" w:right="319" w:bottom="1440" w:gutter="0" w:footer="0" w:header="0"/>
          <w:type w:val="continuous"/>
        </w:sectPr>
      </w:pPr>
    </w:p>
    <w:p>
      <w:pPr>
        <w:ind w:left="320" w:hanging="314"/>
        <w:spacing w:after="0"/>
        <w:tabs>
          <w:tab w:leader="none" w:pos="32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 xml:space="preserve">See </w:t>
      </w:r>
      <w:r>
        <w:rPr>
          <w:rFonts w:ascii="Arial" w:cs="Arial" w:eastAsia="Arial" w:hAnsi="Arial"/>
          <w:sz w:val="13"/>
          <w:szCs w:val="13"/>
          <w:i w:val="1"/>
          <w:iCs w:val="1"/>
          <w:color w:val="auto"/>
        </w:rPr>
        <w:t>Appendix B</w:t>
      </w:r>
      <w:r>
        <w:rPr>
          <w:rFonts w:ascii="Arial" w:cs="Arial" w:eastAsia="Arial" w:hAnsi="Arial"/>
          <w:sz w:val="13"/>
          <w:szCs w:val="13"/>
          <w:color w:val="auto"/>
        </w:rPr>
        <w:t xml:space="preserve"> for definition and reconciliation of this non-GAAP financial measure.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There is the following additional performance requirement for annual incentives for 2025:</w:t>
      </w:r>
    </w:p>
    <w:p>
      <w:pPr>
        <w:spacing w:after="0" w:line="164" w:lineRule="exact"/>
        <w:rPr>
          <w:sz w:val="20"/>
          <w:szCs w:val="20"/>
          <w:color w:val="auto"/>
        </w:rPr>
      </w:pPr>
    </w:p>
    <w:p>
      <w:pPr>
        <w:ind w:left="640" w:right="280" w:hanging="316"/>
        <w:spacing w:after="0" w:line="255" w:lineRule="auto"/>
        <w:tabs>
          <w:tab w:leader="none" w:pos="635" w:val="left"/>
        </w:tabs>
        <w:numPr>
          <w:ilvl w:val="0"/>
          <w:numId w:val="126"/>
        </w:numPr>
        <w:rPr>
          <w:rFonts w:ascii="Arial" w:cs="Arial" w:eastAsia="Arial" w:hAnsi="Arial"/>
          <w:sz w:val="18"/>
          <w:szCs w:val="18"/>
          <w:color w:val="520B90"/>
        </w:rPr>
      </w:pPr>
      <w:r>
        <w:rPr>
          <w:rFonts w:ascii="Arial" w:cs="Arial" w:eastAsia="Arial" w:hAnsi="Arial"/>
          <w:sz w:val="18"/>
          <w:szCs w:val="18"/>
          <w:color w:val="auto"/>
        </w:rPr>
        <w:t>The business units or departments for which the executives are responsible must receive an acceptable assessment of applicable internal control over financial reporting for the previously completed fiscal year, pursuant to Section 404 of the Sarbanes-Oxley Act of 2002 ("404 Assessment"). Receipt of a 404 Assessment with a material weakness may result in a reduction or elimination of the potential annual incentives for the responsible executives and potentially all of the executives.</w:t>
      </w:r>
    </w:p>
    <w:p>
      <w:pPr>
        <w:spacing w:after="0" w:line="355"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60"/>
          </w:cols>
          <w:pgMar w:left="320" w:top="1393" w:right="31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color w:val="auto"/>
        </w:rPr>
        <w:t>The following table illustrates the 2025 annual incentive payout for each eligible NEO based on the payout factors above: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20" w:type="dxa"/>
            <w:vAlign w:val="bottom"/>
            <w:vMerge w:val="restart"/>
          </w:tcPr>
          <w:p>
            <w:pPr>
              <w:ind w:left="20"/>
              <w:spacing w:after="0"/>
              <w:rPr>
                <w:sz w:val="20"/>
                <w:szCs w:val="20"/>
                <w:color w:val="auto"/>
              </w:rPr>
            </w:pPr>
            <w:r>
              <w:rPr>
                <w:rFonts w:ascii="Arial" w:cs="Arial" w:eastAsia="Arial" w:hAnsi="Arial"/>
                <w:sz w:val="13"/>
                <w:szCs w:val="13"/>
                <w:b w:val="1"/>
                <w:bCs w:val="1"/>
                <w:color w:val="520B90"/>
              </w:rPr>
              <w:t>Name</w:t>
            </w:r>
          </w:p>
        </w:tc>
        <w:tc>
          <w:tcPr>
            <w:tcW w:w="100" w:type="dxa"/>
            <w:vAlign w:val="bottom"/>
          </w:tcPr>
          <w:p>
            <w:pPr>
              <w:spacing w:after="0"/>
              <w:rPr>
                <w:sz w:val="13"/>
                <w:szCs w:val="13"/>
                <w:color w:val="auto"/>
              </w:rPr>
            </w:pPr>
          </w:p>
        </w:tc>
        <w:tc>
          <w:tcPr>
            <w:tcW w:w="3360" w:type="dxa"/>
            <w:vAlign w:val="bottom"/>
            <w:vMerge w:val="restart"/>
          </w:tcPr>
          <w:p>
            <w:pPr>
              <w:ind w:left="20"/>
              <w:spacing w:after="0"/>
              <w:rPr>
                <w:sz w:val="20"/>
                <w:szCs w:val="20"/>
                <w:color w:val="auto"/>
              </w:rPr>
            </w:pPr>
            <w:r>
              <w:rPr>
                <w:rFonts w:ascii="Arial" w:cs="Arial" w:eastAsia="Arial" w:hAnsi="Arial"/>
                <w:sz w:val="13"/>
                <w:szCs w:val="13"/>
                <w:b w:val="1"/>
                <w:bCs w:val="1"/>
                <w:color w:val="520B90"/>
              </w:rPr>
              <w:t>Title</w:t>
            </w:r>
          </w:p>
        </w:tc>
        <w:tc>
          <w:tcPr>
            <w:tcW w:w="100" w:type="dxa"/>
            <w:vAlign w:val="bottom"/>
          </w:tcPr>
          <w:p>
            <w:pPr>
              <w:spacing w:after="0"/>
              <w:rPr>
                <w:sz w:val="13"/>
                <w:szCs w:val="13"/>
                <w:color w:val="auto"/>
              </w:rPr>
            </w:pPr>
          </w:p>
        </w:tc>
        <w:tc>
          <w:tcPr>
            <w:tcW w:w="1540" w:type="dxa"/>
            <w:vAlign w:val="bottom"/>
            <w:vMerge w:val="restart"/>
          </w:tcPr>
          <w:p>
            <w:pPr>
              <w:jc w:val="center"/>
              <w:spacing w:after="0"/>
              <w:rPr>
                <w:sz w:val="20"/>
                <w:szCs w:val="20"/>
                <w:color w:val="auto"/>
              </w:rPr>
            </w:pPr>
            <w:r>
              <w:rPr>
                <w:rFonts w:ascii="Arial" w:cs="Arial" w:eastAsia="Arial" w:hAnsi="Arial"/>
                <w:sz w:val="13"/>
                <w:szCs w:val="13"/>
                <w:b w:val="1"/>
                <w:bCs w:val="1"/>
                <w:color w:val="520B90"/>
              </w:rPr>
              <w:t>Target Annual Incentive</w:t>
            </w:r>
          </w:p>
        </w:tc>
        <w:tc>
          <w:tcPr>
            <w:tcW w:w="100" w:type="dxa"/>
            <w:vAlign w:val="bottom"/>
          </w:tcPr>
          <w:p>
            <w:pPr>
              <w:spacing w:after="0"/>
              <w:rPr>
                <w:sz w:val="13"/>
                <w:szCs w:val="13"/>
                <w:color w:val="auto"/>
              </w:rPr>
            </w:pPr>
          </w:p>
        </w:tc>
        <w:tc>
          <w:tcPr>
            <w:tcW w:w="1640" w:type="dxa"/>
            <w:vAlign w:val="bottom"/>
          </w:tcPr>
          <w:p>
            <w:pPr>
              <w:jc w:val="center"/>
              <w:spacing w:after="0"/>
              <w:rPr>
                <w:sz w:val="20"/>
                <w:szCs w:val="20"/>
                <w:color w:val="auto"/>
              </w:rPr>
            </w:pPr>
            <w:r>
              <w:rPr>
                <w:rFonts w:ascii="Arial" w:cs="Arial" w:eastAsia="Arial" w:hAnsi="Arial"/>
                <w:sz w:val="13"/>
                <w:szCs w:val="13"/>
                <w:b w:val="1"/>
                <w:bCs w:val="1"/>
                <w:color w:val="520B90"/>
              </w:rPr>
              <w:t>Annual Incentive</w:t>
            </w:r>
          </w:p>
        </w:tc>
        <w:tc>
          <w:tcPr>
            <w:tcW w:w="100" w:type="dxa"/>
            <w:vAlign w:val="bottom"/>
          </w:tcPr>
          <w:p>
            <w:pPr>
              <w:spacing w:after="0"/>
              <w:rPr>
                <w:sz w:val="13"/>
                <w:szCs w:val="13"/>
                <w:color w:val="auto"/>
              </w:rPr>
            </w:pPr>
          </w:p>
        </w:tc>
        <w:tc>
          <w:tcPr>
            <w:tcW w:w="1680" w:type="dxa"/>
            <w:vAlign w:val="bottom"/>
            <w:vMerge w:val="restart"/>
          </w:tcPr>
          <w:p>
            <w:pPr>
              <w:jc w:val="center"/>
              <w:spacing w:after="0"/>
              <w:rPr>
                <w:sz w:val="20"/>
                <w:szCs w:val="20"/>
                <w:color w:val="auto"/>
              </w:rPr>
            </w:pPr>
            <w:r>
              <w:rPr>
                <w:rFonts w:ascii="Arial" w:cs="Arial" w:eastAsia="Arial" w:hAnsi="Arial"/>
                <w:sz w:val="13"/>
                <w:szCs w:val="13"/>
                <w:b w:val="1"/>
                <w:bCs w:val="1"/>
                <w:color w:val="520B90"/>
              </w:rPr>
              <w:t>Actual Annual Incentive</w:t>
            </w:r>
          </w:p>
        </w:tc>
        <w:tc>
          <w:tcPr>
            <w:tcW w:w="0" w:type="dxa"/>
            <w:vAlign w:val="bottom"/>
          </w:tcPr>
          <w:p>
            <w:pPr>
              <w:spacing w:after="0"/>
              <w:rPr>
                <w:sz w:val="1"/>
                <w:szCs w:val="1"/>
                <w:color w:val="auto"/>
              </w:rPr>
            </w:pPr>
          </w:p>
        </w:tc>
      </w:tr>
      <w:tr>
        <w:trPr>
          <w:trHeight w:val="182"/>
        </w:trPr>
        <w:tc>
          <w:tcPr>
            <w:tcW w:w="2620" w:type="dxa"/>
            <w:vAlign w:val="bottom"/>
            <w:tcBorders>
              <w:bottom w:val="single" w:sz="8" w:color="520B90"/>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360" w:type="dxa"/>
            <w:vAlign w:val="bottom"/>
            <w:tcBorders>
              <w:bottom w:val="single" w:sz="8" w:color="520B90"/>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Borders>
              <w:bottom w:val="single" w:sz="8" w:color="520B90"/>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Borders>
              <w:bottom w:val="single" w:sz="8" w:color="520B90"/>
            </w:tcBorders>
          </w:tcPr>
          <w:p>
            <w:pPr>
              <w:jc w:val="center"/>
              <w:spacing w:after="0"/>
              <w:rPr>
                <w:sz w:val="20"/>
                <w:szCs w:val="20"/>
                <w:color w:val="auto"/>
              </w:rPr>
            </w:pPr>
            <w:r>
              <w:rPr>
                <w:rFonts w:ascii="Arial" w:cs="Arial" w:eastAsia="Arial" w:hAnsi="Arial"/>
                <w:sz w:val="13"/>
                <w:szCs w:val="13"/>
                <w:b w:val="1"/>
                <w:bCs w:val="1"/>
                <w:color w:val="520B90"/>
              </w:rPr>
              <w:t>Achievement</w:t>
            </w:r>
          </w:p>
        </w:tc>
        <w:tc>
          <w:tcPr>
            <w:tcW w:w="100" w:type="dxa"/>
            <w:vAlign w:val="bottom"/>
          </w:tcPr>
          <w:p>
            <w:pPr>
              <w:spacing w:after="0"/>
              <w:rPr>
                <w:sz w:val="15"/>
                <w:szCs w:val="15"/>
                <w:color w:val="auto"/>
              </w:rPr>
            </w:pPr>
          </w:p>
        </w:tc>
        <w:tc>
          <w:tcPr>
            <w:tcW w:w="1680" w:type="dxa"/>
            <w:vAlign w:val="bottom"/>
            <w:tcBorders>
              <w:bottom w:val="single" w:sz="8" w:color="520B90"/>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620" w:type="dxa"/>
            <w:vAlign w:val="bottom"/>
            <w:shd w:val="clear" w:color="auto" w:fill="E6E7E7"/>
          </w:tcPr>
          <w:p>
            <w:pPr>
              <w:ind w:left="20"/>
              <w:spacing w:after="0" w:line="207" w:lineRule="exact"/>
              <w:rPr>
                <w:sz w:val="20"/>
                <w:szCs w:val="20"/>
                <w:color w:val="auto"/>
              </w:rPr>
            </w:pPr>
            <w:r>
              <w:rPr>
                <w:rFonts w:ascii="Arial" w:cs="Arial" w:eastAsia="Arial" w:hAnsi="Arial"/>
                <w:sz w:val="16"/>
                <w:szCs w:val="16"/>
                <w:b w:val="1"/>
                <w:bCs w:val="1"/>
                <w:color w:val="520B90"/>
              </w:rPr>
              <w:t>Christian H. Hillabrant</w:t>
            </w:r>
            <w:r>
              <w:rPr>
                <w:rFonts w:ascii="Arial" w:cs="Arial" w:eastAsia="Arial" w:hAnsi="Arial"/>
                <w:sz w:val="20"/>
                <w:szCs w:val="20"/>
                <w:b w:val="1"/>
                <w:bCs w:val="1"/>
                <w:color w:val="520B90"/>
                <w:vertAlign w:val="superscript"/>
              </w:rPr>
              <w:t>(a)</w:t>
            </w:r>
          </w:p>
        </w:tc>
        <w:tc>
          <w:tcPr>
            <w:tcW w:w="100" w:type="dxa"/>
            <w:vAlign w:val="bottom"/>
          </w:tcPr>
          <w:p>
            <w:pPr>
              <w:spacing w:after="0"/>
              <w:rPr>
                <w:sz w:val="18"/>
                <w:szCs w:val="18"/>
                <w:color w:val="auto"/>
              </w:rPr>
            </w:pPr>
          </w:p>
        </w:tc>
        <w:tc>
          <w:tcPr>
            <w:tcW w:w="3360" w:type="dxa"/>
            <w:vAlign w:val="bottom"/>
            <w:shd w:val="clear" w:color="auto" w:fill="E6E7E7"/>
          </w:tcPr>
          <w:p>
            <w:pPr>
              <w:ind w:left="20"/>
              <w:spacing w:after="0"/>
              <w:rPr>
                <w:sz w:val="20"/>
                <w:szCs w:val="20"/>
                <w:color w:val="auto"/>
              </w:rPr>
            </w:pPr>
            <w:r>
              <w:rPr>
                <w:rFonts w:ascii="Arial" w:cs="Arial" w:eastAsia="Arial" w:hAnsi="Arial"/>
                <w:sz w:val="16"/>
                <w:szCs w:val="16"/>
                <w:color w:val="auto"/>
              </w:rPr>
              <w:t>President &amp; CEO</w:t>
            </w:r>
          </w:p>
        </w:tc>
        <w:tc>
          <w:tcPr>
            <w:tcW w:w="100" w:type="dxa"/>
            <w:vAlign w:val="bottom"/>
          </w:tcPr>
          <w:p>
            <w:pPr>
              <w:spacing w:after="0"/>
              <w:rPr>
                <w:sz w:val="18"/>
                <w:szCs w:val="18"/>
                <w:color w:val="auto"/>
              </w:rPr>
            </w:pPr>
          </w:p>
        </w:tc>
        <w:tc>
          <w:tcPr>
            <w:tcW w:w="154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8"/>
              </w:rPr>
              <w:t>$591,780</w:t>
            </w:r>
          </w:p>
        </w:tc>
        <w:tc>
          <w:tcPr>
            <w:tcW w:w="100" w:type="dxa"/>
            <w:vAlign w:val="bottom"/>
          </w:tcPr>
          <w:p>
            <w:pPr>
              <w:spacing w:after="0"/>
              <w:rPr>
                <w:sz w:val="18"/>
                <w:szCs w:val="18"/>
                <w:color w:val="auto"/>
              </w:rPr>
            </w:pPr>
          </w:p>
        </w:tc>
        <w:tc>
          <w:tcPr>
            <w:tcW w:w="164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139.16%</w:t>
            </w:r>
          </w:p>
        </w:tc>
        <w:tc>
          <w:tcPr>
            <w:tcW w:w="100" w:type="dxa"/>
            <w:vAlign w:val="bottom"/>
          </w:tcPr>
          <w:p>
            <w:pPr>
              <w:spacing w:after="0"/>
              <w:rPr>
                <w:sz w:val="18"/>
                <w:szCs w:val="18"/>
                <w:color w:val="auto"/>
              </w:rPr>
            </w:pPr>
          </w:p>
        </w:tc>
        <w:tc>
          <w:tcPr>
            <w:tcW w:w="168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8"/>
              </w:rPr>
              <w:t>$823,522</w:t>
            </w:r>
          </w:p>
        </w:tc>
        <w:tc>
          <w:tcPr>
            <w:tcW w:w="0" w:type="dxa"/>
            <w:vAlign w:val="bottom"/>
          </w:tcPr>
          <w:p>
            <w:pPr>
              <w:spacing w:after="0"/>
              <w:rPr>
                <w:sz w:val="1"/>
                <w:szCs w:val="1"/>
                <w:color w:val="auto"/>
              </w:rPr>
            </w:pPr>
          </w:p>
        </w:tc>
      </w:tr>
      <w:tr>
        <w:trPr>
          <w:trHeight w:val="212"/>
        </w:trPr>
        <w:tc>
          <w:tcPr>
            <w:tcW w:w="2620" w:type="dxa"/>
            <w:vAlign w:val="bottom"/>
          </w:tcPr>
          <w:p>
            <w:pPr>
              <w:ind w:left="20"/>
              <w:spacing w:after="0" w:line="211" w:lineRule="exact"/>
              <w:rPr>
                <w:sz w:val="20"/>
                <w:szCs w:val="20"/>
                <w:color w:val="auto"/>
              </w:rPr>
            </w:pPr>
            <w:r>
              <w:rPr>
                <w:rFonts w:ascii="Arial" w:cs="Arial" w:eastAsia="Arial" w:hAnsi="Arial"/>
                <w:sz w:val="16"/>
                <w:szCs w:val="16"/>
                <w:b w:val="1"/>
                <w:bCs w:val="1"/>
                <w:color w:val="520B90"/>
              </w:rPr>
              <w:t>Sunit S. Patel</w:t>
            </w:r>
            <w:r>
              <w:rPr>
                <w:rFonts w:ascii="Arial" w:cs="Arial" w:eastAsia="Arial" w:hAnsi="Arial"/>
                <w:sz w:val="20"/>
                <w:szCs w:val="20"/>
                <w:b w:val="1"/>
                <w:bCs w:val="1"/>
                <w:color w:val="520B90"/>
                <w:vertAlign w:val="superscript"/>
              </w:rPr>
              <w:t>(b)</w:t>
            </w:r>
          </w:p>
        </w:tc>
        <w:tc>
          <w:tcPr>
            <w:tcW w:w="100" w:type="dxa"/>
            <w:vAlign w:val="bottom"/>
          </w:tcPr>
          <w:p>
            <w:pPr>
              <w:spacing w:after="0"/>
              <w:rPr>
                <w:sz w:val="18"/>
                <w:szCs w:val="18"/>
                <w:color w:val="auto"/>
              </w:rPr>
            </w:pPr>
          </w:p>
        </w:tc>
        <w:tc>
          <w:tcPr>
            <w:tcW w:w="3360" w:type="dxa"/>
            <w:vAlign w:val="bottom"/>
          </w:tcPr>
          <w:p>
            <w:pPr>
              <w:ind w:left="20"/>
              <w:spacing w:after="0"/>
              <w:rPr>
                <w:sz w:val="20"/>
                <w:szCs w:val="20"/>
                <w:color w:val="auto"/>
              </w:rPr>
            </w:pPr>
            <w:r>
              <w:rPr>
                <w:rFonts w:ascii="Arial" w:cs="Arial" w:eastAsia="Arial" w:hAnsi="Arial"/>
                <w:sz w:val="16"/>
                <w:szCs w:val="16"/>
                <w:color w:val="auto"/>
              </w:rPr>
              <w:t>EVP &amp; CFO</w:t>
            </w: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8"/>
              </w:rPr>
              <w:t>$470,890</w:t>
            </w: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rPr>
              <w:t>139.16%</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8"/>
              </w:rPr>
              <w:t>$655,291</w:t>
            </w:r>
          </w:p>
        </w:tc>
        <w:tc>
          <w:tcPr>
            <w:tcW w:w="0" w:type="dxa"/>
            <w:vAlign w:val="bottom"/>
          </w:tcPr>
          <w:p>
            <w:pPr>
              <w:spacing w:after="0"/>
              <w:rPr>
                <w:sz w:val="1"/>
                <w:szCs w:val="1"/>
                <w:color w:val="auto"/>
              </w:rPr>
            </w:pPr>
          </w:p>
        </w:tc>
      </w:tr>
      <w:tr>
        <w:trPr>
          <w:trHeight w:val="159"/>
        </w:trPr>
        <w:tc>
          <w:tcPr>
            <w:tcW w:w="2620" w:type="dxa"/>
            <w:vAlign w:val="bottom"/>
            <w:vMerge w:val="restart"/>
            <w:shd w:val="clear" w:color="auto" w:fill="E6E7E7"/>
          </w:tcPr>
          <w:p>
            <w:pPr>
              <w:ind w:left="20"/>
              <w:spacing w:after="0"/>
              <w:rPr>
                <w:sz w:val="20"/>
                <w:szCs w:val="20"/>
                <w:color w:val="auto"/>
              </w:rPr>
            </w:pPr>
            <w:r>
              <w:rPr>
                <w:rFonts w:ascii="Arial" w:cs="Arial" w:eastAsia="Arial" w:hAnsi="Arial"/>
                <w:sz w:val="16"/>
                <w:szCs w:val="16"/>
                <w:b w:val="1"/>
                <w:bCs w:val="1"/>
                <w:color w:val="520B90"/>
              </w:rPr>
              <w:t>Daniel K. Schlanger</w:t>
            </w:r>
          </w:p>
        </w:tc>
        <w:tc>
          <w:tcPr>
            <w:tcW w:w="100" w:type="dxa"/>
            <w:vAlign w:val="bottom"/>
          </w:tcPr>
          <w:p>
            <w:pPr>
              <w:spacing w:after="0"/>
              <w:rPr>
                <w:sz w:val="13"/>
                <w:szCs w:val="13"/>
                <w:color w:val="auto"/>
              </w:rPr>
            </w:pPr>
          </w:p>
        </w:tc>
        <w:tc>
          <w:tcPr>
            <w:tcW w:w="3360" w:type="dxa"/>
            <w:vAlign w:val="bottom"/>
            <w:shd w:val="clear" w:color="auto" w:fill="E6E7E7"/>
          </w:tcPr>
          <w:p>
            <w:pPr>
              <w:ind w:left="20"/>
              <w:spacing w:after="0" w:line="159" w:lineRule="exact"/>
              <w:rPr>
                <w:sz w:val="20"/>
                <w:szCs w:val="20"/>
                <w:color w:val="auto"/>
              </w:rPr>
            </w:pPr>
            <w:r>
              <w:rPr>
                <w:rFonts w:ascii="Arial" w:cs="Arial" w:eastAsia="Arial" w:hAnsi="Arial"/>
                <w:sz w:val="16"/>
                <w:szCs w:val="16"/>
                <w:color w:val="auto"/>
              </w:rPr>
              <w:t>EVP &amp; CTRO; Former Interim President &amp;</w:t>
            </w:r>
          </w:p>
        </w:tc>
        <w:tc>
          <w:tcPr>
            <w:tcW w:w="100" w:type="dxa"/>
            <w:vAlign w:val="bottom"/>
          </w:tcPr>
          <w:p>
            <w:pPr>
              <w:spacing w:after="0"/>
              <w:rPr>
                <w:sz w:val="13"/>
                <w:szCs w:val="13"/>
                <w:color w:val="auto"/>
              </w:rPr>
            </w:pPr>
          </w:p>
        </w:tc>
        <w:tc>
          <w:tcPr>
            <w:tcW w:w="154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8"/>
              </w:rPr>
              <w:t>$640,000</w:t>
            </w:r>
          </w:p>
        </w:tc>
        <w:tc>
          <w:tcPr>
            <w:tcW w:w="100" w:type="dxa"/>
            <w:vAlign w:val="bottom"/>
          </w:tcPr>
          <w:p>
            <w:pPr>
              <w:spacing w:after="0"/>
              <w:rPr>
                <w:sz w:val="13"/>
                <w:szCs w:val="13"/>
                <w:color w:val="auto"/>
              </w:rPr>
            </w:pPr>
          </w:p>
        </w:tc>
        <w:tc>
          <w:tcPr>
            <w:tcW w:w="164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rPr>
              <w:t>139.16%</w:t>
            </w:r>
          </w:p>
        </w:tc>
        <w:tc>
          <w:tcPr>
            <w:tcW w:w="100" w:type="dxa"/>
            <w:vAlign w:val="bottom"/>
          </w:tcPr>
          <w:p>
            <w:pPr>
              <w:spacing w:after="0"/>
              <w:rPr>
                <w:sz w:val="13"/>
                <w:szCs w:val="13"/>
                <w:color w:val="auto"/>
              </w:rPr>
            </w:pPr>
          </w:p>
        </w:tc>
        <w:tc>
          <w:tcPr>
            <w:tcW w:w="168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8"/>
              </w:rPr>
              <w:t>$890,624</w:t>
            </w:r>
          </w:p>
        </w:tc>
        <w:tc>
          <w:tcPr>
            <w:tcW w:w="0" w:type="dxa"/>
            <w:vAlign w:val="bottom"/>
          </w:tcPr>
          <w:p>
            <w:pPr>
              <w:spacing w:after="0"/>
              <w:rPr>
                <w:sz w:val="1"/>
                <w:szCs w:val="1"/>
                <w:color w:val="auto"/>
              </w:rPr>
            </w:pPr>
          </w:p>
        </w:tc>
      </w:tr>
      <w:tr>
        <w:trPr>
          <w:trHeight w:val="137"/>
        </w:trPr>
        <w:tc>
          <w:tcPr>
            <w:tcW w:w="2620" w:type="dxa"/>
            <w:vAlign w:val="bottom"/>
            <w:vMerge w:val="continue"/>
            <w:shd w:val="clear" w:color="auto" w:fill="E6E7E7"/>
          </w:tcPr>
          <w:p>
            <w:pPr>
              <w:spacing w:after="0"/>
              <w:rPr>
                <w:sz w:val="11"/>
                <w:szCs w:val="11"/>
                <w:color w:val="auto"/>
              </w:rPr>
            </w:pPr>
          </w:p>
        </w:tc>
        <w:tc>
          <w:tcPr>
            <w:tcW w:w="100" w:type="dxa"/>
            <w:vAlign w:val="bottom"/>
          </w:tcPr>
          <w:p>
            <w:pPr>
              <w:spacing w:after="0"/>
              <w:rPr>
                <w:sz w:val="11"/>
                <w:szCs w:val="11"/>
                <w:color w:val="auto"/>
              </w:rPr>
            </w:pPr>
          </w:p>
        </w:tc>
        <w:tc>
          <w:tcPr>
            <w:tcW w:w="3360" w:type="dxa"/>
            <w:vAlign w:val="bottom"/>
            <w:vMerge w:val="restart"/>
            <w:shd w:val="clear" w:color="auto" w:fill="E6E7E7"/>
          </w:tcPr>
          <w:p>
            <w:pPr>
              <w:ind w:left="20"/>
              <w:spacing w:after="0"/>
              <w:rPr>
                <w:sz w:val="20"/>
                <w:szCs w:val="20"/>
                <w:color w:val="auto"/>
              </w:rPr>
            </w:pPr>
            <w:r>
              <w:rPr>
                <w:rFonts w:ascii="Arial" w:cs="Arial" w:eastAsia="Arial" w:hAnsi="Arial"/>
                <w:sz w:val="16"/>
                <w:szCs w:val="16"/>
                <w:color w:val="auto"/>
              </w:rPr>
              <w:t>CEO; Former CFO</w:t>
            </w:r>
          </w:p>
        </w:tc>
        <w:tc>
          <w:tcPr>
            <w:tcW w:w="100" w:type="dxa"/>
            <w:vAlign w:val="bottom"/>
          </w:tcPr>
          <w:p>
            <w:pPr>
              <w:spacing w:after="0"/>
              <w:rPr>
                <w:sz w:val="11"/>
                <w:szCs w:val="11"/>
                <w:color w:val="auto"/>
              </w:rPr>
            </w:pPr>
          </w:p>
        </w:tc>
        <w:tc>
          <w:tcPr>
            <w:tcW w:w="1540" w:type="dxa"/>
            <w:vAlign w:val="bottom"/>
            <w:vMerge w:val="continue"/>
            <w:shd w:val="clear" w:color="auto" w:fill="E6E7E7"/>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vMerge w:val="continue"/>
            <w:shd w:val="clear" w:color="auto" w:fill="E6E7E7"/>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vMerge w:val="continue"/>
            <w:shd w:val="clear" w:color="auto" w:fill="E6E7E7"/>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620" w:type="dxa"/>
            <w:vAlign w:val="bottom"/>
            <w:shd w:val="clear" w:color="auto" w:fill="E6E7E7"/>
          </w:tcPr>
          <w:p>
            <w:pPr>
              <w:spacing w:after="0"/>
              <w:rPr>
                <w:sz w:val="6"/>
                <w:szCs w:val="6"/>
                <w:color w:val="auto"/>
              </w:rPr>
            </w:pPr>
          </w:p>
        </w:tc>
        <w:tc>
          <w:tcPr>
            <w:tcW w:w="100" w:type="dxa"/>
            <w:vAlign w:val="bottom"/>
          </w:tcPr>
          <w:p>
            <w:pPr>
              <w:spacing w:after="0"/>
              <w:rPr>
                <w:sz w:val="6"/>
                <w:szCs w:val="6"/>
                <w:color w:val="auto"/>
              </w:rPr>
            </w:pPr>
          </w:p>
        </w:tc>
        <w:tc>
          <w:tcPr>
            <w:tcW w:w="3360" w:type="dxa"/>
            <w:vAlign w:val="bottom"/>
            <w:vMerge w:val="continue"/>
            <w:shd w:val="clear" w:color="auto" w:fill="E6E7E7"/>
          </w:tcPr>
          <w:p>
            <w:pPr>
              <w:spacing w:after="0"/>
              <w:rPr>
                <w:sz w:val="6"/>
                <w:szCs w:val="6"/>
                <w:color w:val="auto"/>
              </w:rPr>
            </w:pPr>
          </w:p>
        </w:tc>
        <w:tc>
          <w:tcPr>
            <w:tcW w:w="100" w:type="dxa"/>
            <w:vAlign w:val="bottom"/>
          </w:tcPr>
          <w:p>
            <w:pPr>
              <w:spacing w:after="0"/>
              <w:rPr>
                <w:sz w:val="6"/>
                <w:szCs w:val="6"/>
                <w:color w:val="auto"/>
              </w:rPr>
            </w:pPr>
          </w:p>
        </w:tc>
        <w:tc>
          <w:tcPr>
            <w:tcW w:w="1540" w:type="dxa"/>
            <w:vAlign w:val="bottom"/>
            <w:shd w:val="clear" w:color="auto" w:fill="E6E7E7"/>
          </w:tcPr>
          <w:p>
            <w:pPr>
              <w:spacing w:after="0"/>
              <w:rPr>
                <w:sz w:val="6"/>
                <w:szCs w:val="6"/>
                <w:color w:val="auto"/>
              </w:rPr>
            </w:pPr>
          </w:p>
        </w:tc>
        <w:tc>
          <w:tcPr>
            <w:tcW w:w="100" w:type="dxa"/>
            <w:vAlign w:val="bottom"/>
          </w:tcPr>
          <w:p>
            <w:pPr>
              <w:spacing w:after="0"/>
              <w:rPr>
                <w:sz w:val="6"/>
                <w:szCs w:val="6"/>
                <w:color w:val="auto"/>
              </w:rPr>
            </w:pPr>
          </w:p>
        </w:tc>
        <w:tc>
          <w:tcPr>
            <w:tcW w:w="1640" w:type="dxa"/>
            <w:vAlign w:val="bottom"/>
            <w:shd w:val="clear" w:color="auto" w:fill="E6E7E7"/>
          </w:tcPr>
          <w:p>
            <w:pPr>
              <w:spacing w:after="0"/>
              <w:rPr>
                <w:sz w:val="6"/>
                <w:szCs w:val="6"/>
                <w:color w:val="auto"/>
              </w:rPr>
            </w:pPr>
          </w:p>
        </w:tc>
        <w:tc>
          <w:tcPr>
            <w:tcW w:w="100" w:type="dxa"/>
            <w:vAlign w:val="bottom"/>
          </w:tcPr>
          <w:p>
            <w:pPr>
              <w:spacing w:after="0"/>
              <w:rPr>
                <w:sz w:val="6"/>
                <w:szCs w:val="6"/>
                <w:color w:val="auto"/>
              </w:rPr>
            </w:pPr>
          </w:p>
        </w:tc>
        <w:tc>
          <w:tcPr>
            <w:tcW w:w="1680" w:type="dxa"/>
            <w:vAlign w:val="bottom"/>
            <w:shd w:val="clear" w:color="auto" w:fill="E6E7E7"/>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2620" w:type="dxa"/>
            <w:vAlign w:val="bottom"/>
          </w:tcPr>
          <w:p>
            <w:pPr>
              <w:ind w:left="20"/>
              <w:spacing w:after="0"/>
              <w:rPr>
                <w:sz w:val="20"/>
                <w:szCs w:val="20"/>
                <w:color w:val="auto"/>
              </w:rPr>
            </w:pPr>
            <w:r>
              <w:rPr>
                <w:rFonts w:ascii="Arial" w:cs="Arial" w:eastAsia="Arial" w:hAnsi="Arial"/>
                <w:sz w:val="16"/>
                <w:szCs w:val="16"/>
                <w:b w:val="1"/>
                <w:bCs w:val="1"/>
                <w:color w:val="520B90"/>
              </w:rPr>
              <w:t>Christopher D. Levendos</w:t>
            </w:r>
          </w:p>
        </w:tc>
        <w:tc>
          <w:tcPr>
            <w:tcW w:w="100" w:type="dxa"/>
            <w:vAlign w:val="bottom"/>
          </w:tcPr>
          <w:p>
            <w:pPr>
              <w:spacing w:after="0"/>
              <w:rPr>
                <w:sz w:val="18"/>
                <w:szCs w:val="18"/>
                <w:color w:val="auto"/>
              </w:rPr>
            </w:pPr>
          </w:p>
        </w:tc>
        <w:tc>
          <w:tcPr>
            <w:tcW w:w="3360" w:type="dxa"/>
            <w:vAlign w:val="bottom"/>
          </w:tcPr>
          <w:p>
            <w:pPr>
              <w:ind w:left="20"/>
              <w:spacing w:after="0"/>
              <w:rPr>
                <w:sz w:val="20"/>
                <w:szCs w:val="20"/>
                <w:color w:val="auto"/>
              </w:rPr>
            </w:pPr>
            <w:r>
              <w:rPr>
                <w:rFonts w:ascii="Arial" w:cs="Arial" w:eastAsia="Arial" w:hAnsi="Arial"/>
                <w:sz w:val="16"/>
                <w:szCs w:val="16"/>
                <w:color w:val="auto"/>
              </w:rPr>
              <w:t>EVP &amp; COO—Fiber</w:t>
            </w: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8"/>
              </w:rPr>
              <w:t>$600,000</w:t>
            </w: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rPr>
              <w:t>139.16%</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8"/>
              </w:rPr>
              <w:t>$834,960</w:t>
            </w:r>
          </w:p>
        </w:tc>
        <w:tc>
          <w:tcPr>
            <w:tcW w:w="0" w:type="dxa"/>
            <w:vAlign w:val="bottom"/>
          </w:tcPr>
          <w:p>
            <w:pPr>
              <w:spacing w:after="0"/>
              <w:rPr>
                <w:sz w:val="1"/>
                <w:szCs w:val="1"/>
                <w:color w:val="auto"/>
              </w:rPr>
            </w:pPr>
          </w:p>
        </w:tc>
      </w:tr>
      <w:tr>
        <w:trPr>
          <w:trHeight w:val="212"/>
        </w:trPr>
        <w:tc>
          <w:tcPr>
            <w:tcW w:w="2620" w:type="dxa"/>
            <w:vAlign w:val="bottom"/>
            <w:shd w:val="clear" w:color="auto" w:fill="E6E7E7"/>
          </w:tcPr>
          <w:p>
            <w:pPr>
              <w:ind w:left="20"/>
              <w:spacing w:after="0"/>
              <w:rPr>
                <w:sz w:val="20"/>
                <w:szCs w:val="20"/>
                <w:color w:val="auto"/>
              </w:rPr>
            </w:pPr>
            <w:r>
              <w:rPr>
                <w:rFonts w:ascii="Arial" w:cs="Arial" w:eastAsia="Arial" w:hAnsi="Arial"/>
                <w:sz w:val="16"/>
                <w:szCs w:val="16"/>
                <w:b w:val="1"/>
                <w:bCs w:val="1"/>
                <w:color w:val="520B90"/>
              </w:rPr>
              <w:t>Catherine Piche</w:t>
            </w:r>
          </w:p>
        </w:tc>
        <w:tc>
          <w:tcPr>
            <w:tcW w:w="100" w:type="dxa"/>
            <w:vAlign w:val="bottom"/>
          </w:tcPr>
          <w:p>
            <w:pPr>
              <w:spacing w:after="0"/>
              <w:rPr>
                <w:sz w:val="18"/>
                <w:szCs w:val="18"/>
                <w:color w:val="auto"/>
              </w:rPr>
            </w:pPr>
          </w:p>
        </w:tc>
        <w:tc>
          <w:tcPr>
            <w:tcW w:w="3360" w:type="dxa"/>
            <w:vAlign w:val="bottom"/>
            <w:shd w:val="clear" w:color="auto" w:fill="E6E7E7"/>
          </w:tcPr>
          <w:p>
            <w:pPr>
              <w:ind w:left="20"/>
              <w:spacing w:after="0"/>
              <w:rPr>
                <w:sz w:val="20"/>
                <w:szCs w:val="20"/>
                <w:color w:val="auto"/>
              </w:rPr>
            </w:pPr>
            <w:r>
              <w:rPr>
                <w:rFonts w:ascii="Arial" w:cs="Arial" w:eastAsia="Arial" w:hAnsi="Arial"/>
                <w:sz w:val="16"/>
                <w:szCs w:val="16"/>
                <w:color w:val="auto"/>
              </w:rPr>
              <w:t>EVP &amp; COO—Towers</w:t>
            </w:r>
          </w:p>
        </w:tc>
        <w:tc>
          <w:tcPr>
            <w:tcW w:w="100" w:type="dxa"/>
            <w:vAlign w:val="bottom"/>
          </w:tcPr>
          <w:p>
            <w:pPr>
              <w:spacing w:after="0"/>
              <w:rPr>
                <w:sz w:val="18"/>
                <w:szCs w:val="18"/>
                <w:color w:val="auto"/>
              </w:rPr>
            </w:pPr>
          </w:p>
        </w:tc>
        <w:tc>
          <w:tcPr>
            <w:tcW w:w="154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8"/>
              </w:rPr>
              <w:t>$550,000</w:t>
            </w:r>
          </w:p>
        </w:tc>
        <w:tc>
          <w:tcPr>
            <w:tcW w:w="100" w:type="dxa"/>
            <w:vAlign w:val="bottom"/>
          </w:tcPr>
          <w:p>
            <w:pPr>
              <w:spacing w:after="0"/>
              <w:rPr>
                <w:sz w:val="18"/>
                <w:szCs w:val="18"/>
                <w:color w:val="auto"/>
              </w:rPr>
            </w:pPr>
          </w:p>
        </w:tc>
        <w:tc>
          <w:tcPr>
            <w:tcW w:w="164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139.16%</w:t>
            </w:r>
          </w:p>
        </w:tc>
        <w:tc>
          <w:tcPr>
            <w:tcW w:w="100" w:type="dxa"/>
            <w:vAlign w:val="bottom"/>
          </w:tcPr>
          <w:p>
            <w:pPr>
              <w:spacing w:after="0"/>
              <w:rPr>
                <w:sz w:val="18"/>
                <w:szCs w:val="18"/>
                <w:color w:val="auto"/>
              </w:rPr>
            </w:pPr>
          </w:p>
        </w:tc>
        <w:tc>
          <w:tcPr>
            <w:tcW w:w="168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8"/>
              </w:rPr>
              <w:t>$765,380</w:t>
            </w:r>
          </w:p>
        </w:tc>
        <w:tc>
          <w:tcPr>
            <w:tcW w:w="0" w:type="dxa"/>
            <w:vAlign w:val="bottom"/>
          </w:tcPr>
          <w:p>
            <w:pPr>
              <w:spacing w:after="0"/>
              <w:rPr>
                <w:sz w:val="1"/>
                <w:szCs w:val="1"/>
                <w:color w:val="auto"/>
              </w:rPr>
            </w:pPr>
          </w:p>
        </w:tc>
      </w:tr>
      <w:tr>
        <w:trPr>
          <w:trHeight w:val="212"/>
        </w:trPr>
        <w:tc>
          <w:tcPr>
            <w:tcW w:w="2620" w:type="dxa"/>
            <w:vAlign w:val="bottom"/>
          </w:tcPr>
          <w:p>
            <w:pPr>
              <w:ind w:left="20"/>
              <w:spacing w:after="0"/>
              <w:rPr>
                <w:sz w:val="20"/>
                <w:szCs w:val="20"/>
                <w:color w:val="auto"/>
              </w:rPr>
            </w:pPr>
            <w:r>
              <w:rPr>
                <w:rFonts w:ascii="Arial" w:cs="Arial" w:eastAsia="Arial" w:hAnsi="Arial"/>
                <w:sz w:val="16"/>
                <w:szCs w:val="16"/>
                <w:b w:val="1"/>
                <w:bCs w:val="1"/>
                <w:color w:val="520B90"/>
              </w:rPr>
              <w:t>Edward B. Adams, Jr.</w:t>
            </w:r>
          </w:p>
        </w:tc>
        <w:tc>
          <w:tcPr>
            <w:tcW w:w="100" w:type="dxa"/>
            <w:vAlign w:val="bottom"/>
          </w:tcPr>
          <w:p>
            <w:pPr>
              <w:spacing w:after="0"/>
              <w:rPr>
                <w:sz w:val="18"/>
                <w:szCs w:val="18"/>
                <w:color w:val="auto"/>
              </w:rPr>
            </w:pPr>
          </w:p>
        </w:tc>
        <w:tc>
          <w:tcPr>
            <w:tcW w:w="3360" w:type="dxa"/>
            <w:vAlign w:val="bottom"/>
          </w:tcPr>
          <w:p>
            <w:pPr>
              <w:ind w:left="20"/>
              <w:spacing w:after="0"/>
              <w:rPr>
                <w:sz w:val="20"/>
                <w:szCs w:val="20"/>
                <w:color w:val="auto"/>
              </w:rPr>
            </w:pPr>
            <w:r>
              <w:rPr>
                <w:rFonts w:ascii="Arial" w:cs="Arial" w:eastAsia="Arial" w:hAnsi="Arial"/>
                <w:sz w:val="16"/>
                <w:szCs w:val="16"/>
                <w:color w:val="auto"/>
              </w:rPr>
              <w:t>EVP &amp; General Counsel</w:t>
            </w: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8"/>
              </w:rPr>
              <w:t>$515,000</w:t>
            </w: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rPr>
              <w:t>139.16%</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8"/>
              </w:rPr>
              <w:t>$716,674</w:t>
            </w:r>
          </w:p>
        </w:tc>
        <w:tc>
          <w:tcPr>
            <w:tcW w:w="0" w:type="dxa"/>
            <w:vAlign w:val="bottom"/>
          </w:tcPr>
          <w:p>
            <w:pPr>
              <w:spacing w:after="0"/>
              <w:rPr>
                <w:sz w:val="1"/>
                <w:szCs w:val="1"/>
                <w:color w:val="auto"/>
              </w:rPr>
            </w:pPr>
          </w:p>
        </w:tc>
      </w:tr>
      <w:tr>
        <w:trPr>
          <w:trHeight w:val="212"/>
        </w:trPr>
        <w:tc>
          <w:tcPr>
            <w:tcW w:w="2620" w:type="dxa"/>
            <w:vAlign w:val="bottom"/>
            <w:shd w:val="clear" w:color="auto" w:fill="E6E7E7"/>
          </w:tcPr>
          <w:p>
            <w:pPr>
              <w:ind w:left="20"/>
              <w:spacing w:after="0" w:line="211" w:lineRule="exact"/>
              <w:rPr>
                <w:sz w:val="20"/>
                <w:szCs w:val="20"/>
                <w:color w:val="auto"/>
              </w:rPr>
            </w:pPr>
            <w:r>
              <w:rPr>
                <w:rFonts w:ascii="Arial" w:cs="Arial" w:eastAsia="Arial" w:hAnsi="Arial"/>
                <w:sz w:val="16"/>
                <w:szCs w:val="16"/>
                <w:b w:val="1"/>
                <w:bCs w:val="1"/>
                <w:color w:val="520B90"/>
              </w:rPr>
              <w:t>Steven J. Moskowitz</w:t>
            </w:r>
            <w:r>
              <w:rPr>
                <w:rFonts w:ascii="Arial" w:cs="Arial" w:eastAsia="Arial" w:hAnsi="Arial"/>
                <w:sz w:val="20"/>
                <w:szCs w:val="20"/>
                <w:b w:val="1"/>
                <w:bCs w:val="1"/>
                <w:color w:val="520B90"/>
                <w:vertAlign w:val="superscript"/>
              </w:rPr>
              <w:t>(c)</w:t>
            </w:r>
          </w:p>
        </w:tc>
        <w:tc>
          <w:tcPr>
            <w:tcW w:w="100" w:type="dxa"/>
            <w:vAlign w:val="bottom"/>
          </w:tcPr>
          <w:p>
            <w:pPr>
              <w:spacing w:after="0"/>
              <w:rPr>
                <w:sz w:val="18"/>
                <w:szCs w:val="18"/>
                <w:color w:val="auto"/>
              </w:rPr>
            </w:pPr>
          </w:p>
        </w:tc>
        <w:tc>
          <w:tcPr>
            <w:tcW w:w="3360" w:type="dxa"/>
            <w:vAlign w:val="bottom"/>
            <w:shd w:val="clear" w:color="auto" w:fill="E6E7E7"/>
          </w:tcPr>
          <w:p>
            <w:pPr>
              <w:ind w:left="20"/>
              <w:spacing w:after="0"/>
              <w:rPr>
                <w:sz w:val="20"/>
                <w:szCs w:val="20"/>
                <w:color w:val="auto"/>
              </w:rPr>
            </w:pPr>
            <w:r>
              <w:rPr>
                <w:rFonts w:ascii="Arial" w:cs="Arial" w:eastAsia="Arial" w:hAnsi="Arial"/>
                <w:sz w:val="16"/>
                <w:szCs w:val="16"/>
                <w:color w:val="auto"/>
              </w:rPr>
              <w:t>Former President &amp; CEO</w:t>
            </w:r>
          </w:p>
        </w:tc>
        <w:tc>
          <w:tcPr>
            <w:tcW w:w="100" w:type="dxa"/>
            <w:vAlign w:val="bottom"/>
          </w:tcPr>
          <w:p>
            <w:pPr>
              <w:spacing w:after="0"/>
              <w:rPr>
                <w:sz w:val="18"/>
                <w:szCs w:val="18"/>
                <w:color w:val="auto"/>
              </w:rPr>
            </w:pPr>
          </w:p>
        </w:tc>
        <w:tc>
          <w:tcPr>
            <w:tcW w:w="154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8"/>
              </w:rPr>
              <w:t>$353,835</w:t>
            </w:r>
          </w:p>
        </w:tc>
        <w:tc>
          <w:tcPr>
            <w:tcW w:w="100" w:type="dxa"/>
            <w:vAlign w:val="bottom"/>
          </w:tcPr>
          <w:p>
            <w:pPr>
              <w:spacing w:after="0"/>
              <w:rPr>
                <w:sz w:val="18"/>
                <w:szCs w:val="18"/>
                <w:color w:val="auto"/>
              </w:rPr>
            </w:pPr>
          </w:p>
        </w:tc>
        <w:tc>
          <w:tcPr>
            <w:tcW w:w="164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139.16%</w:t>
            </w:r>
          </w:p>
        </w:tc>
        <w:tc>
          <w:tcPr>
            <w:tcW w:w="100" w:type="dxa"/>
            <w:vAlign w:val="bottom"/>
          </w:tcPr>
          <w:p>
            <w:pPr>
              <w:spacing w:after="0"/>
              <w:rPr>
                <w:sz w:val="18"/>
                <w:szCs w:val="18"/>
                <w:color w:val="auto"/>
              </w:rPr>
            </w:pPr>
          </w:p>
        </w:tc>
        <w:tc>
          <w:tcPr>
            <w:tcW w:w="168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8"/>
              </w:rPr>
              <w:t>$492,397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126365</wp:posOffset>
            </wp:positionV>
            <wp:extent cx="73088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30885" cy="8255"/>
                    </a:xfrm>
                    <a:prstGeom prst="rect">
                      <a:avLst/>
                    </a:prstGeom>
                    <a:noFill/>
                  </pic:spPr>
                </pic:pic>
              </a:graphicData>
            </a:graphic>
          </wp:anchor>
        </w:drawing>
      </w:r>
    </w:p>
    <w:p>
      <w:pPr>
        <w:spacing w:after="0" w:line="272" w:lineRule="exact"/>
        <w:rPr>
          <w:sz w:val="20"/>
          <w:szCs w:val="20"/>
          <w:color w:val="auto"/>
        </w:rPr>
      </w:pPr>
    </w:p>
    <w:p>
      <w:pPr>
        <w:ind w:left="320" w:right="320" w:hanging="314"/>
        <w:spacing w:after="0" w:line="264" w:lineRule="auto"/>
        <w:tabs>
          <w:tab w:leader="none" w:pos="31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Mr. Hillabrant was appointed as our President &amp; CEO, effective September 15, 2025, and, therefore, his target and actual annual incentive reflected in the table has been prorated for 2025.</w:t>
      </w:r>
    </w:p>
    <w:p>
      <w:pPr>
        <w:ind w:left="320" w:hanging="314"/>
        <w:spacing w:after="0"/>
        <w:tabs>
          <w:tab w:leader="none" w:pos="32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Mr. Patel was appointed as our EVP &amp; CFO, effective April 1, 2025, and, therefore, his target and actual annual incentive reflected in the table has been prorated for 2025.</w:t>
      </w:r>
    </w:p>
    <w:p>
      <w:pPr>
        <w:spacing w:after="0" w:line="9" w:lineRule="exact"/>
        <w:rPr>
          <w:rFonts w:ascii="Arial" w:cs="Arial" w:eastAsia="Arial" w:hAnsi="Arial"/>
          <w:sz w:val="13"/>
          <w:szCs w:val="13"/>
          <w:color w:val="auto"/>
        </w:rPr>
      </w:pPr>
    </w:p>
    <w:p>
      <w:pPr>
        <w:ind w:left="320" w:right="700" w:hanging="314"/>
        <w:spacing w:after="0" w:line="274" w:lineRule="auto"/>
        <w:tabs>
          <w:tab w:leader="none" w:pos="315" w:val="left"/>
        </w:tabs>
        <w:numPr>
          <w:ilvl w:val="0"/>
          <w:numId w:val="127"/>
        </w:numPr>
        <w:rPr>
          <w:rFonts w:ascii="Arial" w:cs="Arial" w:eastAsia="Arial" w:hAnsi="Arial"/>
          <w:sz w:val="13"/>
          <w:szCs w:val="13"/>
          <w:color w:val="auto"/>
        </w:rPr>
      </w:pPr>
      <w:r>
        <w:rPr>
          <w:rFonts w:ascii="Arial" w:cs="Arial" w:eastAsia="Arial" w:hAnsi="Arial"/>
          <w:sz w:val="13"/>
          <w:szCs w:val="13"/>
          <w:color w:val="auto"/>
        </w:rPr>
        <w:t>Mr. Moskowitz ceased serving as our President &amp; CEO effective March 23, 2025, and his target and actual annual incentive reflected in the table has been prorated for 2025 in accordance with the terms of his Severance Agreement.</w:t>
      </w:r>
    </w:p>
    <w:p>
      <w:pPr>
        <w:spacing w:after="0" w:line="119" w:lineRule="exact"/>
        <w:rPr>
          <w:sz w:val="20"/>
          <w:szCs w:val="20"/>
          <w:color w:val="auto"/>
        </w:rPr>
      </w:pPr>
    </w:p>
    <w:p>
      <w:pPr>
        <w:ind w:right="940"/>
        <w:spacing w:after="0" w:line="304" w:lineRule="auto"/>
        <w:rPr>
          <w:sz w:val="20"/>
          <w:szCs w:val="20"/>
          <w:color w:val="auto"/>
        </w:rPr>
      </w:pPr>
      <w:r>
        <w:rPr>
          <w:rFonts w:ascii="Arial" w:cs="Arial" w:eastAsia="Arial" w:hAnsi="Arial"/>
          <w:sz w:val="17"/>
          <w:szCs w:val="17"/>
          <w:color w:val="auto"/>
        </w:rPr>
        <w:t>Further details regarding annual incentives paid to the NEOs are provided below in the tables and related footnotes at "IV. Executive Compensation—Summary Compensation Table" and "IV. Executive Compensation—Grants of Plan-Based Awards in 2025."</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Incentives</w:t>
      </w:r>
    </w:p>
    <w:p>
      <w:pPr>
        <w:spacing w:after="0" w:line="16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LTI component represents the largest portion of the overall value of the total compensation program for our executives. In its assessment of LTIs, the Committee, with the assistance of the Compensation Consultant, considers market data, our business needs and the economic climate. In doing so, the Committee has determined that a mix of performance-based and time-based equity continues to appropriately achieve our executive LTI program objectives.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objectives of our LTI program are to:</w:t>
      </w:r>
    </w:p>
    <w:p>
      <w:pPr>
        <w:spacing w:after="0" w:line="97" w:lineRule="exact"/>
        <w:rPr>
          <w:sz w:val="20"/>
          <w:szCs w:val="20"/>
          <w:color w:val="auto"/>
        </w:rPr>
      </w:pPr>
    </w:p>
    <w:p>
      <w:pPr>
        <w:ind w:left="640" w:hanging="316"/>
        <w:spacing w:after="0"/>
        <w:tabs>
          <w:tab w:leader="none" w:pos="640" w:val="left"/>
        </w:tabs>
        <w:numPr>
          <w:ilvl w:val="0"/>
          <w:numId w:val="128"/>
        </w:numPr>
        <w:rPr>
          <w:rFonts w:ascii="Arial" w:cs="Arial" w:eastAsia="Arial" w:hAnsi="Arial"/>
          <w:sz w:val="18"/>
          <w:szCs w:val="18"/>
          <w:color w:val="520B90"/>
        </w:rPr>
      </w:pPr>
      <w:r>
        <w:rPr>
          <w:rFonts w:ascii="Arial" w:cs="Arial" w:eastAsia="Arial" w:hAnsi="Arial"/>
          <w:sz w:val="18"/>
          <w:szCs w:val="18"/>
          <w:color w:val="auto"/>
        </w:rPr>
        <w:t>align a significant portion of our executives' compensation with the return experienced by our stockholders;</w:t>
      </w:r>
    </w:p>
    <w:p>
      <w:pPr>
        <w:spacing w:after="0" w:line="84" w:lineRule="exact"/>
        <w:rPr>
          <w:rFonts w:ascii="Arial" w:cs="Arial" w:eastAsia="Arial" w:hAnsi="Arial"/>
          <w:sz w:val="18"/>
          <w:szCs w:val="18"/>
          <w:color w:val="520B90"/>
        </w:rPr>
      </w:pPr>
    </w:p>
    <w:p>
      <w:pPr>
        <w:ind w:left="640" w:hanging="316"/>
        <w:spacing w:after="0"/>
        <w:tabs>
          <w:tab w:leader="none" w:pos="640" w:val="left"/>
        </w:tabs>
        <w:numPr>
          <w:ilvl w:val="0"/>
          <w:numId w:val="128"/>
        </w:numPr>
        <w:rPr>
          <w:rFonts w:ascii="Arial" w:cs="Arial" w:eastAsia="Arial" w:hAnsi="Arial"/>
          <w:sz w:val="18"/>
          <w:szCs w:val="18"/>
          <w:color w:val="520B90"/>
        </w:rPr>
      </w:pPr>
      <w:r>
        <w:rPr>
          <w:rFonts w:ascii="Arial" w:cs="Arial" w:eastAsia="Arial" w:hAnsi="Arial"/>
          <w:sz w:val="18"/>
          <w:szCs w:val="18"/>
          <w:color w:val="auto"/>
        </w:rPr>
        <w:t>provide a means for our executives to accumulate shares of Common Stock to foster a culture of stewardship; and</w:t>
      </w:r>
    </w:p>
    <w:p>
      <w:pPr>
        <w:spacing w:after="0" w:line="97" w:lineRule="exact"/>
        <w:rPr>
          <w:rFonts w:ascii="Arial" w:cs="Arial" w:eastAsia="Arial" w:hAnsi="Arial"/>
          <w:sz w:val="18"/>
          <w:szCs w:val="18"/>
          <w:color w:val="520B90"/>
        </w:rPr>
      </w:pPr>
    </w:p>
    <w:p>
      <w:pPr>
        <w:ind w:left="640" w:hanging="316"/>
        <w:spacing w:after="0"/>
        <w:tabs>
          <w:tab w:leader="none" w:pos="640" w:val="left"/>
        </w:tabs>
        <w:numPr>
          <w:ilvl w:val="0"/>
          <w:numId w:val="128"/>
        </w:numPr>
        <w:rPr>
          <w:rFonts w:ascii="Arial" w:cs="Arial" w:eastAsia="Arial" w:hAnsi="Arial"/>
          <w:sz w:val="18"/>
          <w:szCs w:val="18"/>
          <w:color w:val="520B90"/>
        </w:rPr>
      </w:pPr>
      <w:r>
        <w:rPr>
          <w:rFonts w:ascii="Arial" w:cs="Arial" w:eastAsia="Arial" w:hAnsi="Arial"/>
          <w:sz w:val="18"/>
          <w:szCs w:val="18"/>
          <w:color w:val="auto"/>
        </w:rPr>
        <w:t>serve as a retention vehicle for our executives.</w:t>
      </w:r>
    </w:p>
    <w:p>
      <w:pPr>
        <w:spacing w:after="0" w:line="164" w:lineRule="exact"/>
        <w:rPr>
          <w:sz w:val="20"/>
          <w:szCs w:val="20"/>
          <w:color w:val="auto"/>
        </w:rPr>
      </w:pPr>
    </w:p>
    <w:p>
      <w:pPr>
        <w:ind w:left="480"/>
        <w:spacing w:after="0"/>
        <w:rPr>
          <w:sz w:val="20"/>
          <w:szCs w:val="20"/>
          <w:color w:val="auto"/>
        </w:rPr>
      </w:pPr>
      <w:r>
        <w:rPr>
          <w:rFonts w:ascii="Arial" w:cs="Arial" w:eastAsia="Arial" w:hAnsi="Arial"/>
          <w:sz w:val="18"/>
          <w:szCs w:val="18"/>
          <w:i w:val="1"/>
          <w:iCs w:val="1"/>
          <w:u w:val="single" w:color="auto"/>
          <w:color w:val="auto"/>
        </w:rPr>
        <w:t>2025 LTI Design Overview</w:t>
      </w:r>
      <w:r>
        <w:rPr>
          <w:rFonts w:ascii="Arial" w:cs="Arial" w:eastAsia="Arial" w:hAnsi="Arial"/>
          <w:sz w:val="18"/>
          <w:szCs w:val="18"/>
          <w:i w:val="1"/>
          <w:iCs w:val="1"/>
          <w:color w:val="auto"/>
        </w:rPr>
        <w:t>.</w:t>
      </w:r>
    </w:p>
    <w:p>
      <w:pPr>
        <w:spacing w:after="0" w:line="16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For 2025, to provide an appropriate balance of incentives tied to performance, the annual LTI element of our executive compensation program was delivered in the form of the following RSUs, which may vest based on: (1) three-year cumulative AFFO per share ("Cumulative AFFO/Share Performance RSUs"), weighted at 30%, (2) our average ROIC over a three-year performance period ("Average ROIC Performance RSUs," and together with AFFO/Share Performance RSUs "Performance RSUs"), weighted at 30%, and (3) the passage of time over a three-year period in the form of Time RSUs. Performance RSUs are subject to a relative TSR modifier with a target goal set at above median performance (as described further below at "—Relative TSR Modifier to 2025 LTI Awards").</w:t>
      </w:r>
    </w:p>
    <w:p>
      <w:pPr>
        <w:spacing w:after="0" w:line="359"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The table below illustrates the framework of the 2025 LTI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852805</wp:posOffset>
            </wp:positionH>
            <wp:positionV relativeFrom="paragraph">
              <wp:posOffset>114300</wp:posOffset>
            </wp:positionV>
            <wp:extent cx="5445760" cy="193294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5445760" cy="1932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80"/>
        <w:spacing w:after="0"/>
        <w:rPr>
          <w:sz w:val="20"/>
          <w:szCs w:val="20"/>
          <w:color w:val="auto"/>
        </w:rPr>
      </w:pPr>
      <w:r>
        <w:rPr>
          <w:rFonts w:ascii="Arial" w:cs="Arial" w:eastAsia="Arial" w:hAnsi="Arial"/>
          <w:sz w:val="18"/>
          <w:szCs w:val="18"/>
          <w:i w:val="1"/>
          <w:iCs w:val="1"/>
          <w:u w:val="single" w:color="auto"/>
          <w:color w:val="auto"/>
        </w:rPr>
        <w:t>2025 LTI Awards</w:t>
      </w:r>
      <w:r>
        <w:rPr>
          <w:rFonts w:ascii="Arial" w:cs="Arial" w:eastAsia="Arial" w:hAnsi="Arial"/>
          <w:sz w:val="18"/>
          <w:szCs w:val="18"/>
          <w:i w:val="1"/>
          <w:iCs w:val="1"/>
          <w:color w:val="auto"/>
        </w:rPr>
        <w:t>.</w:t>
      </w:r>
    </w:p>
    <w:p>
      <w:pPr>
        <w:spacing w:after="0" w:line="16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Performance RSUs granted in 2025 were issued pursuant to our 2022 Long-Term Incentive Plan, as amended ("2022 LTIP") and represent a contingent right to receive Common Stock equal to 0% to 200% of the target number of Performance RSUs. Vesting of the Performance RSUs is subject to (1) the level of achievement against the relevant performance criteria over a three-year performance period (beginning January 1, 2025, and ending December 31, 2027) and (2) the executive remaining an employee or director of ours (including our affiliates) until February 19, 2028. In addition, the Performance RSUs are subject to relative TSR modifier with a target goal set at above median performance.</w:t>
      </w:r>
    </w:p>
    <w:p>
      <w:pPr>
        <w:spacing w:after="0" w:line="114" w:lineRule="exact"/>
        <w:rPr>
          <w:sz w:val="20"/>
          <w:szCs w:val="20"/>
          <w:color w:val="auto"/>
        </w:rPr>
      </w:pPr>
    </w:p>
    <w:p>
      <w:pPr>
        <w:ind w:right="400"/>
        <w:spacing w:after="0" w:line="274" w:lineRule="auto"/>
        <w:rPr>
          <w:sz w:val="20"/>
          <w:szCs w:val="20"/>
          <w:color w:val="auto"/>
        </w:rPr>
      </w:pPr>
      <w:r>
        <w:rPr>
          <w:rFonts w:ascii="Arial" w:cs="Arial" w:eastAsia="Arial" w:hAnsi="Arial"/>
          <w:sz w:val="18"/>
          <w:szCs w:val="18"/>
          <w:color w:val="auto"/>
        </w:rPr>
        <w:t>In connection with the award of the Performance RSUs for 2025, the Committee established a threshold, target and maximum performance level and determined the percentage of the RSUs that would vest at each performance level as set forth below:</w:t>
      </w:r>
    </w:p>
    <w:p>
      <w:pPr>
        <w:sectPr>
          <w:pgSz w:w="11900" w:h="16838" w:orient="portrait"/>
          <w:cols w:equalWidth="0" w:num="1">
            <w:col w:w="11240"/>
          </w:cols>
          <w:pgMar w:left="320" w:top="1393" w:right="339" w:bottom="1440" w:gutter="0" w:footer="0" w:header="0"/>
        </w:sectPr>
      </w:pPr>
    </w:p>
    <w:p>
      <w:pPr>
        <w:spacing w:after="0" w:line="143"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520B90"/>
        </w:rPr>
        <w:t>Cumulative AFFO/Share Performance RSUs</w:t>
      </w:r>
      <w:r>
        <w:rPr>
          <w:rFonts w:ascii="Arial" w:cs="Arial" w:eastAsia="Arial" w:hAnsi="Arial"/>
          <w:sz w:val="21"/>
          <w:szCs w:val="21"/>
          <w:b w:val="1"/>
          <w:bCs w:val="1"/>
          <w:color w:val="520B90"/>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-3810</wp:posOffset>
            </wp:positionV>
            <wp:extent cx="343725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3437255" cy="8255"/>
                    </a:xfrm>
                    <a:prstGeom prst="rect">
                      <a:avLst/>
                    </a:prstGeom>
                    <a:noFill/>
                  </pic:spPr>
                </pic:pic>
              </a:graphicData>
            </a:graphic>
          </wp:anchor>
        </w:drawing>
        <w:drawing>
          <wp:anchor simplePos="0" relativeHeight="251657728" behindDoc="1" locked="0" layoutInCell="0" allowOverlap="1">
            <wp:simplePos x="0" y="0"/>
            <wp:positionH relativeFrom="column">
              <wp:posOffset>79375</wp:posOffset>
            </wp:positionH>
            <wp:positionV relativeFrom="paragraph">
              <wp:posOffset>20955</wp:posOffset>
            </wp:positionV>
            <wp:extent cx="343725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41" w:lineRule="exact"/>
        <w:rPr>
          <w:sz w:val="20"/>
          <w:szCs w:val="20"/>
          <w:color w:val="auto"/>
        </w:rPr>
      </w:pPr>
    </w:p>
    <w:p>
      <w:pPr>
        <w:ind w:left="740"/>
        <w:spacing w:after="0"/>
        <w:tabs>
          <w:tab w:leader="none" w:pos="3900" w:val="left"/>
        </w:tabs>
        <w:rPr>
          <w:sz w:val="20"/>
          <w:szCs w:val="20"/>
          <w:color w:val="auto"/>
        </w:rPr>
      </w:pPr>
      <w:r>
        <w:rPr>
          <w:rFonts w:ascii="Arial" w:cs="Arial" w:eastAsia="Arial" w:hAnsi="Arial"/>
          <w:sz w:val="16"/>
          <w:szCs w:val="16"/>
          <w:b w:val="1"/>
          <w:bCs w:val="1"/>
          <w:color w:val="520B90"/>
        </w:rPr>
        <w:t>Performance Level</w:t>
      </w:r>
      <w:r>
        <w:rPr>
          <w:sz w:val="20"/>
          <w:szCs w:val="20"/>
          <w:color w:val="auto"/>
        </w:rPr>
        <w:tab/>
      </w:r>
      <w:r>
        <w:rPr>
          <w:rFonts w:ascii="Arial" w:cs="Arial" w:eastAsia="Arial" w:hAnsi="Arial"/>
          <w:sz w:val="16"/>
          <w:szCs w:val="16"/>
          <w:b w:val="1"/>
          <w:bCs w:val="1"/>
          <w:color w:val="520B90"/>
        </w:rPr>
        <w:t>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8255</wp:posOffset>
            </wp:positionV>
            <wp:extent cx="343725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520B90"/>
        </w:rPr>
        <w:t>Average ROIC Performance RSUs</w:t>
      </w:r>
      <w:r>
        <w:rPr>
          <w:rFonts w:ascii="Arial" w:cs="Arial" w:eastAsia="Arial" w:hAnsi="Arial"/>
          <w:sz w:val="22"/>
          <w:szCs w:val="22"/>
          <w:b w:val="1"/>
          <w:bCs w:val="1"/>
          <w:color w:val="520B90"/>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-10795</wp:posOffset>
            </wp:positionV>
            <wp:extent cx="345376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3453765" cy="8255"/>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13970</wp:posOffset>
            </wp:positionV>
            <wp:extent cx="345376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3453765" cy="8255"/>
                    </a:xfrm>
                    <a:prstGeom prst="rect">
                      <a:avLst/>
                    </a:prstGeom>
                    <a:noFill/>
                  </pic:spPr>
                </pic:pic>
              </a:graphicData>
            </a:graphic>
          </wp:anchor>
        </w:drawing>
      </w:r>
    </w:p>
    <w:p>
      <w:pPr>
        <w:spacing w:after="0" w:line="30" w:lineRule="exact"/>
        <w:rPr>
          <w:sz w:val="20"/>
          <w:szCs w:val="20"/>
          <w:color w:val="auto"/>
        </w:rPr>
      </w:pPr>
    </w:p>
    <w:p>
      <w:pPr>
        <w:spacing w:after="0"/>
        <w:tabs>
          <w:tab w:leader="none" w:pos="3180" w:val="left"/>
        </w:tabs>
        <w:rPr>
          <w:sz w:val="20"/>
          <w:szCs w:val="20"/>
          <w:color w:val="auto"/>
        </w:rPr>
      </w:pPr>
      <w:r>
        <w:rPr>
          <w:rFonts w:ascii="Arial" w:cs="Arial" w:eastAsia="Arial" w:hAnsi="Arial"/>
          <w:sz w:val="16"/>
          <w:szCs w:val="16"/>
          <w:b w:val="1"/>
          <w:bCs w:val="1"/>
          <w:color w:val="520B90"/>
        </w:rPr>
        <w:t>Performance Level</w:t>
      </w:r>
      <w:r>
        <w:rPr>
          <w:sz w:val="20"/>
          <w:szCs w:val="20"/>
          <w:color w:val="auto"/>
        </w:rPr>
        <w:tab/>
      </w:r>
      <w:r>
        <w:rPr>
          <w:rFonts w:ascii="Arial" w:cs="Arial" w:eastAsia="Arial" w:hAnsi="Arial"/>
          <w:sz w:val="15"/>
          <w:szCs w:val="15"/>
          <w:b w:val="1"/>
          <w:bCs w:val="1"/>
          <w:color w:val="520B90"/>
        </w:rPr>
        <w:t>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8255</wp:posOffset>
            </wp:positionV>
            <wp:extent cx="345376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3453765" cy="8255"/>
                    </a:xfrm>
                    <a:prstGeom prst="rect">
                      <a:avLst/>
                    </a:prstGeom>
                    <a:noFill/>
                  </pic:spPr>
                </pic:pic>
              </a:graphicData>
            </a:graphic>
          </wp:anchor>
        </w:drawing>
      </w:r>
    </w:p>
    <w:p>
      <w:pPr>
        <w:spacing w:after="0" w:line="66" w:lineRule="exact"/>
        <w:rPr>
          <w:sz w:val="20"/>
          <w:szCs w:val="20"/>
          <w:color w:val="auto"/>
        </w:rPr>
      </w:pPr>
    </w:p>
    <w:p>
      <w:pPr>
        <w:sectPr>
          <w:pgSz w:w="11900" w:h="16838" w:orient="portrait"/>
          <w:cols w:equalWidth="0" w:num="2">
            <w:col w:w="5580" w:space="720"/>
            <w:col w:w="4940"/>
          </w:cols>
          <w:pgMar w:left="320" w:top="1393" w:right="3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120" w:type="dxa"/>
            <w:vAlign w:val="bottom"/>
          </w:tcPr>
          <w:p>
            <w:pPr>
              <w:spacing w:after="0"/>
              <w:rPr>
                <w:sz w:val="18"/>
                <w:szCs w:val="18"/>
                <w:color w:val="auto"/>
              </w:rPr>
            </w:pPr>
          </w:p>
        </w:tc>
        <w:tc>
          <w:tcPr>
            <w:tcW w:w="2660" w:type="dxa"/>
            <w:vAlign w:val="bottom"/>
            <w:gridSpan w:val="2"/>
            <w:shd w:val="clear" w:color="auto" w:fill="E6E7E7"/>
          </w:tcPr>
          <w:p>
            <w:pPr>
              <w:jc w:val="center"/>
              <w:spacing w:after="0"/>
              <w:rPr>
                <w:sz w:val="20"/>
                <w:szCs w:val="20"/>
                <w:color w:val="auto"/>
              </w:rPr>
            </w:pPr>
            <w:r>
              <w:rPr>
                <w:rFonts w:ascii="Arial" w:cs="Arial" w:eastAsia="Arial" w:hAnsi="Arial"/>
                <w:sz w:val="16"/>
                <w:szCs w:val="16"/>
                <w:color w:val="auto"/>
                <w:w w:val="98"/>
              </w:rPr>
              <w:t>Maximum</w:t>
            </w:r>
          </w:p>
        </w:tc>
        <w:tc>
          <w:tcPr>
            <w:tcW w:w="100" w:type="dxa"/>
            <w:vAlign w:val="bottom"/>
          </w:tcPr>
          <w:p>
            <w:pPr>
              <w:spacing w:after="0"/>
              <w:rPr>
                <w:sz w:val="18"/>
                <w:szCs w:val="18"/>
                <w:color w:val="auto"/>
              </w:rPr>
            </w:pPr>
          </w:p>
        </w:tc>
        <w:tc>
          <w:tcPr>
            <w:tcW w:w="266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200%</w:t>
            </w:r>
          </w:p>
        </w:tc>
        <w:tc>
          <w:tcPr>
            <w:tcW w:w="140" w:type="dxa"/>
            <w:vAlign w:val="bottom"/>
          </w:tcPr>
          <w:p>
            <w:pPr>
              <w:spacing w:after="0"/>
              <w:rPr>
                <w:sz w:val="18"/>
                <w:szCs w:val="18"/>
                <w:color w:val="auto"/>
              </w:rPr>
            </w:pPr>
          </w:p>
        </w:tc>
        <w:tc>
          <w:tcPr>
            <w:tcW w:w="268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8"/>
              </w:rPr>
              <w:t>Maximum</w:t>
            </w:r>
          </w:p>
        </w:tc>
        <w:tc>
          <w:tcPr>
            <w:tcW w:w="80" w:type="dxa"/>
            <w:vAlign w:val="bottom"/>
          </w:tcPr>
          <w:p>
            <w:pPr>
              <w:spacing w:after="0"/>
              <w:rPr>
                <w:sz w:val="18"/>
                <w:szCs w:val="18"/>
                <w:color w:val="auto"/>
              </w:rPr>
            </w:pPr>
          </w:p>
        </w:tc>
        <w:tc>
          <w:tcPr>
            <w:tcW w:w="268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7"/>
              </w:rPr>
              <w:t>200%</w:t>
            </w:r>
          </w:p>
        </w:tc>
      </w:tr>
      <w:tr>
        <w:trPr>
          <w:trHeight w:val="210"/>
        </w:trPr>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20" w:type="dxa"/>
            <w:vAlign w:val="bottom"/>
          </w:tcPr>
          <w:p>
            <w:pPr>
              <w:jc w:val="center"/>
              <w:ind w:right="941"/>
              <w:spacing w:after="0"/>
              <w:rPr>
                <w:sz w:val="20"/>
                <w:szCs w:val="20"/>
                <w:color w:val="auto"/>
              </w:rPr>
            </w:pPr>
            <w:r>
              <w:rPr>
                <w:rFonts w:ascii="Arial" w:cs="Arial" w:eastAsia="Arial" w:hAnsi="Arial"/>
                <w:sz w:val="16"/>
                <w:szCs w:val="16"/>
                <w:color w:val="auto"/>
                <w:w w:val="95"/>
              </w:rPr>
              <w:t>Target</w:t>
            </w:r>
          </w:p>
        </w:tc>
        <w:tc>
          <w:tcPr>
            <w:tcW w:w="100" w:type="dxa"/>
            <w:vAlign w:val="bottom"/>
          </w:tcPr>
          <w:p>
            <w:pPr>
              <w:spacing w:after="0"/>
              <w:rPr>
                <w:sz w:val="18"/>
                <w:szCs w:val="18"/>
                <w:color w:val="auto"/>
              </w:rPr>
            </w:pPr>
          </w:p>
        </w:tc>
        <w:tc>
          <w:tcPr>
            <w:tcW w:w="2660" w:type="dxa"/>
            <w:vAlign w:val="bottom"/>
          </w:tcPr>
          <w:p>
            <w:pPr>
              <w:jc w:val="center"/>
              <w:spacing w:after="0"/>
              <w:rPr>
                <w:sz w:val="20"/>
                <w:szCs w:val="20"/>
                <w:color w:val="auto"/>
              </w:rPr>
            </w:pPr>
            <w:r>
              <w:rPr>
                <w:rFonts w:ascii="Arial" w:cs="Arial" w:eastAsia="Arial" w:hAnsi="Arial"/>
                <w:sz w:val="16"/>
                <w:szCs w:val="16"/>
                <w:color w:val="auto"/>
              </w:rPr>
              <w:t>100%</w:t>
            </w:r>
          </w:p>
        </w:tc>
        <w:tc>
          <w:tcPr>
            <w:tcW w:w="14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6"/>
                <w:szCs w:val="16"/>
                <w:color w:val="auto"/>
                <w:w w:val="95"/>
              </w:rPr>
              <w:t>Target</w:t>
            </w:r>
          </w:p>
        </w:tc>
        <w:tc>
          <w:tcPr>
            <w:tcW w:w="8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6"/>
                <w:szCs w:val="16"/>
                <w:color w:val="auto"/>
                <w:w w:val="97"/>
              </w:rPr>
              <w:t>100%</w:t>
            </w:r>
          </w:p>
        </w:tc>
      </w:tr>
      <w:tr>
        <w:trPr>
          <w:trHeight w:val="214"/>
        </w:trPr>
        <w:tc>
          <w:tcPr>
            <w:tcW w:w="120" w:type="dxa"/>
            <w:vAlign w:val="bottom"/>
          </w:tcPr>
          <w:p>
            <w:pPr>
              <w:spacing w:after="0"/>
              <w:rPr>
                <w:sz w:val="18"/>
                <w:szCs w:val="18"/>
                <w:color w:val="auto"/>
              </w:rPr>
            </w:pPr>
          </w:p>
        </w:tc>
        <w:tc>
          <w:tcPr>
            <w:tcW w:w="2660" w:type="dxa"/>
            <w:vAlign w:val="bottom"/>
            <w:gridSpan w:val="2"/>
            <w:shd w:val="clear" w:color="auto" w:fill="E6E7E7"/>
          </w:tcPr>
          <w:p>
            <w:pPr>
              <w:jc w:val="center"/>
              <w:spacing w:after="0"/>
              <w:rPr>
                <w:sz w:val="20"/>
                <w:szCs w:val="20"/>
                <w:color w:val="auto"/>
              </w:rPr>
            </w:pPr>
            <w:r>
              <w:rPr>
                <w:rFonts w:ascii="Arial" w:cs="Arial" w:eastAsia="Arial" w:hAnsi="Arial"/>
                <w:sz w:val="16"/>
                <w:szCs w:val="16"/>
                <w:color w:val="auto"/>
                <w:w w:val="98"/>
              </w:rPr>
              <w:t>Threshold</w:t>
            </w:r>
          </w:p>
        </w:tc>
        <w:tc>
          <w:tcPr>
            <w:tcW w:w="100" w:type="dxa"/>
            <w:vAlign w:val="bottom"/>
          </w:tcPr>
          <w:p>
            <w:pPr>
              <w:spacing w:after="0"/>
              <w:rPr>
                <w:sz w:val="18"/>
                <w:szCs w:val="18"/>
                <w:color w:val="auto"/>
              </w:rPr>
            </w:pPr>
          </w:p>
        </w:tc>
        <w:tc>
          <w:tcPr>
            <w:tcW w:w="266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9"/>
              </w:rPr>
              <w:t>50%</w:t>
            </w:r>
          </w:p>
        </w:tc>
        <w:tc>
          <w:tcPr>
            <w:tcW w:w="140" w:type="dxa"/>
            <w:vAlign w:val="bottom"/>
          </w:tcPr>
          <w:p>
            <w:pPr>
              <w:spacing w:after="0"/>
              <w:rPr>
                <w:sz w:val="18"/>
                <w:szCs w:val="18"/>
                <w:color w:val="auto"/>
              </w:rPr>
            </w:pPr>
          </w:p>
        </w:tc>
        <w:tc>
          <w:tcPr>
            <w:tcW w:w="268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Threshold</w:t>
            </w:r>
          </w:p>
        </w:tc>
        <w:tc>
          <w:tcPr>
            <w:tcW w:w="80" w:type="dxa"/>
            <w:vAlign w:val="bottom"/>
          </w:tcPr>
          <w:p>
            <w:pPr>
              <w:spacing w:after="0"/>
              <w:rPr>
                <w:sz w:val="18"/>
                <w:szCs w:val="18"/>
                <w:color w:val="auto"/>
              </w:rPr>
            </w:pPr>
          </w:p>
        </w:tc>
        <w:tc>
          <w:tcPr>
            <w:tcW w:w="268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9"/>
              </w:rPr>
              <w:t>50%</w:t>
            </w:r>
          </w:p>
        </w:tc>
      </w:tr>
      <w:tr>
        <w:trPr>
          <w:trHeight w:val="211"/>
        </w:trPr>
        <w:tc>
          <w:tcPr>
            <w:tcW w:w="120" w:type="dxa"/>
            <w:vAlign w:val="bottom"/>
          </w:tcPr>
          <w:p>
            <w:pPr>
              <w:spacing w:after="0"/>
              <w:rPr>
                <w:sz w:val="18"/>
                <w:szCs w:val="18"/>
                <w:color w:val="auto"/>
              </w:rPr>
            </w:pPr>
          </w:p>
        </w:tc>
        <w:tc>
          <w:tcPr>
            <w:tcW w:w="2660" w:type="dxa"/>
            <w:vAlign w:val="bottom"/>
            <w:tcBorders>
              <w:bottom w:val="single" w:sz="8" w:color="E6E7E7"/>
            </w:tcBorders>
            <w:gridSpan w:val="2"/>
          </w:tcPr>
          <w:p>
            <w:pPr>
              <w:jc w:val="center"/>
              <w:spacing w:after="0"/>
              <w:rPr>
                <w:sz w:val="20"/>
                <w:szCs w:val="20"/>
                <w:color w:val="auto"/>
              </w:rPr>
            </w:pPr>
            <w:r>
              <w:rPr>
                <w:rFonts w:ascii="Arial" w:cs="Arial" w:eastAsia="Arial" w:hAnsi="Arial"/>
                <w:sz w:val="16"/>
                <w:szCs w:val="16"/>
                <w:color w:val="auto"/>
                <w:w w:val="98"/>
              </w:rPr>
              <w:t>Below Threshold</w:t>
            </w:r>
          </w:p>
        </w:tc>
        <w:tc>
          <w:tcPr>
            <w:tcW w:w="100" w:type="dxa"/>
            <w:vAlign w:val="bottom"/>
          </w:tcPr>
          <w:p>
            <w:pPr>
              <w:spacing w:after="0"/>
              <w:rPr>
                <w:sz w:val="18"/>
                <w:szCs w:val="18"/>
                <w:color w:val="auto"/>
              </w:rPr>
            </w:pPr>
          </w:p>
        </w:tc>
        <w:tc>
          <w:tcPr>
            <w:tcW w:w="2660" w:type="dxa"/>
            <w:vAlign w:val="bottom"/>
            <w:tcBorders>
              <w:bottom w:val="single" w:sz="8" w:color="E6E7E7"/>
            </w:tcBorders>
          </w:tcPr>
          <w:p>
            <w:pPr>
              <w:jc w:val="center"/>
              <w:spacing w:after="0"/>
              <w:rPr>
                <w:sz w:val="20"/>
                <w:szCs w:val="20"/>
                <w:color w:val="auto"/>
              </w:rPr>
            </w:pPr>
            <w:r>
              <w:rPr>
                <w:rFonts w:ascii="Arial" w:cs="Arial" w:eastAsia="Arial" w:hAnsi="Arial"/>
                <w:sz w:val="16"/>
                <w:szCs w:val="16"/>
                <w:color w:val="auto"/>
                <w:w w:val="94"/>
              </w:rPr>
              <w:t>0%</w:t>
            </w:r>
          </w:p>
        </w:tc>
        <w:tc>
          <w:tcPr>
            <w:tcW w:w="140" w:type="dxa"/>
            <w:vAlign w:val="bottom"/>
          </w:tcPr>
          <w:p>
            <w:pPr>
              <w:spacing w:after="0"/>
              <w:rPr>
                <w:sz w:val="18"/>
                <w:szCs w:val="18"/>
                <w:color w:val="auto"/>
              </w:rPr>
            </w:pPr>
          </w:p>
        </w:tc>
        <w:tc>
          <w:tcPr>
            <w:tcW w:w="2680" w:type="dxa"/>
            <w:vAlign w:val="bottom"/>
            <w:tcBorders>
              <w:bottom w:val="single" w:sz="8" w:color="E6E7E7"/>
            </w:tcBorders>
          </w:tcPr>
          <w:p>
            <w:pPr>
              <w:jc w:val="center"/>
              <w:spacing w:after="0"/>
              <w:rPr>
                <w:sz w:val="20"/>
                <w:szCs w:val="20"/>
                <w:color w:val="auto"/>
              </w:rPr>
            </w:pPr>
            <w:r>
              <w:rPr>
                <w:rFonts w:ascii="Arial" w:cs="Arial" w:eastAsia="Arial" w:hAnsi="Arial"/>
                <w:sz w:val="16"/>
                <w:szCs w:val="16"/>
                <w:color w:val="auto"/>
              </w:rPr>
              <w:t>Below Threshold</w:t>
            </w:r>
          </w:p>
        </w:tc>
        <w:tc>
          <w:tcPr>
            <w:tcW w:w="80" w:type="dxa"/>
            <w:vAlign w:val="bottom"/>
          </w:tcPr>
          <w:p>
            <w:pPr>
              <w:spacing w:after="0"/>
              <w:rPr>
                <w:sz w:val="18"/>
                <w:szCs w:val="18"/>
                <w:color w:val="auto"/>
              </w:rPr>
            </w:pPr>
          </w:p>
        </w:tc>
        <w:tc>
          <w:tcPr>
            <w:tcW w:w="2680" w:type="dxa"/>
            <w:vAlign w:val="bottom"/>
            <w:tcBorders>
              <w:bottom w:val="single" w:sz="8" w:color="E6E7E7"/>
            </w:tcBorders>
          </w:tcPr>
          <w:p>
            <w:pPr>
              <w:jc w:val="center"/>
              <w:spacing w:after="0"/>
              <w:rPr>
                <w:sz w:val="20"/>
                <w:szCs w:val="20"/>
                <w:color w:val="auto"/>
              </w:rPr>
            </w:pPr>
            <w:r>
              <w:rPr>
                <w:rFonts w:ascii="Arial" w:cs="Arial" w:eastAsia="Arial" w:hAnsi="Arial"/>
                <w:sz w:val="16"/>
                <w:szCs w:val="16"/>
                <w:color w:val="auto"/>
                <w:w w:val="94"/>
              </w:rPr>
              <w:t>0%</w:t>
            </w:r>
          </w:p>
        </w:tc>
      </w:tr>
      <w:tr>
        <w:trPr>
          <w:trHeight w:val="153"/>
        </w:trPr>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80" w:type="dxa"/>
            <w:vAlign w:val="bottom"/>
          </w:tcPr>
          <w:p>
            <w:pPr>
              <w:spacing w:after="0"/>
              <w:rPr>
                <w:sz w:val="13"/>
                <w:szCs w:val="13"/>
                <w:color w:val="auto"/>
              </w:rPr>
            </w:pPr>
          </w:p>
        </w:tc>
      </w:tr>
    </w:tbl>
    <w:p>
      <w:pPr>
        <w:spacing w:after="0" w:line="80" w:lineRule="exact"/>
        <w:rPr>
          <w:sz w:val="20"/>
          <w:szCs w:val="20"/>
          <w:color w:val="auto"/>
        </w:rPr>
      </w:pPr>
    </w:p>
    <w:p>
      <w:pPr>
        <w:ind w:left="320" w:hanging="314"/>
        <w:spacing w:after="0"/>
        <w:tabs>
          <w:tab w:leader="none" w:pos="32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 xml:space="preserve">See </w:t>
      </w:r>
      <w:r>
        <w:rPr>
          <w:rFonts w:ascii="Arial" w:cs="Arial" w:eastAsia="Arial" w:hAnsi="Arial"/>
          <w:sz w:val="13"/>
          <w:szCs w:val="13"/>
          <w:i w:val="1"/>
          <w:iCs w:val="1"/>
          <w:color w:val="auto"/>
        </w:rPr>
        <w:t>Appendix B</w:t>
      </w:r>
      <w:r>
        <w:rPr>
          <w:rFonts w:ascii="Arial" w:cs="Arial" w:eastAsia="Arial" w:hAnsi="Arial"/>
          <w:sz w:val="13"/>
          <w:szCs w:val="13"/>
          <w:color w:val="auto"/>
        </w:rPr>
        <w:t xml:space="preserve"> for definition and reconciliation of this non-GAAP financial measure.</w:t>
      </w:r>
    </w:p>
    <w:p>
      <w:pPr>
        <w:spacing w:after="0" w:line="164"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Information with respect to performance levels for our cumulative AFFO/Share and Average ROIC measures during the pendency of their three-year performance periods are not considered material to an understanding of the compensation arrangements of our executive officers and is not disclosed in this discussion, as it represents confidential financial information that we do not otherwise disclose to the public. Disclosing this information could cause significant competitive harm to the Company. We believe our performance targets for cumulative AFFO/Share and Average ROIC were set at an appropriate level at the beginning of the performance period to be aspirational, but sufficiently achievable to motivate the performance of our executive officers. We disclose information with respect to the threshold, target and maximum payout opportunities for cumulative AFFO/Share and Average ROIC and the actual number of units awarded in our executive compensation disclosures with the SEC in the fiscal year following the conclusion of the three-year performance period.</w:t>
      </w:r>
    </w:p>
    <w:p>
      <w:pPr>
        <w:spacing w:after="0" w:line="13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levels at which the cumulative AFFO/Share and Average ROIC vesting targets are established are generally reviewed and approved at the First Regular Committee Meeting of the grant year. Additional information regarding the Performance RSUs described above is provided below in the tables and related</w:t>
      </w:r>
    </w:p>
    <w:p>
      <w:pPr>
        <w:spacing w:after="0" w:line="353"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type w:val="continuous"/>
        </w:sectPr>
      </w:pPr>
    </w:p>
    <w:bookmarkStart w:id="52" w:name="page53"/>
    <w:bookmarkEnd w:id="52"/>
    <w:p>
      <w:pPr>
        <w:spacing w:after="0" w:line="274" w:lineRule="auto"/>
        <w:rPr>
          <w:sz w:val="20"/>
          <w:szCs w:val="20"/>
          <w:color w:val="auto"/>
        </w:rPr>
      </w:pPr>
      <w:r>
        <w:rPr>
          <w:rFonts w:ascii="Arial" w:cs="Arial" w:eastAsia="Arial" w:hAnsi="Arial"/>
          <w:sz w:val="18"/>
          <w:szCs w:val="18"/>
          <w:color w:val="auto"/>
        </w:rPr>
        <w:t>footnotes at "IV. Executive Compensation—Summary Compensation Table" and "IV. Executive Compensation—Grants of Plan-Based Awards in 2025."</w:t>
      </w:r>
    </w:p>
    <w:p>
      <w:pPr>
        <w:spacing w:after="0" w:line="110" w:lineRule="exact"/>
        <w:rPr>
          <w:sz w:val="20"/>
          <w:szCs w:val="20"/>
          <w:color w:val="auto"/>
        </w:rPr>
      </w:pPr>
    </w:p>
    <w:p>
      <w:pPr>
        <w:ind w:left="480"/>
        <w:spacing w:after="0"/>
        <w:rPr>
          <w:sz w:val="20"/>
          <w:szCs w:val="20"/>
          <w:color w:val="auto"/>
        </w:rPr>
      </w:pPr>
      <w:r>
        <w:rPr>
          <w:rFonts w:ascii="Arial" w:cs="Arial" w:eastAsia="Arial" w:hAnsi="Arial"/>
          <w:sz w:val="18"/>
          <w:szCs w:val="18"/>
          <w:i w:val="1"/>
          <w:iCs w:val="1"/>
          <w:u w:val="single" w:color="auto"/>
          <w:color w:val="auto"/>
        </w:rPr>
        <w:t>Relative TSR Modifier to 2025 LTI Awards</w:t>
      </w:r>
      <w:r>
        <w:rPr>
          <w:rFonts w:ascii="Arial" w:cs="Arial" w:eastAsia="Arial" w:hAnsi="Arial"/>
          <w:sz w:val="18"/>
          <w:szCs w:val="18"/>
          <w:i w:val="1"/>
          <w:iCs w:val="1"/>
          <w:color w:val="auto"/>
        </w:rPr>
        <w:t>.</w:t>
      </w:r>
    </w:p>
    <w:p>
      <w:pPr>
        <w:spacing w:after="0" w:line="164"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While our Performance RSUs granted in 2025 are based on specific financial performance measures, actual payouts of LTI compensation are also directly tied to TSR. Accordingly, payout percentages with respect to cumulative AFFO/Share and Average ROIC are adjusted by a cumulative three-year relative TSR modifier of up to plus or minus (+/-) 15% based on relative performance as ranked against the REIT constituents of the S&amp;P 500 Index and the S&amp;P 500 Index as a whole ("TSR Peer Group"), with the target payout if the Company's TSR performance ranking ("TSR Rank") equals the 55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of the TSR Peer Group.</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520B90"/>
        </w:rPr>
        <w:t>Relative TSR Modifier</w:t>
      </w:r>
      <w:r>
        <w:rPr>
          <w:rFonts w:ascii="Arial" w:cs="Arial" w:eastAsia="Arial" w:hAnsi="Arial"/>
          <w:sz w:val="22"/>
          <w:szCs w:val="22"/>
          <w:b w:val="1"/>
          <w:bCs w:val="1"/>
          <w:color w:val="520B90"/>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936625</wp:posOffset>
            </wp:positionH>
            <wp:positionV relativeFrom="paragraph">
              <wp:posOffset>-10795</wp:posOffset>
            </wp:positionV>
            <wp:extent cx="526923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5269230" cy="8255"/>
                    </a:xfrm>
                    <a:prstGeom prst="rect">
                      <a:avLst/>
                    </a:prstGeom>
                    <a:noFill/>
                  </pic:spPr>
                </pic:pic>
              </a:graphicData>
            </a:graphic>
          </wp:anchor>
        </w:drawing>
      </w:r>
    </w:p>
    <w:p>
      <w:pPr>
        <w:spacing w:after="0" w:line="2" w:lineRule="exact"/>
        <w:rPr>
          <w:sz w:val="20"/>
          <w:szCs w:val="20"/>
          <w:color w:val="auto"/>
        </w:rPr>
      </w:pPr>
    </w:p>
    <w:tbl>
      <w:tblPr>
        <w:tblLayout w:type="fixed"/>
        <w:tblInd w:w="1480" w:type="dxa"/>
        <w:tblCellMar>
          <w:top w:w="0" w:type="dxa"/>
          <w:left w:w="0" w:type="dxa"/>
          <w:bottom w:w="0" w:type="dxa"/>
          <w:right w:w="0" w:type="dxa"/>
        </w:tblCellMar>
      </w:tblPr>
      <w:tr>
        <w:trPr>
          <w:trHeight w:val="205"/>
        </w:trPr>
        <w:tc>
          <w:tcPr>
            <w:tcW w:w="2660" w:type="dxa"/>
            <w:vAlign w:val="bottom"/>
            <w:tcBorders>
              <w:top w:val="single" w:sz="8" w:color="520B90"/>
              <w:bottom w:val="single" w:sz="8" w:color="520B90"/>
            </w:tcBorders>
          </w:tcPr>
          <w:p>
            <w:pPr>
              <w:jc w:val="center"/>
              <w:spacing w:after="0"/>
              <w:rPr>
                <w:sz w:val="20"/>
                <w:szCs w:val="20"/>
                <w:color w:val="auto"/>
              </w:rPr>
            </w:pPr>
            <w:r>
              <w:rPr>
                <w:rFonts w:ascii="Arial" w:cs="Arial" w:eastAsia="Arial" w:hAnsi="Arial"/>
                <w:sz w:val="16"/>
                <w:szCs w:val="16"/>
                <w:b w:val="1"/>
                <w:bCs w:val="1"/>
                <w:color w:val="520B90"/>
                <w:w w:val="99"/>
              </w:rPr>
              <w:t>Performance Level</w:t>
            </w:r>
          </w:p>
        </w:tc>
        <w:tc>
          <w:tcPr>
            <w:tcW w:w="140" w:type="dxa"/>
            <w:vAlign w:val="bottom"/>
            <w:tcBorders>
              <w:top w:val="single" w:sz="8" w:color="520B90"/>
            </w:tcBorders>
          </w:tcPr>
          <w:p>
            <w:pPr>
              <w:spacing w:after="0"/>
              <w:rPr>
                <w:sz w:val="17"/>
                <w:szCs w:val="17"/>
                <w:color w:val="auto"/>
              </w:rPr>
            </w:pPr>
          </w:p>
        </w:tc>
        <w:tc>
          <w:tcPr>
            <w:tcW w:w="2660" w:type="dxa"/>
            <w:vAlign w:val="bottom"/>
            <w:tcBorders>
              <w:top w:val="single" w:sz="8" w:color="520B90"/>
              <w:bottom w:val="single" w:sz="8" w:color="520B90"/>
            </w:tcBorders>
          </w:tcPr>
          <w:p>
            <w:pPr>
              <w:jc w:val="center"/>
              <w:spacing w:after="0"/>
              <w:rPr>
                <w:sz w:val="20"/>
                <w:szCs w:val="20"/>
                <w:color w:val="auto"/>
              </w:rPr>
            </w:pPr>
            <w:r>
              <w:rPr>
                <w:rFonts w:ascii="Arial" w:cs="Arial" w:eastAsia="Arial" w:hAnsi="Arial"/>
                <w:sz w:val="16"/>
                <w:szCs w:val="16"/>
                <w:b w:val="1"/>
                <w:bCs w:val="1"/>
                <w:color w:val="520B90"/>
                <w:w w:val="97"/>
              </w:rPr>
              <w:t>TSR Rank</w:t>
            </w:r>
          </w:p>
        </w:tc>
        <w:tc>
          <w:tcPr>
            <w:tcW w:w="140" w:type="dxa"/>
            <w:vAlign w:val="bottom"/>
            <w:tcBorders>
              <w:top w:val="single" w:sz="8" w:color="520B90"/>
            </w:tcBorders>
          </w:tcPr>
          <w:p>
            <w:pPr>
              <w:spacing w:after="0"/>
              <w:rPr>
                <w:sz w:val="17"/>
                <w:szCs w:val="17"/>
                <w:color w:val="auto"/>
              </w:rPr>
            </w:pPr>
          </w:p>
        </w:tc>
        <w:tc>
          <w:tcPr>
            <w:tcW w:w="2700" w:type="dxa"/>
            <w:vAlign w:val="bottom"/>
            <w:tcBorders>
              <w:top w:val="single" w:sz="8" w:color="520B90"/>
              <w:bottom w:val="single" w:sz="8" w:color="520B90"/>
            </w:tcBorders>
          </w:tcPr>
          <w:p>
            <w:pPr>
              <w:ind w:left="540"/>
              <w:spacing w:after="0"/>
              <w:rPr>
                <w:sz w:val="20"/>
                <w:szCs w:val="20"/>
                <w:color w:val="auto"/>
              </w:rPr>
            </w:pPr>
            <w:r>
              <w:rPr>
                <w:rFonts w:ascii="Arial" w:cs="Arial" w:eastAsia="Arial" w:hAnsi="Arial"/>
                <w:sz w:val="16"/>
                <w:szCs w:val="16"/>
                <w:b w:val="1"/>
                <w:bCs w:val="1"/>
                <w:color w:val="520B90"/>
              </w:rPr>
              <w:t>Relative TSR Modifier</w:t>
            </w: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40" w:type="dxa"/>
            <w:vAlign w:val="bottom"/>
            <w:vMerge w:val="restart"/>
          </w:tcPr>
          <w:p>
            <w:pPr>
              <w:spacing w:after="0"/>
              <w:rPr>
                <w:sz w:val="2"/>
                <w:szCs w:val="2"/>
                <w:color w:val="auto"/>
              </w:rPr>
            </w:pPr>
          </w:p>
        </w:tc>
        <w:tc>
          <w:tcPr>
            <w:tcW w:w="2660" w:type="dxa"/>
            <w:vAlign w:val="bottom"/>
          </w:tcPr>
          <w:p>
            <w:pPr>
              <w:spacing w:after="0"/>
              <w:rPr>
                <w:sz w:val="2"/>
                <w:szCs w:val="2"/>
                <w:color w:val="auto"/>
              </w:rPr>
            </w:pPr>
          </w:p>
        </w:tc>
        <w:tc>
          <w:tcPr>
            <w:tcW w:w="140" w:type="dxa"/>
            <w:vAlign w:val="bottom"/>
            <w:vMerge w:val="restart"/>
          </w:tcPr>
          <w:p>
            <w:pPr>
              <w:spacing w:after="0"/>
              <w:rPr>
                <w:sz w:val="2"/>
                <w:szCs w:val="2"/>
                <w:color w:val="auto"/>
              </w:rPr>
            </w:pPr>
          </w:p>
        </w:tc>
        <w:tc>
          <w:tcPr>
            <w:tcW w:w="2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66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8"/>
              </w:rPr>
              <w:t>Maximum</w:t>
            </w:r>
          </w:p>
        </w:tc>
        <w:tc>
          <w:tcPr>
            <w:tcW w:w="140" w:type="dxa"/>
            <w:vAlign w:val="bottom"/>
            <w:vMerge w:val="continue"/>
          </w:tcPr>
          <w:p>
            <w:pPr>
              <w:spacing w:after="0"/>
              <w:rPr>
                <w:sz w:val="18"/>
                <w:szCs w:val="18"/>
                <w:color w:val="auto"/>
              </w:rPr>
            </w:pPr>
          </w:p>
        </w:tc>
        <w:tc>
          <w:tcPr>
            <w:tcW w:w="266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80th percentile</w:t>
            </w:r>
          </w:p>
        </w:tc>
        <w:tc>
          <w:tcPr>
            <w:tcW w:w="140" w:type="dxa"/>
            <w:vAlign w:val="bottom"/>
            <w:vMerge w:val="continue"/>
          </w:tcPr>
          <w:p>
            <w:pPr>
              <w:spacing w:after="0"/>
              <w:rPr>
                <w:sz w:val="18"/>
                <w:szCs w:val="18"/>
                <w:color w:val="auto"/>
              </w:rPr>
            </w:pPr>
          </w:p>
        </w:tc>
        <w:tc>
          <w:tcPr>
            <w:tcW w:w="270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2"/>
              </w:rPr>
              <w:t>115%</w:t>
            </w:r>
          </w:p>
        </w:tc>
        <w:tc>
          <w:tcPr>
            <w:tcW w:w="0" w:type="dxa"/>
            <w:vAlign w:val="bottom"/>
          </w:tcPr>
          <w:p>
            <w:pPr>
              <w:spacing w:after="0"/>
              <w:rPr>
                <w:sz w:val="1"/>
                <w:szCs w:val="1"/>
                <w:color w:val="auto"/>
              </w:rPr>
            </w:pPr>
          </w:p>
        </w:tc>
      </w:tr>
      <w:tr>
        <w:trPr>
          <w:trHeight w:val="210"/>
        </w:trPr>
        <w:tc>
          <w:tcPr>
            <w:tcW w:w="2660" w:type="dxa"/>
            <w:vAlign w:val="bottom"/>
          </w:tcPr>
          <w:p>
            <w:pPr>
              <w:jc w:val="center"/>
              <w:spacing w:after="0"/>
              <w:rPr>
                <w:sz w:val="20"/>
                <w:szCs w:val="20"/>
                <w:color w:val="auto"/>
              </w:rPr>
            </w:pPr>
            <w:r>
              <w:rPr>
                <w:rFonts w:ascii="Arial" w:cs="Arial" w:eastAsia="Arial" w:hAnsi="Arial"/>
                <w:sz w:val="16"/>
                <w:szCs w:val="16"/>
                <w:color w:val="auto"/>
                <w:w w:val="95"/>
              </w:rPr>
              <w:t>Target</w:t>
            </w:r>
          </w:p>
        </w:tc>
        <w:tc>
          <w:tcPr>
            <w:tcW w:w="140" w:type="dxa"/>
            <w:vAlign w:val="bottom"/>
          </w:tcPr>
          <w:p>
            <w:pPr>
              <w:spacing w:after="0"/>
              <w:rPr>
                <w:sz w:val="18"/>
                <w:szCs w:val="18"/>
                <w:color w:val="auto"/>
              </w:rPr>
            </w:pPr>
          </w:p>
        </w:tc>
        <w:tc>
          <w:tcPr>
            <w:tcW w:w="2660" w:type="dxa"/>
            <w:vAlign w:val="bottom"/>
          </w:tcPr>
          <w:p>
            <w:pPr>
              <w:jc w:val="center"/>
              <w:spacing w:after="0"/>
              <w:rPr>
                <w:sz w:val="20"/>
                <w:szCs w:val="20"/>
                <w:color w:val="auto"/>
              </w:rPr>
            </w:pPr>
            <w:r>
              <w:rPr>
                <w:rFonts w:ascii="Arial" w:cs="Arial" w:eastAsia="Arial" w:hAnsi="Arial"/>
                <w:sz w:val="16"/>
                <w:szCs w:val="16"/>
                <w:color w:val="auto"/>
              </w:rPr>
              <w:t>55th percentile</w:t>
            </w:r>
          </w:p>
        </w:tc>
        <w:tc>
          <w:tcPr>
            <w:tcW w:w="14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4"/>
        </w:trPr>
        <w:tc>
          <w:tcPr>
            <w:tcW w:w="266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8"/>
              </w:rPr>
              <w:t>Threshold</w:t>
            </w:r>
          </w:p>
        </w:tc>
        <w:tc>
          <w:tcPr>
            <w:tcW w:w="140" w:type="dxa"/>
            <w:vAlign w:val="bottom"/>
          </w:tcPr>
          <w:p>
            <w:pPr>
              <w:spacing w:after="0"/>
              <w:rPr>
                <w:sz w:val="18"/>
                <w:szCs w:val="18"/>
                <w:color w:val="auto"/>
              </w:rPr>
            </w:pPr>
          </w:p>
        </w:tc>
        <w:tc>
          <w:tcPr>
            <w:tcW w:w="266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30th percentile</w:t>
            </w:r>
          </w:p>
        </w:tc>
        <w:tc>
          <w:tcPr>
            <w:tcW w:w="140" w:type="dxa"/>
            <w:vAlign w:val="bottom"/>
          </w:tcPr>
          <w:p>
            <w:pPr>
              <w:spacing w:after="0"/>
              <w:rPr>
                <w:sz w:val="18"/>
                <w:szCs w:val="18"/>
                <w:color w:val="auto"/>
              </w:rPr>
            </w:pPr>
          </w:p>
        </w:tc>
        <w:tc>
          <w:tcPr>
            <w:tcW w:w="270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3"/>
              </w:rPr>
              <w:t>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73088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30885" cy="8255"/>
                    </a:xfrm>
                    <a:prstGeom prst="rect">
                      <a:avLst/>
                    </a:prstGeom>
                    <a:noFill/>
                  </pic:spPr>
                </pic:pic>
              </a:graphicData>
            </a:graphic>
          </wp:anchor>
        </w:drawing>
      </w:r>
    </w:p>
    <w:p>
      <w:pPr>
        <w:spacing w:after="0" w:line="391" w:lineRule="exact"/>
        <w:rPr>
          <w:sz w:val="20"/>
          <w:szCs w:val="20"/>
          <w:color w:val="auto"/>
        </w:rPr>
      </w:pPr>
    </w:p>
    <w:p>
      <w:pPr>
        <w:ind w:left="320" w:right="160" w:hanging="235"/>
        <w:spacing w:after="0" w:line="231" w:lineRule="auto"/>
        <w:tabs>
          <w:tab w:leader="none" w:pos="391" w:val="left"/>
        </w:tabs>
        <w:numPr>
          <w:ilvl w:val="0"/>
          <w:numId w:val="130"/>
        </w:numPr>
        <w:rPr>
          <w:rFonts w:ascii="Arial" w:cs="Arial" w:eastAsia="Arial" w:hAnsi="Arial"/>
          <w:sz w:val="13"/>
          <w:szCs w:val="13"/>
          <w:color w:val="auto"/>
        </w:rPr>
      </w:pPr>
      <w:r>
        <w:rPr>
          <w:rFonts w:ascii="Arial" w:cs="Arial" w:eastAsia="Arial" w:hAnsi="Arial"/>
          <w:sz w:val="13"/>
          <w:szCs w:val="13"/>
          <w:color w:val="auto"/>
        </w:rPr>
        <w:t>For TSR Rank outcomes (i) between the 30</w:t>
      </w:r>
      <w:r>
        <w:rPr>
          <w:rFonts w:ascii="Arial" w:cs="Arial" w:eastAsia="Arial" w:hAnsi="Arial"/>
          <w:sz w:val="17"/>
          <w:szCs w:val="17"/>
          <w:color w:val="auto"/>
          <w:vertAlign w:val="superscript"/>
        </w:rPr>
        <w:t>th</w:t>
      </w:r>
      <w:r>
        <w:rPr>
          <w:rFonts w:ascii="Arial" w:cs="Arial" w:eastAsia="Arial" w:hAnsi="Arial"/>
          <w:sz w:val="13"/>
          <w:szCs w:val="13"/>
          <w:color w:val="auto"/>
        </w:rPr>
        <w:t xml:space="preserve"> and 55</w:t>
      </w:r>
      <w:r>
        <w:rPr>
          <w:rFonts w:ascii="Arial" w:cs="Arial" w:eastAsia="Arial" w:hAnsi="Arial"/>
          <w:sz w:val="17"/>
          <w:szCs w:val="17"/>
          <w:color w:val="auto"/>
          <w:vertAlign w:val="superscript"/>
        </w:rPr>
        <w:t>th</w:t>
      </w:r>
      <w:r>
        <w:rPr>
          <w:rFonts w:ascii="Arial" w:cs="Arial" w:eastAsia="Arial" w:hAnsi="Arial"/>
          <w:sz w:val="13"/>
          <w:szCs w:val="13"/>
          <w:color w:val="auto"/>
        </w:rPr>
        <w:t xml:space="preserve"> percentiles of the TSR Peer Group or (ii) between the 55</w:t>
      </w:r>
      <w:r>
        <w:rPr>
          <w:rFonts w:ascii="Arial" w:cs="Arial" w:eastAsia="Arial" w:hAnsi="Arial"/>
          <w:sz w:val="17"/>
          <w:szCs w:val="17"/>
          <w:color w:val="auto"/>
          <w:vertAlign w:val="superscript"/>
        </w:rPr>
        <w:t>th</w:t>
      </w:r>
      <w:r>
        <w:rPr>
          <w:rFonts w:ascii="Arial" w:cs="Arial" w:eastAsia="Arial" w:hAnsi="Arial"/>
          <w:sz w:val="13"/>
          <w:szCs w:val="13"/>
          <w:color w:val="auto"/>
        </w:rPr>
        <w:t xml:space="preserve"> and 80</w:t>
      </w:r>
      <w:r>
        <w:rPr>
          <w:rFonts w:ascii="Arial" w:cs="Arial" w:eastAsia="Arial" w:hAnsi="Arial"/>
          <w:sz w:val="17"/>
          <w:szCs w:val="17"/>
          <w:color w:val="auto"/>
          <w:vertAlign w:val="superscript"/>
        </w:rPr>
        <w:t>th</w:t>
      </w:r>
      <w:r>
        <w:rPr>
          <w:rFonts w:ascii="Arial" w:cs="Arial" w:eastAsia="Arial" w:hAnsi="Arial"/>
          <w:sz w:val="13"/>
          <w:szCs w:val="13"/>
          <w:color w:val="auto"/>
        </w:rPr>
        <w:t xml:space="preserve"> percentiles of the TSR Peer Group, the relative TSR modifier will be calculated via linear interpolation.</w:t>
      </w:r>
    </w:p>
    <w:p>
      <w:pPr>
        <w:spacing w:after="0" w:line="14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Committee has the authority to interpret and determine the application and calculation of matters relating to the determination of TSR, the Company's TSR Rank, the relative TSR modifier, Average ROIC and cumulative AFFO/Share and to make adjustments it deems appropriate to reflect changes in the Common Stock, including as a result of any stock split or consolidation, stock dividend, recapitalization, merger, reorganization or other relevant distribution or change in capitalization.</w:t>
      </w:r>
    </w:p>
    <w:p>
      <w:pPr>
        <w:spacing w:after="0" w:line="113" w:lineRule="exact"/>
        <w:rPr>
          <w:sz w:val="20"/>
          <w:szCs w:val="20"/>
          <w:color w:val="auto"/>
        </w:rPr>
      </w:pPr>
    </w:p>
    <w:p>
      <w:pPr>
        <w:ind w:left="480"/>
        <w:spacing w:after="0"/>
        <w:rPr>
          <w:sz w:val="20"/>
          <w:szCs w:val="20"/>
          <w:color w:val="auto"/>
        </w:rPr>
      </w:pPr>
      <w:r>
        <w:rPr>
          <w:rFonts w:ascii="Arial" w:cs="Arial" w:eastAsia="Arial" w:hAnsi="Arial"/>
          <w:sz w:val="18"/>
          <w:szCs w:val="18"/>
          <w:i w:val="1"/>
          <w:iCs w:val="1"/>
          <w:u w:val="single" w:color="auto"/>
          <w:color w:val="auto"/>
        </w:rPr>
        <w:t>Off-Cycle Awards</w:t>
      </w:r>
      <w:r>
        <w:rPr>
          <w:rFonts w:ascii="Arial" w:cs="Arial" w:eastAsia="Arial" w:hAnsi="Arial"/>
          <w:sz w:val="18"/>
          <w:szCs w:val="18"/>
          <w:i w:val="1"/>
          <w:iCs w:val="1"/>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In 2025, the Committee approved certain off-cycle LTI awards that consisted of the following:</w:t>
      </w:r>
    </w:p>
    <w:p>
      <w:pPr>
        <w:spacing w:after="0" w:line="164" w:lineRule="exact"/>
        <w:rPr>
          <w:sz w:val="20"/>
          <w:szCs w:val="20"/>
          <w:color w:val="auto"/>
        </w:rPr>
      </w:pPr>
    </w:p>
    <w:p>
      <w:pPr>
        <w:ind w:left="640" w:right="20" w:hanging="316"/>
        <w:spacing w:after="0" w:line="255" w:lineRule="auto"/>
        <w:tabs>
          <w:tab w:leader="none" w:pos="635" w:val="left"/>
        </w:tabs>
        <w:numPr>
          <w:ilvl w:val="0"/>
          <w:numId w:val="131"/>
        </w:numPr>
        <w:rPr>
          <w:rFonts w:ascii="Arial" w:cs="Arial" w:eastAsia="Arial" w:hAnsi="Arial"/>
          <w:sz w:val="18"/>
          <w:szCs w:val="18"/>
          <w:color w:val="520B90"/>
        </w:rPr>
      </w:pPr>
      <w:r>
        <w:rPr>
          <w:rFonts w:ascii="Arial" w:cs="Arial" w:eastAsia="Arial" w:hAnsi="Arial"/>
          <w:sz w:val="18"/>
          <w:szCs w:val="18"/>
          <w:color w:val="auto"/>
        </w:rPr>
        <w:t>Make-whole RSUs (also referred to as new hire RSUs) are Time RSUs awarded to certain newly hired executives based on the position and role into which they are hired and vest in accordance with the terms of the respective RSU agreement ("Make-Whole RSUs" or "New Hire RSUs"). The following Make-Whole RSUs were granted to NEOs in 2025 to primarily offset the equity forfeited from a prior employer or as inducement to join the Company:</w:t>
      </w:r>
    </w:p>
    <w:p>
      <w:pPr>
        <w:spacing w:after="0" w:line="126" w:lineRule="exact"/>
        <w:rPr>
          <w:rFonts w:ascii="Arial" w:cs="Arial" w:eastAsia="Arial" w:hAnsi="Arial"/>
          <w:sz w:val="18"/>
          <w:szCs w:val="18"/>
          <w:color w:val="520B90"/>
        </w:rPr>
      </w:pPr>
    </w:p>
    <w:p>
      <w:pPr>
        <w:ind w:left="1280" w:right="120" w:hanging="321"/>
        <w:spacing w:after="0" w:line="259" w:lineRule="auto"/>
        <w:tabs>
          <w:tab w:leader="none" w:pos="1276" w:val="left"/>
        </w:tabs>
        <w:numPr>
          <w:ilvl w:val="1"/>
          <w:numId w:val="131"/>
        </w:numPr>
        <w:rPr>
          <w:rFonts w:ascii="Arial" w:cs="Arial" w:eastAsia="Arial" w:hAnsi="Arial"/>
          <w:sz w:val="18"/>
          <w:szCs w:val="18"/>
          <w:color w:val="auto"/>
        </w:rPr>
      </w:pPr>
      <w:r>
        <w:rPr>
          <w:rFonts w:ascii="Arial" w:cs="Arial" w:eastAsia="Arial" w:hAnsi="Arial"/>
          <w:sz w:val="18"/>
          <w:szCs w:val="18"/>
          <w:color w:val="auto"/>
        </w:rPr>
        <w:t>On April 1, 2025, in connection with his appointment as EVP and CFO, Mr. Patel was awarded Make-Whole RSUs with an approximate value of $3,000,000, which are scheduled to vest a third on April 10th of each of 2026, 2027 and 2028, subject to Mr. Patel's continued employment with the Company through each applicable vesting date.</w:t>
      </w:r>
    </w:p>
    <w:p>
      <w:pPr>
        <w:spacing w:after="0" w:line="123" w:lineRule="exact"/>
        <w:rPr>
          <w:rFonts w:ascii="Arial" w:cs="Arial" w:eastAsia="Arial" w:hAnsi="Arial"/>
          <w:sz w:val="18"/>
          <w:szCs w:val="18"/>
          <w:color w:val="auto"/>
        </w:rPr>
      </w:pPr>
    </w:p>
    <w:p>
      <w:pPr>
        <w:jc w:val="both"/>
        <w:ind w:left="1280" w:right="140" w:hanging="321"/>
        <w:spacing w:after="0" w:line="282" w:lineRule="auto"/>
        <w:tabs>
          <w:tab w:leader="none" w:pos="1276" w:val="left"/>
        </w:tabs>
        <w:numPr>
          <w:ilvl w:val="1"/>
          <w:numId w:val="131"/>
        </w:numPr>
        <w:rPr>
          <w:rFonts w:ascii="Arial" w:cs="Arial" w:eastAsia="Arial" w:hAnsi="Arial"/>
          <w:sz w:val="17"/>
          <w:szCs w:val="17"/>
          <w:color w:val="auto"/>
        </w:rPr>
      </w:pPr>
      <w:r>
        <w:rPr>
          <w:rFonts w:ascii="Arial" w:cs="Arial" w:eastAsia="Arial" w:hAnsi="Arial"/>
          <w:sz w:val="17"/>
          <w:szCs w:val="17"/>
          <w:color w:val="auto"/>
        </w:rPr>
        <w:t>On September 15, 2025, in connection with his appointment as President and CEO, Mr. Hillabrant was awarded Make-Whole RSUs with an approximate value of $7,000,000, which are scheduled to vest a third on September 15th of each of 2026, 2027 and 2028, subject to Mr. Hillabrant's continued employment with the Company through each applicable vesting date.</w:t>
      </w:r>
    </w:p>
    <w:p>
      <w:pPr>
        <w:spacing w:after="0" w:line="105" w:lineRule="exact"/>
        <w:rPr>
          <w:rFonts w:ascii="Arial" w:cs="Arial" w:eastAsia="Arial" w:hAnsi="Arial"/>
          <w:sz w:val="17"/>
          <w:szCs w:val="17"/>
          <w:color w:val="auto"/>
        </w:rPr>
      </w:pPr>
    </w:p>
    <w:p>
      <w:pPr>
        <w:ind w:left="640" w:right="80" w:hanging="316"/>
        <w:spacing w:after="0" w:line="252" w:lineRule="auto"/>
        <w:tabs>
          <w:tab w:leader="none" w:pos="635" w:val="left"/>
        </w:tabs>
        <w:numPr>
          <w:ilvl w:val="0"/>
          <w:numId w:val="131"/>
        </w:numPr>
        <w:rPr>
          <w:rFonts w:ascii="Arial" w:cs="Arial" w:eastAsia="Arial" w:hAnsi="Arial"/>
          <w:sz w:val="18"/>
          <w:szCs w:val="18"/>
          <w:color w:val="520B90"/>
        </w:rPr>
      </w:pPr>
      <w:r>
        <w:rPr>
          <w:rFonts w:ascii="Arial" w:cs="Arial" w:eastAsia="Arial" w:hAnsi="Arial"/>
          <w:sz w:val="18"/>
          <w:szCs w:val="18"/>
          <w:color w:val="auto"/>
        </w:rPr>
        <w:t>Promotion RSUs are Time RSUs awarded to certain executives in recognition of a promotion to a new position or role and vest in accordance with the terms of the respective RSU agreement ("Promotion RSUs"). On March 23, 2025, Mr. Schlanger received an RSU grant in connection with his promotion to Interim President and CEO with an approximate value of $4,100,000 to vest in full on March 23, 2026, subject to Mr. Schlanger's continued employment through the vesting date; provided that such Promotion RSUs will accelerate and vest in full if Mr. Schlanger is terminated by the Company without cause prior to the vesting date.</w:t>
      </w:r>
    </w:p>
    <w:p>
      <w:pPr>
        <w:spacing w:after="0" w:line="360"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393" w:right="359" w:bottom="1440" w:gutter="0" w:footer="0" w:header="0"/>
        </w:sectPr>
      </w:pPr>
    </w:p>
    <w:bookmarkStart w:id="53" w:name="page54"/>
    <w:bookmarkEnd w:id="53"/>
    <w:p>
      <w:pPr>
        <w:ind w:left="640" w:hanging="316"/>
        <w:spacing w:after="0" w:line="251" w:lineRule="auto"/>
        <w:tabs>
          <w:tab w:leader="none" w:pos="635" w:val="left"/>
        </w:tabs>
        <w:numPr>
          <w:ilvl w:val="0"/>
          <w:numId w:val="132"/>
        </w:numPr>
        <w:rPr>
          <w:rFonts w:ascii="Arial" w:cs="Arial" w:eastAsia="Arial" w:hAnsi="Arial"/>
          <w:sz w:val="18"/>
          <w:szCs w:val="18"/>
          <w:color w:val="520B90"/>
        </w:rPr>
      </w:pPr>
      <w:r>
        <w:rPr>
          <w:rFonts w:ascii="Arial" w:cs="Arial" w:eastAsia="Arial" w:hAnsi="Arial"/>
          <w:sz w:val="18"/>
          <w:szCs w:val="18"/>
          <w:color w:val="auto"/>
        </w:rPr>
        <w:t>Transformation RSUs are a one-time award of RSUs scheduled to vest upon the successful closing of the Strategic Fiber Transaction, except with respect to Mr. Schlanger (as detailed below). The following non-recurring Transformation RSUs were granted to NEOs in 2025 predominantly to retain key leadership during a time of transformation within the Company as a result of the anticipated divestiture of its Fiber Business and to help facilitate the closing of the Strategic Fiber Transaction, which is anticipated to close in the first half of 2026. The collective grant value of these awards is $4.025 million, which we believe is an effective incentive to facilitate the closing of the $8.5 billion Strategic Fiber Transaction.</w:t>
      </w:r>
    </w:p>
    <w:p>
      <w:pPr>
        <w:spacing w:after="0" w:line="130" w:lineRule="exact"/>
        <w:rPr>
          <w:rFonts w:ascii="Arial" w:cs="Arial" w:eastAsia="Arial" w:hAnsi="Arial"/>
          <w:sz w:val="18"/>
          <w:szCs w:val="18"/>
          <w:color w:val="520B90"/>
        </w:rPr>
      </w:pPr>
    </w:p>
    <w:p>
      <w:pPr>
        <w:ind w:left="1280" w:right="140" w:hanging="321"/>
        <w:spacing w:after="0" w:line="252" w:lineRule="auto"/>
        <w:tabs>
          <w:tab w:leader="none" w:pos="1276" w:val="left"/>
        </w:tabs>
        <w:numPr>
          <w:ilvl w:val="1"/>
          <w:numId w:val="132"/>
        </w:numPr>
        <w:rPr>
          <w:rFonts w:ascii="Arial" w:cs="Arial" w:eastAsia="Arial" w:hAnsi="Arial"/>
          <w:sz w:val="18"/>
          <w:szCs w:val="18"/>
          <w:color w:val="auto"/>
        </w:rPr>
      </w:pPr>
      <w:r>
        <w:rPr>
          <w:rFonts w:ascii="Arial" w:cs="Arial" w:eastAsia="Arial" w:hAnsi="Arial"/>
          <w:sz w:val="18"/>
          <w:szCs w:val="18"/>
          <w:color w:val="auto"/>
        </w:rPr>
        <w:t>On March 23, 2025, Mr. Schlanger was awarded a Transformation RSU grant with an approximate value of $1,000,000, which is scheduled to vest 50% upon the closing of the Strategic Fiber Transaction and 50% on the six-month anniversary of such closing, subject to Mr. Schlanger's continued employment through each applicable vesting date; provided that these RSUs will accelerate and vest in full if Mr. Schlanger is terminated by the Company without cause prior to the award becoming fully vested.</w:t>
      </w:r>
    </w:p>
    <w:p>
      <w:pPr>
        <w:spacing w:after="0" w:line="130" w:lineRule="exact"/>
        <w:rPr>
          <w:rFonts w:ascii="Arial" w:cs="Arial" w:eastAsia="Arial" w:hAnsi="Arial"/>
          <w:sz w:val="18"/>
          <w:szCs w:val="18"/>
          <w:color w:val="auto"/>
        </w:rPr>
      </w:pPr>
    </w:p>
    <w:p>
      <w:pPr>
        <w:ind w:left="1280" w:right="40" w:hanging="321"/>
        <w:spacing w:after="0" w:line="274" w:lineRule="auto"/>
        <w:tabs>
          <w:tab w:leader="none" w:pos="1276" w:val="left"/>
        </w:tabs>
        <w:numPr>
          <w:ilvl w:val="1"/>
          <w:numId w:val="132"/>
        </w:numPr>
        <w:rPr>
          <w:rFonts w:ascii="Arial" w:cs="Arial" w:eastAsia="Arial" w:hAnsi="Arial"/>
          <w:sz w:val="18"/>
          <w:szCs w:val="18"/>
          <w:color w:val="auto"/>
        </w:rPr>
      </w:pPr>
      <w:r>
        <w:rPr>
          <w:rFonts w:ascii="Arial" w:cs="Arial" w:eastAsia="Arial" w:hAnsi="Arial"/>
          <w:sz w:val="18"/>
          <w:szCs w:val="18"/>
          <w:color w:val="auto"/>
        </w:rPr>
        <w:t>On March 28, 2025, Messrs. Adams and Levendos were each awarded a Transformation RSU grant with an approximate value of $1,500,000 and $1,000,000, respectively.</w:t>
      </w:r>
    </w:p>
    <w:p>
      <w:pPr>
        <w:spacing w:after="0" w:line="109" w:lineRule="exact"/>
        <w:rPr>
          <w:rFonts w:ascii="Arial" w:cs="Arial" w:eastAsia="Arial" w:hAnsi="Arial"/>
          <w:sz w:val="18"/>
          <w:szCs w:val="18"/>
          <w:color w:val="auto"/>
        </w:rPr>
      </w:pPr>
    </w:p>
    <w:p>
      <w:pPr>
        <w:ind w:left="1280" w:hanging="321"/>
        <w:spacing w:after="0"/>
        <w:tabs>
          <w:tab w:leader="none" w:pos="128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On April 22, 2025, Ms. Piche was awarded a Transformation RSU grant with an approximate value of $525,000.</w:t>
      </w:r>
    </w:p>
    <w:p>
      <w:pPr>
        <w:spacing w:after="0" w:line="164" w:lineRule="exact"/>
        <w:rPr>
          <w:sz w:val="20"/>
          <w:szCs w:val="20"/>
          <w:color w:val="auto"/>
        </w:rPr>
      </w:pPr>
    </w:p>
    <w:p>
      <w:pPr>
        <w:ind w:left="480"/>
        <w:spacing w:after="0"/>
        <w:rPr>
          <w:sz w:val="20"/>
          <w:szCs w:val="20"/>
          <w:color w:val="auto"/>
        </w:rPr>
      </w:pPr>
      <w:r>
        <w:rPr>
          <w:rFonts w:ascii="Arial" w:cs="Arial" w:eastAsia="Arial" w:hAnsi="Arial"/>
          <w:sz w:val="18"/>
          <w:szCs w:val="18"/>
          <w:i w:val="1"/>
          <w:iCs w:val="1"/>
          <w:u w:val="single" w:color="auto"/>
          <w:color w:val="auto"/>
        </w:rPr>
        <w:t>Payout for 2023 Performance RSUs</w:t>
      </w:r>
      <w:r>
        <w:rPr>
          <w:rFonts w:ascii="Arial" w:cs="Arial" w:eastAsia="Arial" w:hAnsi="Arial"/>
          <w:sz w:val="18"/>
          <w:szCs w:val="18"/>
          <w:i w:val="1"/>
          <w:iCs w:val="1"/>
          <w:color w:val="auto"/>
        </w:rPr>
        <w:t>.</w:t>
      </w:r>
    </w:p>
    <w:p>
      <w:pPr>
        <w:spacing w:after="0" w:line="164" w:lineRule="exact"/>
        <w:rPr>
          <w:sz w:val="20"/>
          <w:szCs w:val="20"/>
          <w:color w:val="auto"/>
        </w:rPr>
      </w:pPr>
    </w:p>
    <w:p>
      <w:pPr>
        <w:ind w:right="400"/>
        <w:spacing w:after="0" w:line="282" w:lineRule="auto"/>
        <w:rPr>
          <w:sz w:val="20"/>
          <w:szCs w:val="20"/>
          <w:color w:val="auto"/>
        </w:rPr>
      </w:pPr>
      <w:r>
        <w:rPr>
          <w:rFonts w:ascii="Arial" w:cs="Arial" w:eastAsia="Arial" w:hAnsi="Arial"/>
          <w:sz w:val="17"/>
          <w:szCs w:val="17"/>
          <w:color w:val="auto"/>
        </w:rPr>
        <w:t>For the three-year period ending on December 31, 2025, our TSR was meaningfully negative and trailed that of our performance relative to companies in the S&amp;P 500 Index, which companies consist of our performance peer group for purposes of the 2023 Performance RSUs, resulting in the forfeiture of the 2023 performance-based LTI awards for the 2023 through 2025 performance period.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Elements of Executive Compensation</w:t>
      </w:r>
    </w:p>
    <w:p>
      <w:pPr>
        <w:spacing w:after="0" w:line="166" w:lineRule="exact"/>
        <w:rPr>
          <w:sz w:val="20"/>
          <w:szCs w:val="20"/>
          <w:color w:val="auto"/>
        </w:rPr>
      </w:pPr>
    </w:p>
    <w:p>
      <w:pPr>
        <w:ind w:right="660"/>
        <w:spacing w:after="0" w:line="274" w:lineRule="auto"/>
        <w:rPr>
          <w:sz w:val="20"/>
          <w:szCs w:val="20"/>
          <w:color w:val="auto"/>
        </w:rPr>
      </w:pPr>
      <w:r>
        <w:rPr>
          <w:rFonts w:ascii="Arial" w:cs="Arial" w:eastAsia="Arial" w:hAnsi="Arial"/>
          <w:sz w:val="18"/>
          <w:szCs w:val="18"/>
          <w:color w:val="auto"/>
        </w:rPr>
        <w:t>In addition to base salary, STIs and LTIs, we provide other benefits as outlined below. We believe these other elements of our executive compensation program support our overall talent attraction and retention objectives.</w:t>
      </w:r>
    </w:p>
    <w:p>
      <w:pPr>
        <w:spacing w:after="0" w:line="1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Severance Agreements</w:t>
      </w:r>
    </w:p>
    <w:p>
      <w:pPr>
        <w:spacing w:after="0" w:line="164"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Committee believes establishing competitive severance arrangements with our executives is a key part of a total rewards package to effectively recruit and retain high-performing executives. We have entered into severance agreements containing severance benefits and non-compete and non-solicitation provisions with each of our NEOs and certain other executive officers (as amended, "Severance Agreements"). We do not currently have employment-related agreements with any of our NEOs other than the Severance Agreements (as defined in and further discussed in "IV. Executive Compensation—Potential Payments Upon Termination of Employment").</w:t>
      </w:r>
    </w:p>
    <w:p>
      <w:pPr>
        <w:spacing w:after="0" w:line="1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Pursuant to each Severance Agreement, we are generally required to provide severance benefits to the officer if such officer is terminated without Cause (as defined in the Severance Agreement) or such officer terminates employment with Good Reason (as defined in the Severance Agreement) (collectively a "Qualifying Termination"). The Severance Agreements provide for enhanced severance benefits if the officer incurs a Qualifying Termination within two years following a Change in Control (as defined in the Severance Agreements).</w:t>
      </w:r>
    </w:p>
    <w:p>
      <w:pPr>
        <w:spacing w:after="0" w:line="12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Committee has adopted a policy not to enter into any agreement providing for an excise tax "gross up" payment relating to an "excess parachute payment" (pursuant to Section 280G of the Internal Revenue Code of 1986, as amended ("Code")) ("Excise Tax Payment"), and no existing Severance Agreements contain Excise Tax Payment provisions.</w:t>
      </w:r>
    </w:p>
    <w:p>
      <w:pPr>
        <w:spacing w:after="0" w:line="124"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We periodically review the level of executive severance benefits by analyzing our severance benefits as compared to competitive market practices as provided in surveys and information from third parties. Subsequent Severance Agreements may be different as a result of such reviews.</w:t>
      </w:r>
    </w:p>
    <w:p>
      <w:pPr>
        <w:spacing w:after="0" w:line="353"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393" w:right="359" w:bottom="1440" w:gutter="0" w:footer="0" w:header="0"/>
        </w:sectPr>
      </w:pPr>
    </w:p>
    <w:bookmarkStart w:id="54" w:name="page55"/>
    <w:bookmarkEnd w:id="54"/>
    <w:p>
      <w:pPr>
        <w:ind w:right="380"/>
        <w:spacing w:after="0" w:line="259" w:lineRule="auto"/>
        <w:rPr>
          <w:sz w:val="20"/>
          <w:szCs w:val="20"/>
          <w:color w:val="auto"/>
        </w:rPr>
      </w:pPr>
      <w:r>
        <w:rPr>
          <w:rFonts w:ascii="Arial" w:cs="Arial" w:eastAsia="Arial" w:hAnsi="Arial"/>
          <w:sz w:val="18"/>
          <w:szCs w:val="18"/>
          <w:color w:val="auto"/>
        </w:rPr>
        <w:t>Mr. Moskowitz's employment was terminated without Cause effective March 23, 2025, which met the definition of a Qualifying Termination pursuant to the terms of his Severance Agreement with the Company. As a result, Mr. Moskowitz is eligible to receive certain payments and benefits following his separation, in accordance with such agreement.</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Amended and Restated Extended Service Separation Program</w:t>
      </w:r>
    </w:p>
    <w:p>
      <w:pPr>
        <w:spacing w:after="0" w:line="164"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The Board has approved a program designed to make available certain retirement-type benefits to all employees, including the NEOs, that meet certain age and service requirements. Generally, to be eligible, (1) the sum of an employee's age and years of service as an employee must be equal to or greater than 70, (2) the employee must be credited with at least 10 years' service, (3) the employee must be at least 50 years old and (4) the employee must provide at least six months' prior notice (or, for certain non-executive positions, three months' prior notice) of his or her intention to terminate employment. Assuming these conditions are satisfied, RSUs held by such employees that were granted at least six months prior to termination will continue to have the opportunity to vest pursuant to their terms (other than the employment requirement), subject to certain additional conditions, including the execution of a full release and an agreement to be available for post-termination consultation with us. As to an employee not holding RSUs, the program generally provides that, in connection with employment termination, an employee who meets the above eligibility requirements will receive a fully-vested, discretionary, profit-sharing contribution pursuant to the Crown Castle Inc. 401(k) Plan ("401(k) Plan") equal to 25% of the employee's base salary. The program is subject to interpretation, modification or termination by the Committee or Board in the sole discretion of each at any time.</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Retirement Benefits</w:t>
      </w:r>
    </w:p>
    <w:p>
      <w:pPr>
        <w:spacing w:after="0" w:line="164" w:lineRule="exact"/>
        <w:rPr>
          <w:sz w:val="20"/>
          <w:szCs w:val="20"/>
          <w:color w:val="auto"/>
        </w:rPr>
      </w:pPr>
    </w:p>
    <w:p>
      <w:pPr>
        <w:ind w:right="240"/>
        <w:spacing w:after="0" w:line="274" w:lineRule="auto"/>
        <w:rPr>
          <w:sz w:val="20"/>
          <w:szCs w:val="20"/>
          <w:color w:val="auto"/>
        </w:rPr>
      </w:pPr>
      <w:r>
        <w:rPr>
          <w:rFonts w:ascii="Arial" w:cs="Arial" w:eastAsia="Arial" w:hAnsi="Arial"/>
          <w:sz w:val="17"/>
          <w:szCs w:val="17"/>
          <w:color w:val="auto"/>
        </w:rPr>
        <w:t>In 2025, our executives were eligible to participate in our 401(k) Plan under generally the same parameters applicable to all other employees, including a matching contribution ("Base Match"), dollar for dollar on up to 5% of the executive's cash compensation contributed. The Base Match is treated as subject to Internal Revenue Service limitations. The value of the 2025 Base Match for each NEO is provided below in the table at "IV. Executive Compensation—Summary Compensation Table" and "IV. Executive Compensation—All Other Compensation Table."</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Health and Welfare Benefits</w:t>
      </w:r>
    </w:p>
    <w:p>
      <w:pPr>
        <w:spacing w:after="0" w:line="16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Our executives are eligible to participate in the same health and welfare benefits that are available to our other eligible employees, such as medical, dental, vision and life insurance. The value of the health and welfare benefits paid by us for each NEO in applicable years is provided below in the tables at "IV. Executive Compensation—Summary Compensation Table" and "IV. Executive Compensation—All Other Compensation Table."</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Relocation Benefits</w:t>
      </w:r>
    </w:p>
    <w:p>
      <w:pPr>
        <w:spacing w:after="0" w:line="164"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In general, we do not offer our executives significant perquisites, other than relocation assistance. We generally offer relocation assistance to all of our employees (including our executives) who we ask to relocate in connection with their employment with us, with the level of benefits generally corresponding to the level of the employee's position. We have found that relocation assistance can play an important role in attracting qualified candidates or transferring existing employees to our various office locations. The primary benefits provided under our relocation assistance program to our NEOs and other senior management are generally: reasonable moving and related expenses, closing costs related to selling and buying a house and temporary living expenses, if needed, for up to 120 days. We provided relocation assistance benefits to Ms. Piche, our EVP and COO—Towers, and Mr. Hillabrant, our President and CEO, in 2023 and 2025, respectively. The value of the relocation assistance provided to each of Ms. Piche and Mr. Hillabrant is set forth in "VI. Executive Compensation—All Other Compensation Table."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Governance, Policy and Practice</w:t>
      </w:r>
    </w:p>
    <w:p>
      <w:pPr>
        <w:spacing w:after="0" w:line="166" w:lineRule="exact"/>
        <w:rPr>
          <w:sz w:val="20"/>
          <w:szCs w:val="20"/>
          <w:color w:val="auto"/>
        </w:rPr>
      </w:pPr>
    </w:p>
    <w:p>
      <w:pPr>
        <w:ind w:right="80"/>
        <w:spacing w:after="0" w:line="274" w:lineRule="auto"/>
        <w:rPr>
          <w:sz w:val="20"/>
          <w:szCs w:val="20"/>
          <w:color w:val="auto"/>
        </w:rPr>
      </w:pPr>
      <w:r>
        <w:rPr>
          <w:rFonts w:ascii="Arial" w:cs="Arial" w:eastAsia="Arial" w:hAnsi="Arial"/>
          <w:sz w:val="18"/>
          <w:szCs w:val="18"/>
          <w:color w:val="auto"/>
        </w:rPr>
        <w:t>The Committee is responsible for the executive compensation program design and decision-making process. The Committee solicits input from independent members of the Board, the CEO, other members of</w:t>
      </w:r>
    </w:p>
    <w:p>
      <w:pPr>
        <w:spacing w:after="0" w:line="338"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55" w:name="page56"/>
    <w:bookmarkEnd w:id="55"/>
    <w:p>
      <w:pPr>
        <w:spacing w:after="0" w:line="274" w:lineRule="auto"/>
        <w:rPr>
          <w:sz w:val="20"/>
          <w:szCs w:val="20"/>
          <w:color w:val="auto"/>
        </w:rPr>
      </w:pPr>
      <w:r>
        <w:rPr>
          <w:rFonts w:ascii="Arial" w:cs="Arial" w:eastAsia="Arial" w:hAnsi="Arial"/>
          <w:sz w:val="18"/>
          <w:szCs w:val="18"/>
          <w:color w:val="auto"/>
        </w:rPr>
        <w:t>management and the independent Compensation Consultant to assist with its responsibilities. The following summarizes the roles of each of the participants in the executive compensation decision-making process.</w:t>
      </w:r>
    </w:p>
    <w:p>
      <w:pPr>
        <w:spacing w:after="0" w:line="1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Compensation and Human Capital Committee</w:t>
      </w:r>
    </w:p>
    <w:p>
      <w:pPr>
        <w:spacing w:after="0" w:line="164" w:lineRule="exact"/>
        <w:rPr>
          <w:sz w:val="20"/>
          <w:szCs w:val="20"/>
          <w:color w:val="auto"/>
        </w:rPr>
      </w:pPr>
    </w:p>
    <w:p>
      <w:pPr>
        <w:ind w:right="560"/>
        <w:spacing w:after="0" w:line="274" w:lineRule="auto"/>
        <w:rPr>
          <w:sz w:val="20"/>
          <w:szCs w:val="20"/>
          <w:color w:val="auto"/>
        </w:rPr>
      </w:pPr>
      <w:r>
        <w:rPr>
          <w:rFonts w:ascii="Arial" w:cs="Arial" w:eastAsia="Arial" w:hAnsi="Arial"/>
          <w:sz w:val="18"/>
          <w:szCs w:val="18"/>
          <w:color w:val="auto"/>
        </w:rPr>
        <w:t>The Committee is composed solely of members of the Board who (1) are not employees of the Company and (2) meet the independence requirements of the NYSE listing standards.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Committee is responsible for overseeing our executive compensation and LTI programs. Specifically, the Committee is responsible for:</w:t>
      </w:r>
    </w:p>
    <w:p>
      <w:pPr>
        <w:spacing w:after="0" w:line="164" w:lineRule="exact"/>
        <w:rPr>
          <w:sz w:val="20"/>
          <w:szCs w:val="20"/>
          <w:color w:val="auto"/>
        </w:rPr>
      </w:pPr>
    </w:p>
    <w:p>
      <w:pPr>
        <w:ind w:left="640" w:hanging="316"/>
        <w:spacing w:after="0"/>
        <w:tabs>
          <w:tab w:leader="none" w:pos="640" w:val="left"/>
        </w:tabs>
        <w:numPr>
          <w:ilvl w:val="0"/>
          <w:numId w:val="133"/>
        </w:numPr>
        <w:rPr>
          <w:rFonts w:ascii="Arial" w:cs="Arial" w:eastAsia="Arial" w:hAnsi="Arial"/>
          <w:sz w:val="17"/>
          <w:szCs w:val="17"/>
          <w:color w:val="520B90"/>
        </w:rPr>
      </w:pPr>
      <w:r>
        <w:rPr>
          <w:rFonts w:ascii="Arial" w:cs="Arial" w:eastAsia="Arial" w:hAnsi="Arial"/>
          <w:sz w:val="17"/>
          <w:szCs w:val="17"/>
          <w:color w:val="auto"/>
        </w:rPr>
        <w:t>designing, recommending, administering and evaluating the executive compensation plans, policies and programs of the Company; and</w:t>
      </w:r>
    </w:p>
    <w:p>
      <w:pPr>
        <w:spacing w:after="0" w:line="108" w:lineRule="exact"/>
        <w:rPr>
          <w:rFonts w:ascii="Arial" w:cs="Arial" w:eastAsia="Arial" w:hAnsi="Arial"/>
          <w:sz w:val="17"/>
          <w:szCs w:val="17"/>
          <w:color w:val="520B90"/>
        </w:rPr>
      </w:pPr>
    </w:p>
    <w:p>
      <w:pPr>
        <w:ind w:left="640" w:hanging="316"/>
        <w:spacing w:after="0"/>
        <w:tabs>
          <w:tab w:leader="none" w:pos="640" w:val="left"/>
        </w:tabs>
        <w:numPr>
          <w:ilvl w:val="0"/>
          <w:numId w:val="133"/>
        </w:numPr>
        <w:rPr>
          <w:rFonts w:ascii="Arial" w:cs="Arial" w:eastAsia="Arial" w:hAnsi="Arial"/>
          <w:sz w:val="18"/>
          <w:szCs w:val="18"/>
          <w:color w:val="520B90"/>
        </w:rPr>
      </w:pPr>
      <w:r>
        <w:rPr>
          <w:rFonts w:ascii="Arial" w:cs="Arial" w:eastAsia="Arial" w:hAnsi="Arial"/>
          <w:sz w:val="18"/>
          <w:szCs w:val="18"/>
          <w:color w:val="auto"/>
        </w:rPr>
        <w:t>overseeing the administration of the Company's equity-based compensation plans.</w:t>
      </w:r>
    </w:p>
    <w:p>
      <w:pPr>
        <w:spacing w:after="0" w:line="164" w:lineRule="exact"/>
        <w:rPr>
          <w:sz w:val="20"/>
          <w:szCs w:val="20"/>
          <w:color w:val="auto"/>
        </w:rPr>
      </w:pPr>
    </w:p>
    <w:p>
      <w:pPr>
        <w:ind w:right="480"/>
        <w:spacing w:after="0" w:line="274" w:lineRule="auto"/>
        <w:rPr>
          <w:sz w:val="20"/>
          <w:szCs w:val="20"/>
          <w:color w:val="auto"/>
        </w:rPr>
      </w:pPr>
      <w:r>
        <w:rPr>
          <w:rFonts w:ascii="Arial" w:cs="Arial" w:eastAsia="Arial" w:hAnsi="Arial"/>
          <w:sz w:val="18"/>
          <w:szCs w:val="18"/>
          <w:color w:val="auto"/>
        </w:rPr>
        <w:t>For additional information regarding the Committee, see "II. Election of Directors—Board Committees—Compensation and Human Capital Committee."</w:t>
      </w:r>
    </w:p>
    <w:p>
      <w:pPr>
        <w:spacing w:after="0" w:line="1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Independent Compensation Consultant</w:t>
      </w:r>
    </w:p>
    <w:p>
      <w:pPr>
        <w:spacing w:after="0" w:line="16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performing its duties, the Committee obtains advice from the Compensation Consultant, FW Cook, which is engaged directly by the Committee (while the Compensation Consultant is engaged by the Committee, it works with management, including members of our HR department and our CEO, as directed by the Committee). In addition, in the case of compensation decisions relating to executives other than the CEO, the Committee seeks and obtains input from the CEO. The Committee regularly holds executive sessions at its meetings during which management, including the CEO, is not in attendance. Management, including members of our HR department and our CEO, assists with the coordination, preparation and review of Committee meeting materials.</w:t>
      </w:r>
    </w:p>
    <w:p>
      <w:pPr>
        <w:spacing w:after="0" w:line="13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Management</w:t>
      </w:r>
    </w:p>
    <w:p>
      <w:pPr>
        <w:spacing w:after="0" w:line="164" w:lineRule="exact"/>
        <w:rPr>
          <w:sz w:val="20"/>
          <w:szCs w:val="20"/>
          <w:color w:val="auto"/>
        </w:rPr>
      </w:pPr>
    </w:p>
    <w:p>
      <w:pPr>
        <w:ind w:right="500"/>
        <w:spacing w:after="0" w:line="251" w:lineRule="auto"/>
        <w:rPr>
          <w:sz w:val="20"/>
          <w:szCs w:val="20"/>
          <w:color w:val="auto"/>
        </w:rPr>
      </w:pPr>
      <w:r>
        <w:rPr>
          <w:rFonts w:ascii="Arial" w:cs="Arial" w:eastAsia="Arial" w:hAnsi="Arial"/>
          <w:sz w:val="18"/>
          <w:szCs w:val="18"/>
          <w:color w:val="auto"/>
        </w:rPr>
        <w:t>The CEO annually reviews the competitive pay position and the performance of each executive officer other than himself. The CEO's conclusions and recommendations, including base salary adjustments and award amounts for the current year and target annual award amounts for the next year under the AIP (other than for himself) are presented to the Committee. The Committee makes all compensation decisions and approves all share-based awards for the NEOs and other executive officers. The Committee may exercise its discretion in modifying any compensation element to any executive officer, including reducing or increasing the payment amount for one or more components of such awards.</w:t>
      </w:r>
    </w:p>
    <w:p>
      <w:pPr>
        <w:spacing w:after="0" w:line="13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 Ownership and Retention Guidelines</w:t>
      </w:r>
    </w:p>
    <w:p>
      <w:pPr>
        <w:spacing w:after="0" w:line="164" w:lineRule="exact"/>
        <w:rPr>
          <w:sz w:val="20"/>
          <w:szCs w:val="20"/>
          <w:color w:val="auto"/>
        </w:rPr>
      </w:pPr>
    </w:p>
    <w:p>
      <w:pPr>
        <w:ind w:right="440"/>
        <w:spacing w:after="0" w:line="252" w:lineRule="auto"/>
        <w:rPr>
          <w:sz w:val="20"/>
          <w:szCs w:val="20"/>
          <w:color w:val="auto"/>
        </w:rPr>
      </w:pPr>
      <w:r>
        <w:rPr>
          <w:rFonts w:ascii="Arial" w:cs="Arial" w:eastAsia="Arial" w:hAnsi="Arial"/>
          <w:sz w:val="18"/>
          <w:szCs w:val="18"/>
          <w:color w:val="auto"/>
        </w:rPr>
        <w:t>To further align the interests of our executive management with those of our stockholders, we have adopted certain stock ownership and retention guidelines ("Ownership Guidelines") designed to support a culture of stewardship among the NEOs and certain other executive officers. The Committee believes the maintenance of the Ownership Guidelines motivates executives to perform in accordance with the interests of our stockholders. The ownership levels in the Ownership Guidelines are designed to ensure that executives have a meaningful economic stake in our Common Stock, while satisfying the executives' need for portfolio diversification.</w:t>
      </w:r>
    </w:p>
    <w:p>
      <w:pPr>
        <w:spacing w:after="0" w:line="131"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The Ownership Guidelines provide that each of the NEOs should maintain beneficial ownership of a number of shares of Common Stock having a value sufficient to satisfy the applicable stock ownership level specified below:</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 w:type="dxa"/>
            <w:vAlign w:val="bottom"/>
          </w:tcPr>
          <w:p>
            <w:pPr>
              <w:spacing w:after="0"/>
              <w:rPr>
                <w:sz w:val="19"/>
                <w:szCs w:val="19"/>
                <w:color w:val="auto"/>
              </w:rPr>
            </w:pPr>
          </w:p>
        </w:tc>
        <w:tc>
          <w:tcPr>
            <w:tcW w:w="4740" w:type="dxa"/>
            <w:vAlign w:val="bottom"/>
            <w:tcBorders>
              <w:bottom w:val="single" w:sz="8" w:color="520B90"/>
            </w:tcBorders>
            <w:gridSpan w:val="2"/>
          </w:tcPr>
          <w:p>
            <w:pPr>
              <w:ind w:left="120"/>
              <w:spacing w:after="0"/>
              <w:rPr>
                <w:sz w:val="20"/>
                <w:szCs w:val="20"/>
                <w:color w:val="auto"/>
              </w:rPr>
            </w:pPr>
            <w:r>
              <w:rPr>
                <w:rFonts w:ascii="Arial" w:cs="Arial" w:eastAsia="Arial" w:hAnsi="Arial"/>
                <w:sz w:val="16"/>
                <w:szCs w:val="16"/>
                <w:b w:val="1"/>
                <w:bCs w:val="1"/>
                <w:color w:val="520B90"/>
              </w:rPr>
              <w:t>Position</w:t>
            </w:r>
          </w:p>
        </w:tc>
        <w:tc>
          <w:tcPr>
            <w:tcW w:w="6420" w:type="dxa"/>
            <w:vAlign w:val="bottom"/>
            <w:tcBorders>
              <w:bottom w:val="single" w:sz="8" w:color="520B90"/>
            </w:tcBorders>
          </w:tcPr>
          <w:p>
            <w:pPr>
              <w:jc w:val="center"/>
              <w:ind w:left="1361"/>
              <w:spacing w:after="0"/>
              <w:rPr>
                <w:sz w:val="20"/>
                <w:szCs w:val="20"/>
                <w:color w:val="auto"/>
              </w:rPr>
            </w:pPr>
            <w:r>
              <w:rPr>
                <w:rFonts w:ascii="Arial" w:cs="Arial" w:eastAsia="Arial" w:hAnsi="Arial"/>
                <w:sz w:val="16"/>
                <w:szCs w:val="16"/>
                <w:b w:val="1"/>
                <w:bCs w:val="1"/>
                <w:color w:val="520B90"/>
                <w:w w:val="97"/>
              </w:rPr>
              <w:t>Stock Ownership Multiple</w:t>
            </w:r>
            <w:r>
              <w:rPr>
                <w:rFonts w:ascii="Arial" w:cs="Arial" w:eastAsia="Arial" w:hAnsi="Arial"/>
                <w:sz w:val="20"/>
                <w:szCs w:val="20"/>
                <w:b w:val="1"/>
                <w:bCs w:val="1"/>
                <w:color w:val="520B90"/>
                <w:w w:val="97"/>
                <w:vertAlign w:val="superscript"/>
              </w:rPr>
              <w:t>(a)</w:t>
            </w:r>
          </w:p>
        </w:tc>
      </w:tr>
      <w:tr>
        <w:trPr>
          <w:trHeight w:val="203"/>
        </w:trPr>
        <w:tc>
          <w:tcPr>
            <w:tcW w:w="80" w:type="dxa"/>
            <w:vAlign w:val="bottom"/>
          </w:tcPr>
          <w:p>
            <w:pPr>
              <w:spacing w:after="0"/>
              <w:rPr>
                <w:sz w:val="17"/>
                <w:szCs w:val="17"/>
                <w:color w:val="auto"/>
              </w:rPr>
            </w:pPr>
          </w:p>
        </w:tc>
        <w:tc>
          <w:tcPr>
            <w:tcW w:w="4740" w:type="dxa"/>
            <w:vAlign w:val="bottom"/>
            <w:gridSpan w:val="2"/>
          </w:tcPr>
          <w:p>
            <w:pPr>
              <w:ind w:left="140"/>
              <w:spacing w:after="0"/>
              <w:rPr>
                <w:sz w:val="20"/>
                <w:szCs w:val="20"/>
                <w:color w:val="auto"/>
              </w:rPr>
            </w:pPr>
            <w:r>
              <w:rPr>
                <w:rFonts w:ascii="Arial" w:cs="Arial" w:eastAsia="Arial" w:hAnsi="Arial"/>
                <w:sz w:val="16"/>
                <w:szCs w:val="16"/>
                <w:color w:val="auto"/>
              </w:rPr>
              <w:t>Chief Executive Officer</w:t>
            </w:r>
          </w:p>
        </w:tc>
        <w:tc>
          <w:tcPr>
            <w:tcW w:w="6420" w:type="dxa"/>
            <w:vAlign w:val="bottom"/>
          </w:tcPr>
          <w:p>
            <w:pPr>
              <w:jc w:val="center"/>
              <w:ind w:left="1361"/>
              <w:spacing w:after="0"/>
              <w:rPr>
                <w:sz w:val="20"/>
                <w:szCs w:val="20"/>
                <w:color w:val="auto"/>
              </w:rPr>
            </w:pPr>
            <w:r>
              <w:rPr>
                <w:rFonts w:ascii="Arial" w:cs="Arial" w:eastAsia="Arial" w:hAnsi="Arial"/>
                <w:sz w:val="16"/>
                <w:szCs w:val="16"/>
                <w:color w:val="auto"/>
                <w:w w:val="99"/>
              </w:rPr>
              <w:t>6X Base Salary</w:t>
            </w:r>
          </w:p>
        </w:tc>
      </w:tr>
      <w:tr>
        <w:trPr>
          <w:trHeight w:val="226"/>
        </w:trPr>
        <w:tc>
          <w:tcPr>
            <w:tcW w:w="80" w:type="dxa"/>
            <w:vAlign w:val="bottom"/>
          </w:tcPr>
          <w:p>
            <w:pPr>
              <w:spacing w:after="0"/>
              <w:rPr>
                <w:sz w:val="19"/>
                <w:szCs w:val="19"/>
                <w:color w:val="auto"/>
              </w:rPr>
            </w:pPr>
          </w:p>
        </w:tc>
        <w:tc>
          <w:tcPr>
            <w:tcW w:w="4740" w:type="dxa"/>
            <w:vAlign w:val="bottom"/>
            <w:tcBorders>
              <w:bottom w:val="single" w:sz="8" w:color="E6E7E7"/>
            </w:tcBorders>
            <w:gridSpan w:val="2"/>
          </w:tcPr>
          <w:p>
            <w:pPr>
              <w:ind w:left="140"/>
              <w:spacing w:after="0"/>
              <w:rPr>
                <w:sz w:val="20"/>
                <w:szCs w:val="20"/>
                <w:color w:val="auto"/>
              </w:rPr>
            </w:pPr>
            <w:r>
              <w:rPr>
                <w:rFonts w:ascii="Arial" w:cs="Arial" w:eastAsia="Arial" w:hAnsi="Arial"/>
                <w:sz w:val="16"/>
                <w:szCs w:val="16"/>
                <w:color w:val="auto"/>
              </w:rPr>
              <w:t>Other Executive Officers</w:t>
            </w:r>
          </w:p>
        </w:tc>
        <w:tc>
          <w:tcPr>
            <w:tcW w:w="6420" w:type="dxa"/>
            <w:vAlign w:val="bottom"/>
            <w:tcBorders>
              <w:bottom w:val="single" w:sz="8" w:color="E6E7E7"/>
            </w:tcBorders>
          </w:tcPr>
          <w:p>
            <w:pPr>
              <w:jc w:val="center"/>
              <w:ind w:left="1361"/>
              <w:spacing w:after="0"/>
              <w:rPr>
                <w:sz w:val="20"/>
                <w:szCs w:val="20"/>
                <w:color w:val="auto"/>
              </w:rPr>
            </w:pPr>
            <w:r>
              <w:rPr>
                <w:rFonts w:ascii="Arial" w:cs="Arial" w:eastAsia="Arial" w:hAnsi="Arial"/>
                <w:sz w:val="16"/>
                <w:szCs w:val="16"/>
                <w:color w:val="auto"/>
                <w:w w:val="99"/>
              </w:rPr>
              <w:t>3X Base Salary</w:t>
            </w:r>
          </w:p>
        </w:tc>
      </w:tr>
      <w:tr>
        <w:trPr>
          <w:trHeight w:val="21"/>
        </w:trPr>
        <w:tc>
          <w:tcPr>
            <w:tcW w:w="80" w:type="dxa"/>
            <w:vAlign w:val="bottom"/>
          </w:tcPr>
          <w:p>
            <w:pPr>
              <w:spacing w:after="0" w:line="20" w:lineRule="exact"/>
              <w:rPr>
                <w:sz w:val="1"/>
                <w:szCs w:val="1"/>
                <w:color w:val="auto"/>
              </w:rPr>
            </w:pPr>
          </w:p>
        </w:tc>
        <w:tc>
          <w:tcPr>
            <w:tcW w:w="1080" w:type="dxa"/>
            <w:vAlign w:val="bottom"/>
            <w:tcBorders>
              <w:bottom w:val="single" w:sz="8" w:color="E6E7E7"/>
            </w:tcBorders>
          </w:tcPr>
          <w:p>
            <w:pPr>
              <w:spacing w:after="0" w:line="20" w:lineRule="exact"/>
              <w:rPr>
                <w:sz w:val="1"/>
                <w:szCs w:val="1"/>
                <w:color w:val="auto"/>
              </w:rPr>
            </w:pPr>
          </w:p>
        </w:tc>
        <w:tc>
          <w:tcPr>
            <w:tcW w:w="3660" w:type="dxa"/>
            <w:vAlign w:val="bottom"/>
            <w:tcBorders>
              <w:bottom w:val="single" w:sz="8" w:color="E6E7E7"/>
            </w:tcBorders>
          </w:tcPr>
          <w:p>
            <w:pPr>
              <w:spacing w:after="0" w:line="20" w:lineRule="exact"/>
              <w:rPr>
                <w:sz w:val="1"/>
                <w:szCs w:val="1"/>
                <w:color w:val="auto"/>
              </w:rPr>
            </w:pPr>
          </w:p>
        </w:tc>
        <w:tc>
          <w:tcPr>
            <w:tcW w:w="6420" w:type="dxa"/>
            <w:vAlign w:val="bottom"/>
            <w:tcBorders>
              <w:bottom w:val="single" w:sz="8" w:color="E6E7E7"/>
            </w:tcBorders>
          </w:tcPr>
          <w:p>
            <w:pPr>
              <w:spacing w:after="0" w:line="20" w:lineRule="exact"/>
              <w:rPr>
                <w:sz w:val="1"/>
                <w:szCs w:val="1"/>
                <w:color w:val="auto"/>
              </w:rPr>
            </w:pPr>
          </w:p>
        </w:tc>
      </w:tr>
      <w:tr>
        <w:trPr>
          <w:trHeight w:val="152"/>
        </w:trPr>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3660" w:type="dxa"/>
            <w:vAlign w:val="bottom"/>
          </w:tcPr>
          <w:p>
            <w:pPr>
              <w:spacing w:after="0"/>
              <w:rPr>
                <w:sz w:val="13"/>
                <w:szCs w:val="13"/>
                <w:color w:val="auto"/>
              </w:rPr>
            </w:pPr>
          </w:p>
        </w:tc>
        <w:tc>
          <w:tcPr>
            <w:tcW w:w="64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-285115</wp:posOffset>
            </wp:positionV>
            <wp:extent cx="708469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084695" cy="8255"/>
                    </a:xfrm>
                    <a:prstGeom prst="rect">
                      <a:avLst/>
                    </a:prstGeom>
                    <a:noFill/>
                  </pic:spPr>
                </pic:pic>
              </a:graphicData>
            </a:graphic>
          </wp:anchor>
        </w:drawing>
      </w:r>
    </w:p>
    <w:p>
      <w:pPr>
        <w:spacing w:after="0" w:line="113" w:lineRule="exact"/>
        <w:rPr>
          <w:sz w:val="20"/>
          <w:szCs w:val="20"/>
          <w:color w:val="auto"/>
        </w:rPr>
      </w:pPr>
    </w:p>
    <w:p>
      <w:pPr>
        <w:ind w:left="320" w:right="360" w:hanging="314"/>
        <w:spacing w:after="0" w:line="293" w:lineRule="auto"/>
        <w:tabs>
          <w:tab w:leader="none" w:pos="31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Represents the dollar value of Common Stock to be held, as determined pursuant to NYSE quotations. Eligible shares under the Ownership Guidelines for purposes of satisfying the applicable stock ownership levels include all shares of Common Stock deemed beneficially owned</w:t>
      </w:r>
    </w:p>
    <w:p>
      <w:pPr>
        <w:spacing w:after="0" w:line="389"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56" w:name="page57"/>
    <w:bookmarkEnd w:id="56"/>
    <w:p>
      <w:pPr>
        <w:ind w:left="320" w:right="160"/>
        <w:spacing w:after="0" w:line="293" w:lineRule="auto"/>
        <w:rPr>
          <w:sz w:val="20"/>
          <w:szCs w:val="20"/>
          <w:color w:val="auto"/>
        </w:rPr>
      </w:pPr>
      <w:r>
        <w:rPr>
          <w:rFonts w:ascii="Arial" w:cs="Arial" w:eastAsia="Arial" w:hAnsi="Arial"/>
          <w:sz w:val="13"/>
          <w:szCs w:val="13"/>
          <w:color w:val="auto"/>
        </w:rPr>
        <w:t>by an executive officer, which includes stock held in the Company's 401(k) plan, unvested Time RSUs and performance-based RSUs that remain only subject to time vesting. Unearned performance-based RSUs are not considered eligible for purposes of determining the applicable stock ownership levels.</w:t>
      </w:r>
    </w:p>
    <w:p>
      <w:pPr>
        <w:spacing w:after="0" w:line="10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NEOs have until the fifth anniversary of the date such NEO was appointed to meet the applicable Common Stock ownership level. In addition, an NEO has until the fifth anniversary after the date of an increase in base salary to meet the incremental increase to the applicable Common Stock ownership level as a result of such base salary increase.</w:t>
      </w:r>
    </w:p>
    <w:p>
      <w:pPr>
        <w:spacing w:after="0" w:line="12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Ownership Guidelines provide that if an NEO's Common Stock ownership is below (or subsequently falls below) the applicable stock ownership level, such NEO should hold and retain all shares of Common Stock received by the NEO resulting from equity awards granted to the NEO by the Company as a component of compensation until the NEO's applicable stock ownership level is met. The Ownership Guidelines apply with respect to "after-tax shares" (e.g., the sale of shares to cover taxes relating to Company granted equity awards is not subject to the Ownership Guidelines).</w:t>
      </w:r>
    </w:p>
    <w:p>
      <w:pPr>
        <w:spacing w:after="0" w:line="131" w:lineRule="exact"/>
        <w:rPr>
          <w:sz w:val="20"/>
          <w:szCs w:val="20"/>
          <w:color w:val="auto"/>
        </w:rPr>
      </w:pPr>
    </w:p>
    <w:p>
      <w:pPr>
        <w:ind w:right="220"/>
        <w:spacing w:after="0" w:line="274" w:lineRule="auto"/>
        <w:rPr>
          <w:sz w:val="20"/>
          <w:szCs w:val="20"/>
          <w:color w:val="auto"/>
        </w:rPr>
      </w:pPr>
      <w:r>
        <w:rPr>
          <w:rFonts w:ascii="Arial" w:cs="Arial" w:eastAsia="Arial" w:hAnsi="Arial"/>
          <w:sz w:val="18"/>
          <w:szCs w:val="18"/>
          <w:color w:val="auto"/>
        </w:rPr>
        <w:t>As of the Record Date, all of our NEOs who have served in their covered position for at least five years and continue to serve as an executive officer on the Record Date were in compliance with the Ownership Guidelines.</w:t>
      </w:r>
    </w:p>
    <w:p>
      <w:pPr>
        <w:spacing w:after="0" w:line="1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Compensation Recovery and Recoupment (Clawback) Policies</w:t>
      </w:r>
    </w:p>
    <w:p>
      <w:pPr>
        <w:spacing w:after="0" w:line="164" w:lineRule="exact"/>
        <w:rPr>
          <w:sz w:val="20"/>
          <w:szCs w:val="20"/>
          <w:color w:val="auto"/>
        </w:rPr>
      </w:pPr>
    </w:p>
    <w:p>
      <w:pPr>
        <w:ind w:left="480"/>
        <w:spacing w:after="0"/>
        <w:rPr>
          <w:sz w:val="20"/>
          <w:szCs w:val="20"/>
          <w:color w:val="auto"/>
        </w:rPr>
      </w:pPr>
      <w:r>
        <w:rPr>
          <w:rFonts w:ascii="Arial" w:cs="Arial" w:eastAsia="Arial" w:hAnsi="Arial"/>
          <w:sz w:val="18"/>
          <w:szCs w:val="18"/>
          <w:i w:val="1"/>
          <w:iCs w:val="1"/>
          <w:u w:val="single" w:color="auto"/>
          <w:color w:val="auto"/>
        </w:rPr>
        <w:t>Recovery Policy</w:t>
      </w:r>
      <w:r>
        <w:rPr>
          <w:rFonts w:ascii="Arial" w:cs="Arial" w:eastAsia="Arial" w:hAnsi="Arial"/>
          <w:sz w:val="18"/>
          <w:szCs w:val="18"/>
          <w:i w:val="1"/>
          <w:iCs w:val="1"/>
          <w:color w:val="auto"/>
        </w:rPr>
        <w:t>.</w:t>
      </w:r>
    </w:p>
    <w:p>
      <w:pPr>
        <w:spacing w:after="0" w:line="16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October 2023, the Board adopted the Incentive Compensation Recovery Policy ("Recovery Policy") to comply with the requirements of Exchange Act Rule 10D-1 and the NYSE listing standards thereunder to provide for the mandatory recoupment of excess incentive compensation (as that term is defined in the Recovery Policy) that was received by certain current and former executive officers in the event the Company is required to prepare an accounting restatement due to material noncompliance with any financial reporting requirement under the federal securities laws.</w:t>
      </w:r>
    </w:p>
    <w:p>
      <w:pPr>
        <w:spacing w:after="0" w:line="131" w:lineRule="exact"/>
        <w:rPr>
          <w:sz w:val="20"/>
          <w:szCs w:val="20"/>
          <w:color w:val="auto"/>
        </w:rPr>
      </w:pPr>
    </w:p>
    <w:p>
      <w:pPr>
        <w:ind w:left="480"/>
        <w:spacing w:after="0"/>
        <w:rPr>
          <w:sz w:val="20"/>
          <w:szCs w:val="20"/>
          <w:color w:val="auto"/>
        </w:rPr>
      </w:pPr>
      <w:r>
        <w:rPr>
          <w:rFonts w:ascii="Arial" w:cs="Arial" w:eastAsia="Arial" w:hAnsi="Arial"/>
          <w:sz w:val="18"/>
          <w:szCs w:val="18"/>
          <w:i w:val="1"/>
          <w:iCs w:val="1"/>
          <w:u w:val="single" w:color="auto"/>
          <w:color w:val="auto"/>
        </w:rPr>
        <w:t>Recoupment Policy</w:t>
      </w:r>
      <w:r>
        <w:rPr>
          <w:rFonts w:ascii="Arial" w:cs="Arial" w:eastAsia="Arial" w:hAnsi="Arial"/>
          <w:sz w:val="18"/>
          <w:szCs w:val="18"/>
          <w:i w:val="1"/>
          <w:iCs w:val="1"/>
          <w:color w:val="auto"/>
        </w:rPr>
        <w:t>.</w:t>
      </w:r>
    </w:p>
    <w:p>
      <w:pPr>
        <w:spacing w:after="0" w:line="164"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In addition, we maintain a separate legacy recoupment policy ("Recoupment Policy"), which provides that in the event of a restatement of the Company's financial statement or a determination by the Board that misconduct by an NEO or certain other employees caused financial or reputational harm to the Company, the Committee will review the circumstances and make recommendations to the Board as to whether recoupment should be pursued. Under the Recoupment Policy, "misconduct" includes any intentional or reckless violation of our guidelines and policies or any grossly negligent act or failure to act causing the above described result. In such circumstances, the Committee will review all compensation that has been awarded to a responsible party and determine how such compensation may have been affected by the financial restatements or misconduct.</w:t>
      </w:r>
    </w:p>
    <w:p>
      <w:pPr>
        <w:spacing w:after="0" w:line="132"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Should the Board determine that recoupment is appropriate, we may recoup from an NEO or other responsible employee any cash incentives and equity awarded in reliance on the financial statements that were restated, or for the year in which the financial or reputational harm occurred, to the extent the Committee determines that the cash incentives and equity awarded were based on such restated financial statements or resulted from such misconduct. The NEO and other responsible employees may also be subject to other disciplinary actions, up to and including termination of employment.</w:t>
      </w:r>
    </w:p>
    <w:p>
      <w:pPr>
        <w:spacing w:after="0" w:line="13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Insider Trading, Anti-Hedging and Anti-Pledging Policies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adopted an Insider Trading Policy and procedures governing the purchase, sale or other disposition of our securities by directors, officers, employees, contingent workers, contractors and consultants, which we believe are reasonably designed to promote compliance with insider trading laws, rules and regulations and applicable NYSE listing standards.</w:t>
      </w:r>
    </w:p>
    <w:p>
      <w:pPr>
        <w:spacing w:after="0" w:line="12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Further, our Insider Trading Policy prohibits our directors and employees, including our executive officers, from, among other things, short sales and trading in options, puts, calls or other derivative instruments relating to our securities, including for hedging purposes. All directors and executive officers are also</w:t>
      </w:r>
    </w:p>
    <w:p>
      <w:pPr>
        <w:spacing w:after="0" w:line="353"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9"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prohibited from pledging our securities as collateral for a loan, including borrowing against our securities held in a margin account.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 copy of our Insider Trading Policy is filed as Exhibit 19 to our 2025 Form 10-K.</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Policies and Practices Related to the Grant of Stock Options and Similar Awards</w:t>
      </w:r>
    </w:p>
    <w:p>
      <w:pPr>
        <w:spacing w:after="0" w:line="16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Although the 2022 LTIP allows for the grant of stock options, stock appreciation rights, or similar option-like awards, we do not currently grant such equity awards as part of our compensation program. Accordingly, we have no formal policies or practices to disclose under Item 402(x) of Regulation S-K. In addition, the Company does not schedule equity award grants in anticipation of the release of material nonpublic information, nor does the Company time the disclosure of material nonpublic information for purposing of affecting the value of executive compensation.</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Accounting and Tax Impacts upon Executive Compensation</w:t>
      </w:r>
    </w:p>
    <w:p>
      <w:pPr>
        <w:spacing w:after="0" w:line="164" w:lineRule="exact"/>
        <w:rPr>
          <w:sz w:val="20"/>
          <w:szCs w:val="20"/>
          <w:color w:val="auto"/>
        </w:rPr>
      </w:pPr>
    </w:p>
    <w:p>
      <w:pPr>
        <w:ind w:right="800"/>
        <w:spacing w:after="0" w:line="274" w:lineRule="auto"/>
        <w:rPr>
          <w:sz w:val="20"/>
          <w:szCs w:val="20"/>
          <w:color w:val="auto"/>
        </w:rPr>
      </w:pPr>
      <w:r>
        <w:rPr>
          <w:rFonts w:ascii="Arial" w:cs="Arial" w:eastAsia="Arial" w:hAnsi="Arial"/>
          <w:sz w:val="18"/>
          <w:szCs w:val="18"/>
          <w:color w:val="auto"/>
        </w:rPr>
        <w:t>For a discussion of the accounting impacts on various elements of LTI compensation, see notes 2 and 12 to our consolidated financial statements in our 2025 Form 10-K.</w:t>
      </w:r>
    </w:p>
    <w:p>
      <w:pPr>
        <w:spacing w:after="0" w:line="110" w:lineRule="exact"/>
        <w:rPr>
          <w:sz w:val="20"/>
          <w:szCs w:val="20"/>
          <w:color w:val="auto"/>
        </w:rPr>
      </w:pPr>
    </w:p>
    <w:p>
      <w:pPr>
        <w:ind w:right="340"/>
        <w:spacing w:after="0" w:line="252" w:lineRule="auto"/>
        <w:rPr>
          <w:sz w:val="20"/>
          <w:szCs w:val="20"/>
          <w:color w:val="auto"/>
        </w:rPr>
      </w:pPr>
      <w:r>
        <w:rPr>
          <w:rFonts w:ascii="Arial" w:cs="Arial" w:eastAsia="Arial" w:hAnsi="Arial"/>
          <w:sz w:val="18"/>
          <w:szCs w:val="18"/>
          <w:color w:val="auto"/>
        </w:rPr>
        <w:t>In determining executive compensation, the Committee considers, among other factors, the possible tax consequences. Tax consequences, including tax deductibility, are subject to factors that are beyond our control. In addition, the Committee believes that it is important to retain flexibility in designing compensation programs that meet its stated objectives. For these reasons, the Committee, while considering tax deductibility as one of the factors in determining compensation, has historically not limited compensation to those levels or types of compensation that will be deductible by us.</w:t>
      </w:r>
    </w:p>
    <w:p>
      <w:pPr>
        <w:spacing w:after="0" w:line="131"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Generally, Section 162(m) of the Code precludes a public corporation from taking a deduction for annual compensation in excess of $ 1,000,000 paid to its covered employees (as defined in Section 162(m)). Our Section 162(m) covered employees include our principal executive officer ("PEO"), our principal financial officer, our three next highest-paid officers and any employee who has been classified previously as a covered employee for purposes of Section 162(m). Because we intend to continue to qualify as a REIT under the Code, we generally distribute a sufficient level of net taxable income to our stockholders on an annual basis and as a result, do not incur U.S. federal income tax. Based on our REIT status, we do not expect the tax deduction limitations under Section 162(m) of the Code to have a material impact on us.</w:t>
      </w:r>
    </w:p>
    <w:p>
      <w:pPr>
        <w:spacing w:after="0" w:line="348"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Compensation and Human Capital Committee 2025 Report</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Compensation and Human Capital Committee has reviewed and discussed the disclosure set forth above under the heading "Compensation Discussion and Analysis" with management and, based on such review and discussions, it has recommended to the Board that the "Compensation Discussion and Analysis" be included in this Proxy Statement.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Respectfully submitted by the Compensation and Human Capital Committee of the Board.</w:t>
      </w:r>
    </w:p>
    <w:p>
      <w:pPr>
        <w:spacing w:after="0" w:line="184" w:lineRule="exact"/>
        <w:rPr>
          <w:sz w:val="20"/>
          <w:szCs w:val="20"/>
          <w:color w:val="auto"/>
        </w:rPr>
      </w:pPr>
    </w:p>
    <w:p>
      <w:pPr>
        <w:ind w:left="9180"/>
        <w:spacing w:after="0"/>
        <w:rPr>
          <w:sz w:val="20"/>
          <w:szCs w:val="20"/>
          <w:color w:val="auto"/>
        </w:rPr>
      </w:pPr>
      <w:r>
        <w:rPr>
          <w:rFonts w:ascii="Arial" w:cs="Arial" w:eastAsia="Arial" w:hAnsi="Arial"/>
          <w:sz w:val="18"/>
          <w:szCs w:val="18"/>
          <w:color w:val="auto"/>
        </w:rPr>
        <w:t>COMPENSATION AND</w:t>
      </w:r>
    </w:p>
    <w:p>
      <w:pPr>
        <w:ind w:left="9180"/>
        <w:spacing w:after="0" w:line="214" w:lineRule="auto"/>
        <w:rPr>
          <w:sz w:val="20"/>
          <w:szCs w:val="20"/>
          <w:color w:val="auto"/>
        </w:rPr>
      </w:pPr>
      <w:r>
        <w:rPr>
          <w:rFonts w:ascii="Arial" w:cs="Arial" w:eastAsia="Arial" w:hAnsi="Arial"/>
          <w:sz w:val="18"/>
          <w:szCs w:val="18"/>
          <w:color w:val="auto"/>
        </w:rPr>
        <w:t>HUMAN CAPITAL</w:t>
      </w:r>
    </w:p>
    <w:p>
      <w:pPr>
        <w:spacing w:after="0" w:line="1" w:lineRule="exact"/>
        <w:rPr>
          <w:sz w:val="20"/>
          <w:szCs w:val="20"/>
          <w:color w:val="auto"/>
        </w:rPr>
      </w:pPr>
    </w:p>
    <w:p>
      <w:pPr>
        <w:ind w:left="9180"/>
        <w:spacing w:after="0"/>
        <w:rPr>
          <w:sz w:val="20"/>
          <w:szCs w:val="20"/>
          <w:color w:val="auto"/>
        </w:rPr>
      </w:pPr>
      <w:r>
        <w:rPr>
          <w:rFonts w:ascii="Arial" w:cs="Arial" w:eastAsia="Arial" w:hAnsi="Arial"/>
          <w:sz w:val="18"/>
          <w:szCs w:val="18"/>
          <w:color w:val="auto"/>
        </w:rPr>
        <w:t>COMMITTEE</w:t>
      </w:r>
    </w:p>
    <w:p>
      <w:pPr>
        <w:spacing w:after="0" w:line="142" w:lineRule="exact"/>
        <w:rPr>
          <w:sz w:val="20"/>
          <w:szCs w:val="20"/>
          <w:color w:val="auto"/>
        </w:rPr>
      </w:pPr>
    </w:p>
    <w:p>
      <w:pPr>
        <w:ind w:left="9180"/>
        <w:spacing w:after="0"/>
        <w:rPr>
          <w:sz w:val="20"/>
          <w:szCs w:val="20"/>
          <w:color w:val="auto"/>
        </w:rPr>
      </w:pPr>
      <w:r>
        <w:rPr>
          <w:rFonts w:ascii="Arial" w:cs="Arial" w:eastAsia="Arial" w:hAnsi="Arial"/>
          <w:sz w:val="18"/>
          <w:szCs w:val="18"/>
          <w:color w:val="auto"/>
        </w:rPr>
        <w:t>Matthew Thornton, III</w:t>
      </w:r>
    </w:p>
    <w:p>
      <w:pPr>
        <w:ind w:left="9180"/>
        <w:spacing w:after="0"/>
        <w:rPr>
          <w:sz w:val="20"/>
          <w:szCs w:val="20"/>
          <w:color w:val="auto"/>
        </w:rPr>
      </w:pPr>
      <w:r>
        <w:rPr>
          <w:rFonts w:ascii="Arial" w:cs="Arial" w:eastAsia="Arial" w:hAnsi="Arial"/>
          <w:sz w:val="18"/>
          <w:szCs w:val="18"/>
          <w:color w:val="auto"/>
        </w:rPr>
        <w:t>(Chair)</w:t>
      </w:r>
    </w:p>
    <w:p>
      <w:pPr>
        <w:spacing w:after="0" w:line="15" w:lineRule="exact"/>
        <w:rPr>
          <w:sz w:val="20"/>
          <w:szCs w:val="20"/>
          <w:color w:val="auto"/>
        </w:rPr>
      </w:pPr>
    </w:p>
    <w:p>
      <w:pPr>
        <w:ind w:left="9180"/>
        <w:spacing w:after="0"/>
        <w:rPr>
          <w:sz w:val="20"/>
          <w:szCs w:val="20"/>
          <w:color w:val="auto"/>
        </w:rPr>
      </w:pPr>
      <w:r>
        <w:rPr>
          <w:rFonts w:ascii="Arial" w:cs="Arial" w:eastAsia="Arial" w:hAnsi="Arial"/>
          <w:sz w:val="18"/>
          <w:szCs w:val="18"/>
          <w:color w:val="auto"/>
        </w:rPr>
        <w:t>Andrea J. Goldsmith</w:t>
      </w:r>
    </w:p>
    <w:p>
      <w:pPr>
        <w:spacing w:after="0" w:line="25" w:lineRule="exact"/>
        <w:rPr>
          <w:sz w:val="20"/>
          <w:szCs w:val="20"/>
          <w:color w:val="auto"/>
        </w:rPr>
      </w:pPr>
    </w:p>
    <w:p>
      <w:pPr>
        <w:ind w:left="9180"/>
        <w:spacing w:after="0"/>
        <w:rPr>
          <w:sz w:val="20"/>
          <w:szCs w:val="20"/>
          <w:color w:val="auto"/>
        </w:rPr>
      </w:pPr>
      <w:r>
        <w:rPr>
          <w:rFonts w:ascii="Arial" w:cs="Arial" w:eastAsia="Arial" w:hAnsi="Arial"/>
          <w:sz w:val="18"/>
          <w:szCs w:val="18"/>
          <w:color w:val="auto"/>
        </w:rPr>
        <w:t>Kevin T. Kabat</w:t>
      </w:r>
    </w:p>
    <w:p>
      <w:pPr>
        <w:spacing w:after="0" w:line="18" w:lineRule="exact"/>
        <w:rPr>
          <w:sz w:val="20"/>
          <w:szCs w:val="20"/>
          <w:color w:val="auto"/>
        </w:rPr>
      </w:pPr>
    </w:p>
    <w:p>
      <w:pPr>
        <w:ind w:left="9180"/>
        <w:spacing w:after="0"/>
        <w:rPr>
          <w:sz w:val="20"/>
          <w:szCs w:val="20"/>
          <w:color w:val="auto"/>
        </w:rPr>
      </w:pPr>
      <w:r>
        <w:rPr>
          <w:rFonts w:ascii="Arial" w:cs="Arial" w:eastAsia="Arial" w:hAnsi="Arial"/>
          <w:sz w:val="18"/>
          <w:szCs w:val="18"/>
          <w:color w:val="auto"/>
        </w:rPr>
        <w:t>Katherine Motlagh</w:t>
      </w:r>
    </w:p>
    <w:p>
      <w:pPr>
        <w:spacing w:after="0" w:line="18" w:lineRule="exact"/>
        <w:rPr>
          <w:sz w:val="20"/>
          <w:szCs w:val="20"/>
          <w:color w:val="auto"/>
        </w:rPr>
      </w:pPr>
    </w:p>
    <w:p>
      <w:pPr>
        <w:ind w:left="9180"/>
        <w:spacing w:after="0"/>
        <w:rPr>
          <w:sz w:val="20"/>
          <w:szCs w:val="20"/>
          <w:color w:val="auto"/>
        </w:rPr>
      </w:pPr>
      <w:r>
        <w:rPr>
          <w:rFonts w:ascii="Arial" w:cs="Arial" w:eastAsia="Arial" w:hAnsi="Arial"/>
          <w:sz w:val="18"/>
          <w:szCs w:val="18"/>
          <w:color w:val="auto"/>
        </w:rPr>
        <w:t>Kevin A. Stephens</w:t>
      </w:r>
    </w:p>
    <w:p>
      <w:pPr>
        <w:spacing w:after="0" w:line="200" w:lineRule="exact"/>
        <w:rPr>
          <w:sz w:val="20"/>
          <w:szCs w:val="20"/>
          <w:color w:val="auto"/>
        </w:rPr>
      </w:pPr>
    </w:p>
    <w:p>
      <w:pPr>
        <w:spacing w:after="0" w:line="278"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20" w:top="1391" w:right="41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Summary Compensation Table</w:t>
      </w:r>
    </w:p>
    <w:p>
      <w:pPr>
        <w:spacing w:after="0" w:line="16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following Summary Compensation Table sets forth the compensation of the NEOs for 2025, 2024 and 2023 (where applicable). Additional details regarding the applicable elements of compensation in the Summary Compensation Table are provided in the footnotes following the table.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520B90"/>
              </w:rPr>
              <w:t>Stock</w:t>
            </w:r>
          </w:p>
        </w:tc>
        <w:tc>
          <w:tcPr>
            <w:tcW w:w="13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520B90"/>
              </w:rPr>
              <w:t>Non-Equity</w:t>
            </w:r>
          </w:p>
        </w:tc>
        <w:tc>
          <w:tcPr>
            <w:tcW w:w="14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520B90"/>
              </w:rPr>
              <w:t>All Other</w:t>
            </w: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520B90"/>
              </w:rPr>
              <w:t>Salary</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520B90"/>
              </w:rPr>
              <w:t>Bonus</w:t>
            </w:r>
          </w:p>
        </w:tc>
        <w:tc>
          <w:tcPr>
            <w:tcW w:w="1380" w:type="dxa"/>
            <w:vAlign w:val="bottom"/>
            <w:gridSpan w:val="2"/>
            <w:vMerge w:val="continue"/>
          </w:tcPr>
          <w:p>
            <w:pPr>
              <w:spacing w:after="0"/>
              <w:rPr>
                <w:sz w:val="11"/>
                <w:szCs w:val="11"/>
                <w:color w:val="auto"/>
              </w:rPr>
            </w:pPr>
          </w:p>
        </w:tc>
        <w:tc>
          <w:tcPr>
            <w:tcW w:w="1380" w:type="dxa"/>
            <w:vAlign w:val="bottom"/>
            <w:gridSpan w:val="2"/>
          </w:tcPr>
          <w:p>
            <w:pPr>
              <w:jc w:val="center"/>
              <w:ind w:right="140"/>
              <w:spacing w:after="0" w:line="133" w:lineRule="exact"/>
              <w:rPr>
                <w:sz w:val="20"/>
                <w:szCs w:val="20"/>
                <w:color w:val="auto"/>
              </w:rPr>
            </w:pPr>
            <w:r>
              <w:rPr>
                <w:rFonts w:ascii="Arial" w:cs="Arial" w:eastAsia="Arial" w:hAnsi="Arial"/>
                <w:sz w:val="13"/>
                <w:szCs w:val="13"/>
                <w:b w:val="1"/>
                <w:bCs w:val="1"/>
                <w:color w:val="520B90"/>
              </w:rPr>
              <w:t>Incentive Plan</w:t>
            </w:r>
          </w:p>
        </w:tc>
        <w:tc>
          <w:tcPr>
            <w:tcW w:w="1400" w:type="dxa"/>
            <w:vAlign w:val="bottom"/>
            <w:gridSpan w:val="2"/>
            <w:vMerge w:val="continue"/>
          </w:tcPr>
          <w:p>
            <w:pPr>
              <w:spacing w:after="0"/>
              <w:rPr>
                <w:sz w:val="11"/>
                <w:szCs w:val="11"/>
                <w:color w:val="auto"/>
              </w:rPr>
            </w:pPr>
          </w:p>
        </w:tc>
        <w:tc>
          <w:tcPr>
            <w:tcW w:w="1280" w:type="dxa"/>
            <w:vAlign w:val="bottom"/>
            <w:vMerge w:val="restart"/>
          </w:tcPr>
          <w:p>
            <w:pPr>
              <w:jc w:val="center"/>
              <w:spacing w:after="0"/>
              <w:rPr>
                <w:sz w:val="20"/>
                <w:szCs w:val="20"/>
                <w:color w:val="auto"/>
              </w:rPr>
            </w:pPr>
            <w:r>
              <w:rPr>
                <w:rFonts w:ascii="Arial" w:cs="Arial" w:eastAsia="Arial" w:hAnsi="Arial"/>
                <w:sz w:val="13"/>
                <w:szCs w:val="13"/>
                <w:b w:val="1"/>
                <w:bCs w:val="1"/>
                <w:color w:val="520B90"/>
              </w:rPr>
              <w:t>Total</w:t>
            </w:r>
          </w:p>
        </w:tc>
        <w:tc>
          <w:tcPr>
            <w:tcW w:w="0" w:type="dxa"/>
            <w:vAlign w:val="bottom"/>
          </w:tcPr>
          <w:p>
            <w:pPr>
              <w:spacing w:after="0"/>
              <w:rPr>
                <w:sz w:val="1"/>
                <w:szCs w:val="1"/>
                <w:color w:val="auto"/>
              </w:rPr>
            </w:pPr>
          </w:p>
        </w:tc>
      </w:tr>
      <w:tr>
        <w:trPr>
          <w:trHeight w:val="132"/>
        </w:trPr>
        <w:tc>
          <w:tcPr>
            <w:tcW w:w="2700" w:type="dxa"/>
            <w:vAlign w:val="bottom"/>
            <w:vMerge w:val="restart"/>
          </w:tcPr>
          <w:p>
            <w:pPr>
              <w:ind w:left="20"/>
              <w:spacing w:after="0"/>
              <w:rPr>
                <w:sz w:val="20"/>
                <w:szCs w:val="20"/>
                <w:color w:val="auto"/>
              </w:rPr>
            </w:pPr>
            <w:r>
              <w:rPr>
                <w:rFonts w:ascii="Arial" w:cs="Arial" w:eastAsia="Arial" w:hAnsi="Arial"/>
                <w:sz w:val="13"/>
                <w:szCs w:val="13"/>
                <w:b w:val="1"/>
                <w:bCs w:val="1"/>
                <w:color w:val="520B90"/>
              </w:rPr>
              <w:t>Name and Principal Position</w:t>
            </w:r>
          </w:p>
        </w:tc>
        <w:tc>
          <w:tcPr>
            <w:tcW w:w="100" w:type="dxa"/>
            <w:vAlign w:val="bottom"/>
            <w:vMerge w:val="restart"/>
          </w:tcPr>
          <w:p>
            <w:pPr>
              <w:spacing w:after="0"/>
              <w:rPr>
                <w:sz w:val="11"/>
                <w:szCs w:val="11"/>
                <w:color w:val="auto"/>
              </w:rPr>
            </w:pPr>
          </w:p>
        </w:tc>
        <w:tc>
          <w:tcPr>
            <w:tcW w:w="720" w:type="dxa"/>
            <w:vAlign w:val="bottom"/>
            <w:vMerge w:val="restart"/>
          </w:tcPr>
          <w:p>
            <w:pPr>
              <w:ind w:left="220"/>
              <w:spacing w:after="0"/>
              <w:rPr>
                <w:sz w:val="20"/>
                <w:szCs w:val="20"/>
                <w:color w:val="auto"/>
              </w:rPr>
            </w:pPr>
            <w:r>
              <w:rPr>
                <w:rFonts w:ascii="Arial" w:cs="Arial" w:eastAsia="Arial" w:hAnsi="Arial"/>
                <w:sz w:val="13"/>
                <w:szCs w:val="13"/>
                <w:b w:val="1"/>
                <w:bCs w:val="1"/>
                <w:color w:val="520B90"/>
              </w:rPr>
              <w:t>Year</w:t>
            </w:r>
          </w:p>
        </w:tc>
        <w:tc>
          <w:tcPr>
            <w:tcW w:w="100" w:type="dxa"/>
            <w:vAlign w:val="bottom"/>
            <w:vMerge w:val="restart"/>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380" w:type="dxa"/>
            <w:vAlign w:val="bottom"/>
            <w:gridSpan w:val="2"/>
          </w:tcPr>
          <w:p>
            <w:pPr>
              <w:jc w:val="center"/>
              <w:ind w:right="100"/>
              <w:spacing w:after="0" w:line="133" w:lineRule="exact"/>
              <w:rPr>
                <w:sz w:val="20"/>
                <w:szCs w:val="20"/>
                <w:color w:val="auto"/>
              </w:rPr>
            </w:pPr>
            <w:r>
              <w:rPr>
                <w:rFonts w:ascii="Arial" w:cs="Arial" w:eastAsia="Arial" w:hAnsi="Arial"/>
                <w:sz w:val="13"/>
                <w:szCs w:val="13"/>
                <w:b w:val="1"/>
                <w:bCs w:val="1"/>
                <w:color w:val="520B90"/>
              </w:rPr>
              <w:t>Awards</w:t>
            </w:r>
          </w:p>
        </w:tc>
        <w:tc>
          <w:tcPr>
            <w:tcW w:w="1380" w:type="dxa"/>
            <w:vAlign w:val="bottom"/>
            <w:gridSpan w:val="2"/>
          </w:tcPr>
          <w:p>
            <w:pPr>
              <w:jc w:val="center"/>
              <w:ind w:right="140"/>
              <w:spacing w:after="0" w:line="133" w:lineRule="exact"/>
              <w:rPr>
                <w:sz w:val="20"/>
                <w:szCs w:val="20"/>
                <w:color w:val="auto"/>
              </w:rPr>
            </w:pPr>
            <w:r>
              <w:rPr>
                <w:rFonts w:ascii="Arial" w:cs="Arial" w:eastAsia="Arial" w:hAnsi="Arial"/>
                <w:sz w:val="13"/>
                <w:szCs w:val="13"/>
                <w:b w:val="1"/>
                <w:bCs w:val="1"/>
                <w:color w:val="520B90"/>
              </w:rPr>
              <w:t>Compensation</w:t>
            </w:r>
          </w:p>
        </w:tc>
        <w:tc>
          <w:tcPr>
            <w:tcW w:w="1400" w:type="dxa"/>
            <w:vAlign w:val="bottom"/>
            <w:gridSpan w:val="2"/>
          </w:tcPr>
          <w:p>
            <w:pPr>
              <w:jc w:val="center"/>
              <w:ind w:right="80"/>
              <w:spacing w:after="0" w:line="133" w:lineRule="exact"/>
              <w:rPr>
                <w:sz w:val="20"/>
                <w:szCs w:val="20"/>
                <w:color w:val="auto"/>
              </w:rPr>
            </w:pPr>
            <w:r>
              <w:rPr>
                <w:rFonts w:ascii="Arial" w:cs="Arial" w:eastAsia="Arial" w:hAnsi="Arial"/>
                <w:sz w:val="13"/>
                <w:szCs w:val="13"/>
                <w:b w:val="1"/>
                <w:bCs w:val="1"/>
                <w:color w:val="520B90"/>
              </w:rPr>
              <w:t>Compensation</w:t>
            </w: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700" w:type="dxa"/>
            <w:vAlign w:val="bottom"/>
            <w:tcBorders>
              <w:bottom w:val="single" w:sz="8" w:color="520B90"/>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20" w:type="dxa"/>
            <w:vAlign w:val="bottom"/>
            <w:tcBorders>
              <w:bottom w:val="single" w:sz="8" w:color="520B90"/>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0" w:type="dxa"/>
            <w:vAlign w:val="bottom"/>
            <w:tcBorders>
              <w:bottom w:val="single" w:sz="8" w:color="520B90"/>
            </w:tcBorders>
          </w:tcPr>
          <w:p>
            <w:pPr>
              <w:jc w:val="center"/>
              <w:spacing w:after="0"/>
              <w:rPr>
                <w:sz w:val="20"/>
                <w:szCs w:val="20"/>
                <w:color w:val="auto"/>
              </w:rPr>
            </w:pPr>
            <w:r>
              <w:rPr>
                <w:rFonts w:ascii="Arial" w:cs="Arial" w:eastAsia="Arial" w:hAnsi="Arial"/>
                <w:sz w:val="13"/>
                <w:szCs w:val="13"/>
                <w:b w:val="1"/>
                <w:bCs w:val="1"/>
                <w:color w:val="520B90"/>
              </w:rPr>
              <w:t>($)(a)</w:t>
            </w:r>
          </w:p>
        </w:tc>
        <w:tc>
          <w:tcPr>
            <w:tcW w:w="100" w:type="dxa"/>
            <w:vAlign w:val="bottom"/>
          </w:tcPr>
          <w:p>
            <w:pPr>
              <w:spacing w:after="0"/>
              <w:rPr>
                <w:sz w:val="15"/>
                <w:szCs w:val="15"/>
                <w:color w:val="auto"/>
              </w:rPr>
            </w:pPr>
          </w:p>
        </w:tc>
        <w:tc>
          <w:tcPr>
            <w:tcW w:w="980" w:type="dxa"/>
            <w:vAlign w:val="bottom"/>
            <w:tcBorders>
              <w:bottom w:val="single" w:sz="8" w:color="520B90"/>
            </w:tcBorders>
          </w:tcPr>
          <w:p>
            <w:pPr>
              <w:jc w:val="center"/>
              <w:spacing w:after="0"/>
              <w:rPr>
                <w:sz w:val="20"/>
                <w:szCs w:val="20"/>
                <w:color w:val="auto"/>
              </w:rPr>
            </w:pPr>
            <w:r>
              <w:rPr>
                <w:rFonts w:ascii="Arial" w:cs="Arial" w:eastAsia="Arial" w:hAnsi="Arial"/>
                <w:sz w:val="13"/>
                <w:szCs w:val="13"/>
                <w:b w:val="1"/>
                <w:bCs w:val="1"/>
                <w:color w:val="520B90"/>
              </w:rPr>
              <w:t>($)(b)</w:t>
            </w:r>
          </w:p>
        </w:tc>
        <w:tc>
          <w:tcPr>
            <w:tcW w:w="100" w:type="dxa"/>
            <w:vAlign w:val="bottom"/>
          </w:tcPr>
          <w:p>
            <w:pPr>
              <w:spacing w:after="0"/>
              <w:rPr>
                <w:sz w:val="15"/>
                <w:szCs w:val="15"/>
                <w:color w:val="auto"/>
              </w:rPr>
            </w:pPr>
          </w:p>
        </w:tc>
        <w:tc>
          <w:tcPr>
            <w:tcW w:w="1280" w:type="dxa"/>
            <w:vAlign w:val="bottom"/>
            <w:tcBorders>
              <w:bottom w:val="single" w:sz="8" w:color="520B90"/>
            </w:tcBorders>
          </w:tcPr>
          <w:p>
            <w:pPr>
              <w:jc w:val="center"/>
              <w:spacing w:after="0"/>
              <w:rPr>
                <w:sz w:val="20"/>
                <w:szCs w:val="20"/>
                <w:color w:val="auto"/>
              </w:rPr>
            </w:pPr>
            <w:r>
              <w:rPr>
                <w:rFonts w:ascii="Arial" w:cs="Arial" w:eastAsia="Arial" w:hAnsi="Arial"/>
                <w:sz w:val="13"/>
                <w:szCs w:val="13"/>
                <w:b w:val="1"/>
                <w:bCs w:val="1"/>
                <w:color w:val="520B90"/>
              </w:rPr>
              <w:t>($)(c)</w:t>
            </w:r>
          </w:p>
        </w:tc>
        <w:tc>
          <w:tcPr>
            <w:tcW w:w="100" w:type="dxa"/>
            <w:vAlign w:val="bottom"/>
          </w:tcPr>
          <w:p>
            <w:pPr>
              <w:spacing w:after="0"/>
              <w:rPr>
                <w:sz w:val="15"/>
                <w:szCs w:val="15"/>
                <w:color w:val="auto"/>
              </w:rPr>
            </w:pPr>
          </w:p>
        </w:tc>
        <w:tc>
          <w:tcPr>
            <w:tcW w:w="1280" w:type="dxa"/>
            <w:vAlign w:val="bottom"/>
            <w:tcBorders>
              <w:bottom w:val="single" w:sz="8" w:color="520B90"/>
            </w:tcBorders>
          </w:tcPr>
          <w:p>
            <w:pPr>
              <w:jc w:val="center"/>
              <w:spacing w:after="0"/>
              <w:rPr>
                <w:sz w:val="20"/>
                <w:szCs w:val="20"/>
                <w:color w:val="auto"/>
              </w:rPr>
            </w:pPr>
            <w:r>
              <w:rPr>
                <w:rFonts w:ascii="Arial" w:cs="Arial" w:eastAsia="Arial" w:hAnsi="Arial"/>
                <w:sz w:val="13"/>
                <w:szCs w:val="13"/>
                <w:b w:val="1"/>
                <w:bCs w:val="1"/>
                <w:color w:val="520B90"/>
                <w:w w:val="98"/>
              </w:rPr>
              <w:t>($)(d)</w:t>
            </w:r>
          </w:p>
        </w:tc>
        <w:tc>
          <w:tcPr>
            <w:tcW w:w="100" w:type="dxa"/>
            <w:vAlign w:val="bottom"/>
          </w:tcPr>
          <w:p>
            <w:pPr>
              <w:spacing w:after="0"/>
              <w:rPr>
                <w:sz w:val="15"/>
                <w:szCs w:val="15"/>
                <w:color w:val="auto"/>
              </w:rPr>
            </w:pPr>
          </w:p>
        </w:tc>
        <w:tc>
          <w:tcPr>
            <w:tcW w:w="1300" w:type="dxa"/>
            <w:vAlign w:val="bottom"/>
            <w:tcBorders>
              <w:bottom w:val="single" w:sz="8" w:color="520B90"/>
            </w:tcBorders>
          </w:tcPr>
          <w:p>
            <w:pPr>
              <w:jc w:val="center"/>
              <w:spacing w:after="0"/>
              <w:rPr>
                <w:sz w:val="20"/>
                <w:szCs w:val="20"/>
                <w:color w:val="auto"/>
              </w:rPr>
            </w:pPr>
            <w:r>
              <w:rPr>
                <w:rFonts w:ascii="Arial" w:cs="Arial" w:eastAsia="Arial" w:hAnsi="Arial"/>
                <w:sz w:val="13"/>
                <w:szCs w:val="13"/>
                <w:b w:val="1"/>
                <w:bCs w:val="1"/>
                <w:color w:val="520B90"/>
              </w:rPr>
              <w:t>($)(e)</w:t>
            </w:r>
          </w:p>
        </w:tc>
        <w:tc>
          <w:tcPr>
            <w:tcW w:w="100" w:type="dxa"/>
            <w:vAlign w:val="bottom"/>
          </w:tcPr>
          <w:p>
            <w:pPr>
              <w:spacing w:after="0"/>
              <w:rPr>
                <w:sz w:val="15"/>
                <w:szCs w:val="15"/>
                <w:color w:val="auto"/>
              </w:rPr>
            </w:pPr>
          </w:p>
        </w:tc>
        <w:tc>
          <w:tcPr>
            <w:tcW w:w="1280" w:type="dxa"/>
            <w:vAlign w:val="bottom"/>
            <w:tcBorders>
              <w:bottom w:val="single" w:sz="8" w:color="520B90"/>
            </w:tcBorders>
          </w:tcPr>
          <w:p>
            <w:pPr>
              <w:jc w:val="right"/>
              <w:ind w:right="494"/>
              <w:spacing w:after="0"/>
              <w:rPr>
                <w:sz w:val="20"/>
                <w:szCs w:val="20"/>
                <w:color w:val="auto"/>
              </w:rPr>
            </w:pPr>
            <w:r>
              <w:rPr>
                <w:rFonts w:ascii="Arial" w:cs="Arial" w:eastAsia="Arial" w:hAnsi="Arial"/>
                <w:sz w:val="13"/>
                <w:szCs w:val="13"/>
                <w:b w:val="1"/>
                <w:bCs w:val="1"/>
                <w:color w:val="520B90"/>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7134860" cy="5378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34860" cy="537845"/>
                    </a:xfrm>
                    <a:prstGeom prst="rect">
                      <a:avLst/>
                    </a:prstGeom>
                    <a:noFill/>
                  </pic:spPr>
                </pic:pic>
              </a:graphicData>
            </a:graphic>
          </wp:anchor>
        </w:drawing>
      </w:r>
    </w:p>
    <w:p>
      <w:pPr>
        <w:sectPr>
          <w:pgSz w:w="11900" w:h="16838" w:orient="portrait"/>
          <w:cols w:equalWidth="0" w:num="1">
            <w:col w:w="11240"/>
          </w:cols>
          <w:pgMar w:left="320" w:top="1391" w:right="339" w:bottom="1440" w:gutter="0" w:footer="0" w:header="0"/>
        </w:sectPr>
      </w:pP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00" w:type="dxa"/>
            <w:vAlign w:val="bottom"/>
            <w:gridSpan w:val="2"/>
          </w:tcPr>
          <w:p>
            <w:pPr>
              <w:ind w:left="20"/>
              <w:spacing w:after="0"/>
              <w:rPr>
                <w:sz w:val="20"/>
                <w:szCs w:val="20"/>
                <w:color w:val="auto"/>
              </w:rPr>
            </w:pPr>
            <w:r>
              <w:rPr>
                <w:rFonts w:ascii="Arial" w:cs="Arial" w:eastAsia="Arial" w:hAnsi="Arial"/>
                <w:sz w:val="16"/>
                <w:szCs w:val="16"/>
                <w:b w:val="1"/>
                <w:bCs w:val="1"/>
                <w:color w:val="520B90"/>
              </w:rPr>
              <w:t>Christian H. Hillabrant</w:t>
            </w:r>
            <w:r>
              <w:rPr>
                <w:rFonts w:ascii="Arial" w:cs="Arial" w:eastAsia="Arial" w:hAnsi="Arial"/>
                <w:sz w:val="20"/>
                <w:szCs w:val="20"/>
                <w:b w:val="1"/>
                <w:bCs w:val="1"/>
                <w:color w:val="520B90"/>
                <w:vertAlign w:val="superscript"/>
              </w:rPr>
              <w:t>(f)</w:t>
            </w:r>
          </w:p>
        </w:tc>
        <w:tc>
          <w:tcPr>
            <w:tcW w:w="820" w:type="dxa"/>
            <w:vAlign w:val="bottom"/>
            <w:gridSpan w:val="2"/>
          </w:tcPr>
          <w:p>
            <w:pPr>
              <w:jc w:val="right"/>
              <w:ind w:right="101"/>
              <w:spacing w:after="0"/>
              <w:rPr>
                <w:sz w:val="20"/>
                <w:szCs w:val="20"/>
                <w:color w:val="auto"/>
              </w:rPr>
            </w:pPr>
            <w:r>
              <w:rPr>
                <w:rFonts w:ascii="Arial" w:cs="Arial" w:eastAsia="Arial" w:hAnsi="Arial"/>
                <w:sz w:val="16"/>
                <w:szCs w:val="16"/>
                <w:color w:val="auto"/>
              </w:rPr>
              <w:t>2025</w:t>
            </w:r>
          </w:p>
        </w:tc>
        <w:tc>
          <w:tcPr>
            <w:tcW w:w="1100" w:type="dxa"/>
            <w:vAlign w:val="bottom"/>
            <w:gridSpan w:val="2"/>
          </w:tcPr>
          <w:p>
            <w:pPr>
              <w:jc w:val="center"/>
              <w:ind w:left="21"/>
              <w:spacing w:after="0"/>
              <w:rPr>
                <w:sz w:val="20"/>
                <w:szCs w:val="20"/>
                <w:color w:val="auto"/>
              </w:rPr>
            </w:pPr>
            <w:r>
              <w:rPr>
                <w:rFonts w:ascii="Arial" w:cs="Arial" w:eastAsia="Arial" w:hAnsi="Arial"/>
                <w:sz w:val="16"/>
                <w:szCs w:val="16"/>
                <w:color w:val="auto"/>
                <w:w w:val="96"/>
              </w:rPr>
              <w:t>269,231</w:t>
            </w:r>
          </w:p>
        </w:tc>
        <w:tc>
          <w:tcPr>
            <w:tcW w:w="1080" w:type="dxa"/>
            <w:vAlign w:val="bottom"/>
            <w:gridSpan w:val="2"/>
          </w:tcPr>
          <w:p>
            <w:pPr>
              <w:jc w:val="center"/>
              <w:ind w:left="21"/>
              <w:spacing w:after="0"/>
              <w:rPr>
                <w:sz w:val="20"/>
                <w:szCs w:val="20"/>
                <w:color w:val="auto"/>
              </w:rPr>
            </w:pPr>
            <w:r>
              <w:rPr>
                <w:rFonts w:ascii="Arial" w:cs="Arial" w:eastAsia="Arial" w:hAnsi="Arial"/>
                <w:sz w:val="16"/>
                <w:szCs w:val="16"/>
                <w:color w:val="auto"/>
              </w:rPr>
              <w:t>800,000</w:t>
            </w:r>
          </w:p>
        </w:tc>
      </w:tr>
      <w:tr>
        <w:trPr>
          <w:trHeight w:val="210"/>
        </w:trPr>
        <w:tc>
          <w:tcPr>
            <w:tcW w:w="2700" w:type="dxa"/>
            <w:vAlign w:val="bottom"/>
            <w:gridSpan w:val="2"/>
          </w:tcPr>
          <w:p>
            <w:pPr>
              <w:ind w:left="180"/>
              <w:spacing w:after="0"/>
              <w:rPr>
                <w:sz w:val="20"/>
                <w:szCs w:val="20"/>
                <w:color w:val="auto"/>
              </w:rPr>
            </w:pPr>
            <w:r>
              <w:rPr>
                <w:rFonts w:ascii="Arial" w:cs="Arial" w:eastAsia="Arial" w:hAnsi="Arial"/>
                <w:sz w:val="16"/>
                <w:szCs w:val="16"/>
                <w:color w:val="auto"/>
              </w:rPr>
              <w:t>President &amp; CEO</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637"/>
        </w:trPr>
        <w:tc>
          <w:tcPr>
            <w:tcW w:w="2700" w:type="dxa"/>
            <w:vAlign w:val="bottom"/>
            <w:gridSpan w:val="2"/>
          </w:tcPr>
          <w:p>
            <w:pPr>
              <w:ind w:left="20"/>
              <w:spacing w:after="0"/>
              <w:rPr>
                <w:sz w:val="20"/>
                <w:szCs w:val="20"/>
                <w:color w:val="auto"/>
              </w:rPr>
            </w:pPr>
            <w:r>
              <w:rPr>
                <w:rFonts w:ascii="Arial" w:cs="Arial" w:eastAsia="Arial" w:hAnsi="Arial"/>
                <w:sz w:val="16"/>
                <w:szCs w:val="16"/>
                <w:b w:val="1"/>
                <w:bCs w:val="1"/>
                <w:color w:val="520B90"/>
              </w:rPr>
              <w:t>Sunit S. Patel</w:t>
            </w:r>
            <w:r>
              <w:rPr>
                <w:rFonts w:ascii="Arial" w:cs="Arial" w:eastAsia="Arial" w:hAnsi="Arial"/>
                <w:sz w:val="20"/>
                <w:szCs w:val="20"/>
                <w:b w:val="1"/>
                <w:bCs w:val="1"/>
                <w:color w:val="520B90"/>
                <w:vertAlign w:val="superscript"/>
              </w:rPr>
              <w:t>(g)</w:t>
            </w:r>
          </w:p>
        </w:tc>
        <w:tc>
          <w:tcPr>
            <w:tcW w:w="820" w:type="dxa"/>
            <w:vAlign w:val="bottom"/>
            <w:gridSpan w:val="2"/>
          </w:tcPr>
          <w:p>
            <w:pPr>
              <w:jc w:val="right"/>
              <w:ind w:right="101"/>
              <w:spacing w:after="0"/>
              <w:rPr>
                <w:sz w:val="20"/>
                <w:szCs w:val="20"/>
                <w:color w:val="auto"/>
              </w:rPr>
            </w:pPr>
            <w:r>
              <w:rPr>
                <w:rFonts w:ascii="Arial" w:cs="Arial" w:eastAsia="Arial" w:hAnsi="Arial"/>
                <w:sz w:val="16"/>
                <w:szCs w:val="16"/>
                <w:color w:val="auto"/>
              </w:rPr>
              <w:t>2025</w:t>
            </w:r>
          </w:p>
        </w:tc>
        <w:tc>
          <w:tcPr>
            <w:tcW w:w="1100" w:type="dxa"/>
            <w:vAlign w:val="bottom"/>
            <w:gridSpan w:val="2"/>
          </w:tcPr>
          <w:p>
            <w:pPr>
              <w:jc w:val="center"/>
              <w:ind w:left="21"/>
              <w:spacing w:after="0"/>
              <w:rPr>
                <w:sz w:val="20"/>
                <w:szCs w:val="20"/>
                <w:color w:val="auto"/>
              </w:rPr>
            </w:pPr>
            <w:r>
              <w:rPr>
                <w:rFonts w:ascii="Arial" w:cs="Arial" w:eastAsia="Arial" w:hAnsi="Arial"/>
                <w:sz w:val="16"/>
                <w:szCs w:val="16"/>
                <w:color w:val="auto"/>
                <w:w w:val="96"/>
              </w:rPr>
              <w:t>456,731</w:t>
            </w:r>
          </w:p>
        </w:tc>
        <w:tc>
          <w:tcPr>
            <w:tcW w:w="1080" w:type="dxa"/>
            <w:vAlign w:val="bottom"/>
            <w:gridSpan w:val="2"/>
          </w:tcPr>
          <w:p>
            <w:pPr>
              <w:jc w:val="center"/>
              <w:ind w:left="21"/>
              <w:spacing w:after="0"/>
              <w:rPr>
                <w:sz w:val="20"/>
                <w:szCs w:val="20"/>
                <w:color w:val="auto"/>
              </w:rPr>
            </w:pPr>
            <w:r>
              <w:rPr>
                <w:rFonts w:ascii="Arial" w:cs="Arial" w:eastAsia="Arial" w:hAnsi="Arial"/>
                <w:sz w:val="16"/>
                <w:szCs w:val="16"/>
                <w:color w:val="auto"/>
              </w:rPr>
              <w:t>250,000</w:t>
            </w:r>
          </w:p>
        </w:tc>
      </w:tr>
      <w:tr>
        <w:trPr>
          <w:trHeight w:val="210"/>
        </w:trPr>
        <w:tc>
          <w:tcPr>
            <w:tcW w:w="2700" w:type="dxa"/>
            <w:vAlign w:val="bottom"/>
            <w:gridSpan w:val="2"/>
          </w:tcPr>
          <w:p>
            <w:pPr>
              <w:ind w:left="180"/>
              <w:spacing w:after="0"/>
              <w:rPr>
                <w:sz w:val="20"/>
                <w:szCs w:val="20"/>
                <w:color w:val="auto"/>
              </w:rPr>
            </w:pPr>
            <w:r>
              <w:rPr>
                <w:rFonts w:ascii="Arial" w:cs="Arial" w:eastAsia="Arial" w:hAnsi="Arial"/>
                <w:sz w:val="16"/>
                <w:szCs w:val="16"/>
                <w:color w:val="auto"/>
              </w:rPr>
              <w:t>EVP &amp; CFO</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5"/>
        </w:trPr>
        <w:tc>
          <w:tcPr>
            <w:tcW w:w="1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423"/>
        </w:trPr>
        <w:tc>
          <w:tcPr>
            <w:tcW w:w="2700" w:type="dxa"/>
            <w:vAlign w:val="bottom"/>
            <w:gridSpan w:val="2"/>
            <w:shd w:val="clear" w:color="auto" w:fill="E6E7E7"/>
          </w:tcPr>
          <w:p>
            <w:pPr>
              <w:ind w:left="20"/>
              <w:spacing w:after="0"/>
              <w:rPr>
                <w:sz w:val="20"/>
                <w:szCs w:val="20"/>
                <w:color w:val="auto"/>
              </w:rPr>
            </w:pPr>
            <w:r>
              <w:rPr>
                <w:rFonts w:ascii="Arial" w:cs="Arial" w:eastAsia="Arial" w:hAnsi="Arial"/>
                <w:sz w:val="16"/>
                <w:szCs w:val="16"/>
                <w:b w:val="1"/>
                <w:bCs w:val="1"/>
                <w:color w:val="520B90"/>
              </w:rPr>
              <w:t>Daniel K. Schlanger</w:t>
            </w:r>
            <w:r>
              <w:rPr>
                <w:rFonts w:ascii="Arial" w:cs="Arial" w:eastAsia="Arial" w:hAnsi="Arial"/>
                <w:sz w:val="20"/>
                <w:szCs w:val="20"/>
                <w:b w:val="1"/>
                <w:bCs w:val="1"/>
                <w:color w:val="520B90"/>
                <w:vertAlign w:val="superscript"/>
              </w:rPr>
              <w:t>(h)</w:t>
            </w:r>
          </w:p>
        </w:tc>
        <w:tc>
          <w:tcPr>
            <w:tcW w:w="100" w:type="dxa"/>
            <w:vAlign w:val="bottom"/>
          </w:tcPr>
          <w:p>
            <w:pPr>
              <w:spacing w:after="0"/>
              <w:rPr>
                <w:sz w:val="24"/>
                <w:szCs w:val="24"/>
                <w:color w:val="auto"/>
              </w:rPr>
            </w:pPr>
          </w:p>
        </w:tc>
        <w:tc>
          <w:tcPr>
            <w:tcW w:w="720" w:type="dxa"/>
            <w:vAlign w:val="bottom"/>
            <w:shd w:val="clear" w:color="auto" w:fill="E6E7E7"/>
          </w:tcPr>
          <w:p>
            <w:pPr>
              <w:jc w:val="right"/>
              <w:ind w:right="101"/>
              <w:spacing w:after="0"/>
              <w:rPr>
                <w:sz w:val="20"/>
                <w:szCs w:val="20"/>
                <w:color w:val="auto"/>
              </w:rPr>
            </w:pPr>
            <w:r>
              <w:rPr>
                <w:rFonts w:ascii="Arial" w:cs="Arial" w:eastAsia="Arial" w:hAnsi="Arial"/>
                <w:sz w:val="16"/>
                <w:szCs w:val="16"/>
                <w:color w:val="auto"/>
              </w:rPr>
              <w:t>2025</w:t>
            </w:r>
          </w:p>
        </w:tc>
        <w:tc>
          <w:tcPr>
            <w:tcW w:w="100" w:type="dxa"/>
            <w:vAlign w:val="bottom"/>
          </w:tcPr>
          <w:p>
            <w:pPr>
              <w:spacing w:after="0"/>
              <w:rPr>
                <w:sz w:val="24"/>
                <w:szCs w:val="24"/>
                <w:color w:val="auto"/>
              </w:rPr>
            </w:pPr>
          </w:p>
        </w:tc>
        <w:tc>
          <w:tcPr>
            <w:tcW w:w="100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6"/>
              </w:rPr>
              <w:t>640,000</w:t>
            </w:r>
          </w:p>
        </w:tc>
        <w:tc>
          <w:tcPr>
            <w:tcW w:w="100" w:type="dxa"/>
            <w:vAlign w:val="bottom"/>
          </w:tcPr>
          <w:p>
            <w:pPr>
              <w:spacing w:after="0"/>
              <w:rPr>
                <w:sz w:val="24"/>
                <w:szCs w:val="24"/>
                <w:color w:val="auto"/>
              </w:rPr>
            </w:pPr>
          </w:p>
        </w:tc>
        <w:tc>
          <w:tcPr>
            <w:tcW w:w="98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572,473</w:t>
            </w:r>
          </w:p>
        </w:tc>
      </w:tr>
      <w:tr>
        <w:trPr>
          <w:trHeight w:val="210"/>
        </w:trPr>
        <w:tc>
          <w:tcPr>
            <w:tcW w:w="2700" w:type="dxa"/>
            <w:vAlign w:val="bottom"/>
            <w:gridSpan w:val="2"/>
            <w:shd w:val="clear" w:color="auto" w:fill="E6E7E7"/>
          </w:tcPr>
          <w:p>
            <w:pPr>
              <w:ind w:left="180"/>
              <w:spacing w:after="0"/>
              <w:rPr>
                <w:sz w:val="20"/>
                <w:szCs w:val="20"/>
                <w:color w:val="auto"/>
              </w:rPr>
            </w:pPr>
            <w:r>
              <w:rPr>
                <w:rFonts w:ascii="Arial" w:cs="Arial" w:eastAsia="Arial" w:hAnsi="Arial"/>
                <w:sz w:val="16"/>
                <w:szCs w:val="16"/>
                <w:color w:val="auto"/>
              </w:rPr>
              <w:t>EVP &amp; CTRO</w:t>
            </w:r>
          </w:p>
        </w:tc>
        <w:tc>
          <w:tcPr>
            <w:tcW w:w="100" w:type="dxa"/>
            <w:vAlign w:val="bottom"/>
          </w:tcPr>
          <w:p>
            <w:pPr>
              <w:spacing w:after="0"/>
              <w:rPr>
                <w:sz w:val="18"/>
                <w:szCs w:val="18"/>
                <w:color w:val="auto"/>
              </w:rPr>
            </w:pPr>
          </w:p>
        </w:tc>
        <w:tc>
          <w:tcPr>
            <w:tcW w:w="720" w:type="dxa"/>
            <w:vAlign w:val="bottom"/>
            <w:shd w:val="clear" w:color="auto" w:fill="E6E7E7"/>
          </w:tcPr>
          <w:p>
            <w:pPr>
              <w:jc w:val="right"/>
              <w:ind w:right="101"/>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8"/>
                <w:szCs w:val="18"/>
                <w:color w:val="auto"/>
              </w:rPr>
            </w:pPr>
          </w:p>
        </w:tc>
        <w:tc>
          <w:tcPr>
            <w:tcW w:w="100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6"/>
              </w:rPr>
              <w:t>636,154</w:t>
            </w:r>
          </w:p>
        </w:tc>
        <w:tc>
          <w:tcPr>
            <w:tcW w:w="100" w:type="dxa"/>
            <w:vAlign w:val="bottom"/>
          </w:tcPr>
          <w:p>
            <w:pPr>
              <w:spacing w:after="0"/>
              <w:rPr>
                <w:sz w:val="18"/>
                <w:szCs w:val="18"/>
                <w:color w:val="auto"/>
              </w:rPr>
            </w:pPr>
          </w:p>
        </w:tc>
        <w:tc>
          <w:tcPr>
            <w:tcW w:w="98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0</w:t>
            </w:r>
          </w:p>
        </w:tc>
      </w:tr>
      <w:tr>
        <w:trPr>
          <w:trHeight w:val="212"/>
        </w:trPr>
        <w:tc>
          <w:tcPr>
            <w:tcW w:w="1120" w:type="dxa"/>
            <w:vAlign w:val="bottom"/>
            <w:shd w:val="clear" w:color="auto" w:fill="E6E7E7"/>
          </w:tcPr>
          <w:p>
            <w:pPr>
              <w:spacing w:after="0"/>
              <w:rPr>
                <w:sz w:val="18"/>
                <w:szCs w:val="18"/>
                <w:color w:val="auto"/>
              </w:rPr>
            </w:pPr>
          </w:p>
        </w:tc>
        <w:tc>
          <w:tcPr>
            <w:tcW w:w="1580" w:type="dxa"/>
            <w:vAlign w:val="bottom"/>
            <w:shd w:val="clear" w:color="auto" w:fill="E6E7E7"/>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shd w:val="clear" w:color="auto" w:fill="E6E7E7"/>
          </w:tcPr>
          <w:p>
            <w:pPr>
              <w:jc w:val="right"/>
              <w:ind w:right="101"/>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18"/>
                <w:szCs w:val="18"/>
                <w:color w:val="auto"/>
              </w:rPr>
            </w:pPr>
          </w:p>
        </w:tc>
        <w:tc>
          <w:tcPr>
            <w:tcW w:w="100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6"/>
              </w:rPr>
              <w:t>620,000</w:t>
            </w:r>
          </w:p>
        </w:tc>
        <w:tc>
          <w:tcPr>
            <w:tcW w:w="100" w:type="dxa"/>
            <w:vAlign w:val="bottom"/>
          </w:tcPr>
          <w:p>
            <w:pPr>
              <w:spacing w:after="0"/>
              <w:rPr>
                <w:sz w:val="18"/>
                <w:szCs w:val="18"/>
                <w:color w:val="auto"/>
              </w:rPr>
            </w:pPr>
          </w:p>
        </w:tc>
        <w:tc>
          <w:tcPr>
            <w:tcW w:w="98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0</w:t>
            </w:r>
          </w:p>
        </w:tc>
      </w:tr>
      <w:tr>
        <w:trPr>
          <w:trHeight w:val="215"/>
        </w:trPr>
        <w:tc>
          <w:tcPr>
            <w:tcW w:w="1120" w:type="dxa"/>
            <w:vAlign w:val="bottom"/>
            <w:shd w:val="clear" w:color="auto" w:fill="E6E7E7"/>
          </w:tcPr>
          <w:p>
            <w:pPr>
              <w:spacing w:after="0"/>
              <w:rPr>
                <w:sz w:val="18"/>
                <w:szCs w:val="18"/>
                <w:color w:val="auto"/>
              </w:rPr>
            </w:pPr>
          </w:p>
        </w:tc>
        <w:tc>
          <w:tcPr>
            <w:tcW w:w="1580" w:type="dxa"/>
            <w:vAlign w:val="bottom"/>
            <w:shd w:val="clear" w:color="auto" w:fill="E6E7E7"/>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shd w:val="clear" w:color="auto" w:fill="E6E7E7"/>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shd w:val="clear" w:color="auto" w:fill="E6E7E7"/>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shd w:val="clear" w:color="auto" w:fill="E6E7E7"/>
          </w:tcPr>
          <w:p>
            <w:pPr>
              <w:spacing w:after="0"/>
              <w:rPr>
                <w:sz w:val="18"/>
                <w:szCs w:val="18"/>
                <w:color w:val="auto"/>
              </w:rPr>
            </w:pPr>
          </w:p>
        </w:tc>
      </w:tr>
      <w:tr>
        <w:trPr>
          <w:trHeight w:val="423"/>
        </w:trPr>
        <w:tc>
          <w:tcPr>
            <w:tcW w:w="2700" w:type="dxa"/>
            <w:vAlign w:val="bottom"/>
            <w:gridSpan w:val="2"/>
          </w:tcPr>
          <w:p>
            <w:pPr>
              <w:ind w:left="20"/>
              <w:spacing w:after="0"/>
              <w:rPr>
                <w:sz w:val="20"/>
                <w:szCs w:val="20"/>
                <w:color w:val="auto"/>
              </w:rPr>
            </w:pPr>
            <w:r>
              <w:rPr>
                <w:rFonts w:ascii="Arial" w:cs="Arial" w:eastAsia="Arial" w:hAnsi="Arial"/>
                <w:sz w:val="16"/>
                <w:szCs w:val="16"/>
                <w:b w:val="1"/>
                <w:bCs w:val="1"/>
                <w:color w:val="520B90"/>
              </w:rPr>
              <w:t>Christopher D. Levendos</w:t>
            </w:r>
          </w:p>
        </w:tc>
        <w:tc>
          <w:tcPr>
            <w:tcW w:w="820" w:type="dxa"/>
            <w:vAlign w:val="bottom"/>
            <w:gridSpan w:val="2"/>
          </w:tcPr>
          <w:p>
            <w:pPr>
              <w:jc w:val="right"/>
              <w:ind w:right="101"/>
              <w:spacing w:after="0"/>
              <w:rPr>
                <w:sz w:val="20"/>
                <w:szCs w:val="20"/>
                <w:color w:val="auto"/>
              </w:rPr>
            </w:pPr>
            <w:r>
              <w:rPr>
                <w:rFonts w:ascii="Arial" w:cs="Arial" w:eastAsia="Arial" w:hAnsi="Arial"/>
                <w:sz w:val="16"/>
                <w:szCs w:val="16"/>
                <w:color w:val="auto"/>
              </w:rPr>
              <w:t>2025</w:t>
            </w:r>
          </w:p>
        </w:tc>
        <w:tc>
          <w:tcPr>
            <w:tcW w:w="1100" w:type="dxa"/>
            <w:vAlign w:val="bottom"/>
            <w:gridSpan w:val="2"/>
          </w:tcPr>
          <w:p>
            <w:pPr>
              <w:jc w:val="center"/>
              <w:ind w:left="21"/>
              <w:spacing w:after="0"/>
              <w:rPr>
                <w:sz w:val="20"/>
                <w:szCs w:val="20"/>
                <w:color w:val="auto"/>
              </w:rPr>
            </w:pPr>
            <w:r>
              <w:rPr>
                <w:rFonts w:ascii="Arial" w:cs="Arial" w:eastAsia="Arial" w:hAnsi="Arial"/>
                <w:sz w:val="16"/>
                <w:szCs w:val="16"/>
                <w:color w:val="auto"/>
                <w:w w:val="96"/>
              </w:rPr>
              <w:t>600,000</w:t>
            </w:r>
          </w:p>
        </w:tc>
        <w:tc>
          <w:tcPr>
            <w:tcW w:w="1080" w:type="dxa"/>
            <w:vAlign w:val="bottom"/>
            <w:gridSpan w:val="2"/>
          </w:tcPr>
          <w:p>
            <w:pPr>
              <w:jc w:val="center"/>
              <w:ind w:left="21"/>
              <w:spacing w:after="0"/>
              <w:rPr>
                <w:sz w:val="20"/>
                <w:szCs w:val="20"/>
                <w:color w:val="auto"/>
              </w:rPr>
            </w:pPr>
            <w:r>
              <w:rPr>
                <w:rFonts w:ascii="Arial" w:cs="Arial" w:eastAsia="Arial" w:hAnsi="Arial"/>
                <w:sz w:val="16"/>
                <w:szCs w:val="16"/>
                <w:color w:val="auto"/>
              </w:rPr>
              <w:t>0</w:t>
            </w:r>
          </w:p>
        </w:tc>
      </w:tr>
      <w:tr>
        <w:trPr>
          <w:trHeight w:val="210"/>
        </w:trPr>
        <w:tc>
          <w:tcPr>
            <w:tcW w:w="2700" w:type="dxa"/>
            <w:vAlign w:val="bottom"/>
            <w:gridSpan w:val="2"/>
          </w:tcPr>
          <w:p>
            <w:pPr>
              <w:ind w:left="180"/>
              <w:spacing w:after="0"/>
              <w:rPr>
                <w:sz w:val="20"/>
                <w:szCs w:val="20"/>
                <w:color w:val="auto"/>
              </w:rPr>
            </w:pPr>
            <w:r>
              <w:rPr>
                <w:rFonts w:ascii="Arial" w:cs="Arial" w:eastAsia="Arial" w:hAnsi="Arial"/>
                <w:sz w:val="16"/>
                <w:szCs w:val="16"/>
                <w:color w:val="auto"/>
              </w:rPr>
              <w:t>EVP &amp; COO—Fiber</w:t>
            </w:r>
          </w:p>
        </w:tc>
        <w:tc>
          <w:tcPr>
            <w:tcW w:w="820" w:type="dxa"/>
            <w:vAlign w:val="bottom"/>
            <w:gridSpan w:val="2"/>
          </w:tcPr>
          <w:p>
            <w:pPr>
              <w:jc w:val="right"/>
              <w:ind w:right="101"/>
              <w:spacing w:after="0"/>
              <w:rPr>
                <w:sz w:val="20"/>
                <w:szCs w:val="20"/>
                <w:color w:val="auto"/>
              </w:rPr>
            </w:pPr>
            <w:r>
              <w:rPr>
                <w:rFonts w:ascii="Arial" w:cs="Arial" w:eastAsia="Arial" w:hAnsi="Arial"/>
                <w:sz w:val="16"/>
                <w:szCs w:val="16"/>
                <w:color w:val="auto"/>
              </w:rPr>
              <w:t>2024</w:t>
            </w:r>
          </w:p>
        </w:tc>
        <w:tc>
          <w:tcPr>
            <w:tcW w:w="1100" w:type="dxa"/>
            <w:vAlign w:val="bottom"/>
            <w:gridSpan w:val="2"/>
          </w:tcPr>
          <w:p>
            <w:pPr>
              <w:jc w:val="center"/>
              <w:ind w:left="21"/>
              <w:spacing w:after="0"/>
              <w:rPr>
                <w:sz w:val="20"/>
                <w:szCs w:val="20"/>
                <w:color w:val="auto"/>
              </w:rPr>
            </w:pPr>
            <w:r>
              <w:rPr>
                <w:rFonts w:ascii="Arial" w:cs="Arial" w:eastAsia="Arial" w:hAnsi="Arial"/>
                <w:sz w:val="16"/>
                <w:szCs w:val="16"/>
                <w:color w:val="auto"/>
                <w:w w:val="96"/>
              </w:rPr>
              <w:t>585,577</w:t>
            </w:r>
          </w:p>
        </w:tc>
        <w:tc>
          <w:tcPr>
            <w:tcW w:w="1080" w:type="dxa"/>
            <w:vAlign w:val="bottom"/>
            <w:gridSpan w:val="2"/>
          </w:tcPr>
          <w:p>
            <w:pPr>
              <w:jc w:val="center"/>
              <w:ind w:left="21"/>
              <w:spacing w:after="0"/>
              <w:rPr>
                <w:sz w:val="20"/>
                <w:szCs w:val="20"/>
                <w:color w:val="auto"/>
              </w:rPr>
            </w:pPr>
            <w:r>
              <w:rPr>
                <w:rFonts w:ascii="Arial" w:cs="Arial" w:eastAsia="Arial" w:hAnsi="Arial"/>
                <w:sz w:val="16"/>
                <w:szCs w:val="16"/>
                <w:color w:val="auto"/>
              </w:rPr>
              <w:t>0</w:t>
            </w:r>
          </w:p>
        </w:tc>
      </w:tr>
      <w:tr>
        <w:trPr>
          <w:trHeight w:val="212"/>
        </w:trPr>
        <w:tc>
          <w:tcPr>
            <w:tcW w:w="1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20" w:type="dxa"/>
            <w:vAlign w:val="bottom"/>
            <w:gridSpan w:val="2"/>
          </w:tcPr>
          <w:p>
            <w:pPr>
              <w:jc w:val="right"/>
              <w:ind w:right="101"/>
              <w:spacing w:after="0"/>
              <w:rPr>
                <w:sz w:val="20"/>
                <w:szCs w:val="20"/>
                <w:color w:val="auto"/>
              </w:rPr>
            </w:pPr>
            <w:r>
              <w:rPr>
                <w:rFonts w:ascii="Arial" w:cs="Arial" w:eastAsia="Arial" w:hAnsi="Arial"/>
                <w:sz w:val="16"/>
                <w:szCs w:val="16"/>
                <w:color w:val="auto"/>
              </w:rPr>
              <w:t>2023</w:t>
            </w:r>
          </w:p>
        </w:tc>
        <w:tc>
          <w:tcPr>
            <w:tcW w:w="1100" w:type="dxa"/>
            <w:vAlign w:val="bottom"/>
            <w:gridSpan w:val="2"/>
          </w:tcPr>
          <w:p>
            <w:pPr>
              <w:jc w:val="center"/>
              <w:ind w:left="21"/>
              <w:spacing w:after="0"/>
              <w:rPr>
                <w:sz w:val="20"/>
                <w:szCs w:val="20"/>
                <w:color w:val="auto"/>
              </w:rPr>
            </w:pPr>
            <w:r>
              <w:rPr>
                <w:rFonts w:ascii="Arial" w:cs="Arial" w:eastAsia="Arial" w:hAnsi="Arial"/>
                <w:sz w:val="16"/>
                <w:szCs w:val="16"/>
                <w:color w:val="auto"/>
                <w:w w:val="96"/>
              </w:rPr>
              <w:t>525,000</w:t>
            </w:r>
          </w:p>
        </w:tc>
        <w:tc>
          <w:tcPr>
            <w:tcW w:w="1080" w:type="dxa"/>
            <w:vAlign w:val="bottom"/>
            <w:gridSpan w:val="2"/>
          </w:tcPr>
          <w:p>
            <w:pPr>
              <w:jc w:val="center"/>
              <w:ind w:left="21"/>
              <w:spacing w:after="0"/>
              <w:rPr>
                <w:sz w:val="20"/>
                <w:szCs w:val="20"/>
                <w:color w:val="auto"/>
              </w:rPr>
            </w:pPr>
            <w:r>
              <w:rPr>
                <w:rFonts w:ascii="Arial" w:cs="Arial" w:eastAsia="Arial" w:hAnsi="Arial"/>
                <w:sz w:val="16"/>
                <w:szCs w:val="16"/>
                <w:color w:val="auto"/>
              </w:rPr>
              <w:t>0</w:t>
            </w:r>
          </w:p>
        </w:tc>
      </w:tr>
      <w:tr>
        <w:trPr>
          <w:trHeight w:val="215"/>
        </w:trPr>
        <w:tc>
          <w:tcPr>
            <w:tcW w:w="1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423"/>
        </w:trPr>
        <w:tc>
          <w:tcPr>
            <w:tcW w:w="2700" w:type="dxa"/>
            <w:vAlign w:val="bottom"/>
            <w:gridSpan w:val="2"/>
            <w:shd w:val="clear" w:color="auto" w:fill="E6E7E7"/>
          </w:tcPr>
          <w:p>
            <w:pPr>
              <w:ind w:left="20"/>
              <w:spacing w:after="0"/>
              <w:rPr>
                <w:sz w:val="20"/>
                <w:szCs w:val="20"/>
                <w:color w:val="auto"/>
              </w:rPr>
            </w:pPr>
            <w:r>
              <w:rPr>
                <w:rFonts w:ascii="Arial" w:cs="Arial" w:eastAsia="Arial" w:hAnsi="Arial"/>
                <w:sz w:val="16"/>
                <w:szCs w:val="16"/>
                <w:b w:val="1"/>
                <w:bCs w:val="1"/>
                <w:color w:val="520B90"/>
              </w:rPr>
              <w:t>Edward B. Adams, Jr.</w:t>
            </w:r>
          </w:p>
        </w:tc>
        <w:tc>
          <w:tcPr>
            <w:tcW w:w="100" w:type="dxa"/>
            <w:vAlign w:val="bottom"/>
          </w:tcPr>
          <w:p>
            <w:pPr>
              <w:spacing w:after="0"/>
              <w:rPr>
                <w:sz w:val="24"/>
                <w:szCs w:val="24"/>
                <w:color w:val="auto"/>
              </w:rPr>
            </w:pPr>
          </w:p>
        </w:tc>
        <w:tc>
          <w:tcPr>
            <w:tcW w:w="720" w:type="dxa"/>
            <w:vAlign w:val="bottom"/>
            <w:shd w:val="clear" w:color="auto" w:fill="E6E7E7"/>
          </w:tcPr>
          <w:p>
            <w:pPr>
              <w:jc w:val="right"/>
              <w:ind w:right="101"/>
              <w:spacing w:after="0"/>
              <w:rPr>
                <w:sz w:val="20"/>
                <w:szCs w:val="20"/>
                <w:color w:val="auto"/>
              </w:rPr>
            </w:pPr>
            <w:r>
              <w:rPr>
                <w:rFonts w:ascii="Arial" w:cs="Arial" w:eastAsia="Arial" w:hAnsi="Arial"/>
                <w:sz w:val="16"/>
                <w:szCs w:val="16"/>
                <w:color w:val="auto"/>
              </w:rPr>
              <w:t>2025</w:t>
            </w:r>
          </w:p>
        </w:tc>
        <w:tc>
          <w:tcPr>
            <w:tcW w:w="100" w:type="dxa"/>
            <w:vAlign w:val="bottom"/>
          </w:tcPr>
          <w:p>
            <w:pPr>
              <w:spacing w:after="0"/>
              <w:rPr>
                <w:sz w:val="24"/>
                <w:szCs w:val="24"/>
                <w:color w:val="auto"/>
              </w:rPr>
            </w:pPr>
          </w:p>
        </w:tc>
        <w:tc>
          <w:tcPr>
            <w:tcW w:w="100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6"/>
              </w:rPr>
              <w:t>515,000</w:t>
            </w:r>
          </w:p>
        </w:tc>
        <w:tc>
          <w:tcPr>
            <w:tcW w:w="100" w:type="dxa"/>
            <w:vAlign w:val="bottom"/>
          </w:tcPr>
          <w:p>
            <w:pPr>
              <w:spacing w:after="0"/>
              <w:rPr>
                <w:sz w:val="24"/>
                <w:szCs w:val="24"/>
                <w:color w:val="auto"/>
              </w:rPr>
            </w:pPr>
          </w:p>
        </w:tc>
        <w:tc>
          <w:tcPr>
            <w:tcW w:w="98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0</w:t>
            </w:r>
          </w:p>
        </w:tc>
      </w:tr>
      <w:tr>
        <w:trPr>
          <w:trHeight w:val="210"/>
        </w:trPr>
        <w:tc>
          <w:tcPr>
            <w:tcW w:w="2700" w:type="dxa"/>
            <w:vAlign w:val="bottom"/>
            <w:gridSpan w:val="2"/>
            <w:shd w:val="clear" w:color="auto" w:fill="E6E7E7"/>
          </w:tcPr>
          <w:p>
            <w:pPr>
              <w:ind w:left="180"/>
              <w:spacing w:after="0"/>
              <w:rPr>
                <w:sz w:val="20"/>
                <w:szCs w:val="20"/>
                <w:color w:val="auto"/>
              </w:rPr>
            </w:pPr>
            <w:r>
              <w:rPr>
                <w:rFonts w:ascii="Arial" w:cs="Arial" w:eastAsia="Arial" w:hAnsi="Arial"/>
                <w:sz w:val="16"/>
                <w:szCs w:val="16"/>
                <w:color w:val="auto"/>
              </w:rPr>
              <w:t>EVP &amp; General Counsel</w:t>
            </w:r>
          </w:p>
        </w:tc>
        <w:tc>
          <w:tcPr>
            <w:tcW w:w="100" w:type="dxa"/>
            <w:vAlign w:val="bottom"/>
          </w:tcPr>
          <w:p>
            <w:pPr>
              <w:spacing w:after="0"/>
              <w:rPr>
                <w:sz w:val="18"/>
                <w:szCs w:val="18"/>
                <w:color w:val="auto"/>
              </w:rPr>
            </w:pPr>
          </w:p>
        </w:tc>
        <w:tc>
          <w:tcPr>
            <w:tcW w:w="720" w:type="dxa"/>
            <w:vAlign w:val="bottom"/>
            <w:shd w:val="clear" w:color="auto" w:fill="E6E7E7"/>
          </w:tcPr>
          <w:p>
            <w:pPr>
              <w:jc w:val="right"/>
              <w:ind w:right="101"/>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8"/>
                <w:szCs w:val="18"/>
                <w:color w:val="auto"/>
              </w:rPr>
            </w:pPr>
          </w:p>
        </w:tc>
        <w:tc>
          <w:tcPr>
            <w:tcW w:w="100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6"/>
              </w:rPr>
              <w:t>512,115</w:t>
            </w:r>
          </w:p>
        </w:tc>
        <w:tc>
          <w:tcPr>
            <w:tcW w:w="100" w:type="dxa"/>
            <w:vAlign w:val="bottom"/>
          </w:tcPr>
          <w:p>
            <w:pPr>
              <w:spacing w:after="0"/>
              <w:rPr>
                <w:sz w:val="18"/>
                <w:szCs w:val="18"/>
                <w:color w:val="auto"/>
              </w:rPr>
            </w:pPr>
          </w:p>
        </w:tc>
        <w:tc>
          <w:tcPr>
            <w:tcW w:w="98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0</w:t>
            </w:r>
          </w:p>
        </w:tc>
      </w:tr>
      <w:tr>
        <w:trPr>
          <w:trHeight w:val="212"/>
        </w:trPr>
        <w:tc>
          <w:tcPr>
            <w:tcW w:w="1120" w:type="dxa"/>
            <w:vAlign w:val="bottom"/>
            <w:shd w:val="clear" w:color="auto" w:fill="E6E7E7"/>
          </w:tcPr>
          <w:p>
            <w:pPr>
              <w:spacing w:after="0"/>
              <w:rPr>
                <w:sz w:val="18"/>
                <w:szCs w:val="18"/>
                <w:color w:val="auto"/>
              </w:rPr>
            </w:pPr>
          </w:p>
        </w:tc>
        <w:tc>
          <w:tcPr>
            <w:tcW w:w="1580" w:type="dxa"/>
            <w:vAlign w:val="bottom"/>
            <w:shd w:val="clear" w:color="auto" w:fill="E6E7E7"/>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shd w:val="clear" w:color="auto" w:fill="E6E7E7"/>
          </w:tcPr>
          <w:p>
            <w:pPr>
              <w:jc w:val="right"/>
              <w:ind w:right="101"/>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18"/>
                <w:szCs w:val="18"/>
                <w:color w:val="auto"/>
              </w:rPr>
            </w:pPr>
          </w:p>
        </w:tc>
        <w:tc>
          <w:tcPr>
            <w:tcW w:w="100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6"/>
              </w:rPr>
              <w:t>462,272</w:t>
            </w:r>
          </w:p>
        </w:tc>
        <w:tc>
          <w:tcPr>
            <w:tcW w:w="100" w:type="dxa"/>
            <w:vAlign w:val="bottom"/>
          </w:tcPr>
          <w:p>
            <w:pPr>
              <w:spacing w:after="0"/>
              <w:rPr>
                <w:sz w:val="18"/>
                <w:szCs w:val="18"/>
                <w:color w:val="auto"/>
              </w:rPr>
            </w:pPr>
          </w:p>
        </w:tc>
        <w:tc>
          <w:tcPr>
            <w:tcW w:w="98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0</w:t>
            </w:r>
          </w:p>
        </w:tc>
      </w:tr>
      <w:tr>
        <w:trPr>
          <w:trHeight w:val="215"/>
        </w:trPr>
        <w:tc>
          <w:tcPr>
            <w:tcW w:w="1120" w:type="dxa"/>
            <w:vAlign w:val="bottom"/>
            <w:shd w:val="clear" w:color="auto" w:fill="E6E7E7"/>
          </w:tcPr>
          <w:p>
            <w:pPr>
              <w:spacing w:after="0"/>
              <w:rPr>
                <w:sz w:val="18"/>
                <w:szCs w:val="18"/>
                <w:color w:val="auto"/>
              </w:rPr>
            </w:pPr>
          </w:p>
        </w:tc>
        <w:tc>
          <w:tcPr>
            <w:tcW w:w="1580" w:type="dxa"/>
            <w:vAlign w:val="bottom"/>
            <w:shd w:val="clear" w:color="auto" w:fill="E6E7E7"/>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shd w:val="clear" w:color="auto" w:fill="E6E7E7"/>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shd w:val="clear" w:color="auto" w:fill="E6E7E7"/>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shd w:val="clear" w:color="auto" w:fill="E6E7E7"/>
          </w:tcPr>
          <w:p>
            <w:pPr>
              <w:spacing w:after="0"/>
              <w:rPr>
                <w:sz w:val="18"/>
                <w:szCs w:val="18"/>
                <w:color w:val="auto"/>
              </w:rPr>
            </w:pPr>
          </w:p>
        </w:tc>
      </w:tr>
      <w:tr>
        <w:trPr>
          <w:trHeight w:val="423"/>
        </w:trPr>
        <w:tc>
          <w:tcPr>
            <w:tcW w:w="2700" w:type="dxa"/>
            <w:vAlign w:val="bottom"/>
            <w:gridSpan w:val="2"/>
          </w:tcPr>
          <w:p>
            <w:pPr>
              <w:ind w:left="20"/>
              <w:spacing w:after="0"/>
              <w:rPr>
                <w:sz w:val="20"/>
                <w:szCs w:val="20"/>
                <w:color w:val="auto"/>
              </w:rPr>
            </w:pPr>
            <w:r>
              <w:rPr>
                <w:rFonts w:ascii="Arial" w:cs="Arial" w:eastAsia="Arial" w:hAnsi="Arial"/>
                <w:sz w:val="16"/>
                <w:szCs w:val="16"/>
                <w:b w:val="1"/>
                <w:bCs w:val="1"/>
                <w:color w:val="520B90"/>
              </w:rPr>
              <w:t>Catherine Piche</w:t>
            </w:r>
            <w:r>
              <w:rPr>
                <w:rFonts w:ascii="Arial" w:cs="Arial" w:eastAsia="Arial" w:hAnsi="Arial"/>
                <w:sz w:val="20"/>
                <w:szCs w:val="20"/>
                <w:b w:val="1"/>
                <w:bCs w:val="1"/>
                <w:color w:val="520B90"/>
                <w:vertAlign w:val="superscript"/>
              </w:rPr>
              <w:t>(i)</w:t>
            </w:r>
          </w:p>
        </w:tc>
        <w:tc>
          <w:tcPr>
            <w:tcW w:w="820" w:type="dxa"/>
            <w:vAlign w:val="bottom"/>
            <w:gridSpan w:val="2"/>
          </w:tcPr>
          <w:p>
            <w:pPr>
              <w:jc w:val="right"/>
              <w:ind w:right="101"/>
              <w:spacing w:after="0"/>
              <w:rPr>
                <w:sz w:val="20"/>
                <w:szCs w:val="20"/>
                <w:color w:val="auto"/>
              </w:rPr>
            </w:pPr>
            <w:r>
              <w:rPr>
                <w:rFonts w:ascii="Arial" w:cs="Arial" w:eastAsia="Arial" w:hAnsi="Arial"/>
                <w:sz w:val="16"/>
                <w:szCs w:val="16"/>
                <w:color w:val="auto"/>
              </w:rPr>
              <w:t>2025</w:t>
            </w:r>
          </w:p>
        </w:tc>
        <w:tc>
          <w:tcPr>
            <w:tcW w:w="1100" w:type="dxa"/>
            <w:vAlign w:val="bottom"/>
            <w:gridSpan w:val="2"/>
          </w:tcPr>
          <w:p>
            <w:pPr>
              <w:jc w:val="center"/>
              <w:ind w:left="21"/>
              <w:spacing w:after="0"/>
              <w:rPr>
                <w:sz w:val="20"/>
                <w:szCs w:val="20"/>
                <w:color w:val="auto"/>
              </w:rPr>
            </w:pPr>
            <w:r>
              <w:rPr>
                <w:rFonts w:ascii="Arial" w:cs="Arial" w:eastAsia="Arial" w:hAnsi="Arial"/>
                <w:sz w:val="16"/>
                <w:szCs w:val="16"/>
                <w:color w:val="auto"/>
                <w:w w:val="96"/>
              </w:rPr>
              <w:t>550,000</w:t>
            </w:r>
          </w:p>
        </w:tc>
        <w:tc>
          <w:tcPr>
            <w:tcW w:w="1080" w:type="dxa"/>
            <w:vAlign w:val="bottom"/>
            <w:gridSpan w:val="2"/>
          </w:tcPr>
          <w:p>
            <w:pPr>
              <w:jc w:val="center"/>
              <w:ind w:left="21"/>
              <w:spacing w:after="0"/>
              <w:rPr>
                <w:sz w:val="20"/>
                <w:szCs w:val="20"/>
                <w:color w:val="auto"/>
              </w:rPr>
            </w:pPr>
            <w:r>
              <w:rPr>
                <w:rFonts w:ascii="Arial" w:cs="Arial" w:eastAsia="Arial" w:hAnsi="Arial"/>
                <w:sz w:val="16"/>
                <w:szCs w:val="16"/>
                <w:color w:val="auto"/>
              </w:rPr>
              <w:t>0</w:t>
            </w:r>
          </w:p>
        </w:tc>
      </w:tr>
      <w:tr>
        <w:trPr>
          <w:trHeight w:val="210"/>
        </w:trPr>
        <w:tc>
          <w:tcPr>
            <w:tcW w:w="2700" w:type="dxa"/>
            <w:vAlign w:val="bottom"/>
            <w:gridSpan w:val="2"/>
          </w:tcPr>
          <w:p>
            <w:pPr>
              <w:ind w:left="180"/>
              <w:spacing w:after="0"/>
              <w:rPr>
                <w:sz w:val="20"/>
                <w:szCs w:val="20"/>
                <w:color w:val="auto"/>
              </w:rPr>
            </w:pPr>
            <w:r>
              <w:rPr>
                <w:rFonts w:ascii="Arial" w:cs="Arial" w:eastAsia="Arial" w:hAnsi="Arial"/>
                <w:sz w:val="16"/>
                <w:szCs w:val="16"/>
                <w:color w:val="auto"/>
              </w:rPr>
              <w:t>EVP &amp; COO—Towers</w:t>
            </w:r>
          </w:p>
        </w:tc>
        <w:tc>
          <w:tcPr>
            <w:tcW w:w="820" w:type="dxa"/>
            <w:vAlign w:val="bottom"/>
            <w:gridSpan w:val="2"/>
          </w:tcPr>
          <w:p>
            <w:pPr>
              <w:jc w:val="right"/>
              <w:ind w:right="101"/>
              <w:spacing w:after="0"/>
              <w:rPr>
                <w:sz w:val="20"/>
                <w:szCs w:val="20"/>
                <w:color w:val="auto"/>
              </w:rPr>
            </w:pPr>
            <w:r>
              <w:rPr>
                <w:rFonts w:ascii="Arial" w:cs="Arial" w:eastAsia="Arial" w:hAnsi="Arial"/>
                <w:sz w:val="16"/>
                <w:szCs w:val="16"/>
                <w:color w:val="auto"/>
              </w:rPr>
              <w:t>2024</w:t>
            </w:r>
          </w:p>
        </w:tc>
        <w:tc>
          <w:tcPr>
            <w:tcW w:w="1100" w:type="dxa"/>
            <w:vAlign w:val="bottom"/>
            <w:gridSpan w:val="2"/>
          </w:tcPr>
          <w:p>
            <w:pPr>
              <w:jc w:val="center"/>
              <w:ind w:left="21"/>
              <w:spacing w:after="0"/>
              <w:rPr>
                <w:sz w:val="20"/>
                <w:szCs w:val="20"/>
                <w:color w:val="auto"/>
              </w:rPr>
            </w:pPr>
            <w:r>
              <w:rPr>
                <w:rFonts w:ascii="Arial" w:cs="Arial" w:eastAsia="Arial" w:hAnsi="Arial"/>
                <w:sz w:val="16"/>
                <w:szCs w:val="16"/>
                <w:color w:val="auto"/>
                <w:w w:val="98"/>
              </w:rPr>
              <w:t>84,615</w:t>
            </w:r>
          </w:p>
        </w:tc>
        <w:tc>
          <w:tcPr>
            <w:tcW w:w="1080" w:type="dxa"/>
            <w:vAlign w:val="bottom"/>
            <w:gridSpan w:val="2"/>
          </w:tcPr>
          <w:p>
            <w:pPr>
              <w:jc w:val="center"/>
              <w:ind w:left="21"/>
              <w:spacing w:after="0"/>
              <w:rPr>
                <w:sz w:val="20"/>
                <w:szCs w:val="20"/>
                <w:color w:val="auto"/>
              </w:rPr>
            </w:pPr>
            <w:r>
              <w:rPr>
                <w:rFonts w:ascii="Arial" w:cs="Arial" w:eastAsia="Arial" w:hAnsi="Arial"/>
                <w:sz w:val="16"/>
                <w:szCs w:val="16"/>
                <w:color w:val="auto"/>
              </w:rPr>
              <w:t>0</w:t>
            </w:r>
          </w:p>
        </w:tc>
      </w:tr>
      <w:tr>
        <w:trPr>
          <w:trHeight w:val="212"/>
        </w:trPr>
        <w:tc>
          <w:tcPr>
            <w:tcW w:w="1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20" w:type="dxa"/>
            <w:vAlign w:val="bottom"/>
            <w:gridSpan w:val="2"/>
          </w:tcPr>
          <w:p>
            <w:pPr>
              <w:jc w:val="right"/>
              <w:ind w:right="101"/>
              <w:spacing w:after="0"/>
              <w:rPr>
                <w:sz w:val="20"/>
                <w:szCs w:val="20"/>
                <w:color w:val="auto"/>
              </w:rPr>
            </w:pPr>
            <w:r>
              <w:rPr>
                <w:rFonts w:ascii="Arial" w:cs="Arial" w:eastAsia="Arial" w:hAnsi="Arial"/>
                <w:sz w:val="16"/>
                <w:szCs w:val="16"/>
                <w:color w:val="auto"/>
              </w:rPr>
              <w:t>2023</w:t>
            </w:r>
          </w:p>
        </w:tc>
        <w:tc>
          <w:tcPr>
            <w:tcW w:w="1100" w:type="dxa"/>
            <w:vAlign w:val="bottom"/>
            <w:gridSpan w:val="2"/>
          </w:tcPr>
          <w:p>
            <w:pPr>
              <w:jc w:val="center"/>
              <w:ind w:left="21"/>
              <w:spacing w:after="0"/>
              <w:rPr>
                <w:sz w:val="20"/>
                <w:szCs w:val="20"/>
                <w:color w:val="auto"/>
              </w:rPr>
            </w:pPr>
            <w:r>
              <w:rPr>
                <w:rFonts w:ascii="Arial" w:cs="Arial" w:eastAsia="Arial" w:hAnsi="Arial"/>
                <w:sz w:val="16"/>
                <w:szCs w:val="16"/>
                <w:color w:val="auto"/>
                <w:w w:val="96"/>
              </w:rPr>
              <w:t>403,846</w:t>
            </w:r>
          </w:p>
        </w:tc>
        <w:tc>
          <w:tcPr>
            <w:tcW w:w="1080" w:type="dxa"/>
            <w:vAlign w:val="bottom"/>
            <w:gridSpan w:val="2"/>
          </w:tcPr>
          <w:p>
            <w:pPr>
              <w:jc w:val="center"/>
              <w:ind w:left="21"/>
              <w:spacing w:after="0"/>
              <w:rPr>
                <w:sz w:val="20"/>
                <w:szCs w:val="20"/>
                <w:color w:val="auto"/>
              </w:rPr>
            </w:pPr>
            <w:r>
              <w:rPr>
                <w:rFonts w:ascii="Arial" w:cs="Arial" w:eastAsia="Arial" w:hAnsi="Arial"/>
                <w:sz w:val="16"/>
                <w:szCs w:val="16"/>
                <w:color w:val="auto"/>
              </w:rPr>
              <w:t>0</w:t>
            </w:r>
          </w:p>
        </w:tc>
      </w:tr>
      <w:tr>
        <w:trPr>
          <w:trHeight w:val="215"/>
        </w:trPr>
        <w:tc>
          <w:tcPr>
            <w:tcW w:w="1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423"/>
        </w:trPr>
        <w:tc>
          <w:tcPr>
            <w:tcW w:w="2700" w:type="dxa"/>
            <w:vAlign w:val="bottom"/>
            <w:gridSpan w:val="2"/>
            <w:shd w:val="clear" w:color="auto" w:fill="E6E7E7"/>
          </w:tcPr>
          <w:p>
            <w:pPr>
              <w:ind w:left="20"/>
              <w:spacing w:after="0"/>
              <w:rPr>
                <w:sz w:val="20"/>
                <w:szCs w:val="20"/>
                <w:color w:val="auto"/>
              </w:rPr>
            </w:pPr>
            <w:r>
              <w:rPr>
                <w:rFonts w:ascii="Arial" w:cs="Arial" w:eastAsia="Arial" w:hAnsi="Arial"/>
                <w:sz w:val="16"/>
                <w:szCs w:val="16"/>
                <w:b w:val="1"/>
                <w:bCs w:val="1"/>
                <w:color w:val="520B90"/>
              </w:rPr>
              <w:t>Steven J. Moskowitz</w:t>
            </w:r>
            <w:r>
              <w:rPr>
                <w:rFonts w:ascii="Arial" w:cs="Arial" w:eastAsia="Arial" w:hAnsi="Arial"/>
                <w:sz w:val="20"/>
                <w:szCs w:val="20"/>
                <w:b w:val="1"/>
                <w:bCs w:val="1"/>
                <w:color w:val="520B90"/>
                <w:vertAlign w:val="superscript"/>
              </w:rPr>
              <w:t>(j)</w:t>
            </w:r>
          </w:p>
        </w:tc>
        <w:tc>
          <w:tcPr>
            <w:tcW w:w="100" w:type="dxa"/>
            <w:vAlign w:val="bottom"/>
          </w:tcPr>
          <w:p>
            <w:pPr>
              <w:spacing w:after="0"/>
              <w:rPr>
                <w:sz w:val="24"/>
                <w:szCs w:val="24"/>
                <w:color w:val="auto"/>
              </w:rPr>
            </w:pPr>
          </w:p>
        </w:tc>
        <w:tc>
          <w:tcPr>
            <w:tcW w:w="720" w:type="dxa"/>
            <w:vAlign w:val="bottom"/>
            <w:shd w:val="clear" w:color="auto" w:fill="E6E7E7"/>
          </w:tcPr>
          <w:p>
            <w:pPr>
              <w:jc w:val="right"/>
              <w:ind w:right="101"/>
              <w:spacing w:after="0"/>
              <w:rPr>
                <w:sz w:val="20"/>
                <w:szCs w:val="20"/>
                <w:color w:val="auto"/>
              </w:rPr>
            </w:pPr>
            <w:r>
              <w:rPr>
                <w:rFonts w:ascii="Arial" w:cs="Arial" w:eastAsia="Arial" w:hAnsi="Arial"/>
                <w:sz w:val="16"/>
                <w:szCs w:val="16"/>
                <w:color w:val="auto"/>
              </w:rPr>
              <w:t>2025</w:t>
            </w:r>
          </w:p>
        </w:tc>
        <w:tc>
          <w:tcPr>
            <w:tcW w:w="100" w:type="dxa"/>
            <w:vAlign w:val="bottom"/>
          </w:tcPr>
          <w:p>
            <w:pPr>
              <w:spacing w:after="0"/>
              <w:rPr>
                <w:sz w:val="24"/>
                <w:szCs w:val="24"/>
                <w:color w:val="auto"/>
              </w:rPr>
            </w:pPr>
          </w:p>
        </w:tc>
        <w:tc>
          <w:tcPr>
            <w:tcW w:w="100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6"/>
              </w:rPr>
              <w:t>225,000</w:t>
            </w:r>
          </w:p>
        </w:tc>
        <w:tc>
          <w:tcPr>
            <w:tcW w:w="100" w:type="dxa"/>
            <w:vAlign w:val="bottom"/>
          </w:tcPr>
          <w:p>
            <w:pPr>
              <w:spacing w:after="0"/>
              <w:rPr>
                <w:sz w:val="24"/>
                <w:szCs w:val="24"/>
                <w:color w:val="auto"/>
              </w:rPr>
            </w:pPr>
          </w:p>
        </w:tc>
        <w:tc>
          <w:tcPr>
            <w:tcW w:w="98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0</w:t>
            </w:r>
          </w:p>
        </w:tc>
      </w:tr>
      <w:tr>
        <w:trPr>
          <w:trHeight w:val="210"/>
        </w:trPr>
        <w:tc>
          <w:tcPr>
            <w:tcW w:w="2700" w:type="dxa"/>
            <w:vAlign w:val="bottom"/>
            <w:gridSpan w:val="2"/>
            <w:shd w:val="clear" w:color="auto" w:fill="E6E7E7"/>
          </w:tcPr>
          <w:p>
            <w:pPr>
              <w:ind w:left="180"/>
              <w:spacing w:after="0"/>
              <w:rPr>
                <w:sz w:val="20"/>
                <w:szCs w:val="20"/>
                <w:color w:val="auto"/>
              </w:rPr>
            </w:pPr>
            <w:r>
              <w:rPr>
                <w:rFonts w:ascii="Arial" w:cs="Arial" w:eastAsia="Arial" w:hAnsi="Arial"/>
                <w:sz w:val="16"/>
                <w:szCs w:val="16"/>
                <w:color w:val="auto"/>
              </w:rPr>
              <w:t>Former President &amp; CEO</w:t>
            </w:r>
          </w:p>
        </w:tc>
        <w:tc>
          <w:tcPr>
            <w:tcW w:w="100" w:type="dxa"/>
            <w:vAlign w:val="bottom"/>
          </w:tcPr>
          <w:p>
            <w:pPr>
              <w:spacing w:after="0"/>
              <w:rPr>
                <w:sz w:val="18"/>
                <w:szCs w:val="18"/>
                <w:color w:val="auto"/>
              </w:rPr>
            </w:pPr>
          </w:p>
        </w:tc>
        <w:tc>
          <w:tcPr>
            <w:tcW w:w="720" w:type="dxa"/>
            <w:vAlign w:val="bottom"/>
            <w:shd w:val="clear" w:color="auto" w:fill="E6E7E7"/>
          </w:tcPr>
          <w:p>
            <w:pPr>
              <w:jc w:val="right"/>
              <w:ind w:right="101"/>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8"/>
                <w:szCs w:val="18"/>
                <w:color w:val="auto"/>
              </w:rPr>
            </w:pPr>
          </w:p>
        </w:tc>
        <w:tc>
          <w:tcPr>
            <w:tcW w:w="100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6"/>
              </w:rPr>
              <w:t>630,000</w:t>
            </w:r>
          </w:p>
        </w:tc>
        <w:tc>
          <w:tcPr>
            <w:tcW w:w="100" w:type="dxa"/>
            <w:vAlign w:val="bottom"/>
          </w:tcPr>
          <w:p>
            <w:pPr>
              <w:spacing w:after="0"/>
              <w:rPr>
                <w:sz w:val="18"/>
                <w:szCs w:val="18"/>
                <w:color w:val="auto"/>
              </w:rPr>
            </w:pPr>
          </w:p>
        </w:tc>
        <w:tc>
          <w:tcPr>
            <w:tcW w:w="98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0</w:t>
            </w:r>
          </w:p>
        </w:tc>
      </w:tr>
      <w:tr>
        <w:trPr>
          <w:trHeight w:val="215"/>
        </w:trPr>
        <w:tc>
          <w:tcPr>
            <w:tcW w:w="1120" w:type="dxa"/>
            <w:vAlign w:val="bottom"/>
            <w:shd w:val="clear" w:color="auto" w:fill="E6E7E7"/>
          </w:tcPr>
          <w:p>
            <w:pPr>
              <w:spacing w:after="0"/>
              <w:rPr>
                <w:sz w:val="18"/>
                <w:szCs w:val="18"/>
                <w:color w:val="auto"/>
              </w:rPr>
            </w:pPr>
          </w:p>
        </w:tc>
        <w:tc>
          <w:tcPr>
            <w:tcW w:w="1580" w:type="dxa"/>
            <w:vAlign w:val="bottom"/>
            <w:shd w:val="clear" w:color="auto" w:fill="E6E7E7"/>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shd w:val="clear" w:color="auto" w:fill="E6E7E7"/>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shd w:val="clear" w:color="auto" w:fill="E6E7E7"/>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shd w:val="clear" w:color="auto" w:fill="E6E7E7"/>
          </w:tcPr>
          <w:p>
            <w:pPr>
              <w:spacing w:after="0"/>
              <w:rPr>
                <w:sz w:val="18"/>
                <w:szCs w:val="18"/>
                <w:color w:val="auto"/>
              </w:rPr>
            </w:pPr>
          </w:p>
        </w:tc>
      </w:tr>
      <w:tr>
        <w:trPr>
          <w:trHeight w:val="159"/>
        </w:trPr>
        <w:tc>
          <w:tcPr>
            <w:tcW w:w="1120" w:type="dxa"/>
            <w:vAlign w:val="bottom"/>
            <w:tcBorders>
              <w:bottom w:val="single" w:sz="8" w:color="auto"/>
            </w:tcBorders>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280" w:type="dxa"/>
            <w:vAlign w:val="bottom"/>
          </w:tcPr>
          <w:p>
            <w:pPr>
              <w:jc w:val="center"/>
              <w:spacing w:after="0"/>
              <w:rPr>
                <w:sz w:val="20"/>
                <w:szCs w:val="20"/>
                <w:color w:val="auto"/>
              </w:rPr>
            </w:pPr>
            <w:r>
              <w:rPr>
                <w:rFonts w:ascii="Arial" w:cs="Arial" w:eastAsia="Arial" w:hAnsi="Arial"/>
                <w:sz w:val="16"/>
                <w:szCs w:val="16"/>
                <w:color w:val="auto"/>
                <w:w w:val="99"/>
              </w:rPr>
              <w:t>12,147,036</w:t>
            </w:r>
          </w:p>
        </w:tc>
        <w:tc>
          <w:tcPr>
            <w:tcW w:w="1380" w:type="dxa"/>
            <w:vAlign w:val="bottom"/>
            <w:gridSpan w:val="2"/>
          </w:tcPr>
          <w:p>
            <w:pPr>
              <w:jc w:val="center"/>
              <w:ind w:left="21"/>
              <w:spacing w:after="0"/>
              <w:rPr>
                <w:sz w:val="20"/>
                <w:szCs w:val="20"/>
                <w:color w:val="auto"/>
              </w:rPr>
            </w:pPr>
            <w:r>
              <w:rPr>
                <w:rFonts w:ascii="Arial" w:cs="Arial" w:eastAsia="Arial" w:hAnsi="Arial"/>
                <w:sz w:val="16"/>
                <w:szCs w:val="16"/>
                <w:color w:val="auto"/>
                <w:w w:val="96"/>
              </w:rPr>
              <w:t>823,522</w:t>
            </w:r>
          </w:p>
        </w:tc>
        <w:tc>
          <w:tcPr>
            <w:tcW w:w="1400" w:type="dxa"/>
            <w:vAlign w:val="bottom"/>
            <w:gridSpan w:val="2"/>
          </w:tcPr>
          <w:p>
            <w:pPr>
              <w:jc w:val="center"/>
              <w:ind w:left="21"/>
              <w:spacing w:after="0"/>
              <w:rPr>
                <w:sz w:val="20"/>
                <w:szCs w:val="20"/>
                <w:color w:val="auto"/>
              </w:rPr>
            </w:pPr>
            <w:r>
              <w:rPr>
                <w:rFonts w:ascii="Arial" w:cs="Arial" w:eastAsia="Arial" w:hAnsi="Arial"/>
                <w:sz w:val="16"/>
                <w:szCs w:val="16"/>
                <w:color w:val="auto"/>
              </w:rPr>
              <w:t>115,012</w:t>
            </w:r>
          </w:p>
        </w:tc>
        <w:tc>
          <w:tcPr>
            <w:tcW w:w="1380" w:type="dxa"/>
            <w:vAlign w:val="bottom"/>
            <w:gridSpan w:val="2"/>
          </w:tcPr>
          <w:p>
            <w:pPr>
              <w:jc w:val="center"/>
              <w:ind w:left="21"/>
              <w:spacing w:after="0"/>
              <w:rPr>
                <w:sz w:val="20"/>
                <w:szCs w:val="20"/>
                <w:color w:val="auto"/>
              </w:rPr>
            </w:pPr>
            <w:r>
              <w:rPr>
                <w:rFonts w:ascii="Arial" w:cs="Arial" w:eastAsia="Arial" w:hAnsi="Arial"/>
                <w:sz w:val="16"/>
                <w:szCs w:val="16"/>
                <w:color w:val="auto"/>
                <w:w w:val="99"/>
              </w:rPr>
              <w:t>14,154,801</w:t>
            </w:r>
          </w:p>
        </w:tc>
      </w:tr>
      <w:tr>
        <w:trPr>
          <w:trHeight w:val="847"/>
        </w:trPr>
        <w:tc>
          <w:tcPr>
            <w:tcW w:w="1280" w:type="dxa"/>
            <w:vAlign w:val="bottom"/>
          </w:tcPr>
          <w:p>
            <w:pPr>
              <w:jc w:val="center"/>
              <w:spacing w:after="0"/>
              <w:rPr>
                <w:sz w:val="20"/>
                <w:szCs w:val="20"/>
                <w:color w:val="auto"/>
              </w:rPr>
            </w:pPr>
            <w:r>
              <w:rPr>
                <w:rFonts w:ascii="Arial" w:cs="Arial" w:eastAsia="Arial" w:hAnsi="Arial"/>
                <w:sz w:val="16"/>
                <w:szCs w:val="16"/>
                <w:color w:val="auto"/>
              </w:rPr>
              <w:t>7,695,957</w:t>
            </w:r>
          </w:p>
        </w:tc>
        <w:tc>
          <w:tcPr>
            <w:tcW w:w="1380" w:type="dxa"/>
            <w:vAlign w:val="bottom"/>
            <w:gridSpan w:val="2"/>
          </w:tcPr>
          <w:p>
            <w:pPr>
              <w:jc w:val="center"/>
              <w:ind w:left="21"/>
              <w:spacing w:after="0"/>
              <w:rPr>
                <w:sz w:val="20"/>
                <w:szCs w:val="20"/>
                <w:color w:val="auto"/>
              </w:rPr>
            </w:pPr>
            <w:r>
              <w:rPr>
                <w:rFonts w:ascii="Arial" w:cs="Arial" w:eastAsia="Arial" w:hAnsi="Arial"/>
                <w:sz w:val="16"/>
                <w:szCs w:val="16"/>
                <w:color w:val="auto"/>
                <w:w w:val="96"/>
              </w:rPr>
              <w:t>655,291</w:t>
            </w:r>
          </w:p>
        </w:tc>
        <w:tc>
          <w:tcPr>
            <w:tcW w:w="1400" w:type="dxa"/>
            <w:vAlign w:val="bottom"/>
            <w:gridSpan w:val="2"/>
          </w:tcPr>
          <w:p>
            <w:pPr>
              <w:jc w:val="center"/>
              <w:ind w:left="21"/>
              <w:spacing w:after="0"/>
              <w:rPr>
                <w:sz w:val="20"/>
                <w:szCs w:val="20"/>
                <w:color w:val="auto"/>
              </w:rPr>
            </w:pPr>
            <w:r>
              <w:rPr>
                <w:rFonts w:ascii="Arial" w:cs="Arial" w:eastAsia="Arial" w:hAnsi="Arial"/>
                <w:sz w:val="16"/>
                <w:szCs w:val="16"/>
                <w:color w:val="auto"/>
              </w:rPr>
              <w:t>45,295</w:t>
            </w:r>
          </w:p>
        </w:tc>
        <w:tc>
          <w:tcPr>
            <w:tcW w:w="1380" w:type="dxa"/>
            <w:vAlign w:val="bottom"/>
            <w:gridSpan w:val="2"/>
          </w:tcPr>
          <w:p>
            <w:pPr>
              <w:jc w:val="center"/>
              <w:ind w:left="21"/>
              <w:spacing w:after="0"/>
              <w:rPr>
                <w:sz w:val="20"/>
                <w:szCs w:val="20"/>
                <w:color w:val="auto"/>
              </w:rPr>
            </w:pPr>
            <w:r>
              <w:rPr>
                <w:rFonts w:ascii="Arial" w:cs="Arial" w:eastAsia="Arial" w:hAnsi="Arial"/>
                <w:sz w:val="16"/>
                <w:szCs w:val="16"/>
                <w:color w:val="auto"/>
              </w:rPr>
              <w:t>9,103,274</w:t>
            </w:r>
          </w:p>
        </w:tc>
      </w:tr>
      <w:tr>
        <w:trPr>
          <w:trHeight w:val="426"/>
        </w:trPr>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21"/>
        </w:trPr>
        <w:tc>
          <w:tcPr>
            <w:tcW w:w="128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9,885,430</w:t>
            </w:r>
          </w:p>
        </w:tc>
        <w:tc>
          <w:tcPr>
            <w:tcW w:w="100" w:type="dxa"/>
            <w:vAlign w:val="bottom"/>
          </w:tcPr>
          <w:p>
            <w:pPr>
              <w:spacing w:after="0"/>
              <w:rPr>
                <w:sz w:val="24"/>
                <w:szCs w:val="24"/>
                <w:color w:val="auto"/>
              </w:rPr>
            </w:pPr>
          </w:p>
        </w:tc>
        <w:tc>
          <w:tcPr>
            <w:tcW w:w="128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6"/>
              </w:rPr>
              <w:t>890,624</w:t>
            </w:r>
          </w:p>
        </w:tc>
        <w:tc>
          <w:tcPr>
            <w:tcW w:w="100" w:type="dxa"/>
            <w:vAlign w:val="bottom"/>
          </w:tcPr>
          <w:p>
            <w:pPr>
              <w:spacing w:after="0"/>
              <w:rPr>
                <w:sz w:val="24"/>
                <w:szCs w:val="24"/>
                <w:color w:val="auto"/>
              </w:rPr>
            </w:pPr>
          </w:p>
        </w:tc>
        <w:tc>
          <w:tcPr>
            <w:tcW w:w="130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46,573</w:t>
            </w:r>
          </w:p>
        </w:tc>
        <w:tc>
          <w:tcPr>
            <w:tcW w:w="100" w:type="dxa"/>
            <w:vAlign w:val="bottom"/>
          </w:tcPr>
          <w:p>
            <w:pPr>
              <w:spacing w:after="0"/>
              <w:rPr>
                <w:sz w:val="24"/>
                <w:szCs w:val="24"/>
                <w:color w:val="auto"/>
              </w:rPr>
            </w:pPr>
          </w:p>
        </w:tc>
        <w:tc>
          <w:tcPr>
            <w:tcW w:w="128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9"/>
              </w:rPr>
              <w:t>12,035,100</w:t>
            </w:r>
          </w:p>
        </w:tc>
      </w:tr>
      <w:tr>
        <w:trPr>
          <w:trHeight w:val="212"/>
        </w:trPr>
        <w:tc>
          <w:tcPr>
            <w:tcW w:w="128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6,541,679</w:t>
            </w:r>
          </w:p>
        </w:tc>
        <w:tc>
          <w:tcPr>
            <w:tcW w:w="100" w:type="dxa"/>
            <w:vAlign w:val="bottom"/>
          </w:tcPr>
          <w:p>
            <w:pPr>
              <w:spacing w:after="0"/>
              <w:rPr>
                <w:sz w:val="18"/>
                <w:szCs w:val="18"/>
                <w:color w:val="auto"/>
              </w:rPr>
            </w:pPr>
          </w:p>
        </w:tc>
        <w:tc>
          <w:tcPr>
            <w:tcW w:w="128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6"/>
              </w:rPr>
              <w:t>681,792</w:t>
            </w:r>
          </w:p>
        </w:tc>
        <w:tc>
          <w:tcPr>
            <w:tcW w:w="100" w:type="dxa"/>
            <w:vAlign w:val="bottom"/>
          </w:tcPr>
          <w:p>
            <w:pPr>
              <w:spacing w:after="0"/>
              <w:rPr>
                <w:sz w:val="18"/>
                <w:szCs w:val="18"/>
                <w:color w:val="auto"/>
              </w:rPr>
            </w:pPr>
          </w:p>
        </w:tc>
        <w:tc>
          <w:tcPr>
            <w:tcW w:w="130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61,337</w:t>
            </w:r>
          </w:p>
        </w:tc>
        <w:tc>
          <w:tcPr>
            <w:tcW w:w="100" w:type="dxa"/>
            <w:vAlign w:val="bottom"/>
          </w:tcPr>
          <w:p>
            <w:pPr>
              <w:spacing w:after="0"/>
              <w:rPr>
                <w:sz w:val="18"/>
                <w:szCs w:val="18"/>
                <w:color w:val="auto"/>
              </w:rPr>
            </w:pPr>
          </w:p>
        </w:tc>
        <w:tc>
          <w:tcPr>
            <w:tcW w:w="128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7,920,962</w:t>
            </w:r>
          </w:p>
        </w:tc>
      </w:tr>
      <w:tr>
        <w:trPr>
          <w:trHeight w:val="212"/>
        </w:trPr>
        <w:tc>
          <w:tcPr>
            <w:tcW w:w="128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3,814,076</w:t>
            </w:r>
          </w:p>
        </w:tc>
        <w:tc>
          <w:tcPr>
            <w:tcW w:w="100" w:type="dxa"/>
            <w:vAlign w:val="bottom"/>
          </w:tcPr>
          <w:p>
            <w:pPr>
              <w:spacing w:after="0"/>
              <w:rPr>
                <w:sz w:val="18"/>
                <w:szCs w:val="18"/>
                <w:color w:val="auto"/>
              </w:rPr>
            </w:pPr>
          </w:p>
        </w:tc>
        <w:tc>
          <w:tcPr>
            <w:tcW w:w="128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6"/>
              </w:rPr>
              <w:t>449,748</w:t>
            </w:r>
          </w:p>
        </w:tc>
        <w:tc>
          <w:tcPr>
            <w:tcW w:w="100" w:type="dxa"/>
            <w:vAlign w:val="bottom"/>
          </w:tcPr>
          <w:p>
            <w:pPr>
              <w:spacing w:after="0"/>
              <w:rPr>
                <w:sz w:val="18"/>
                <w:szCs w:val="18"/>
                <w:color w:val="auto"/>
              </w:rPr>
            </w:pPr>
          </w:p>
        </w:tc>
        <w:tc>
          <w:tcPr>
            <w:tcW w:w="130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59,194</w:t>
            </w:r>
          </w:p>
        </w:tc>
        <w:tc>
          <w:tcPr>
            <w:tcW w:w="100" w:type="dxa"/>
            <w:vAlign w:val="bottom"/>
          </w:tcPr>
          <w:p>
            <w:pPr>
              <w:spacing w:after="0"/>
              <w:rPr>
                <w:sz w:val="18"/>
                <w:szCs w:val="18"/>
                <w:color w:val="auto"/>
              </w:rPr>
            </w:pPr>
          </w:p>
        </w:tc>
        <w:tc>
          <w:tcPr>
            <w:tcW w:w="128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4,943,018</w:t>
            </w:r>
          </w:p>
        </w:tc>
      </w:tr>
      <w:tr>
        <w:trPr>
          <w:trHeight w:val="215"/>
        </w:trPr>
        <w:tc>
          <w:tcPr>
            <w:tcW w:w="1280" w:type="dxa"/>
            <w:vAlign w:val="bottom"/>
            <w:shd w:val="clear" w:color="auto" w:fill="E6E7E7"/>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shd w:val="clear" w:color="auto" w:fill="E6E7E7"/>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shd w:val="clear" w:color="auto" w:fill="E6E7E7"/>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shd w:val="clear" w:color="auto" w:fill="E6E7E7"/>
          </w:tcPr>
          <w:p>
            <w:pPr>
              <w:spacing w:after="0"/>
              <w:rPr>
                <w:sz w:val="18"/>
                <w:szCs w:val="18"/>
                <w:color w:val="auto"/>
              </w:rPr>
            </w:pPr>
          </w:p>
        </w:tc>
      </w:tr>
      <w:tr>
        <w:trPr>
          <w:trHeight w:val="421"/>
        </w:trPr>
        <w:tc>
          <w:tcPr>
            <w:tcW w:w="1280" w:type="dxa"/>
            <w:vAlign w:val="bottom"/>
          </w:tcPr>
          <w:p>
            <w:pPr>
              <w:jc w:val="center"/>
              <w:spacing w:after="0"/>
              <w:rPr>
                <w:sz w:val="20"/>
                <w:szCs w:val="20"/>
                <w:color w:val="auto"/>
              </w:rPr>
            </w:pPr>
            <w:r>
              <w:rPr>
                <w:rFonts w:ascii="Arial" w:cs="Arial" w:eastAsia="Arial" w:hAnsi="Arial"/>
                <w:sz w:val="16"/>
                <w:szCs w:val="16"/>
                <w:color w:val="auto"/>
              </w:rPr>
              <w:t>5,423,183</w:t>
            </w:r>
          </w:p>
        </w:tc>
        <w:tc>
          <w:tcPr>
            <w:tcW w:w="1380" w:type="dxa"/>
            <w:vAlign w:val="bottom"/>
            <w:gridSpan w:val="2"/>
          </w:tcPr>
          <w:p>
            <w:pPr>
              <w:jc w:val="center"/>
              <w:ind w:left="21"/>
              <w:spacing w:after="0"/>
              <w:rPr>
                <w:sz w:val="20"/>
                <w:szCs w:val="20"/>
                <w:color w:val="auto"/>
              </w:rPr>
            </w:pPr>
            <w:r>
              <w:rPr>
                <w:rFonts w:ascii="Arial" w:cs="Arial" w:eastAsia="Arial" w:hAnsi="Arial"/>
                <w:sz w:val="16"/>
                <w:szCs w:val="16"/>
                <w:color w:val="auto"/>
                <w:w w:val="96"/>
              </w:rPr>
              <w:t>834,960</w:t>
            </w:r>
          </w:p>
        </w:tc>
        <w:tc>
          <w:tcPr>
            <w:tcW w:w="1400" w:type="dxa"/>
            <w:vAlign w:val="bottom"/>
            <w:gridSpan w:val="2"/>
          </w:tcPr>
          <w:p>
            <w:pPr>
              <w:jc w:val="center"/>
              <w:ind w:left="21"/>
              <w:spacing w:after="0"/>
              <w:rPr>
                <w:sz w:val="20"/>
                <w:szCs w:val="20"/>
                <w:color w:val="auto"/>
              </w:rPr>
            </w:pPr>
            <w:r>
              <w:rPr>
                <w:rFonts w:ascii="Arial" w:cs="Arial" w:eastAsia="Arial" w:hAnsi="Arial"/>
                <w:sz w:val="16"/>
                <w:szCs w:val="16"/>
                <w:color w:val="auto"/>
              </w:rPr>
              <w:t>46,666</w:t>
            </w:r>
          </w:p>
        </w:tc>
        <w:tc>
          <w:tcPr>
            <w:tcW w:w="1380" w:type="dxa"/>
            <w:vAlign w:val="bottom"/>
            <w:gridSpan w:val="2"/>
          </w:tcPr>
          <w:p>
            <w:pPr>
              <w:jc w:val="center"/>
              <w:ind w:left="21"/>
              <w:spacing w:after="0"/>
              <w:rPr>
                <w:sz w:val="20"/>
                <w:szCs w:val="20"/>
                <w:color w:val="auto"/>
              </w:rPr>
            </w:pPr>
            <w:r>
              <w:rPr>
                <w:rFonts w:ascii="Arial" w:cs="Arial" w:eastAsia="Arial" w:hAnsi="Arial"/>
                <w:sz w:val="16"/>
                <w:szCs w:val="16"/>
                <w:color w:val="auto"/>
              </w:rPr>
              <w:t>6,904,809</w:t>
            </w:r>
          </w:p>
        </w:tc>
      </w:tr>
      <w:tr>
        <w:trPr>
          <w:trHeight w:val="212"/>
        </w:trPr>
        <w:tc>
          <w:tcPr>
            <w:tcW w:w="1280" w:type="dxa"/>
            <w:vAlign w:val="bottom"/>
          </w:tcPr>
          <w:p>
            <w:pPr>
              <w:jc w:val="center"/>
              <w:spacing w:after="0"/>
              <w:rPr>
                <w:sz w:val="20"/>
                <w:szCs w:val="20"/>
                <w:color w:val="auto"/>
              </w:rPr>
            </w:pPr>
            <w:r>
              <w:rPr>
                <w:rFonts w:ascii="Arial" w:cs="Arial" w:eastAsia="Arial" w:hAnsi="Arial"/>
                <w:sz w:val="16"/>
                <w:szCs w:val="16"/>
                <w:color w:val="auto"/>
              </w:rPr>
              <w:t>4,498,170</w:t>
            </w:r>
          </w:p>
        </w:tc>
        <w:tc>
          <w:tcPr>
            <w:tcW w:w="1380" w:type="dxa"/>
            <w:vAlign w:val="bottom"/>
            <w:gridSpan w:val="2"/>
          </w:tcPr>
          <w:p>
            <w:pPr>
              <w:jc w:val="center"/>
              <w:ind w:left="21"/>
              <w:spacing w:after="0"/>
              <w:rPr>
                <w:sz w:val="20"/>
                <w:szCs w:val="20"/>
                <w:color w:val="auto"/>
              </w:rPr>
            </w:pPr>
            <w:r>
              <w:rPr>
                <w:rFonts w:ascii="Arial" w:cs="Arial" w:eastAsia="Arial" w:hAnsi="Arial"/>
                <w:sz w:val="16"/>
                <w:szCs w:val="16"/>
                <w:color w:val="auto"/>
                <w:w w:val="96"/>
              </w:rPr>
              <w:t>639,180</w:t>
            </w:r>
          </w:p>
        </w:tc>
        <w:tc>
          <w:tcPr>
            <w:tcW w:w="1400" w:type="dxa"/>
            <w:vAlign w:val="bottom"/>
            <w:gridSpan w:val="2"/>
          </w:tcPr>
          <w:p>
            <w:pPr>
              <w:jc w:val="center"/>
              <w:ind w:left="21"/>
              <w:spacing w:after="0"/>
              <w:rPr>
                <w:sz w:val="20"/>
                <w:szCs w:val="20"/>
                <w:color w:val="auto"/>
              </w:rPr>
            </w:pPr>
            <w:r>
              <w:rPr>
                <w:rFonts w:ascii="Arial" w:cs="Arial" w:eastAsia="Arial" w:hAnsi="Arial"/>
                <w:sz w:val="16"/>
                <w:szCs w:val="16"/>
                <w:color w:val="auto"/>
              </w:rPr>
              <w:t>62,076</w:t>
            </w:r>
          </w:p>
        </w:tc>
        <w:tc>
          <w:tcPr>
            <w:tcW w:w="1380" w:type="dxa"/>
            <w:vAlign w:val="bottom"/>
            <w:gridSpan w:val="2"/>
          </w:tcPr>
          <w:p>
            <w:pPr>
              <w:jc w:val="center"/>
              <w:ind w:left="21"/>
              <w:spacing w:after="0"/>
              <w:rPr>
                <w:sz w:val="20"/>
                <w:szCs w:val="20"/>
                <w:color w:val="auto"/>
              </w:rPr>
            </w:pPr>
            <w:r>
              <w:rPr>
                <w:rFonts w:ascii="Arial" w:cs="Arial" w:eastAsia="Arial" w:hAnsi="Arial"/>
                <w:sz w:val="16"/>
                <w:szCs w:val="16"/>
                <w:color w:val="auto"/>
              </w:rPr>
              <w:t>5,785,003</w:t>
            </w:r>
          </w:p>
        </w:tc>
      </w:tr>
      <w:tr>
        <w:trPr>
          <w:trHeight w:val="212"/>
        </w:trPr>
        <w:tc>
          <w:tcPr>
            <w:tcW w:w="1280" w:type="dxa"/>
            <w:vAlign w:val="bottom"/>
          </w:tcPr>
          <w:p>
            <w:pPr>
              <w:jc w:val="center"/>
              <w:spacing w:after="0"/>
              <w:rPr>
                <w:sz w:val="20"/>
                <w:szCs w:val="20"/>
                <w:color w:val="auto"/>
              </w:rPr>
            </w:pPr>
            <w:r>
              <w:rPr>
                <w:rFonts w:ascii="Arial" w:cs="Arial" w:eastAsia="Arial" w:hAnsi="Arial"/>
                <w:sz w:val="16"/>
                <w:szCs w:val="16"/>
                <w:color w:val="auto"/>
              </w:rPr>
              <w:t>4,160,858</w:t>
            </w:r>
          </w:p>
        </w:tc>
        <w:tc>
          <w:tcPr>
            <w:tcW w:w="1380" w:type="dxa"/>
            <w:vAlign w:val="bottom"/>
            <w:gridSpan w:val="2"/>
          </w:tcPr>
          <w:p>
            <w:pPr>
              <w:jc w:val="center"/>
              <w:ind w:left="21"/>
              <w:spacing w:after="0"/>
              <w:rPr>
                <w:sz w:val="20"/>
                <w:szCs w:val="20"/>
                <w:color w:val="auto"/>
              </w:rPr>
            </w:pPr>
            <w:r>
              <w:rPr>
                <w:rFonts w:ascii="Arial" w:cs="Arial" w:eastAsia="Arial" w:hAnsi="Arial"/>
                <w:sz w:val="16"/>
                <w:szCs w:val="16"/>
                <w:color w:val="auto"/>
                <w:w w:val="96"/>
              </w:rPr>
              <w:t>380,835</w:t>
            </w:r>
          </w:p>
        </w:tc>
        <w:tc>
          <w:tcPr>
            <w:tcW w:w="1400" w:type="dxa"/>
            <w:vAlign w:val="bottom"/>
            <w:gridSpan w:val="2"/>
          </w:tcPr>
          <w:p>
            <w:pPr>
              <w:jc w:val="center"/>
              <w:ind w:left="21"/>
              <w:spacing w:after="0"/>
              <w:rPr>
                <w:sz w:val="20"/>
                <w:szCs w:val="20"/>
                <w:color w:val="auto"/>
              </w:rPr>
            </w:pPr>
            <w:r>
              <w:rPr>
                <w:rFonts w:ascii="Arial" w:cs="Arial" w:eastAsia="Arial" w:hAnsi="Arial"/>
                <w:sz w:val="16"/>
                <w:szCs w:val="16"/>
                <w:color w:val="auto"/>
              </w:rPr>
              <w:t>59,194</w:t>
            </w:r>
          </w:p>
        </w:tc>
        <w:tc>
          <w:tcPr>
            <w:tcW w:w="1380" w:type="dxa"/>
            <w:vAlign w:val="bottom"/>
            <w:gridSpan w:val="2"/>
          </w:tcPr>
          <w:p>
            <w:pPr>
              <w:jc w:val="center"/>
              <w:ind w:left="21"/>
              <w:spacing w:after="0"/>
              <w:rPr>
                <w:sz w:val="20"/>
                <w:szCs w:val="20"/>
                <w:color w:val="auto"/>
              </w:rPr>
            </w:pPr>
            <w:r>
              <w:rPr>
                <w:rFonts w:ascii="Arial" w:cs="Arial" w:eastAsia="Arial" w:hAnsi="Arial"/>
                <w:sz w:val="16"/>
                <w:szCs w:val="16"/>
                <w:color w:val="auto"/>
              </w:rPr>
              <w:t>5,125,887</w:t>
            </w:r>
          </w:p>
        </w:tc>
      </w:tr>
      <w:tr>
        <w:trPr>
          <w:trHeight w:val="215"/>
        </w:trPr>
        <w:tc>
          <w:tcPr>
            <w:tcW w:w="128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r>
      <w:tr>
        <w:trPr>
          <w:trHeight w:val="421"/>
        </w:trPr>
        <w:tc>
          <w:tcPr>
            <w:tcW w:w="128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4,449,373</w:t>
            </w:r>
          </w:p>
        </w:tc>
        <w:tc>
          <w:tcPr>
            <w:tcW w:w="100" w:type="dxa"/>
            <w:vAlign w:val="bottom"/>
          </w:tcPr>
          <w:p>
            <w:pPr>
              <w:spacing w:after="0"/>
              <w:rPr>
                <w:sz w:val="24"/>
                <w:szCs w:val="24"/>
                <w:color w:val="auto"/>
              </w:rPr>
            </w:pPr>
          </w:p>
        </w:tc>
        <w:tc>
          <w:tcPr>
            <w:tcW w:w="128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6"/>
              </w:rPr>
              <w:t>716,674</w:t>
            </w:r>
          </w:p>
        </w:tc>
        <w:tc>
          <w:tcPr>
            <w:tcW w:w="100" w:type="dxa"/>
            <w:vAlign w:val="bottom"/>
          </w:tcPr>
          <w:p>
            <w:pPr>
              <w:spacing w:after="0"/>
              <w:rPr>
                <w:sz w:val="24"/>
                <w:szCs w:val="24"/>
                <w:color w:val="auto"/>
              </w:rPr>
            </w:pPr>
          </w:p>
        </w:tc>
        <w:tc>
          <w:tcPr>
            <w:tcW w:w="130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18,425</w:t>
            </w:r>
          </w:p>
        </w:tc>
        <w:tc>
          <w:tcPr>
            <w:tcW w:w="100" w:type="dxa"/>
            <w:vAlign w:val="bottom"/>
          </w:tcPr>
          <w:p>
            <w:pPr>
              <w:spacing w:after="0"/>
              <w:rPr>
                <w:sz w:val="24"/>
                <w:szCs w:val="24"/>
                <w:color w:val="auto"/>
              </w:rPr>
            </w:pPr>
          </w:p>
        </w:tc>
        <w:tc>
          <w:tcPr>
            <w:tcW w:w="128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5,699,472</w:t>
            </w:r>
          </w:p>
        </w:tc>
      </w:tr>
      <w:tr>
        <w:trPr>
          <w:trHeight w:val="212"/>
        </w:trPr>
        <w:tc>
          <w:tcPr>
            <w:tcW w:w="128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2,998,892</w:t>
            </w:r>
          </w:p>
        </w:tc>
        <w:tc>
          <w:tcPr>
            <w:tcW w:w="100" w:type="dxa"/>
            <w:vAlign w:val="bottom"/>
          </w:tcPr>
          <w:p>
            <w:pPr>
              <w:spacing w:after="0"/>
              <w:rPr>
                <w:sz w:val="18"/>
                <w:szCs w:val="18"/>
                <w:color w:val="auto"/>
              </w:rPr>
            </w:pPr>
          </w:p>
        </w:tc>
        <w:tc>
          <w:tcPr>
            <w:tcW w:w="128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6"/>
              </w:rPr>
              <w:t>548,629</w:t>
            </w:r>
          </w:p>
        </w:tc>
        <w:tc>
          <w:tcPr>
            <w:tcW w:w="100" w:type="dxa"/>
            <w:vAlign w:val="bottom"/>
          </w:tcPr>
          <w:p>
            <w:pPr>
              <w:spacing w:after="0"/>
              <w:rPr>
                <w:sz w:val="18"/>
                <w:szCs w:val="18"/>
                <w:color w:val="auto"/>
              </w:rPr>
            </w:pPr>
          </w:p>
        </w:tc>
        <w:tc>
          <w:tcPr>
            <w:tcW w:w="130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35,425</w:t>
            </w:r>
          </w:p>
        </w:tc>
        <w:tc>
          <w:tcPr>
            <w:tcW w:w="100" w:type="dxa"/>
            <w:vAlign w:val="bottom"/>
          </w:tcPr>
          <w:p>
            <w:pPr>
              <w:spacing w:after="0"/>
              <w:rPr>
                <w:sz w:val="18"/>
                <w:szCs w:val="18"/>
                <w:color w:val="auto"/>
              </w:rPr>
            </w:pPr>
          </w:p>
        </w:tc>
        <w:tc>
          <w:tcPr>
            <w:tcW w:w="128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4,095,061</w:t>
            </w:r>
          </w:p>
        </w:tc>
      </w:tr>
      <w:tr>
        <w:trPr>
          <w:trHeight w:val="212"/>
        </w:trPr>
        <w:tc>
          <w:tcPr>
            <w:tcW w:w="128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3,588,861</w:t>
            </w:r>
          </w:p>
        </w:tc>
        <w:tc>
          <w:tcPr>
            <w:tcW w:w="100" w:type="dxa"/>
            <w:vAlign w:val="bottom"/>
          </w:tcPr>
          <w:p>
            <w:pPr>
              <w:spacing w:after="0"/>
              <w:rPr>
                <w:sz w:val="18"/>
                <w:szCs w:val="18"/>
                <w:color w:val="auto"/>
              </w:rPr>
            </w:pPr>
          </w:p>
        </w:tc>
        <w:tc>
          <w:tcPr>
            <w:tcW w:w="128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6"/>
              </w:rPr>
              <w:t>362,700</w:t>
            </w:r>
          </w:p>
        </w:tc>
        <w:tc>
          <w:tcPr>
            <w:tcW w:w="100" w:type="dxa"/>
            <w:vAlign w:val="bottom"/>
          </w:tcPr>
          <w:p>
            <w:pPr>
              <w:spacing w:after="0"/>
              <w:rPr>
                <w:sz w:val="18"/>
                <w:szCs w:val="18"/>
                <w:color w:val="auto"/>
              </w:rPr>
            </w:pPr>
          </w:p>
        </w:tc>
        <w:tc>
          <w:tcPr>
            <w:tcW w:w="130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33,858</w:t>
            </w:r>
          </w:p>
        </w:tc>
        <w:tc>
          <w:tcPr>
            <w:tcW w:w="100" w:type="dxa"/>
            <w:vAlign w:val="bottom"/>
          </w:tcPr>
          <w:p>
            <w:pPr>
              <w:spacing w:after="0"/>
              <w:rPr>
                <w:sz w:val="18"/>
                <w:szCs w:val="18"/>
                <w:color w:val="auto"/>
              </w:rPr>
            </w:pPr>
          </w:p>
        </w:tc>
        <w:tc>
          <w:tcPr>
            <w:tcW w:w="128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4,447,691</w:t>
            </w:r>
          </w:p>
        </w:tc>
      </w:tr>
      <w:tr>
        <w:trPr>
          <w:trHeight w:val="215"/>
        </w:trPr>
        <w:tc>
          <w:tcPr>
            <w:tcW w:w="1280" w:type="dxa"/>
            <w:vAlign w:val="bottom"/>
            <w:shd w:val="clear" w:color="auto" w:fill="E6E7E7"/>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shd w:val="clear" w:color="auto" w:fill="E6E7E7"/>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shd w:val="clear" w:color="auto" w:fill="E6E7E7"/>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shd w:val="clear" w:color="auto" w:fill="E6E7E7"/>
          </w:tcPr>
          <w:p>
            <w:pPr>
              <w:spacing w:after="0"/>
              <w:rPr>
                <w:sz w:val="18"/>
                <w:szCs w:val="18"/>
                <w:color w:val="auto"/>
              </w:rPr>
            </w:pPr>
          </w:p>
        </w:tc>
      </w:tr>
      <w:tr>
        <w:trPr>
          <w:trHeight w:val="421"/>
        </w:trPr>
        <w:tc>
          <w:tcPr>
            <w:tcW w:w="1280" w:type="dxa"/>
            <w:vAlign w:val="bottom"/>
          </w:tcPr>
          <w:p>
            <w:pPr>
              <w:jc w:val="center"/>
              <w:spacing w:after="0"/>
              <w:rPr>
                <w:sz w:val="20"/>
                <w:szCs w:val="20"/>
                <w:color w:val="auto"/>
              </w:rPr>
            </w:pPr>
            <w:r>
              <w:rPr>
                <w:rFonts w:ascii="Arial" w:cs="Arial" w:eastAsia="Arial" w:hAnsi="Arial"/>
                <w:sz w:val="16"/>
                <w:szCs w:val="16"/>
                <w:color w:val="auto"/>
              </w:rPr>
              <w:t>4,286,658</w:t>
            </w:r>
          </w:p>
        </w:tc>
        <w:tc>
          <w:tcPr>
            <w:tcW w:w="1380" w:type="dxa"/>
            <w:vAlign w:val="bottom"/>
            <w:gridSpan w:val="2"/>
          </w:tcPr>
          <w:p>
            <w:pPr>
              <w:jc w:val="center"/>
              <w:ind w:left="21"/>
              <w:spacing w:after="0"/>
              <w:rPr>
                <w:sz w:val="20"/>
                <w:szCs w:val="20"/>
                <w:color w:val="auto"/>
              </w:rPr>
            </w:pPr>
            <w:r>
              <w:rPr>
                <w:rFonts w:ascii="Arial" w:cs="Arial" w:eastAsia="Arial" w:hAnsi="Arial"/>
                <w:sz w:val="16"/>
                <w:szCs w:val="16"/>
                <w:color w:val="auto"/>
                <w:w w:val="96"/>
              </w:rPr>
              <w:t>765,380</w:t>
            </w:r>
          </w:p>
        </w:tc>
        <w:tc>
          <w:tcPr>
            <w:tcW w:w="1400" w:type="dxa"/>
            <w:vAlign w:val="bottom"/>
            <w:gridSpan w:val="2"/>
          </w:tcPr>
          <w:p>
            <w:pPr>
              <w:jc w:val="center"/>
              <w:ind w:left="21"/>
              <w:spacing w:after="0"/>
              <w:rPr>
                <w:sz w:val="20"/>
                <w:szCs w:val="20"/>
                <w:color w:val="auto"/>
              </w:rPr>
            </w:pPr>
            <w:r>
              <w:rPr>
                <w:rFonts w:ascii="Arial" w:cs="Arial" w:eastAsia="Arial" w:hAnsi="Arial"/>
                <w:sz w:val="16"/>
                <w:szCs w:val="16"/>
                <w:color w:val="auto"/>
              </w:rPr>
              <w:t>44,870</w:t>
            </w:r>
          </w:p>
        </w:tc>
        <w:tc>
          <w:tcPr>
            <w:tcW w:w="1380" w:type="dxa"/>
            <w:vAlign w:val="bottom"/>
            <w:gridSpan w:val="2"/>
          </w:tcPr>
          <w:p>
            <w:pPr>
              <w:jc w:val="center"/>
              <w:ind w:left="21"/>
              <w:spacing w:after="0"/>
              <w:rPr>
                <w:sz w:val="20"/>
                <w:szCs w:val="20"/>
                <w:color w:val="auto"/>
              </w:rPr>
            </w:pPr>
            <w:r>
              <w:rPr>
                <w:rFonts w:ascii="Arial" w:cs="Arial" w:eastAsia="Arial" w:hAnsi="Arial"/>
                <w:sz w:val="16"/>
                <w:szCs w:val="16"/>
                <w:color w:val="auto"/>
              </w:rPr>
              <w:t>5,646,908</w:t>
            </w:r>
          </w:p>
        </w:tc>
      </w:tr>
      <w:tr>
        <w:trPr>
          <w:trHeight w:val="212"/>
        </w:trPr>
        <w:tc>
          <w:tcPr>
            <w:tcW w:w="1280" w:type="dxa"/>
            <w:vAlign w:val="bottom"/>
          </w:tcPr>
          <w:p>
            <w:pPr>
              <w:jc w:val="center"/>
              <w:spacing w:after="0"/>
              <w:rPr>
                <w:sz w:val="20"/>
                <w:szCs w:val="20"/>
                <w:color w:val="auto"/>
              </w:rPr>
            </w:pPr>
            <w:r>
              <w:rPr>
                <w:rFonts w:ascii="Arial" w:cs="Arial" w:eastAsia="Arial" w:hAnsi="Arial"/>
                <w:sz w:val="16"/>
                <w:szCs w:val="16"/>
                <w:color w:val="auto"/>
              </w:rPr>
              <w:t>1,171,415</w:t>
            </w:r>
          </w:p>
        </w:tc>
        <w:tc>
          <w:tcPr>
            <w:tcW w:w="1380" w:type="dxa"/>
            <w:vAlign w:val="bottom"/>
            <w:gridSpan w:val="2"/>
          </w:tcPr>
          <w:p>
            <w:pPr>
              <w:jc w:val="center"/>
              <w:ind w:left="21"/>
              <w:spacing w:after="0"/>
              <w:rPr>
                <w:sz w:val="20"/>
                <w:szCs w:val="20"/>
                <w:color w:val="auto"/>
              </w:rPr>
            </w:pPr>
            <w:r>
              <w:rPr>
                <w:rFonts w:ascii="Arial" w:cs="Arial" w:eastAsia="Arial" w:hAnsi="Arial"/>
                <w:sz w:val="16"/>
                <w:szCs w:val="16"/>
                <w:color w:val="auto"/>
                <w:w w:val="96"/>
              </w:rPr>
              <w:t>104,341</w:t>
            </w:r>
          </w:p>
        </w:tc>
        <w:tc>
          <w:tcPr>
            <w:tcW w:w="1400" w:type="dxa"/>
            <w:vAlign w:val="bottom"/>
            <w:gridSpan w:val="2"/>
          </w:tcPr>
          <w:p>
            <w:pPr>
              <w:jc w:val="center"/>
              <w:ind w:left="21"/>
              <w:spacing w:after="0"/>
              <w:rPr>
                <w:sz w:val="20"/>
                <w:szCs w:val="20"/>
                <w:color w:val="auto"/>
              </w:rPr>
            </w:pPr>
            <w:r>
              <w:rPr>
                <w:rFonts w:ascii="Arial" w:cs="Arial" w:eastAsia="Arial" w:hAnsi="Arial"/>
                <w:sz w:val="16"/>
                <w:szCs w:val="16"/>
                <w:color w:val="auto"/>
                <w:w w:val="94"/>
              </w:rPr>
              <w:t>8,682</w:t>
            </w:r>
          </w:p>
        </w:tc>
        <w:tc>
          <w:tcPr>
            <w:tcW w:w="1380" w:type="dxa"/>
            <w:vAlign w:val="bottom"/>
            <w:gridSpan w:val="2"/>
          </w:tcPr>
          <w:p>
            <w:pPr>
              <w:jc w:val="center"/>
              <w:ind w:left="21"/>
              <w:spacing w:after="0"/>
              <w:rPr>
                <w:sz w:val="20"/>
                <w:szCs w:val="20"/>
                <w:color w:val="auto"/>
              </w:rPr>
            </w:pPr>
            <w:r>
              <w:rPr>
                <w:rFonts w:ascii="Arial" w:cs="Arial" w:eastAsia="Arial" w:hAnsi="Arial"/>
                <w:sz w:val="16"/>
                <w:szCs w:val="16"/>
                <w:color w:val="auto"/>
              </w:rPr>
              <w:t>1,369,053</w:t>
            </w:r>
          </w:p>
        </w:tc>
      </w:tr>
      <w:tr>
        <w:trPr>
          <w:trHeight w:val="212"/>
        </w:trPr>
        <w:tc>
          <w:tcPr>
            <w:tcW w:w="1280" w:type="dxa"/>
            <w:vAlign w:val="bottom"/>
          </w:tcPr>
          <w:p>
            <w:pPr>
              <w:jc w:val="center"/>
              <w:spacing w:after="0"/>
              <w:rPr>
                <w:sz w:val="20"/>
                <w:szCs w:val="20"/>
                <w:color w:val="auto"/>
              </w:rPr>
            </w:pPr>
            <w:r>
              <w:rPr>
                <w:rFonts w:ascii="Arial" w:cs="Arial" w:eastAsia="Arial" w:hAnsi="Arial"/>
                <w:sz w:val="16"/>
                <w:szCs w:val="16"/>
                <w:color w:val="auto"/>
              </w:rPr>
              <w:t>4,160,858</w:t>
            </w:r>
          </w:p>
        </w:tc>
        <w:tc>
          <w:tcPr>
            <w:tcW w:w="1380" w:type="dxa"/>
            <w:vAlign w:val="bottom"/>
            <w:gridSpan w:val="2"/>
          </w:tcPr>
          <w:p>
            <w:pPr>
              <w:jc w:val="center"/>
              <w:ind w:left="21"/>
              <w:spacing w:after="0"/>
              <w:rPr>
                <w:sz w:val="20"/>
                <w:szCs w:val="20"/>
                <w:color w:val="auto"/>
              </w:rPr>
            </w:pPr>
            <w:r>
              <w:rPr>
                <w:rFonts w:ascii="Arial" w:cs="Arial" w:eastAsia="Arial" w:hAnsi="Arial"/>
                <w:sz w:val="16"/>
                <w:szCs w:val="16"/>
                <w:color w:val="auto"/>
                <w:w w:val="89"/>
              </w:rPr>
              <w:t>0</w:t>
            </w:r>
          </w:p>
        </w:tc>
        <w:tc>
          <w:tcPr>
            <w:tcW w:w="1400" w:type="dxa"/>
            <w:vAlign w:val="bottom"/>
            <w:gridSpan w:val="2"/>
          </w:tcPr>
          <w:p>
            <w:pPr>
              <w:jc w:val="center"/>
              <w:ind w:left="21"/>
              <w:spacing w:after="0"/>
              <w:rPr>
                <w:sz w:val="20"/>
                <w:szCs w:val="20"/>
                <w:color w:val="auto"/>
              </w:rPr>
            </w:pPr>
            <w:r>
              <w:rPr>
                <w:rFonts w:ascii="Arial" w:cs="Arial" w:eastAsia="Arial" w:hAnsi="Arial"/>
                <w:sz w:val="16"/>
                <w:szCs w:val="16"/>
                <w:color w:val="auto"/>
              </w:rPr>
              <w:t>183,370</w:t>
            </w:r>
          </w:p>
        </w:tc>
        <w:tc>
          <w:tcPr>
            <w:tcW w:w="1380" w:type="dxa"/>
            <w:vAlign w:val="bottom"/>
            <w:gridSpan w:val="2"/>
          </w:tcPr>
          <w:p>
            <w:pPr>
              <w:jc w:val="center"/>
              <w:ind w:left="21"/>
              <w:spacing w:after="0"/>
              <w:rPr>
                <w:sz w:val="20"/>
                <w:szCs w:val="20"/>
                <w:color w:val="auto"/>
              </w:rPr>
            </w:pPr>
            <w:r>
              <w:rPr>
                <w:rFonts w:ascii="Arial" w:cs="Arial" w:eastAsia="Arial" w:hAnsi="Arial"/>
                <w:sz w:val="16"/>
                <w:szCs w:val="16"/>
                <w:color w:val="auto"/>
              </w:rPr>
              <w:t>4,748,074</w:t>
            </w:r>
          </w:p>
        </w:tc>
      </w:tr>
      <w:tr>
        <w:trPr>
          <w:trHeight w:val="215"/>
        </w:trPr>
        <w:tc>
          <w:tcPr>
            <w:tcW w:w="128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r>
      <w:tr>
        <w:trPr>
          <w:trHeight w:val="421"/>
        </w:trPr>
        <w:tc>
          <w:tcPr>
            <w:tcW w:w="128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9"/>
              </w:rPr>
              <w:t>12,504,484</w:t>
            </w:r>
          </w:p>
        </w:tc>
        <w:tc>
          <w:tcPr>
            <w:tcW w:w="100" w:type="dxa"/>
            <w:vAlign w:val="bottom"/>
          </w:tcPr>
          <w:p>
            <w:pPr>
              <w:spacing w:after="0"/>
              <w:rPr>
                <w:sz w:val="24"/>
                <w:szCs w:val="24"/>
                <w:color w:val="auto"/>
              </w:rPr>
            </w:pPr>
          </w:p>
        </w:tc>
        <w:tc>
          <w:tcPr>
            <w:tcW w:w="128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6"/>
              </w:rPr>
              <w:t>492,397</w:t>
            </w:r>
          </w:p>
        </w:tc>
        <w:tc>
          <w:tcPr>
            <w:tcW w:w="100" w:type="dxa"/>
            <w:vAlign w:val="bottom"/>
          </w:tcPr>
          <w:p>
            <w:pPr>
              <w:spacing w:after="0"/>
              <w:rPr>
                <w:sz w:val="24"/>
                <w:szCs w:val="24"/>
                <w:color w:val="auto"/>
              </w:rPr>
            </w:pPr>
          </w:p>
        </w:tc>
        <w:tc>
          <w:tcPr>
            <w:tcW w:w="130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8"/>
              </w:rPr>
              <w:t>4,996,573</w:t>
            </w:r>
          </w:p>
        </w:tc>
        <w:tc>
          <w:tcPr>
            <w:tcW w:w="100" w:type="dxa"/>
            <w:vAlign w:val="bottom"/>
          </w:tcPr>
          <w:p>
            <w:pPr>
              <w:spacing w:after="0"/>
              <w:rPr>
                <w:sz w:val="24"/>
                <w:szCs w:val="24"/>
                <w:color w:val="auto"/>
              </w:rPr>
            </w:pPr>
          </w:p>
        </w:tc>
        <w:tc>
          <w:tcPr>
            <w:tcW w:w="128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9"/>
              </w:rPr>
              <w:t>18,218,454</w:t>
            </w:r>
          </w:p>
        </w:tc>
      </w:tr>
      <w:tr>
        <w:trPr>
          <w:trHeight w:val="212"/>
        </w:trPr>
        <w:tc>
          <w:tcPr>
            <w:tcW w:w="128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9"/>
              </w:rPr>
              <w:t>14,566,409</w:t>
            </w:r>
          </w:p>
        </w:tc>
        <w:tc>
          <w:tcPr>
            <w:tcW w:w="100" w:type="dxa"/>
            <w:vAlign w:val="bottom"/>
          </w:tcPr>
          <w:p>
            <w:pPr>
              <w:spacing w:after="0"/>
              <w:rPr>
                <w:sz w:val="18"/>
                <w:szCs w:val="18"/>
                <w:color w:val="auto"/>
              </w:rPr>
            </w:pPr>
          </w:p>
        </w:tc>
        <w:tc>
          <w:tcPr>
            <w:tcW w:w="128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1,210,251</w:t>
            </w:r>
          </w:p>
        </w:tc>
        <w:tc>
          <w:tcPr>
            <w:tcW w:w="100" w:type="dxa"/>
            <w:vAlign w:val="bottom"/>
          </w:tcPr>
          <w:p>
            <w:pPr>
              <w:spacing w:after="0"/>
              <w:rPr>
                <w:sz w:val="18"/>
                <w:szCs w:val="18"/>
                <w:color w:val="auto"/>
              </w:rPr>
            </w:pPr>
          </w:p>
        </w:tc>
        <w:tc>
          <w:tcPr>
            <w:tcW w:w="130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3"/>
              </w:rPr>
              <w:t>35,115</w:t>
            </w:r>
          </w:p>
        </w:tc>
        <w:tc>
          <w:tcPr>
            <w:tcW w:w="100" w:type="dxa"/>
            <w:vAlign w:val="bottom"/>
          </w:tcPr>
          <w:p>
            <w:pPr>
              <w:spacing w:after="0"/>
              <w:rPr>
                <w:sz w:val="18"/>
                <w:szCs w:val="18"/>
                <w:color w:val="auto"/>
              </w:rPr>
            </w:pPr>
          </w:p>
        </w:tc>
        <w:tc>
          <w:tcPr>
            <w:tcW w:w="128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9"/>
              </w:rPr>
              <w:t>16,441,775</w:t>
            </w:r>
          </w:p>
        </w:tc>
      </w:tr>
      <w:tr>
        <w:trPr>
          <w:trHeight w:val="215"/>
        </w:trPr>
        <w:tc>
          <w:tcPr>
            <w:tcW w:w="1280" w:type="dxa"/>
            <w:vAlign w:val="bottom"/>
            <w:shd w:val="clear" w:color="auto" w:fill="E6E7E7"/>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shd w:val="clear" w:color="auto" w:fill="E6E7E7"/>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shd w:val="clear" w:color="auto" w:fill="E6E7E7"/>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shd w:val="clear" w:color="auto" w:fill="E6E7E7"/>
          </w:tcPr>
          <w:p>
            <w:pPr>
              <w:spacing w:after="0"/>
              <w:rPr>
                <w:sz w:val="18"/>
                <w:szCs w:val="18"/>
                <w:color w:val="auto"/>
              </w:rPr>
            </w:pPr>
          </w:p>
        </w:tc>
      </w:tr>
    </w:tbl>
    <w:p>
      <w:pPr>
        <w:spacing w:after="0" w:line="305" w:lineRule="exact"/>
        <w:rPr>
          <w:sz w:val="20"/>
          <w:szCs w:val="20"/>
          <w:color w:val="auto"/>
        </w:rPr>
      </w:pPr>
    </w:p>
    <w:p>
      <w:pPr>
        <w:sectPr>
          <w:pgSz w:w="11900" w:h="16838" w:orient="portrait"/>
          <w:cols w:equalWidth="0" w:num="2">
            <w:col w:w="5700" w:space="100"/>
            <w:col w:w="5440"/>
          </w:cols>
          <w:pgMar w:left="320" w:top="1391" w:right="339" w:bottom="1440" w:gutter="0" w:footer="0" w:header="0"/>
          <w:type w:val="continuous"/>
        </w:sectPr>
      </w:pPr>
    </w:p>
    <w:p>
      <w:pPr>
        <w:ind w:left="320" w:hanging="314"/>
        <w:spacing w:after="0"/>
        <w:tabs>
          <w:tab w:leader="none" w:pos="32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Represents the dollar value of base salary earned by the NEO during the applicable fiscal year.</w:t>
      </w:r>
    </w:p>
    <w:p>
      <w:pPr>
        <w:spacing w:after="0" w:line="21" w:lineRule="exact"/>
        <w:rPr>
          <w:rFonts w:ascii="Arial" w:cs="Arial" w:eastAsia="Arial" w:hAnsi="Arial"/>
          <w:sz w:val="13"/>
          <w:szCs w:val="13"/>
          <w:color w:val="auto"/>
        </w:rPr>
      </w:pPr>
    </w:p>
    <w:p>
      <w:pPr>
        <w:ind w:left="320" w:right="280" w:hanging="314"/>
        <w:spacing w:after="0" w:line="254" w:lineRule="auto"/>
        <w:tabs>
          <w:tab w:leader="none" w:pos="31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For Mr. Hillabrant and Mr. Patel, represents one-time make-whole cash bonuses paid shortly following their commencement of employment in 2025. Such bonuses are subject to recoupment by the Company in certain circumstances, including but not limited to their voluntary termination of employment (other than for Good Reason (as defined in the applicable Severance Agreement)) within twelve months following commencement of employment. For Mr. Schlanger, represents payments made in 2025 in the form of a monthly stipend of $100,000 per month for each month during which he served as Interim President &amp; CEO.</w:t>
      </w:r>
    </w:p>
    <w:p>
      <w:pPr>
        <w:spacing w:after="0" w:line="2" w:lineRule="exact"/>
        <w:rPr>
          <w:rFonts w:ascii="Arial" w:cs="Arial" w:eastAsia="Arial" w:hAnsi="Arial"/>
          <w:sz w:val="13"/>
          <w:szCs w:val="13"/>
          <w:color w:val="auto"/>
        </w:rPr>
      </w:pPr>
    </w:p>
    <w:p>
      <w:pPr>
        <w:ind w:left="320" w:right="20" w:hanging="314"/>
        <w:spacing w:after="0" w:line="254" w:lineRule="auto"/>
        <w:tabs>
          <w:tab w:leader="none" w:pos="315" w:val="left"/>
        </w:tabs>
        <w:numPr>
          <w:ilvl w:val="0"/>
          <w:numId w:val="135"/>
        </w:numPr>
        <w:rPr>
          <w:rFonts w:ascii="Arial" w:cs="Arial" w:eastAsia="Arial" w:hAnsi="Arial"/>
          <w:sz w:val="13"/>
          <w:szCs w:val="13"/>
          <w:color w:val="auto"/>
        </w:rPr>
      </w:pPr>
      <w:r>
        <w:rPr>
          <w:rFonts w:ascii="Arial" w:cs="Arial" w:eastAsia="Arial" w:hAnsi="Arial"/>
          <w:sz w:val="13"/>
          <w:szCs w:val="13"/>
          <w:color w:val="auto"/>
        </w:rPr>
        <w:t>Represents the aggregate grant date fair value of stock awards granted to each NEO in the applicable fiscal year, calculated in accordance with ASC 718. The grant date fair values have been determined based on the assumptions and methodologies set forth in notes 2 and 12 to the consolidated financial statements in our 2025 Form 10-K. The grant date fair value of the Average ROIC Performance RSUs and the AFFO/Share Performance RSUs granted in 2025 is reported based on the Company's determination of the probable outcome of the achievement of the applicable performance conditions at the target level on the grant date. The combined value of the 2025 Average ROIC Performance RSUs and 2025 AFFO/Share Performance RSUs, assuming achievement of the maximum performance level of 200%, is: Mr. Hillabrant, $6,437,547; Mr. Patel, $5,740,595; Mr. Schlanger, $5,590,988; Mr. Levendos, $5,329,520; Mr. Adams, $3,552,890; Ms. Piche, $4,533,074; and Mr. Moskowitz, $15,069,129.</w:t>
      </w:r>
    </w:p>
    <w:p>
      <w:pPr>
        <w:spacing w:after="0" w:line="3" w:lineRule="exact"/>
        <w:rPr>
          <w:rFonts w:ascii="Arial" w:cs="Arial" w:eastAsia="Arial" w:hAnsi="Arial"/>
          <w:sz w:val="13"/>
          <w:szCs w:val="13"/>
          <w:color w:val="auto"/>
        </w:rPr>
      </w:pPr>
    </w:p>
    <w:p>
      <w:pPr>
        <w:ind w:left="320" w:right="60" w:hanging="314"/>
        <w:spacing w:after="0" w:line="261" w:lineRule="auto"/>
        <w:tabs>
          <w:tab w:leader="none" w:pos="31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Represents the value of the annual incentives earned by and paid to the NEOs for the applicable fiscal year under the applicable AIP. These annual incentives are paid in cash. For Mr. Hillabrant and Mr. Patel, in accordance with their compensation arrangements, the amounts are prorated to reflect their respective dates of hire. For Mr. Moskowitz, such prorated amount is payable pursuant to his Severance Agreement by reason of his Qualifying Termination (as defined in his Severance Agreement), which occurred on March 23, 2025. Additional details regarding the range of the NEOs' 2025 annual incentive award opportunities are disclosed above at "IV. Executive Compensation—Compensation Discussion</w:t>
      </w:r>
    </w:p>
    <w:p>
      <w:pPr>
        <w:spacing w:after="0" w:line="356"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ectPr>
          <w:pgSz w:w="11900" w:h="16838" w:orient="portrait"/>
          <w:cols w:equalWidth="0" w:num="1">
            <w:col w:w="11240"/>
          </w:cols>
          <w:pgMar w:left="320" w:top="1391" w:right="339" w:bottom="1440" w:gutter="0" w:footer="0" w:header="0"/>
          <w:type w:val="continuous"/>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1" w:right="339" w:bottom="1440" w:gutter="0" w:footer="0" w:header="0"/>
          <w:type w:val="continuous"/>
        </w:sectPr>
      </w:pPr>
    </w:p>
    <w:bookmarkStart w:id="60" w:name="page61"/>
    <w:bookmarkEnd w:id="60"/>
    <w:p>
      <w:pPr>
        <w:ind w:left="314"/>
        <w:spacing w:after="0" w:line="264" w:lineRule="auto"/>
        <w:rPr>
          <w:sz w:val="20"/>
          <w:szCs w:val="20"/>
          <w:color w:val="auto"/>
        </w:rPr>
      </w:pPr>
      <w:r>
        <w:rPr>
          <w:rFonts w:ascii="Arial" w:cs="Arial" w:eastAsia="Arial" w:hAnsi="Arial"/>
          <w:sz w:val="13"/>
          <w:szCs w:val="13"/>
          <w:color w:val="auto"/>
        </w:rPr>
        <w:t>and Analysis—Executive Compensation Elements—Short-Term Incentives" and below in the table and related footnotes at "IV. Executive Compensation—Grants of Plan-Based Awards in 2025."</w:t>
      </w:r>
    </w:p>
    <w:p>
      <w:pPr>
        <w:spacing w:after="0" w:line="1" w:lineRule="exact"/>
        <w:rPr>
          <w:sz w:val="20"/>
          <w:szCs w:val="20"/>
          <w:color w:val="auto"/>
        </w:rPr>
      </w:pPr>
    </w:p>
    <w:p>
      <w:pPr>
        <w:ind w:left="314" w:right="20" w:hanging="314"/>
        <w:spacing w:after="0" w:line="254" w:lineRule="auto"/>
        <w:tabs>
          <w:tab w:leader="none" w:pos="304" w:val="left"/>
        </w:tabs>
        <w:numPr>
          <w:ilvl w:val="0"/>
          <w:numId w:val="136"/>
        </w:numPr>
        <w:rPr>
          <w:rFonts w:ascii="Arial" w:cs="Arial" w:eastAsia="Arial" w:hAnsi="Arial"/>
          <w:sz w:val="13"/>
          <w:szCs w:val="13"/>
          <w:color w:val="auto"/>
        </w:rPr>
      </w:pPr>
      <w:r>
        <w:rPr>
          <w:rFonts w:ascii="Arial" w:cs="Arial" w:eastAsia="Arial" w:hAnsi="Arial"/>
          <w:sz w:val="13"/>
          <w:szCs w:val="13"/>
          <w:color w:val="auto"/>
        </w:rPr>
        <w:t>Represents the aggregate value of all other compensation for the applicable fiscal year not otherwise reported in any other column of the Summary Compensation Table. This amount generally includes matching contributions made by the Company under the 401(k) Plan and the dollar value of the portion of health and welfare insurance premiums paid by the Company in the applicable fiscal year. In addition, this column includes certain amounts as reported in the table below at "IV. Executive Compensation—All Other Compensation Table" and the footnotes thereto.</w:t>
      </w:r>
    </w:p>
    <w:p>
      <w:pPr>
        <w:spacing w:after="0" w:line="2" w:lineRule="exact"/>
        <w:rPr>
          <w:rFonts w:ascii="Arial" w:cs="Arial" w:eastAsia="Arial" w:hAnsi="Arial"/>
          <w:sz w:val="13"/>
          <w:szCs w:val="13"/>
          <w:color w:val="auto"/>
        </w:rPr>
      </w:pPr>
    </w:p>
    <w:p>
      <w:pPr>
        <w:ind w:left="314" w:right="240" w:hanging="314"/>
        <w:spacing w:after="0" w:line="254" w:lineRule="auto"/>
        <w:tabs>
          <w:tab w:leader="none" w:pos="307" w:val="left"/>
        </w:tabs>
        <w:numPr>
          <w:ilvl w:val="0"/>
          <w:numId w:val="136"/>
        </w:numPr>
        <w:rPr>
          <w:rFonts w:ascii="Arial" w:cs="Arial" w:eastAsia="Arial" w:hAnsi="Arial"/>
          <w:sz w:val="13"/>
          <w:szCs w:val="13"/>
          <w:color w:val="auto"/>
        </w:rPr>
      </w:pPr>
      <w:r>
        <w:rPr>
          <w:rFonts w:ascii="Arial" w:cs="Arial" w:eastAsia="Arial" w:hAnsi="Arial"/>
          <w:sz w:val="13"/>
          <w:szCs w:val="13"/>
          <w:color w:val="auto"/>
        </w:rPr>
        <w:t>Mr. Hillabrant was appointed President &amp; CEO effective September 15, 2025. Mr. Hillabrant first qualified as an NEO for 2025, and, therefore, compensation information is provided for him with respect to 2025 only.</w:t>
      </w:r>
    </w:p>
    <w:p>
      <w:pPr>
        <w:spacing w:after="0" w:line="1" w:lineRule="exact"/>
        <w:rPr>
          <w:rFonts w:ascii="Arial" w:cs="Arial" w:eastAsia="Arial" w:hAnsi="Arial"/>
          <w:sz w:val="13"/>
          <w:szCs w:val="13"/>
          <w:color w:val="auto"/>
        </w:rPr>
      </w:pPr>
    </w:p>
    <w:p>
      <w:pPr>
        <w:jc w:val="both"/>
        <w:ind w:left="314" w:right="40" w:hanging="314"/>
        <w:spacing w:after="0" w:line="254" w:lineRule="auto"/>
        <w:tabs>
          <w:tab w:leader="none" w:pos="304" w:val="left"/>
        </w:tabs>
        <w:numPr>
          <w:ilvl w:val="0"/>
          <w:numId w:val="136"/>
        </w:numPr>
        <w:rPr>
          <w:rFonts w:ascii="Arial" w:cs="Arial" w:eastAsia="Arial" w:hAnsi="Arial"/>
          <w:sz w:val="13"/>
          <w:szCs w:val="13"/>
          <w:color w:val="auto"/>
        </w:rPr>
      </w:pPr>
      <w:r>
        <w:rPr>
          <w:rFonts w:ascii="Arial" w:cs="Arial" w:eastAsia="Arial" w:hAnsi="Arial"/>
          <w:sz w:val="13"/>
          <w:szCs w:val="13"/>
          <w:color w:val="auto"/>
        </w:rPr>
        <w:t>Mr. Patel was appointed EVP &amp; CFO effective April 1, 2025. Mr. Patel first qualified as an NEO for 2025, and, therefore, compensation information is provided for him with respect to 2025 only. Mr. Patel's compensation for his service as a non-employee director prior to his appointment as EVP &amp; CFO is set forth in Summary Compensation Table pursuant to Instruction 3 to Item 402(c) of Regulation S-K.</w:t>
      </w:r>
    </w:p>
    <w:p>
      <w:pPr>
        <w:spacing w:after="0" w:line="1" w:lineRule="exact"/>
        <w:rPr>
          <w:rFonts w:ascii="Arial" w:cs="Arial" w:eastAsia="Arial" w:hAnsi="Arial"/>
          <w:sz w:val="13"/>
          <w:szCs w:val="13"/>
          <w:color w:val="auto"/>
        </w:rPr>
      </w:pPr>
    </w:p>
    <w:p>
      <w:pPr>
        <w:ind w:left="314" w:right="20" w:hanging="314"/>
        <w:spacing w:after="0" w:line="254" w:lineRule="auto"/>
        <w:tabs>
          <w:tab w:leader="none" w:pos="304" w:val="left"/>
        </w:tabs>
        <w:numPr>
          <w:ilvl w:val="0"/>
          <w:numId w:val="136"/>
        </w:numPr>
        <w:rPr>
          <w:rFonts w:ascii="Arial" w:cs="Arial" w:eastAsia="Arial" w:hAnsi="Arial"/>
          <w:sz w:val="13"/>
          <w:szCs w:val="13"/>
          <w:color w:val="auto"/>
        </w:rPr>
      </w:pPr>
      <w:r>
        <w:rPr>
          <w:rFonts w:ascii="Arial" w:cs="Arial" w:eastAsia="Arial" w:hAnsi="Arial"/>
          <w:sz w:val="13"/>
          <w:szCs w:val="13"/>
          <w:color w:val="auto"/>
        </w:rPr>
        <w:t>Mr. Schlanger served as EVP &amp; CFO until April 1, 2025, at which time Mr. Patel was appointed to such position. Further, Mr. Schlanger was appointed Interim President &amp; CEO effective March 23, 2025. Mr. Schlanger served in such capacity until Mr. Hillabrant was appointed President &amp; CEO on September 15, 2025, at which time Mr. Schlanger assumed the role of EVP &amp; CTRO.</w:t>
      </w:r>
    </w:p>
    <w:p>
      <w:pPr>
        <w:spacing w:after="0" w:line="1" w:lineRule="exact"/>
        <w:rPr>
          <w:rFonts w:ascii="Arial" w:cs="Arial" w:eastAsia="Arial" w:hAnsi="Arial"/>
          <w:sz w:val="13"/>
          <w:szCs w:val="13"/>
          <w:color w:val="auto"/>
        </w:rPr>
      </w:pPr>
    </w:p>
    <w:p>
      <w:pPr>
        <w:ind w:left="314" w:right="380" w:hanging="314"/>
        <w:spacing w:after="0" w:line="254" w:lineRule="auto"/>
        <w:tabs>
          <w:tab w:leader="none" w:pos="312" w:val="left"/>
        </w:tabs>
        <w:numPr>
          <w:ilvl w:val="0"/>
          <w:numId w:val="136"/>
        </w:numPr>
        <w:rPr>
          <w:rFonts w:ascii="Arial" w:cs="Arial" w:eastAsia="Arial" w:hAnsi="Arial"/>
          <w:sz w:val="13"/>
          <w:szCs w:val="13"/>
          <w:color w:val="auto"/>
        </w:rPr>
      </w:pPr>
      <w:r>
        <w:rPr>
          <w:rFonts w:ascii="Arial" w:cs="Arial" w:eastAsia="Arial" w:hAnsi="Arial"/>
          <w:sz w:val="13"/>
          <w:szCs w:val="13"/>
          <w:color w:val="auto"/>
        </w:rPr>
        <w:t>Ms. Piche previously served as EVP &amp; COO–Towers from September 1, 2021, through September 30, 2023, at which time she separated from the Company. Ms. Piche rejoined the Company on September 23, 2024, as our EVP &amp; COO–Towers.</w:t>
      </w:r>
    </w:p>
    <w:p>
      <w:pPr>
        <w:spacing w:after="0" w:line="1" w:lineRule="exact"/>
        <w:rPr>
          <w:rFonts w:ascii="Arial" w:cs="Arial" w:eastAsia="Arial" w:hAnsi="Arial"/>
          <w:sz w:val="13"/>
          <w:szCs w:val="13"/>
          <w:color w:val="auto"/>
        </w:rPr>
      </w:pPr>
    </w:p>
    <w:p>
      <w:pPr>
        <w:ind w:left="314" w:right="480" w:hanging="314"/>
        <w:spacing w:after="0" w:line="274" w:lineRule="auto"/>
        <w:tabs>
          <w:tab w:leader="none" w:pos="312" w:val="left"/>
        </w:tabs>
        <w:numPr>
          <w:ilvl w:val="0"/>
          <w:numId w:val="136"/>
        </w:numPr>
        <w:rPr>
          <w:rFonts w:ascii="Arial" w:cs="Arial" w:eastAsia="Arial" w:hAnsi="Arial"/>
          <w:sz w:val="13"/>
          <w:szCs w:val="13"/>
          <w:color w:val="auto"/>
        </w:rPr>
      </w:pPr>
      <w:r>
        <w:rPr>
          <w:rFonts w:ascii="Arial" w:cs="Arial" w:eastAsia="Arial" w:hAnsi="Arial"/>
          <w:sz w:val="13"/>
          <w:szCs w:val="13"/>
          <w:color w:val="auto"/>
        </w:rPr>
        <w:t>Mr. Moskowitz served as President &amp; CEO from April 11, 2024, until March 23, 2025. Mr. Moskowitz first qualified as an NEO for 2024, and, therefore, compensation information is provided for him with respect to 2025 and 2024 only.</w:t>
      </w:r>
    </w:p>
    <w:p>
      <w:pPr>
        <w:spacing w:after="0" w:line="347" w:lineRule="exact"/>
        <w:rPr>
          <w:sz w:val="20"/>
          <w:szCs w:val="20"/>
          <w:color w:val="auto"/>
        </w:rPr>
      </w:pPr>
    </w:p>
    <w:p>
      <w:pPr>
        <w:ind w:left="3854"/>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ind w:right="-13"/>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7160260" cy="4191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14"/>
          </w:cols>
          <w:pgMar w:left="326" w:top="1239" w:right="3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All Other Compensation Table</w:t>
      </w:r>
    </w:p>
    <w:p>
      <w:pPr>
        <w:spacing w:after="0" w:line="166"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color w:val="auto"/>
        </w:rPr>
        <w:t>The following table and the footnotes thereto describe the components of the "All Other Compensation" column in the Summary Compensation Table above.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jc w:val="center"/>
              <w:spacing w:after="0"/>
              <w:rPr>
                <w:sz w:val="20"/>
                <w:szCs w:val="20"/>
                <w:color w:val="auto"/>
              </w:rPr>
            </w:pPr>
            <w:r>
              <w:rPr>
                <w:rFonts w:ascii="Arial" w:cs="Arial" w:eastAsia="Arial" w:hAnsi="Arial"/>
                <w:sz w:val="13"/>
                <w:szCs w:val="13"/>
                <w:b w:val="1"/>
                <w:bCs w:val="1"/>
                <w:color w:val="520B90"/>
                <w:w w:val="99"/>
              </w:rPr>
              <w:t>Registrant</w:t>
            </w: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jc w:val="center"/>
              <w:spacing w:after="0" w:line="133" w:lineRule="exact"/>
              <w:rPr>
                <w:sz w:val="20"/>
                <w:szCs w:val="20"/>
                <w:color w:val="auto"/>
              </w:rPr>
            </w:pPr>
            <w:r>
              <w:rPr>
                <w:rFonts w:ascii="Arial" w:cs="Arial" w:eastAsia="Arial" w:hAnsi="Arial"/>
                <w:sz w:val="13"/>
                <w:szCs w:val="13"/>
                <w:b w:val="1"/>
                <w:bCs w:val="1"/>
                <w:color w:val="520B90"/>
              </w:rPr>
              <w:t>Contributions</w:t>
            </w:r>
          </w:p>
        </w:tc>
        <w:tc>
          <w:tcPr>
            <w:tcW w:w="1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jc w:val="center"/>
              <w:spacing w:after="0" w:line="133" w:lineRule="exact"/>
              <w:rPr>
                <w:sz w:val="20"/>
                <w:szCs w:val="20"/>
                <w:color w:val="auto"/>
              </w:rPr>
            </w:pPr>
            <w:r>
              <w:rPr>
                <w:rFonts w:ascii="Arial" w:cs="Arial" w:eastAsia="Arial" w:hAnsi="Arial"/>
                <w:sz w:val="13"/>
                <w:szCs w:val="13"/>
                <w:b w:val="1"/>
                <w:bCs w:val="1"/>
                <w:color w:val="520B90"/>
              </w:rPr>
              <w:t>to Defined</w:t>
            </w:r>
          </w:p>
        </w:tc>
        <w:tc>
          <w:tcPr>
            <w:tcW w:w="100" w:type="dxa"/>
            <w:vAlign w:val="bottom"/>
          </w:tcPr>
          <w:p>
            <w:pPr>
              <w:spacing w:after="0"/>
              <w:rPr>
                <w:sz w:val="11"/>
                <w:szCs w:val="11"/>
                <w:color w:val="auto"/>
              </w:rPr>
            </w:pPr>
          </w:p>
        </w:tc>
        <w:tc>
          <w:tcPr>
            <w:tcW w:w="1640" w:type="dxa"/>
            <w:vAlign w:val="bottom"/>
            <w:vMerge w:val="restart"/>
          </w:tcPr>
          <w:p>
            <w:pPr>
              <w:jc w:val="center"/>
              <w:spacing w:after="0"/>
              <w:rPr>
                <w:sz w:val="20"/>
                <w:szCs w:val="20"/>
                <w:color w:val="auto"/>
              </w:rPr>
            </w:pPr>
            <w:r>
              <w:rPr>
                <w:rFonts w:ascii="Arial" w:cs="Arial" w:eastAsia="Arial" w:hAnsi="Arial"/>
                <w:sz w:val="13"/>
                <w:szCs w:val="13"/>
                <w:b w:val="1"/>
                <w:bCs w:val="1"/>
                <w:color w:val="520B90"/>
              </w:rPr>
              <w:t>Insurance</w:t>
            </w:r>
          </w:p>
        </w:tc>
        <w:tc>
          <w:tcPr>
            <w:tcW w:w="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vMerge w:val="restart"/>
          </w:tcPr>
          <w:p>
            <w:pPr>
              <w:jc w:val="center"/>
              <w:spacing w:after="0"/>
              <w:rPr>
                <w:sz w:val="20"/>
                <w:szCs w:val="20"/>
                <w:color w:val="auto"/>
              </w:rPr>
            </w:pPr>
            <w:r>
              <w:rPr>
                <w:rFonts w:ascii="Arial" w:cs="Arial" w:eastAsia="Arial" w:hAnsi="Arial"/>
                <w:sz w:val="13"/>
                <w:szCs w:val="13"/>
                <w:b w:val="1"/>
                <w:bCs w:val="1"/>
                <w:color w:val="520B90"/>
              </w:rPr>
              <w:t>All Other</w:t>
            </w:r>
          </w:p>
        </w:tc>
        <w:tc>
          <w:tcPr>
            <w:tcW w:w="0" w:type="dxa"/>
            <w:vAlign w:val="bottom"/>
          </w:tcPr>
          <w:p>
            <w:pPr>
              <w:spacing w:after="0"/>
              <w:rPr>
                <w:sz w:val="1"/>
                <w:szCs w:val="1"/>
                <w:color w:val="auto"/>
              </w:rPr>
            </w:pPr>
          </w:p>
        </w:tc>
      </w:tr>
      <w:tr>
        <w:trPr>
          <w:trHeight w:val="132"/>
        </w:trPr>
        <w:tc>
          <w:tcPr>
            <w:tcW w:w="1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jc w:val="center"/>
              <w:spacing w:after="0" w:line="133" w:lineRule="exact"/>
              <w:rPr>
                <w:sz w:val="20"/>
                <w:szCs w:val="20"/>
                <w:color w:val="auto"/>
              </w:rPr>
            </w:pPr>
            <w:r>
              <w:rPr>
                <w:rFonts w:ascii="Arial" w:cs="Arial" w:eastAsia="Arial" w:hAnsi="Arial"/>
                <w:sz w:val="13"/>
                <w:szCs w:val="13"/>
                <w:b w:val="1"/>
                <w:bCs w:val="1"/>
                <w:color w:val="520B90"/>
              </w:rPr>
              <w:t>Contribution</w:t>
            </w:r>
          </w:p>
        </w:tc>
        <w:tc>
          <w:tcPr>
            <w:tcW w:w="1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vMerge w:val="restart"/>
          </w:tcPr>
          <w:p>
            <w:pPr>
              <w:ind w:left="660"/>
              <w:spacing w:after="0"/>
              <w:rPr>
                <w:sz w:val="20"/>
                <w:szCs w:val="20"/>
                <w:color w:val="auto"/>
              </w:rPr>
            </w:pPr>
            <w:r>
              <w:rPr>
                <w:rFonts w:ascii="Arial" w:cs="Arial" w:eastAsia="Arial" w:hAnsi="Arial"/>
                <w:sz w:val="13"/>
                <w:szCs w:val="13"/>
                <w:b w:val="1"/>
                <w:bCs w:val="1"/>
                <w:color w:val="520B90"/>
              </w:rPr>
              <w:t>Other</w:t>
            </w:r>
          </w:p>
        </w:tc>
        <w:tc>
          <w:tcPr>
            <w:tcW w:w="1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5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520B90"/>
              </w:rPr>
              <w:t>Name</w:t>
            </w:r>
          </w:p>
        </w:tc>
        <w:tc>
          <w:tcPr>
            <w:tcW w:w="100" w:type="dxa"/>
            <w:vAlign w:val="bottom"/>
          </w:tcPr>
          <w:p>
            <w:pPr>
              <w:spacing w:after="0"/>
              <w:rPr>
                <w:sz w:val="11"/>
                <w:szCs w:val="11"/>
                <w:color w:val="auto"/>
              </w:rPr>
            </w:pPr>
          </w:p>
        </w:tc>
        <w:tc>
          <w:tcPr>
            <w:tcW w:w="1620" w:type="dxa"/>
            <w:vAlign w:val="bottom"/>
            <w:vMerge w:val="restart"/>
          </w:tcPr>
          <w:p>
            <w:pPr>
              <w:jc w:val="center"/>
              <w:spacing w:after="0"/>
              <w:rPr>
                <w:sz w:val="20"/>
                <w:szCs w:val="20"/>
                <w:color w:val="auto"/>
              </w:rPr>
            </w:pPr>
            <w:r>
              <w:rPr>
                <w:rFonts w:ascii="Arial" w:cs="Arial" w:eastAsia="Arial" w:hAnsi="Arial"/>
                <w:sz w:val="13"/>
                <w:szCs w:val="13"/>
                <w:b w:val="1"/>
                <w:bCs w:val="1"/>
                <w:color w:val="520B90"/>
                <w:w w:val="99"/>
              </w:rPr>
              <w:t>Year</w:t>
            </w:r>
          </w:p>
        </w:tc>
        <w:tc>
          <w:tcPr>
            <w:tcW w:w="100" w:type="dxa"/>
            <w:vAlign w:val="bottom"/>
          </w:tcPr>
          <w:p>
            <w:pPr>
              <w:spacing w:after="0"/>
              <w:rPr>
                <w:sz w:val="11"/>
                <w:szCs w:val="11"/>
                <w:color w:val="auto"/>
              </w:rPr>
            </w:pPr>
          </w:p>
        </w:tc>
        <w:tc>
          <w:tcPr>
            <w:tcW w:w="1640" w:type="dxa"/>
            <w:vAlign w:val="bottom"/>
          </w:tcPr>
          <w:p>
            <w:pPr>
              <w:jc w:val="center"/>
              <w:spacing w:after="0" w:line="133" w:lineRule="exact"/>
              <w:rPr>
                <w:sz w:val="20"/>
                <w:szCs w:val="20"/>
                <w:color w:val="auto"/>
              </w:rPr>
            </w:pPr>
            <w:r>
              <w:rPr>
                <w:rFonts w:ascii="Arial" w:cs="Arial" w:eastAsia="Arial" w:hAnsi="Arial"/>
                <w:sz w:val="13"/>
                <w:szCs w:val="13"/>
                <w:b w:val="1"/>
                <w:bCs w:val="1"/>
                <w:color w:val="520B90"/>
              </w:rPr>
              <w:t>Plans</w:t>
            </w:r>
          </w:p>
        </w:tc>
        <w:tc>
          <w:tcPr>
            <w:tcW w:w="100" w:type="dxa"/>
            <w:vAlign w:val="bottom"/>
          </w:tcPr>
          <w:p>
            <w:pPr>
              <w:spacing w:after="0"/>
              <w:rPr>
                <w:sz w:val="11"/>
                <w:szCs w:val="11"/>
                <w:color w:val="auto"/>
              </w:rPr>
            </w:pPr>
          </w:p>
        </w:tc>
        <w:tc>
          <w:tcPr>
            <w:tcW w:w="1640" w:type="dxa"/>
            <w:vAlign w:val="bottom"/>
          </w:tcPr>
          <w:p>
            <w:pPr>
              <w:jc w:val="center"/>
              <w:spacing w:after="0" w:line="133" w:lineRule="exact"/>
              <w:rPr>
                <w:sz w:val="20"/>
                <w:szCs w:val="20"/>
                <w:color w:val="auto"/>
              </w:rPr>
            </w:pPr>
            <w:r>
              <w:rPr>
                <w:rFonts w:ascii="Arial" w:cs="Arial" w:eastAsia="Arial" w:hAnsi="Arial"/>
                <w:sz w:val="13"/>
                <w:szCs w:val="13"/>
                <w:b w:val="1"/>
                <w:bCs w:val="1"/>
                <w:color w:val="520B90"/>
              </w:rPr>
              <w:t>Premiums</w:t>
            </w:r>
          </w:p>
        </w:tc>
        <w:tc>
          <w:tcPr>
            <w:tcW w:w="8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jc w:val="center"/>
              <w:spacing w:after="0" w:line="133" w:lineRule="exact"/>
              <w:rPr>
                <w:sz w:val="20"/>
                <w:szCs w:val="20"/>
                <w:color w:val="auto"/>
              </w:rPr>
            </w:pPr>
            <w:r>
              <w:rPr>
                <w:rFonts w:ascii="Arial" w:cs="Arial" w:eastAsia="Arial" w:hAnsi="Arial"/>
                <w:sz w:val="13"/>
                <w:szCs w:val="13"/>
                <w:b w:val="1"/>
                <w:bCs w:val="1"/>
                <w:color w:val="520B90"/>
              </w:rPr>
              <w:t>Compensation</w:t>
            </w:r>
          </w:p>
        </w:tc>
        <w:tc>
          <w:tcPr>
            <w:tcW w:w="0" w:type="dxa"/>
            <w:vAlign w:val="bottom"/>
          </w:tcPr>
          <w:p>
            <w:pPr>
              <w:spacing w:after="0"/>
              <w:rPr>
                <w:sz w:val="1"/>
                <w:szCs w:val="1"/>
                <w:color w:val="auto"/>
              </w:rPr>
            </w:pPr>
          </w:p>
        </w:tc>
      </w:tr>
      <w:tr>
        <w:trPr>
          <w:trHeight w:val="182"/>
        </w:trPr>
        <w:tc>
          <w:tcPr>
            <w:tcW w:w="2540" w:type="dxa"/>
            <w:vAlign w:val="bottom"/>
            <w:tcBorders>
              <w:bottom w:val="single" w:sz="8" w:color="520B90"/>
            </w:tcBorders>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Borders>
              <w:bottom w:val="single" w:sz="8" w:color="520B90"/>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Borders>
              <w:bottom w:val="single" w:sz="8" w:color="520B90"/>
            </w:tcBorders>
          </w:tcPr>
          <w:p>
            <w:pPr>
              <w:jc w:val="center"/>
              <w:spacing w:after="0"/>
              <w:rPr>
                <w:sz w:val="20"/>
                <w:szCs w:val="20"/>
                <w:color w:val="auto"/>
              </w:rPr>
            </w:pPr>
            <w:r>
              <w:rPr>
                <w:rFonts w:ascii="Arial" w:cs="Arial" w:eastAsia="Arial" w:hAnsi="Arial"/>
                <w:sz w:val="13"/>
                <w:szCs w:val="13"/>
                <w:b w:val="1"/>
                <w:bCs w:val="1"/>
                <w:color w:val="520B90"/>
              </w:rPr>
              <w:t>($)(a)</w:t>
            </w:r>
          </w:p>
        </w:tc>
        <w:tc>
          <w:tcPr>
            <w:tcW w:w="100" w:type="dxa"/>
            <w:vAlign w:val="bottom"/>
          </w:tcPr>
          <w:p>
            <w:pPr>
              <w:spacing w:after="0"/>
              <w:rPr>
                <w:sz w:val="15"/>
                <w:szCs w:val="15"/>
                <w:color w:val="auto"/>
              </w:rPr>
            </w:pPr>
          </w:p>
        </w:tc>
        <w:tc>
          <w:tcPr>
            <w:tcW w:w="1640" w:type="dxa"/>
            <w:vAlign w:val="bottom"/>
            <w:tcBorders>
              <w:bottom w:val="single" w:sz="8" w:color="520B90"/>
            </w:tcBorders>
          </w:tcPr>
          <w:p>
            <w:pPr>
              <w:jc w:val="center"/>
              <w:spacing w:after="0"/>
              <w:rPr>
                <w:sz w:val="20"/>
                <w:szCs w:val="20"/>
                <w:color w:val="auto"/>
              </w:rPr>
            </w:pPr>
            <w:r>
              <w:rPr>
                <w:rFonts w:ascii="Arial" w:cs="Arial" w:eastAsia="Arial" w:hAnsi="Arial"/>
                <w:sz w:val="13"/>
                <w:szCs w:val="13"/>
                <w:b w:val="1"/>
                <w:bCs w:val="1"/>
                <w:color w:val="520B90"/>
              </w:rPr>
              <w:t>($)(b)</w:t>
            </w:r>
          </w:p>
        </w:tc>
        <w:tc>
          <w:tcPr>
            <w:tcW w:w="80" w:type="dxa"/>
            <w:vAlign w:val="bottom"/>
          </w:tcPr>
          <w:p>
            <w:pPr>
              <w:spacing w:after="0"/>
              <w:rPr>
                <w:sz w:val="15"/>
                <w:szCs w:val="15"/>
                <w:color w:val="auto"/>
              </w:rPr>
            </w:pPr>
          </w:p>
        </w:tc>
        <w:tc>
          <w:tcPr>
            <w:tcW w:w="1640" w:type="dxa"/>
            <w:vAlign w:val="bottom"/>
            <w:tcBorders>
              <w:bottom w:val="single" w:sz="8" w:color="520B90"/>
            </w:tcBorders>
          </w:tcPr>
          <w:p>
            <w:pPr>
              <w:ind w:left="660"/>
              <w:spacing w:after="0"/>
              <w:rPr>
                <w:sz w:val="20"/>
                <w:szCs w:val="20"/>
                <w:color w:val="auto"/>
              </w:rPr>
            </w:pPr>
            <w:r>
              <w:rPr>
                <w:rFonts w:ascii="Arial" w:cs="Arial" w:eastAsia="Arial" w:hAnsi="Arial"/>
                <w:sz w:val="13"/>
                <w:szCs w:val="13"/>
                <w:b w:val="1"/>
                <w:bCs w:val="1"/>
                <w:color w:val="520B90"/>
              </w:rPr>
              <w:t>($)(c)</w:t>
            </w:r>
          </w:p>
        </w:tc>
        <w:tc>
          <w:tcPr>
            <w:tcW w:w="100" w:type="dxa"/>
            <w:vAlign w:val="bottom"/>
          </w:tcPr>
          <w:p>
            <w:pPr>
              <w:spacing w:after="0"/>
              <w:rPr>
                <w:sz w:val="15"/>
                <w:szCs w:val="15"/>
                <w:color w:val="auto"/>
              </w:rPr>
            </w:pPr>
          </w:p>
        </w:tc>
        <w:tc>
          <w:tcPr>
            <w:tcW w:w="1640" w:type="dxa"/>
            <w:vAlign w:val="bottom"/>
            <w:tcBorders>
              <w:bottom w:val="single" w:sz="8" w:color="520B90"/>
            </w:tcBorders>
          </w:tcPr>
          <w:p>
            <w:pPr>
              <w:jc w:val="center"/>
              <w:spacing w:after="0"/>
              <w:rPr>
                <w:sz w:val="20"/>
                <w:szCs w:val="20"/>
                <w:color w:val="auto"/>
              </w:rPr>
            </w:pPr>
            <w:r>
              <w:rPr>
                <w:rFonts w:ascii="Arial" w:cs="Arial" w:eastAsia="Arial" w:hAnsi="Arial"/>
                <w:sz w:val="13"/>
                <w:szCs w:val="13"/>
                <w:b w:val="1"/>
                <w:bCs w:val="1"/>
                <w:color w:val="520B90"/>
                <w:w w:val="98"/>
              </w:rPr>
              <w:t>($)(d)</w:t>
            </w:r>
          </w:p>
        </w:tc>
        <w:tc>
          <w:tcPr>
            <w:tcW w:w="0" w:type="dxa"/>
            <w:vAlign w:val="bottom"/>
          </w:tcPr>
          <w:p>
            <w:pPr>
              <w:spacing w:after="0"/>
              <w:rPr>
                <w:sz w:val="1"/>
                <w:szCs w:val="1"/>
                <w:color w:val="auto"/>
              </w:rPr>
            </w:pPr>
          </w:p>
        </w:tc>
      </w:tr>
      <w:tr>
        <w:trPr>
          <w:trHeight w:val="451"/>
        </w:trPr>
        <w:tc>
          <w:tcPr>
            <w:tcW w:w="2540" w:type="dxa"/>
            <w:vAlign w:val="bottom"/>
            <w:gridSpan w:val="2"/>
            <w:shd w:val="clear" w:color="auto" w:fill="E6E7E7"/>
          </w:tcPr>
          <w:p>
            <w:pPr>
              <w:ind w:left="20"/>
              <w:spacing w:after="0"/>
              <w:rPr>
                <w:sz w:val="20"/>
                <w:szCs w:val="20"/>
                <w:color w:val="auto"/>
              </w:rPr>
            </w:pPr>
            <w:r>
              <w:rPr>
                <w:rFonts w:ascii="Arial" w:cs="Arial" w:eastAsia="Arial" w:hAnsi="Arial"/>
                <w:sz w:val="16"/>
                <w:szCs w:val="16"/>
                <w:b w:val="1"/>
                <w:bCs w:val="1"/>
                <w:color w:val="520B90"/>
              </w:rPr>
              <w:t>Christian H. Hillabrant</w:t>
            </w:r>
          </w:p>
        </w:tc>
        <w:tc>
          <w:tcPr>
            <w:tcW w:w="100" w:type="dxa"/>
            <w:vAlign w:val="bottom"/>
          </w:tcPr>
          <w:p>
            <w:pPr>
              <w:spacing w:after="0"/>
              <w:rPr>
                <w:sz w:val="24"/>
                <w:szCs w:val="24"/>
                <w:color w:val="auto"/>
              </w:rPr>
            </w:pPr>
          </w:p>
        </w:tc>
        <w:tc>
          <w:tcPr>
            <w:tcW w:w="162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2025</w:t>
            </w:r>
          </w:p>
        </w:tc>
        <w:tc>
          <w:tcPr>
            <w:tcW w:w="100" w:type="dxa"/>
            <w:vAlign w:val="bottom"/>
          </w:tcPr>
          <w:p>
            <w:pPr>
              <w:spacing w:after="0"/>
              <w:rPr>
                <w:sz w:val="24"/>
                <w:szCs w:val="24"/>
                <w:color w:val="auto"/>
              </w:rPr>
            </w:pPr>
          </w:p>
        </w:tc>
        <w:tc>
          <w:tcPr>
            <w:tcW w:w="164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8"/>
              </w:rPr>
              <w:t>13,462</w:t>
            </w:r>
          </w:p>
        </w:tc>
        <w:tc>
          <w:tcPr>
            <w:tcW w:w="100" w:type="dxa"/>
            <w:vAlign w:val="bottom"/>
          </w:tcPr>
          <w:p>
            <w:pPr>
              <w:spacing w:after="0"/>
              <w:rPr>
                <w:sz w:val="24"/>
                <w:szCs w:val="24"/>
                <w:color w:val="auto"/>
              </w:rPr>
            </w:pPr>
          </w:p>
        </w:tc>
        <w:tc>
          <w:tcPr>
            <w:tcW w:w="164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9"/>
              </w:rPr>
              <w:t>8,059</w:t>
            </w:r>
          </w:p>
        </w:tc>
        <w:tc>
          <w:tcPr>
            <w:tcW w:w="80" w:type="dxa"/>
            <w:vAlign w:val="bottom"/>
          </w:tcPr>
          <w:p>
            <w:pPr>
              <w:spacing w:after="0"/>
              <w:rPr>
                <w:sz w:val="24"/>
                <w:szCs w:val="24"/>
                <w:color w:val="auto"/>
              </w:rPr>
            </w:pPr>
          </w:p>
        </w:tc>
        <w:tc>
          <w:tcPr>
            <w:tcW w:w="164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93,491</w:t>
            </w:r>
          </w:p>
        </w:tc>
        <w:tc>
          <w:tcPr>
            <w:tcW w:w="100" w:type="dxa"/>
            <w:vAlign w:val="bottom"/>
          </w:tcPr>
          <w:p>
            <w:pPr>
              <w:spacing w:after="0"/>
              <w:rPr>
                <w:sz w:val="24"/>
                <w:szCs w:val="24"/>
                <w:color w:val="auto"/>
              </w:rPr>
            </w:pPr>
          </w:p>
        </w:tc>
        <w:tc>
          <w:tcPr>
            <w:tcW w:w="164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6"/>
              </w:rPr>
              <w:t>115,012</w:t>
            </w:r>
          </w:p>
        </w:tc>
        <w:tc>
          <w:tcPr>
            <w:tcW w:w="0" w:type="dxa"/>
            <w:vAlign w:val="bottom"/>
          </w:tcPr>
          <w:p>
            <w:pPr>
              <w:spacing w:after="0"/>
              <w:rPr>
                <w:sz w:val="1"/>
                <w:szCs w:val="1"/>
                <w:color w:val="auto"/>
              </w:rPr>
            </w:pPr>
          </w:p>
        </w:tc>
      </w:tr>
      <w:tr>
        <w:trPr>
          <w:trHeight w:val="246"/>
        </w:trPr>
        <w:tc>
          <w:tcPr>
            <w:tcW w:w="1120" w:type="dxa"/>
            <w:vAlign w:val="bottom"/>
            <w:shd w:val="clear" w:color="auto" w:fill="E6E7E7"/>
          </w:tcPr>
          <w:p>
            <w:pPr>
              <w:spacing w:after="0"/>
              <w:rPr>
                <w:sz w:val="21"/>
                <w:szCs w:val="21"/>
                <w:color w:val="auto"/>
              </w:rPr>
            </w:pPr>
          </w:p>
        </w:tc>
        <w:tc>
          <w:tcPr>
            <w:tcW w:w="1420" w:type="dxa"/>
            <w:vAlign w:val="bottom"/>
            <w:shd w:val="clear" w:color="auto" w:fill="E6E7E7"/>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shd w:val="clear" w:color="auto" w:fill="E6E7E7"/>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shd w:val="clear" w:color="auto" w:fill="E6E7E7"/>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shd w:val="clear" w:color="auto" w:fill="E6E7E7"/>
          </w:tcPr>
          <w:p>
            <w:pPr>
              <w:spacing w:after="0"/>
              <w:rPr>
                <w:sz w:val="21"/>
                <w:szCs w:val="21"/>
                <w:color w:val="auto"/>
              </w:rPr>
            </w:pPr>
          </w:p>
        </w:tc>
        <w:tc>
          <w:tcPr>
            <w:tcW w:w="80" w:type="dxa"/>
            <w:vAlign w:val="bottom"/>
          </w:tcPr>
          <w:p>
            <w:pPr>
              <w:spacing w:after="0"/>
              <w:rPr>
                <w:sz w:val="21"/>
                <w:szCs w:val="21"/>
                <w:color w:val="auto"/>
              </w:rPr>
            </w:pPr>
          </w:p>
        </w:tc>
        <w:tc>
          <w:tcPr>
            <w:tcW w:w="1640" w:type="dxa"/>
            <w:vAlign w:val="bottom"/>
            <w:shd w:val="clear" w:color="auto" w:fill="E6E7E7"/>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shd w:val="clear" w:color="auto" w:fill="E6E7E7"/>
          </w:tcPr>
          <w:p>
            <w:pPr>
              <w:spacing w:after="0"/>
              <w:rPr>
                <w:sz w:val="21"/>
                <w:szCs w:val="21"/>
                <w:color w:val="auto"/>
              </w:rPr>
            </w:pPr>
          </w:p>
        </w:tc>
        <w:tc>
          <w:tcPr>
            <w:tcW w:w="0" w:type="dxa"/>
            <w:vAlign w:val="bottom"/>
          </w:tcPr>
          <w:p>
            <w:pPr>
              <w:spacing w:after="0"/>
              <w:rPr>
                <w:sz w:val="1"/>
                <w:szCs w:val="1"/>
                <w:color w:val="auto"/>
              </w:rPr>
            </w:pPr>
          </w:p>
        </w:tc>
      </w:tr>
      <w:tr>
        <w:trPr>
          <w:trHeight w:val="468"/>
        </w:trPr>
        <w:tc>
          <w:tcPr>
            <w:tcW w:w="2540" w:type="dxa"/>
            <w:vAlign w:val="bottom"/>
            <w:gridSpan w:val="2"/>
          </w:tcPr>
          <w:p>
            <w:pPr>
              <w:ind w:left="20"/>
              <w:spacing w:after="0"/>
              <w:rPr>
                <w:sz w:val="20"/>
                <w:szCs w:val="20"/>
                <w:color w:val="auto"/>
              </w:rPr>
            </w:pPr>
            <w:r>
              <w:rPr>
                <w:rFonts w:ascii="Arial" w:cs="Arial" w:eastAsia="Arial" w:hAnsi="Arial"/>
                <w:sz w:val="16"/>
                <w:szCs w:val="16"/>
                <w:b w:val="1"/>
                <w:bCs w:val="1"/>
                <w:color w:val="520B90"/>
              </w:rPr>
              <w:t>Sunit S. Patel</w:t>
            </w:r>
          </w:p>
        </w:tc>
        <w:tc>
          <w:tcPr>
            <w:tcW w:w="1720" w:type="dxa"/>
            <w:vAlign w:val="bottom"/>
            <w:gridSpan w:val="2"/>
          </w:tcPr>
          <w:p>
            <w:pPr>
              <w:jc w:val="center"/>
              <w:ind w:left="41"/>
              <w:spacing w:after="0"/>
              <w:rPr>
                <w:sz w:val="20"/>
                <w:szCs w:val="20"/>
                <w:color w:val="auto"/>
              </w:rPr>
            </w:pPr>
            <w:r>
              <w:rPr>
                <w:rFonts w:ascii="Arial" w:cs="Arial" w:eastAsia="Arial" w:hAnsi="Arial"/>
                <w:sz w:val="16"/>
                <w:szCs w:val="16"/>
                <w:color w:val="auto"/>
              </w:rPr>
              <w:t>2025</w:t>
            </w:r>
          </w:p>
        </w:tc>
        <w:tc>
          <w:tcPr>
            <w:tcW w:w="1740" w:type="dxa"/>
            <w:vAlign w:val="bottom"/>
            <w:gridSpan w:val="2"/>
          </w:tcPr>
          <w:p>
            <w:pPr>
              <w:jc w:val="center"/>
              <w:ind w:left="21"/>
              <w:spacing w:after="0"/>
              <w:rPr>
                <w:sz w:val="20"/>
                <w:szCs w:val="20"/>
                <w:color w:val="auto"/>
              </w:rPr>
            </w:pPr>
            <w:r>
              <w:rPr>
                <w:rFonts w:ascii="Arial" w:cs="Arial" w:eastAsia="Arial" w:hAnsi="Arial"/>
                <w:sz w:val="16"/>
                <w:szCs w:val="16"/>
                <w:color w:val="auto"/>
                <w:w w:val="89"/>
              </w:rPr>
              <w:t>0</w:t>
            </w:r>
          </w:p>
        </w:tc>
        <w:tc>
          <w:tcPr>
            <w:tcW w:w="1740" w:type="dxa"/>
            <w:vAlign w:val="bottom"/>
            <w:gridSpan w:val="2"/>
          </w:tcPr>
          <w:p>
            <w:pPr>
              <w:jc w:val="center"/>
              <w:ind w:left="21"/>
              <w:spacing w:after="0"/>
              <w:rPr>
                <w:sz w:val="20"/>
                <w:szCs w:val="20"/>
                <w:color w:val="auto"/>
              </w:rPr>
            </w:pPr>
            <w:r>
              <w:rPr>
                <w:rFonts w:ascii="Arial" w:cs="Arial" w:eastAsia="Arial" w:hAnsi="Arial"/>
                <w:sz w:val="16"/>
                <w:szCs w:val="16"/>
                <w:color w:val="auto"/>
                <w:w w:val="98"/>
              </w:rPr>
              <w:t>14,670</w:t>
            </w:r>
          </w:p>
        </w:tc>
        <w:tc>
          <w:tcPr>
            <w:tcW w:w="1720" w:type="dxa"/>
            <w:vAlign w:val="bottom"/>
            <w:gridSpan w:val="2"/>
          </w:tcPr>
          <w:p>
            <w:pPr>
              <w:jc w:val="center"/>
              <w:ind w:left="21"/>
              <w:spacing w:after="0"/>
              <w:rPr>
                <w:sz w:val="20"/>
                <w:szCs w:val="20"/>
                <w:color w:val="auto"/>
              </w:rPr>
            </w:pPr>
            <w:r>
              <w:rPr>
                <w:rFonts w:ascii="Arial" w:cs="Arial" w:eastAsia="Arial" w:hAnsi="Arial"/>
                <w:sz w:val="16"/>
                <w:szCs w:val="16"/>
                <w:color w:val="auto"/>
              </w:rPr>
              <w:t>30,625</w:t>
            </w:r>
          </w:p>
        </w:tc>
        <w:tc>
          <w:tcPr>
            <w:tcW w:w="1740" w:type="dxa"/>
            <w:vAlign w:val="bottom"/>
            <w:gridSpan w:val="2"/>
          </w:tcPr>
          <w:p>
            <w:pPr>
              <w:jc w:val="center"/>
              <w:ind w:left="21"/>
              <w:spacing w:after="0"/>
              <w:rPr>
                <w:sz w:val="20"/>
                <w:szCs w:val="20"/>
                <w:color w:val="auto"/>
              </w:rPr>
            </w:pPr>
            <w:r>
              <w:rPr>
                <w:rFonts w:ascii="Arial" w:cs="Arial" w:eastAsia="Arial" w:hAnsi="Arial"/>
                <w:sz w:val="16"/>
                <w:szCs w:val="16"/>
                <w:color w:val="auto"/>
                <w:w w:val="98"/>
              </w:rPr>
              <w:t>45,295</w:t>
            </w:r>
          </w:p>
        </w:tc>
        <w:tc>
          <w:tcPr>
            <w:tcW w:w="0" w:type="dxa"/>
            <w:vAlign w:val="bottom"/>
          </w:tcPr>
          <w:p>
            <w:pPr>
              <w:spacing w:after="0"/>
              <w:rPr>
                <w:sz w:val="1"/>
                <w:szCs w:val="1"/>
                <w:color w:val="auto"/>
              </w:rPr>
            </w:pPr>
          </w:p>
        </w:tc>
      </w:tr>
      <w:tr>
        <w:trPr>
          <w:trHeight w:val="246"/>
        </w:trPr>
        <w:tc>
          <w:tcPr>
            <w:tcW w:w="1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720" w:type="dxa"/>
            <w:vAlign w:val="bottom"/>
            <w:gridSpan w:val="2"/>
          </w:tcPr>
          <w:p>
            <w:pPr>
              <w:spacing w:after="0"/>
              <w:rPr>
                <w:sz w:val="21"/>
                <w:szCs w:val="21"/>
                <w:color w:val="auto"/>
              </w:rPr>
            </w:pPr>
          </w:p>
        </w:tc>
        <w:tc>
          <w:tcPr>
            <w:tcW w:w="1740" w:type="dxa"/>
            <w:vAlign w:val="bottom"/>
            <w:gridSpan w:val="2"/>
          </w:tcPr>
          <w:p>
            <w:pPr>
              <w:spacing w:after="0"/>
              <w:rPr>
                <w:sz w:val="21"/>
                <w:szCs w:val="21"/>
                <w:color w:val="auto"/>
              </w:rPr>
            </w:pPr>
          </w:p>
        </w:tc>
        <w:tc>
          <w:tcPr>
            <w:tcW w:w="1740" w:type="dxa"/>
            <w:vAlign w:val="bottom"/>
            <w:gridSpan w:val="2"/>
          </w:tcPr>
          <w:p>
            <w:pPr>
              <w:spacing w:after="0"/>
              <w:rPr>
                <w:sz w:val="21"/>
                <w:szCs w:val="21"/>
                <w:color w:val="auto"/>
              </w:rPr>
            </w:pPr>
          </w:p>
        </w:tc>
        <w:tc>
          <w:tcPr>
            <w:tcW w:w="1720" w:type="dxa"/>
            <w:vAlign w:val="bottom"/>
            <w:gridSpan w:val="2"/>
          </w:tcPr>
          <w:p>
            <w:pPr>
              <w:spacing w:after="0"/>
              <w:rPr>
                <w:sz w:val="21"/>
                <w:szCs w:val="21"/>
                <w:color w:val="auto"/>
              </w:rPr>
            </w:pPr>
          </w:p>
        </w:tc>
        <w:tc>
          <w:tcPr>
            <w:tcW w:w="17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462"/>
        </w:trPr>
        <w:tc>
          <w:tcPr>
            <w:tcW w:w="2540" w:type="dxa"/>
            <w:vAlign w:val="bottom"/>
            <w:gridSpan w:val="2"/>
            <w:shd w:val="clear" w:color="auto" w:fill="E6E7E7"/>
          </w:tcPr>
          <w:p>
            <w:pPr>
              <w:ind w:left="20"/>
              <w:spacing w:after="0"/>
              <w:rPr>
                <w:sz w:val="20"/>
                <w:szCs w:val="20"/>
                <w:color w:val="auto"/>
              </w:rPr>
            </w:pPr>
            <w:r>
              <w:rPr>
                <w:rFonts w:ascii="Arial" w:cs="Arial" w:eastAsia="Arial" w:hAnsi="Arial"/>
                <w:sz w:val="16"/>
                <w:szCs w:val="16"/>
                <w:b w:val="1"/>
                <w:bCs w:val="1"/>
                <w:color w:val="520B90"/>
              </w:rPr>
              <w:t>Daniel K. Schlanger</w:t>
            </w:r>
          </w:p>
        </w:tc>
        <w:tc>
          <w:tcPr>
            <w:tcW w:w="100" w:type="dxa"/>
            <w:vAlign w:val="bottom"/>
          </w:tcPr>
          <w:p>
            <w:pPr>
              <w:spacing w:after="0"/>
              <w:rPr>
                <w:sz w:val="24"/>
                <w:szCs w:val="24"/>
                <w:color w:val="auto"/>
              </w:rPr>
            </w:pPr>
          </w:p>
        </w:tc>
        <w:tc>
          <w:tcPr>
            <w:tcW w:w="162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2025</w:t>
            </w:r>
          </w:p>
        </w:tc>
        <w:tc>
          <w:tcPr>
            <w:tcW w:w="100" w:type="dxa"/>
            <w:vAlign w:val="bottom"/>
          </w:tcPr>
          <w:p>
            <w:pPr>
              <w:spacing w:after="0"/>
              <w:rPr>
                <w:sz w:val="24"/>
                <w:szCs w:val="24"/>
                <w:color w:val="auto"/>
              </w:rPr>
            </w:pPr>
          </w:p>
        </w:tc>
        <w:tc>
          <w:tcPr>
            <w:tcW w:w="164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8"/>
              </w:rPr>
              <w:t>17,500</w:t>
            </w:r>
          </w:p>
        </w:tc>
        <w:tc>
          <w:tcPr>
            <w:tcW w:w="100" w:type="dxa"/>
            <w:vAlign w:val="bottom"/>
          </w:tcPr>
          <w:p>
            <w:pPr>
              <w:spacing w:after="0"/>
              <w:rPr>
                <w:sz w:val="24"/>
                <w:szCs w:val="24"/>
                <w:color w:val="auto"/>
              </w:rPr>
            </w:pPr>
          </w:p>
        </w:tc>
        <w:tc>
          <w:tcPr>
            <w:tcW w:w="164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8"/>
              </w:rPr>
              <w:t>29,073</w:t>
            </w:r>
          </w:p>
        </w:tc>
        <w:tc>
          <w:tcPr>
            <w:tcW w:w="80" w:type="dxa"/>
            <w:vAlign w:val="bottom"/>
          </w:tcPr>
          <w:p>
            <w:pPr>
              <w:spacing w:after="0"/>
              <w:rPr>
                <w:sz w:val="24"/>
                <w:szCs w:val="24"/>
                <w:color w:val="auto"/>
              </w:rPr>
            </w:pPr>
          </w:p>
        </w:tc>
        <w:tc>
          <w:tcPr>
            <w:tcW w:w="164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4"/>
                <w:szCs w:val="24"/>
                <w:color w:val="auto"/>
              </w:rPr>
            </w:pPr>
          </w:p>
        </w:tc>
        <w:tc>
          <w:tcPr>
            <w:tcW w:w="164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8"/>
              </w:rPr>
              <w:t>46,573</w:t>
            </w:r>
          </w:p>
        </w:tc>
        <w:tc>
          <w:tcPr>
            <w:tcW w:w="0" w:type="dxa"/>
            <w:vAlign w:val="bottom"/>
          </w:tcPr>
          <w:p>
            <w:pPr>
              <w:spacing w:after="0"/>
              <w:rPr>
                <w:sz w:val="1"/>
                <w:szCs w:val="1"/>
                <w:color w:val="auto"/>
              </w:rPr>
            </w:pPr>
          </w:p>
        </w:tc>
      </w:tr>
      <w:tr>
        <w:trPr>
          <w:trHeight w:val="210"/>
        </w:trPr>
        <w:tc>
          <w:tcPr>
            <w:tcW w:w="1120" w:type="dxa"/>
            <w:vAlign w:val="bottom"/>
            <w:shd w:val="clear" w:color="auto" w:fill="E6E7E7"/>
          </w:tcPr>
          <w:p>
            <w:pPr>
              <w:spacing w:after="0"/>
              <w:rPr>
                <w:sz w:val="18"/>
                <w:szCs w:val="18"/>
                <w:color w:val="auto"/>
              </w:rPr>
            </w:pPr>
          </w:p>
        </w:tc>
        <w:tc>
          <w:tcPr>
            <w:tcW w:w="1420" w:type="dxa"/>
            <w:vAlign w:val="bottom"/>
            <w:shd w:val="clear" w:color="auto" w:fill="E6E7E7"/>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8"/>
                <w:szCs w:val="18"/>
                <w:color w:val="auto"/>
              </w:rPr>
            </w:pPr>
          </w:p>
        </w:tc>
        <w:tc>
          <w:tcPr>
            <w:tcW w:w="164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8"/>
              </w:rPr>
              <w:t>34,500</w:t>
            </w:r>
          </w:p>
        </w:tc>
        <w:tc>
          <w:tcPr>
            <w:tcW w:w="100" w:type="dxa"/>
            <w:vAlign w:val="bottom"/>
          </w:tcPr>
          <w:p>
            <w:pPr>
              <w:spacing w:after="0"/>
              <w:rPr>
                <w:sz w:val="18"/>
                <w:szCs w:val="18"/>
                <w:color w:val="auto"/>
              </w:rPr>
            </w:pPr>
          </w:p>
        </w:tc>
        <w:tc>
          <w:tcPr>
            <w:tcW w:w="164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8"/>
              </w:rPr>
              <w:t>26,837</w:t>
            </w:r>
          </w:p>
        </w:tc>
        <w:tc>
          <w:tcPr>
            <w:tcW w:w="80" w:type="dxa"/>
            <w:vAlign w:val="bottom"/>
          </w:tcPr>
          <w:p>
            <w:pPr>
              <w:spacing w:after="0"/>
              <w:rPr>
                <w:sz w:val="18"/>
                <w:szCs w:val="18"/>
                <w:color w:val="auto"/>
              </w:rPr>
            </w:pPr>
          </w:p>
        </w:tc>
        <w:tc>
          <w:tcPr>
            <w:tcW w:w="164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8"/>
                <w:szCs w:val="18"/>
                <w:color w:val="auto"/>
              </w:rPr>
            </w:pPr>
          </w:p>
        </w:tc>
        <w:tc>
          <w:tcPr>
            <w:tcW w:w="164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8"/>
              </w:rPr>
              <w:t>61,337</w:t>
            </w:r>
          </w:p>
        </w:tc>
        <w:tc>
          <w:tcPr>
            <w:tcW w:w="0" w:type="dxa"/>
            <w:vAlign w:val="bottom"/>
          </w:tcPr>
          <w:p>
            <w:pPr>
              <w:spacing w:after="0"/>
              <w:rPr>
                <w:sz w:val="1"/>
                <w:szCs w:val="1"/>
                <w:color w:val="auto"/>
              </w:rPr>
            </w:pPr>
          </w:p>
        </w:tc>
      </w:tr>
      <w:tr>
        <w:trPr>
          <w:trHeight w:val="212"/>
        </w:trPr>
        <w:tc>
          <w:tcPr>
            <w:tcW w:w="1120" w:type="dxa"/>
            <w:vAlign w:val="bottom"/>
            <w:shd w:val="clear" w:color="auto" w:fill="E6E7E7"/>
          </w:tcPr>
          <w:p>
            <w:pPr>
              <w:spacing w:after="0"/>
              <w:rPr>
                <w:sz w:val="18"/>
                <w:szCs w:val="18"/>
                <w:color w:val="auto"/>
              </w:rPr>
            </w:pPr>
          </w:p>
        </w:tc>
        <w:tc>
          <w:tcPr>
            <w:tcW w:w="1420" w:type="dxa"/>
            <w:vAlign w:val="bottom"/>
            <w:shd w:val="clear" w:color="auto" w:fill="E6E7E7"/>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18"/>
                <w:szCs w:val="18"/>
                <w:color w:val="auto"/>
              </w:rPr>
            </w:pPr>
          </w:p>
        </w:tc>
        <w:tc>
          <w:tcPr>
            <w:tcW w:w="164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8"/>
              </w:rPr>
              <w:t>33,000</w:t>
            </w:r>
          </w:p>
        </w:tc>
        <w:tc>
          <w:tcPr>
            <w:tcW w:w="100" w:type="dxa"/>
            <w:vAlign w:val="bottom"/>
          </w:tcPr>
          <w:p>
            <w:pPr>
              <w:spacing w:after="0"/>
              <w:rPr>
                <w:sz w:val="18"/>
                <w:szCs w:val="18"/>
                <w:color w:val="auto"/>
              </w:rPr>
            </w:pPr>
          </w:p>
        </w:tc>
        <w:tc>
          <w:tcPr>
            <w:tcW w:w="164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8"/>
              </w:rPr>
              <w:t>26,194</w:t>
            </w:r>
          </w:p>
        </w:tc>
        <w:tc>
          <w:tcPr>
            <w:tcW w:w="80" w:type="dxa"/>
            <w:vAlign w:val="bottom"/>
          </w:tcPr>
          <w:p>
            <w:pPr>
              <w:spacing w:after="0"/>
              <w:rPr>
                <w:sz w:val="18"/>
                <w:szCs w:val="18"/>
                <w:color w:val="auto"/>
              </w:rPr>
            </w:pPr>
          </w:p>
        </w:tc>
        <w:tc>
          <w:tcPr>
            <w:tcW w:w="164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8"/>
                <w:szCs w:val="18"/>
                <w:color w:val="auto"/>
              </w:rPr>
            </w:pPr>
          </w:p>
        </w:tc>
        <w:tc>
          <w:tcPr>
            <w:tcW w:w="164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8"/>
              </w:rPr>
              <w:t>59,194</w:t>
            </w:r>
          </w:p>
        </w:tc>
        <w:tc>
          <w:tcPr>
            <w:tcW w:w="0" w:type="dxa"/>
            <w:vAlign w:val="bottom"/>
          </w:tcPr>
          <w:p>
            <w:pPr>
              <w:spacing w:after="0"/>
              <w:rPr>
                <w:sz w:val="1"/>
                <w:szCs w:val="1"/>
                <w:color w:val="auto"/>
              </w:rPr>
            </w:pPr>
          </w:p>
        </w:tc>
      </w:tr>
      <w:tr>
        <w:trPr>
          <w:trHeight w:val="254"/>
        </w:trPr>
        <w:tc>
          <w:tcPr>
            <w:tcW w:w="1120" w:type="dxa"/>
            <w:vAlign w:val="bottom"/>
            <w:shd w:val="clear" w:color="auto" w:fill="E6E7E7"/>
          </w:tcPr>
          <w:p>
            <w:pPr>
              <w:spacing w:after="0"/>
              <w:rPr>
                <w:sz w:val="22"/>
                <w:szCs w:val="22"/>
                <w:color w:val="auto"/>
              </w:rPr>
            </w:pPr>
          </w:p>
        </w:tc>
        <w:tc>
          <w:tcPr>
            <w:tcW w:w="1420" w:type="dxa"/>
            <w:vAlign w:val="bottom"/>
            <w:shd w:val="clear" w:color="auto" w:fill="E6E7E7"/>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shd w:val="clear" w:color="auto" w:fill="E6E7E7"/>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shd w:val="clear" w:color="auto" w:fill="E6E7E7"/>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shd w:val="clear" w:color="auto" w:fill="E6E7E7"/>
          </w:tcPr>
          <w:p>
            <w:pPr>
              <w:spacing w:after="0"/>
              <w:rPr>
                <w:sz w:val="22"/>
                <w:szCs w:val="22"/>
                <w:color w:val="auto"/>
              </w:rPr>
            </w:pPr>
          </w:p>
        </w:tc>
        <w:tc>
          <w:tcPr>
            <w:tcW w:w="80" w:type="dxa"/>
            <w:vAlign w:val="bottom"/>
          </w:tcPr>
          <w:p>
            <w:pPr>
              <w:spacing w:after="0"/>
              <w:rPr>
                <w:sz w:val="22"/>
                <w:szCs w:val="22"/>
                <w:color w:val="auto"/>
              </w:rPr>
            </w:pPr>
          </w:p>
        </w:tc>
        <w:tc>
          <w:tcPr>
            <w:tcW w:w="1640" w:type="dxa"/>
            <w:vAlign w:val="bottom"/>
            <w:shd w:val="clear" w:color="auto" w:fill="E6E7E7"/>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shd w:val="clear" w:color="auto" w:fill="E6E7E7"/>
          </w:tcPr>
          <w:p>
            <w:pPr>
              <w:spacing w:after="0"/>
              <w:rPr>
                <w:sz w:val="22"/>
                <w:szCs w:val="22"/>
                <w:color w:val="auto"/>
              </w:rPr>
            </w:pPr>
          </w:p>
        </w:tc>
        <w:tc>
          <w:tcPr>
            <w:tcW w:w="0" w:type="dxa"/>
            <w:vAlign w:val="bottom"/>
          </w:tcPr>
          <w:p>
            <w:pPr>
              <w:spacing w:after="0"/>
              <w:rPr>
                <w:sz w:val="1"/>
                <w:szCs w:val="1"/>
                <w:color w:val="auto"/>
              </w:rPr>
            </w:pPr>
          </w:p>
        </w:tc>
      </w:tr>
      <w:tr>
        <w:trPr>
          <w:trHeight w:val="462"/>
        </w:trPr>
        <w:tc>
          <w:tcPr>
            <w:tcW w:w="2540" w:type="dxa"/>
            <w:vAlign w:val="bottom"/>
            <w:gridSpan w:val="2"/>
          </w:tcPr>
          <w:p>
            <w:pPr>
              <w:ind w:left="20"/>
              <w:spacing w:after="0"/>
              <w:rPr>
                <w:sz w:val="20"/>
                <w:szCs w:val="20"/>
                <w:color w:val="auto"/>
              </w:rPr>
            </w:pPr>
            <w:r>
              <w:rPr>
                <w:rFonts w:ascii="Arial" w:cs="Arial" w:eastAsia="Arial" w:hAnsi="Arial"/>
                <w:sz w:val="16"/>
                <w:szCs w:val="16"/>
                <w:b w:val="1"/>
                <w:bCs w:val="1"/>
                <w:color w:val="520B90"/>
              </w:rPr>
              <w:t>Christopher D. Levendos</w:t>
            </w:r>
          </w:p>
        </w:tc>
        <w:tc>
          <w:tcPr>
            <w:tcW w:w="1720" w:type="dxa"/>
            <w:vAlign w:val="bottom"/>
            <w:gridSpan w:val="2"/>
          </w:tcPr>
          <w:p>
            <w:pPr>
              <w:jc w:val="center"/>
              <w:ind w:left="41"/>
              <w:spacing w:after="0"/>
              <w:rPr>
                <w:sz w:val="20"/>
                <w:szCs w:val="20"/>
                <w:color w:val="auto"/>
              </w:rPr>
            </w:pPr>
            <w:r>
              <w:rPr>
                <w:rFonts w:ascii="Arial" w:cs="Arial" w:eastAsia="Arial" w:hAnsi="Arial"/>
                <w:sz w:val="16"/>
                <w:szCs w:val="16"/>
                <w:color w:val="auto"/>
              </w:rPr>
              <w:t>2025</w:t>
            </w:r>
          </w:p>
        </w:tc>
        <w:tc>
          <w:tcPr>
            <w:tcW w:w="1740" w:type="dxa"/>
            <w:vAlign w:val="bottom"/>
            <w:gridSpan w:val="2"/>
          </w:tcPr>
          <w:p>
            <w:pPr>
              <w:jc w:val="center"/>
              <w:ind w:left="21"/>
              <w:spacing w:after="0"/>
              <w:rPr>
                <w:sz w:val="20"/>
                <w:szCs w:val="20"/>
                <w:color w:val="auto"/>
              </w:rPr>
            </w:pPr>
            <w:r>
              <w:rPr>
                <w:rFonts w:ascii="Arial" w:cs="Arial" w:eastAsia="Arial" w:hAnsi="Arial"/>
                <w:sz w:val="16"/>
                <w:szCs w:val="16"/>
                <w:color w:val="auto"/>
                <w:w w:val="98"/>
              </w:rPr>
              <w:t>17,500</w:t>
            </w:r>
          </w:p>
        </w:tc>
        <w:tc>
          <w:tcPr>
            <w:tcW w:w="1740" w:type="dxa"/>
            <w:vAlign w:val="bottom"/>
            <w:gridSpan w:val="2"/>
          </w:tcPr>
          <w:p>
            <w:pPr>
              <w:jc w:val="center"/>
              <w:ind w:left="21"/>
              <w:spacing w:after="0"/>
              <w:rPr>
                <w:sz w:val="20"/>
                <w:szCs w:val="20"/>
                <w:color w:val="auto"/>
              </w:rPr>
            </w:pPr>
            <w:r>
              <w:rPr>
                <w:rFonts w:ascii="Arial" w:cs="Arial" w:eastAsia="Arial" w:hAnsi="Arial"/>
                <w:sz w:val="16"/>
                <w:szCs w:val="16"/>
                <w:color w:val="auto"/>
                <w:w w:val="98"/>
              </w:rPr>
              <w:t>29,166</w:t>
            </w:r>
          </w:p>
        </w:tc>
        <w:tc>
          <w:tcPr>
            <w:tcW w:w="1720" w:type="dxa"/>
            <w:vAlign w:val="bottom"/>
            <w:gridSpan w:val="2"/>
          </w:tcPr>
          <w:p>
            <w:pPr>
              <w:jc w:val="center"/>
              <w:ind w:left="21"/>
              <w:spacing w:after="0"/>
              <w:rPr>
                <w:sz w:val="20"/>
                <w:szCs w:val="20"/>
                <w:color w:val="auto"/>
              </w:rPr>
            </w:pPr>
            <w:r>
              <w:rPr>
                <w:rFonts w:ascii="Arial" w:cs="Arial" w:eastAsia="Arial" w:hAnsi="Arial"/>
                <w:sz w:val="16"/>
                <w:szCs w:val="16"/>
                <w:color w:val="auto"/>
              </w:rPr>
              <w:t>0</w:t>
            </w:r>
          </w:p>
        </w:tc>
        <w:tc>
          <w:tcPr>
            <w:tcW w:w="1740" w:type="dxa"/>
            <w:vAlign w:val="bottom"/>
            <w:gridSpan w:val="2"/>
          </w:tcPr>
          <w:p>
            <w:pPr>
              <w:jc w:val="center"/>
              <w:ind w:left="21"/>
              <w:spacing w:after="0"/>
              <w:rPr>
                <w:sz w:val="20"/>
                <w:szCs w:val="20"/>
                <w:color w:val="auto"/>
              </w:rPr>
            </w:pPr>
            <w:r>
              <w:rPr>
                <w:rFonts w:ascii="Arial" w:cs="Arial" w:eastAsia="Arial" w:hAnsi="Arial"/>
                <w:sz w:val="16"/>
                <w:szCs w:val="16"/>
                <w:color w:val="auto"/>
                <w:w w:val="98"/>
              </w:rPr>
              <w:t>46,666</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20" w:type="dxa"/>
            <w:vAlign w:val="bottom"/>
            <w:gridSpan w:val="2"/>
          </w:tcPr>
          <w:p>
            <w:pPr>
              <w:jc w:val="center"/>
              <w:ind w:left="41"/>
              <w:spacing w:after="0"/>
              <w:rPr>
                <w:sz w:val="20"/>
                <w:szCs w:val="20"/>
                <w:color w:val="auto"/>
              </w:rPr>
            </w:pPr>
            <w:r>
              <w:rPr>
                <w:rFonts w:ascii="Arial" w:cs="Arial" w:eastAsia="Arial" w:hAnsi="Arial"/>
                <w:sz w:val="16"/>
                <w:szCs w:val="16"/>
                <w:color w:val="auto"/>
              </w:rPr>
              <w:t>2024</w:t>
            </w:r>
          </w:p>
        </w:tc>
        <w:tc>
          <w:tcPr>
            <w:tcW w:w="1740" w:type="dxa"/>
            <w:vAlign w:val="bottom"/>
            <w:gridSpan w:val="2"/>
          </w:tcPr>
          <w:p>
            <w:pPr>
              <w:jc w:val="center"/>
              <w:ind w:left="21"/>
              <w:spacing w:after="0"/>
              <w:rPr>
                <w:sz w:val="20"/>
                <w:szCs w:val="20"/>
                <w:color w:val="auto"/>
              </w:rPr>
            </w:pPr>
            <w:r>
              <w:rPr>
                <w:rFonts w:ascii="Arial" w:cs="Arial" w:eastAsia="Arial" w:hAnsi="Arial"/>
                <w:sz w:val="16"/>
                <w:szCs w:val="16"/>
                <w:color w:val="auto"/>
                <w:w w:val="98"/>
              </w:rPr>
              <w:t>34,500</w:t>
            </w:r>
          </w:p>
        </w:tc>
        <w:tc>
          <w:tcPr>
            <w:tcW w:w="1740" w:type="dxa"/>
            <w:vAlign w:val="bottom"/>
            <w:gridSpan w:val="2"/>
          </w:tcPr>
          <w:p>
            <w:pPr>
              <w:jc w:val="center"/>
              <w:ind w:left="21"/>
              <w:spacing w:after="0"/>
              <w:rPr>
                <w:sz w:val="20"/>
                <w:szCs w:val="20"/>
                <w:color w:val="auto"/>
              </w:rPr>
            </w:pPr>
            <w:r>
              <w:rPr>
                <w:rFonts w:ascii="Arial" w:cs="Arial" w:eastAsia="Arial" w:hAnsi="Arial"/>
                <w:sz w:val="16"/>
                <w:szCs w:val="16"/>
                <w:color w:val="auto"/>
                <w:w w:val="98"/>
              </w:rPr>
              <w:t>27,576</w:t>
            </w:r>
          </w:p>
        </w:tc>
        <w:tc>
          <w:tcPr>
            <w:tcW w:w="1720" w:type="dxa"/>
            <w:vAlign w:val="bottom"/>
            <w:gridSpan w:val="2"/>
          </w:tcPr>
          <w:p>
            <w:pPr>
              <w:jc w:val="center"/>
              <w:ind w:left="21"/>
              <w:spacing w:after="0"/>
              <w:rPr>
                <w:sz w:val="20"/>
                <w:szCs w:val="20"/>
                <w:color w:val="auto"/>
              </w:rPr>
            </w:pPr>
            <w:r>
              <w:rPr>
                <w:rFonts w:ascii="Arial" w:cs="Arial" w:eastAsia="Arial" w:hAnsi="Arial"/>
                <w:sz w:val="16"/>
                <w:szCs w:val="16"/>
                <w:color w:val="auto"/>
              </w:rPr>
              <w:t>0</w:t>
            </w:r>
          </w:p>
        </w:tc>
        <w:tc>
          <w:tcPr>
            <w:tcW w:w="1740" w:type="dxa"/>
            <w:vAlign w:val="bottom"/>
            <w:gridSpan w:val="2"/>
          </w:tcPr>
          <w:p>
            <w:pPr>
              <w:jc w:val="center"/>
              <w:ind w:left="21"/>
              <w:spacing w:after="0"/>
              <w:rPr>
                <w:sz w:val="20"/>
                <w:szCs w:val="20"/>
                <w:color w:val="auto"/>
              </w:rPr>
            </w:pPr>
            <w:r>
              <w:rPr>
                <w:rFonts w:ascii="Arial" w:cs="Arial" w:eastAsia="Arial" w:hAnsi="Arial"/>
                <w:sz w:val="16"/>
                <w:szCs w:val="16"/>
                <w:color w:val="auto"/>
                <w:w w:val="98"/>
              </w:rPr>
              <w:t>62,076</w:t>
            </w:r>
          </w:p>
        </w:tc>
        <w:tc>
          <w:tcPr>
            <w:tcW w:w="0" w:type="dxa"/>
            <w:vAlign w:val="bottom"/>
          </w:tcPr>
          <w:p>
            <w:pPr>
              <w:spacing w:after="0"/>
              <w:rPr>
                <w:sz w:val="1"/>
                <w:szCs w:val="1"/>
                <w:color w:val="auto"/>
              </w:rPr>
            </w:pPr>
          </w:p>
        </w:tc>
      </w:tr>
      <w:tr>
        <w:trPr>
          <w:trHeight w:val="212"/>
        </w:trPr>
        <w:tc>
          <w:tcPr>
            <w:tcW w:w="1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20" w:type="dxa"/>
            <w:vAlign w:val="bottom"/>
            <w:gridSpan w:val="2"/>
          </w:tcPr>
          <w:p>
            <w:pPr>
              <w:jc w:val="center"/>
              <w:ind w:left="41"/>
              <w:spacing w:after="0"/>
              <w:rPr>
                <w:sz w:val="20"/>
                <w:szCs w:val="20"/>
                <w:color w:val="auto"/>
              </w:rPr>
            </w:pPr>
            <w:r>
              <w:rPr>
                <w:rFonts w:ascii="Arial" w:cs="Arial" w:eastAsia="Arial" w:hAnsi="Arial"/>
                <w:sz w:val="16"/>
                <w:szCs w:val="16"/>
                <w:color w:val="auto"/>
              </w:rPr>
              <w:t>2023</w:t>
            </w:r>
          </w:p>
        </w:tc>
        <w:tc>
          <w:tcPr>
            <w:tcW w:w="1740" w:type="dxa"/>
            <w:vAlign w:val="bottom"/>
            <w:gridSpan w:val="2"/>
          </w:tcPr>
          <w:p>
            <w:pPr>
              <w:jc w:val="center"/>
              <w:ind w:left="21"/>
              <w:spacing w:after="0"/>
              <w:rPr>
                <w:sz w:val="20"/>
                <w:szCs w:val="20"/>
                <w:color w:val="auto"/>
              </w:rPr>
            </w:pPr>
            <w:r>
              <w:rPr>
                <w:rFonts w:ascii="Arial" w:cs="Arial" w:eastAsia="Arial" w:hAnsi="Arial"/>
                <w:sz w:val="16"/>
                <w:szCs w:val="16"/>
                <w:color w:val="auto"/>
                <w:w w:val="98"/>
              </w:rPr>
              <w:t>33,000</w:t>
            </w:r>
          </w:p>
        </w:tc>
        <w:tc>
          <w:tcPr>
            <w:tcW w:w="1740" w:type="dxa"/>
            <w:vAlign w:val="bottom"/>
            <w:gridSpan w:val="2"/>
          </w:tcPr>
          <w:p>
            <w:pPr>
              <w:jc w:val="center"/>
              <w:ind w:left="21"/>
              <w:spacing w:after="0"/>
              <w:rPr>
                <w:sz w:val="20"/>
                <w:szCs w:val="20"/>
                <w:color w:val="auto"/>
              </w:rPr>
            </w:pPr>
            <w:r>
              <w:rPr>
                <w:rFonts w:ascii="Arial" w:cs="Arial" w:eastAsia="Arial" w:hAnsi="Arial"/>
                <w:sz w:val="16"/>
                <w:szCs w:val="16"/>
                <w:color w:val="auto"/>
                <w:w w:val="98"/>
              </w:rPr>
              <w:t>26,194</w:t>
            </w:r>
          </w:p>
        </w:tc>
        <w:tc>
          <w:tcPr>
            <w:tcW w:w="1720" w:type="dxa"/>
            <w:vAlign w:val="bottom"/>
            <w:gridSpan w:val="2"/>
          </w:tcPr>
          <w:p>
            <w:pPr>
              <w:jc w:val="center"/>
              <w:ind w:left="21"/>
              <w:spacing w:after="0"/>
              <w:rPr>
                <w:sz w:val="20"/>
                <w:szCs w:val="20"/>
                <w:color w:val="auto"/>
              </w:rPr>
            </w:pPr>
            <w:r>
              <w:rPr>
                <w:rFonts w:ascii="Arial" w:cs="Arial" w:eastAsia="Arial" w:hAnsi="Arial"/>
                <w:sz w:val="16"/>
                <w:szCs w:val="16"/>
                <w:color w:val="auto"/>
              </w:rPr>
              <w:t>0</w:t>
            </w:r>
          </w:p>
        </w:tc>
        <w:tc>
          <w:tcPr>
            <w:tcW w:w="1740" w:type="dxa"/>
            <w:vAlign w:val="bottom"/>
            <w:gridSpan w:val="2"/>
          </w:tcPr>
          <w:p>
            <w:pPr>
              <w:jc w:val="center"/>
              <w:ind w:left="21"/>
              <w:spacing w:after="0"/>
              <w:rPr>
                <w:sz w:val="20"/>
                <w:szCs w:val="20"/>
                <w:color w:val="auto"/>
              </w:rPr>
            </w:pPr>
            <w:r>
              <w:rPr>
                <w:rFonts w:ascii="Arial" w:cs="Arial" w:eastAsia="Arial" w:hAnsi="Arial"/>
                <w:sz w:val="16"/>
                <w:szCs w:val="16"/>
                <w:color w:val="auto"/>
                <w:w w:val="98"/>
              </w:rPr>
              <w:t>59,194</w:t>
            </w:r>
          </w:p>
        </w:tc>
        <w:tc>
          <w:tcPr>
            <w:tcW w:w="0" w:type="dxa"/>
            <w:vAlign w:val="bottom"/>
          </w:tcPr>
          <w:p>
            <w:pPr>
              <w:spacing w:after="0"/>
              <w:rPr>
                <w:sz w:val="1"/>
                <w:szCs w:val="1"/>
                <w:color w:val="auto"/>
              </w:rPr>
            </w:pPr>
          </w:p>
        </w:tc>
      </w:tr>
      <w:tr>
        <w:trPr>
          <w:trHeight w:val="254"/>
        </w:trPr>
        <w:tc>
          <w:tcPr>
            <w:tcW w:w="1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720" w:type="dxa"/>
            <w:vAlign w:val="bottom"/>
            <w:gridSpan w:val="2"/>
          </w:tcPr>
          <w:p>
            <w:pPr>
              <w:spacing w:after="0"/>
              <w:rPr>
                <w:sz w:val="22"/>
                <w:szCs w:val="22"/>
                <w:color w:val="auto"/>
              </w:rPr>
            </w:pPr>
          </w:p>
        </w:tc>
        <w:tc>
          <w:tcPr>
            <w:tcW w:w="1740" w:type="dxa"/>
            <w:vAlign w:val="bottom"/>
            <w:gridSpan w:val="2"/>
          </w:tcPr>
          <w:p>
            <w:pPr>
              <w:spacing w:after="0"/>
              <w:rPr>
                <w:sz w:val="22"/>
                <w:szCs w:val="22"/>
                <w:color w:val="auto"/>
              </w:rPr>
            </w:pPr>
          </w:p>
        </w:tc>
        <w:tc>
          <w:tcPr>
            <w:tcW w:w="1740" w:type="dxa"/>
            <w:vAlign w:val="bottom"/>
            <w:gridSpan w:val="2"/>
          </w:tcPr>
          <w:p>
            <w:pPr>
              <w:spacing w:after="0"/>
              <w:rPr>
                <w:sz w:val="22"/>
                <w:szCs w:val="22"/>
                <w:color w:val="auto"/>
              </w:rPr>
            </w:pPr>
          </w:p>
        </w:tc>
        <w:tc>
          <w:tcPr>
            <w:tcW w:w="1720" w:type="dxa"/>
            <w:vAlign w:val="bottom"/>
            <w:gridSpan w:val="2"/>
          </w:tcPr>
          <w:p>
            <w:pPr>
              <w:spacing w:after="0"/>
              <w:rPr>
                <w:sz w:val="22"/>
                <w:szCs w:val="22"/>
                <w:color w:val="auto"/>
              </w:rPr>
            </w:pPr>
          </w:p>
        </w:tc>
        <w:tc>
          <w:tcPr>
            <w:tcW w:w="174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462"/>
        </w:trPr>
        <w:tc>
          <w:tcPr>
            <w:tcW w:w="2540" w:type="dxa"/>
            <w:vAlign w:val="bottom"/>
            <w:gridSpan w:val="2"/>
            <w:shd w:val="clear" w:color="auto" w:fill="E6E7E7"/>
          </w:tcPr>
          <w:p>
            <w:pPr>
              <w:ind w:left="20"/>
              <w:spacing w:after="0"/>
              <w:rPr>
                <w:sz w:val="20"/>
                <w:szCs w:val="20"/>
                <w:color w:val="auto"/>
              </w:rPr>
            </w:pPr>
            <w:r>
              <w:rPr>
                <w:rFonts w:ascii="Arial" w:cs="Arial" w:eastAsia="Arial" w:hAnsi="Arial"/>
                <w:sz w:val="16"/>
                <w:szCs w:val="16"/>
                <w:b w:val="1"/>
                <w:bCs w:val="1"/>
                <w:color w:val="520B90"/>
              </w:rPr>
              <w:t>Edward B. Adams, Jr.</w:t>
            </w:r>
          </w:p>
        </w:tc>
        <w:tc>
          <w:tcPr>
            <w:tcW w:w="100" w:type="dxa"/>
            <w:vAlign w:val="bottom"/>
          </w:tcPr>
          <w:p>
            <w:pPr>
              <w:spacing w:after="0"/>
              <w:rPr>
                <w:sz w:val="24"/>
                <w:szCs w:val="24"/>
                <w:color w:val="auto"/>
              </w:rPr>
            </w:pPr>
          </w:p>
        </w:tc>
        <w:tc>
          <w:tcPr>
            <w:tcW w:w="162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2025</w:t>
            </w:r>
          </w:p>
        </w:tc>
        <w:tc>
          <w:tcPr>
            <w:tcW w:w="100" w:type="dxa"/>
            <w:vAlign w:val="bottom"/>
          </w:tcPr>
          <w:p>
            <w:pPr>
              <w:spacing w:after="0"/>
              <w:rPr>
                <w:sz w:val="24"/>
                <w:szCs w:val="24"/>
                <w:color w:val="auto"/>
              </w:rPr>
            </w:pPr>
          </w:p>
        </w:tc>
        <w:tc>
          <w:tcPr>
            <w:tcW w:w="164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8"/>
              </w:rPr>
              <w:t>17,500</w:t>
            </w:r>
          </w:p>
        </w:tc>
        <w:tc>
          <w:tcPr>
            <w:tcW w:w="100" w:type="dxa"/>
            <w:vAlign w:val="bottom"/>
          </w:tcPr>
          <w:p>
            <w:pPr>
              <w:spacing w:after="0"/>
              <w:rPr>
                <w:sz w:val="24"/>
                <w:szCs w:val="24"/>
                <w:color w:val="auto"/>
              </w:rPr>
            </w:pPr>
          </w:p>
        </w:tc>
        <w:tc>
          <w:tcPr>
            <w:tcW w:w="164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7"/>
              </w:rPr>
              <w:t>925</w:t>
            </w:r>
          </w:p>
        </w:tc>
        <w:tc>
          <w:tcPr>
            <w:tcW w:w="80" w:type="dxa"/>
            <w:vAlign w:val="bottom"/>
          </w:tcPr>
          <w:p>
            <w:pPr>
              <w:spacing w:after="0"/>
              <w:rPr>
                <w:sz w:val="24"/>
                <w:szCs w:val="24"/>
                <w:color w:val="auto"/>
              </w:rPr>
            </w:pPr>
          </w:p>
        </w:tc>
        <w:tc>
          <w:tcPr>
            <w:tcW w:w="164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4"/>
                <w:szCs w:val="24"/>
                <w:color w:val="auto"/>
              </w:rPr>
            </w:pPr>
          </w:p>
        </w:tc>
        <w:tc>
          <w:tcPr>
            <w:tcW w:w="164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8"/>
              </w:rPr>
              <w:t>18,425</w:t>
            </w:r>
          </w:p>
        </w:tc>
        <w:tc>
          <w:tcPr>
            <w:tcW w:w="0" w:type="dxa"/>
            <w:vAlign w:val="bottom"/>
          </w:tcPr>
          <w:p>
            <w:pPr>
              <w:spacing w:after="0"/>
              <w:rPr>
                <w:sz w:val="1"/>
                <w:szCs w:val="1"/>
                <w:color w:val="auto"/>
              </w:rPr>
            </w:pPr>
          </w:p>
        </w:tc>
      </w:tr>
      <w:tr>
        <w:trPr>
          <w:trHeight w:val="210"/>
        </w:trPr>
        <w:tc>
          <w:tcPr>
            <w:tcW w:w="1120" w:type="dxa"/>
            <w:vAlign w:val="bottom"/>
            <w:shd w:val="clear" w:color="auto" w:fill="E6E7E7"/>
          </w:tcPr>
          <w:p>
            <w:pPr>
              <w:spacing w:after="0"/>
              <w:rPr>
                <w:sz w:val="18"/>
                <w:szCs w:val="18"/>
                <w:color w:val="auto"/>
              </w:rPr>
            </w:pPr>
          </w:p>
        </w:tc>
        <w:tc>
          <w:tcPr>
            <w:tcW w:w="1420" w:type="dxa"/>
            <w:vAlign w:val="bottom"/>
            <w:shd w:val="clear" w:color="auto" w:fill="E6E7E7"/>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8"/>
                <w:szCs w:val="18"/>
                <w:color w:val="auto"/>
              </w:rPr>
            </w:pPr>
          </w:p>
        </w:tc>
        <w:tc>
          <w:tcPr>
            <w:tcW w:w="164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8"/>
              </w:rPr>
              <w:t>34,500</w:t>
            </w:r>
          </w:p>
        </w:tc>
        <w:tc>
          <w:tcPr>
            <w:tcW w:w="100" w:type="dxa"/>
            <w:vAlign w:val="bottom"/>
          </w:tcPr>
          <w:p>
            <w:pPr>
              <w:spacing w:after="0"/>
              <w:rPr>
                <w:sz w:val="18"/>
                <w:szCs w:val="18"/>
                <w:color w:val="auto"/>
              </w:rPr>
            </w:pPr>
          </w:p>
        </w:tc>
        <w:tc>
          <w:tcPr>
            <w:tcW w:w="164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7"/>
              </w:rPr>
              <w:t>925</w:t>
            </w:r>
          </w:p>
        </w:tc>
        <w:tc>
          <w:tcPr>
            <w:tcW w:w="80" w:type="dxa"/>
            <w:vAlign w:val="bottom"/>
          </w:tcPr>
          <w:p>
            <w:pPr>
              <w:spacing w:after="0"/>
              <w:rPr>
                <w:sz w:val="18"/>
                <w:szCs w:val="18"/>
                <w:color w:val="auto"/>
              </w:rPr>
            </w:pPr>
          </w:p>
        </w:tc>
        <w:tc>
          <w:tcPr>
            <w:tcW w:w="164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8"/>
                <w:szCs w:val="18"/>
                <w:color w:val="auto"/>
              </w:rPr>
            </w:pPr>
          </w:p>
        </w:tc>
        <w:tc>
          <w:tcPr>
            <w:tcW w:w="164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8"/>
              </w:rPr>
              <w:t>35,425</w:t>
            </w:r>
          </w:p>
        </w:tc>
        <w:tc>
          <w:tcPr>
            <w:tcW w:w="0" w:type="dxa"/>
            <w:vAlign w:val="bottom"/>
          </w:tcPr>
          <w:p>
            <w:pPr>
              <w:spacing w:after="0"/>
              <w:rPr>
                <w:sz w:val="1"/>
                <w:szCs w:val="1"/>
                <w:color w:val="auto"/>
              </w:rPr>
            </w:pPr>
          </w:p>
        </w:tc>
      </w:tr>
      <w:tr>
        <w:trPr>
          <w:trHeight w:val="212"/>
        </w:trPr>
        <w:tc>
          <w:tcPr>
            <w:tcW w:w="1120" w:type="dxa"/>
            <w:vAlign w:val="bottom"/>
            <w:shd w:val="clear" w:color="auto" w:fill="E6E7E7"/>
          </w:tcPr>
          <w:p>
            <w:pPr>
              <w:spacing w:after="0"/>
              <w:rPr>
                <w:sz w:val="18"/>
                <w:szCs w:val="18"/>
                <w:color w:val="auto"/>
              </w:rPr>
            </w:pPr>
          </w:p>
        </w:tc>
        <w:tc>
          <w:tcPr>
            <w:tcW w:w="1420" w:type="dxa"/>
            <w:vAlign w:val="bottom"/>
            <w:shd w:val="clear" w:color="auto" w:fill="E6E7E7"/>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18"/>
                <w:szCs w:val="18"/>
                <w:color w:val="auto"/>
              </w:rPr>
            </w:pPr>
          </w:p>
        </w:tc>
        <w:tc>
          <w:tcPr>
            <w:tcW w:w="164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8"/>
              </w:rPr>
              <w:t>33,000</w:t>
            </w:r>
          </w:p>
        </w:tc>
        <w:tc>
          <w:tcPr>
            <w:tcW w:w="100" w:type="dxa"/>
            <w:vAlign w:val="bottom"/>
          </w:tcPr>
          <w:p>
            <w:pPr>
              <w:spacing w:after="0"/>
              <w:rPr>
                <w:sz w:val="18"/>
                <w:szCs w:val="18"/>
                <w:color w:val="auto"/>
              </w:rPr>
            </w:pPr>
          </w:p>
        </w:tc>
        <w:tc>
          <w:tcPr>
            <w:tcW w:w="164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7"/>
              </w:rPr>
              <w:t>858</w:t>
            </w:r>
          </w:p>
        </w:tc>
        <w:tc>
          <w:tcPr>
            <w:tcW w:w="80" w:type="dxa"/>
            <w:vAlign w:val="bottom"/>
          </w:tcPr>
          <w:p>
            <w:pPr>
              <w:spacing w:after="0"/>
              <w:rPr>
                <w:sz w:val="18"/>
                <w:szCs w:val="18"/>
                <w:color w:val="auto"/>
              </w:rPr>
            </w:pPr>
          </w:p>
        </w:tc>
        <w:tc>
          <w:tcPr>
            <w:tcW w:w="164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8"/>
                <w:szCs w:val="18"/>
                <w:color w:val="auto"/>
              </w:rPr>
            </w:pPr>
          </w:p>
        </w:tc>
        <w:tc>
          <w:tcPr>
            <w:tcW w:w="164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8"/>
              </w:rPr>
              <w:t>33,858</w:t>
            </w:r>
          </w:p>
        </w:tc>
        <w:tc>
          <w:tcPr>
            <w:tcW w:w="0" w:type="dxa"/>
            <w:vAlign w:val="bottom"/>
          </w:tcPr>
          <w:p>
            <w:pPr>
              <w:spacing w:after="0"/>
              <w:rPr>
                <w:sz w:val="1"/>
                <w:szCs w:val="1"/>
                <w:color w:val="auto"/>
              </w:rPr>
            </w:pPr>
          </w:p>
        </w:tc>
      </w:tr>
      <w:tr>
        <w:trPr>
          <w:trHeight w:val="254"/>
        </w:trPr>
        <w:tc>
          <w:tcPr>
            <w:tcW w:w="1120" w:type="dxa"/>
            <w:vAlign w:val="bottom"/>
            <w:shd w:val="clear" w:color="auto" w:fill="E6E7E7"/>
          </w:tcPr>
          <w:p>
            <w:pPr>
              <w:spacing w:after="0"/>
              <w:rPr>
                <w:sz w:val="22"/>
                <w:szCs w:val="22"/>
                <w:color w:val="auto"/>
              </w:rPr>
            </w:pPr>
          </w:p>
        </w:tc>
        <w:tc>
          <w:tcPr>
            <w:tcW w:w="1420" w:type="dxa"/>
            <w:vAlign w:val="bottom"/>
            <w:shd w:val="clear" w:color="auto" w:fill="E6E7E7"/>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shd w:val="clear" w:color="auto" w:fill="E6E7E7"/>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shd w:val="clear" w:color="auto" w:fill="E6E7E7"/>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shd w:val="clear" w:color="auto" w:fill="E6E7E7"/>
          </w:tcPr>
          <w:p>
            <w:pPr>
              <w:spacing w:after="0"/>
              <w:rPr>
                <w:sz w:val="22"/>
                <w:szCs w:val="22"/>
                <w:color w:val="auto"/>
              </w:rPr>
            </w:pPr>
          </w:p>
        </w:tc>
        <w:tc>
          <w:tcPr>
            <w:tcW w:w="80" w:type="dxa"/>
            <w:vAlign w:val="bottom"/>
          </w:tcPr>
          <w:p>
            <w:pPr>
              <w:spacing w:after="0"/>
              <w:rPr>
                <w:sz w:val="22"/>
                <w:szCs w:val="22"/>
                <w:color w:val="auto"/>
              </w:rPr>
            </w:pPr>
          </w:p>
        </w:tc>
        <w:tc>
          <w:tcPr>
            <w:tcW w:w="1640" w:type="dxa"/>
            <w:vAlign w:val="bottom"/>
            <w:shd w:val="clear" w:color="auto" w:fill="E6E7E7"/>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shd w:val="clear" w:color="auto" w:fill="E6E7E7"/>
          </w:tcPr>
          <w:p>
            <w:pPr>
              <w:spacing w:after="0"/>
              <w:rPr>
                <w:sz w:val="22"/>
                <w:szCs w:val="22"/>
                <w:color w:val="auto"/>
              </w:rPr>
            </w:pPr>
          </w:p>
        </w:tc>
        <w:tc>
          <w:tcPr>
            <w:tcW w:w="0" w:type="dxa"/>
            <w:vAlign w:val="bottom"/>
          </w:tcPr>
          <w:p>
            <w:pPr>
              <w:spacing w:after="0"/>
              <w:rPr>
                <w:sz w:val="1"/>
                <w:szCs w:val="1"/>
                <w:color w:val="auto"/>
              </w:rPr>
            </w:pPr>
          </w:p>
        </w:tc>
      </w:tr>
      <w:tr>
        <w:trPr>
          <w:trHeight w:val="462"/>
        </w:trPr>
        <w:tc>
          <w:tcPr>
            <w:tcW w:w="2540" w:type="dxa"/>
            <w:vAlign w:val="bottom"/>
            <w:gridSpan w:val="2"/>
          </w:tcPr>
          <w:p>
            <w:pPr>
              <w:ind w:left="20"/>
              <w:spacing w:after="0"/>
              <w:rPr>
                <w:sz w:val="20"/>
                <w:szCs w:val="20"/>
                <w:color w:val="auto"/>
              </w:rPr>
            </w:pPr>
            <w:r>
              <w:rPr>
                <w:rFonts w:ascii="Arial" w:cs="Arial" w:eastAsia="Arial" w:hAnsi="Arial"/>
                <w:sz w:val="16"/>
                <w:szCs w:val="16"/>
                <w:b w:val="1"/>
                <w:bCs w:val="1"/>
                <w:color w:val="520B90"/>
              </w:rPr>
              <w:t>Catherine Piche</w:t>
            </w:r>
          </w:p>
        </w:tc>
        <w:tc>
          <w:tcPr>
            <w:tcW w:w="1720" w:type="dxa"/>
            <w:vAlign w:val="bottom"/>
            <w:gridSpan w:val="2"/>
          </w:tcPr>
          <w:p>
            <w:pPr>
              <w:jc w:val="center"/>
              <w:ind w:left="41"/>
              <w:spacing w:after="0"/>
              <w:rPr>
                <w:sz w:val="20"/>
                <w:szCs w:val="20"/>
                <w:color w:val="auto"/>
              </w:rPr>
            </w:pPr>
            <w:r>
              <w:rPr>
                <w:rFonts w:ascii="Arial" w:cs="Arial" w:eastAsia="Arial" w:hAnsi="Arial"/>
                <w:sz w:val="16"/>
                <w:szCs w:val="16"/>
                <w:color w:val="auto"/>
              </w:rPr>
              <w:t>2025</w:t>
            </w:r>
          </w:p>
        </w:tc>
        <w:tc>
          <w:tcPr>
            <w:tcW w:w="1740" w:type="dxa"/>
            <w:vAlign w:val="bottom"/>
            <w:gridSpan w:val="2"/>
          </w:tcPr>
          <w:p>
            <w:pPr>
              <w:jc w:val="center"/>
              <w:ind w:left="21"/>
              <w:spacing w:after="0"/>
              <w:rPr>
                <w:sz w:val="20"/>
                <w:szCs w:val="20"/>
                <w:color w:val="auto"/>
              </w:rPr>
            </w:pPr>
            <w:r>
              <w:rPr>
                <w:rFonts w:ascii="Arial" w:cs="Arial" w:eastAsia="Arial" w:hAnsi="Arial"/>
                <w:sz w:val="16"/>
                <w:szCs w:val="16"/>
                <w:color w:val="auto"/>
                <w:w w:val="98"/>
              </w:rPr>
              <w:t>17,500</w:t>
            </w:r>
          </w:p>
        </w:tc>
        <w:tc>
          <w:tcPr>
            <w:tcW w:w="1740" w:type="dxa"/>
            <w:vAlign w:val="bottom"/>
            <w:gridSpan w:val="2"/>
          </w:tcPr>
          <w:p>
            <w:pPr>
              <w:jc w:val="center"/>
              <w:ind w:left="21"/>
              <w:spacing w:after="0"/>
              <w:rPr>
                <w:sz w:val="20"/>
                <w:szCs w:val="20"/>
                <w:color w:val="auto"/>
              </w:rPr>
            </w:pPr>
            <w:r>
              <w:rPr>
                <w:rFonts w:ascii="Arial" w:cs="Arial" w:eastAsia="Arial" w:hAnsi="Arial"/>
                <w:sz w:val="16"/>
                <w:szCs w:val="16"/>
                <w:color w:val="auto"/>
                <w:w w:val="98"/>
              </w:rPr>
              <w:t>27,370</w:t>
            </w:r>
          </w:p>
        </w:tc>
        <w:tc>
          <w:tcPr>
            <w:tcW w:w="1720" w:type="dxa"/>
            <w:vAlign w:val="bottom"/>
            <w:gridSpan w:val="2"/>
          </w:tcPr>
          <w:p>
            <w:pPr>
              <w:jc w:val="center"/>
              <w:ind w:left="21"/>
              <w:spacing w:after="0"/>
              <w:rPr>
                <w:sz w:val="20"/>
                <w:szCs w:val="20"/>
                <w:color w:val="auto"/>
              </w:rPr>
            </w:pPr>
            <w:r>
              <w:rPr>
                <w:rFonts w:ascii="Arial" w:cs="Arial" w:eastAsia="Arial" w:hAnsi="Arial"/>
                <w:sz w:val="16"/>
                <w:szCs w:val="16"/>
                <w:color w:val="auto"/>
              </w:rPr>
              <w:t>0</w:t>
            </w:r>
          </w:p>
        </w:tc>
        <w:tc>
          <w:tcPr>
            <w:tcW w:w="1740" w:type="dxa"/>
            <w:vAlign w:val="bottom"/>
            <w:gridSpan w:val="2"/>
          </w:tcPr>
          <w:p>
            <w:pPr>
              <w:jc w:val="center"/>
              <w:ind w:left="21"/>
              <w:spacing w:after="0"/>
              <w:rPr>
                <w:sz w:val="20"/>
                <w:szCs w:val="20"/>
                <w:color w:val="auto"/>
              </w:rPr>
            </w:pPr>
            <w:r>
              <w:rPr>
                <w:rFonts w:ascii="Arial" w:cs="Arial" w:eastAsia="Arial" w:hAnsi="Arial"/>
                <w:sz w:val="16"/>
                <w:szCs w:val="16"/>
                <w:color w:val="auto"/>
                <w:w w:val="98"/>
              </w:rPr>
              <w:t>44,870</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20" w:type="dxa"/>
            <w:vAlign w:val="bottom"/>
            <w:gridSpan w:val="2"/>
          </w:tcPr>
          <w:p>
            <w:pPr>
              <w:jc w:val="center"/>
              <w:ind w:left="41"/>
              <w:spacing w:after="0"/>
              <w:rPr>
                <w:sz w:val="20"/>
                <w:szCs w:val="20"/>
                <w:color w:val="auto"/>
              </w:rPr>
            </w:pPr>
            <w:r>
              <w:rPr>
                <w:rFonts w:ascii="Arial" w:cs="Arial" w:eastAsia="Arial" w:hAnsi="Arial"/>
                <w:sz w:val="16"/>
                <w:szCs w:val="16"/>
                <w:color w:val="auto"/>
              </w:rPr>
              <w:t>2024</w:t>
            </w:r>
          </w:p>
        </w:tc>
        <w:tc>
          <w:tcPr>
            <w:tcW w:w="1740" w:type="dxa"/>
            <w:vAlign w:val="bottom"/>
            <w:gridSpan w:val="2"/>
          </w:tcPr>
          <w:p>
            <w:pPr>
              <w:jc w:val="center"/>
              <w:ind w:left="21"/>
              <w:spacing w:after="0"/>
              <w:rPr>
                <w:sz w:val="20"/>
                <w:szCs w:val="20"/>
                <w:color w:val="auto"/>
              </w:rPr>
            </w:pPr>
            <w:r>
              <w:rPr>
                <w:rFonts w:ascii="Arial" w:cs="Arial" w:eastAsia="Arial" w:hAnsi="Arial"/>
                <w:sz w:val="16"/>
                <w:szCs w:val="16"/>
                <w:color w:val="auto"/>
                <w:w w:val="99"/>
              </w:rPr>
              <w:t>4,231</w:t>
            </w:r>
          </w:p>
        </w:tc>
        <w:tc>
          <w:tcPr>
            <w:tcW w:w="1740" w:type="dxa"/>
            <w:vAlign w:val="bottom"/>
            <w:gridSpan w:val="2"/>
          </w:tcPr>
          <w:p>
            <w:pPr>
              <w:jc w:val="center"/>
              <w:ind w:left="21"/>
              <w:spacing w:after="0"/>
              <w:rPr>
                <w:sz w:val="20"/>
                <w:szCs w:val="20"/>
                <w:color w:val="auto"/>
              </w:rPr>
            </w:pPr>
            <w:r>
              <w:rPr>
                <w:rFonts w:ascii="Arial" w:cs="Arial" w:eastAsia="Arial" w:hAnsi="Arial"/>
                <w:sz w:val="16"/>
                <w:szCs w:val="16"/>
                <w:color w:val="auto"/>
                <w:w w:val="99"/>
              </w:rPr>
              <w:t>4,451</w:t>
            </w:r>
          </w:p>
        </w:tc>
        <w:tc>
          <w:tcPr>
            <w:tcW w:w="1720" w:type="dxa"/>
            <w:vAlign w:val="bottom"/>
            <w:gridSpan w:val="2"/>
          </w:tcPr>
          <w:p>
            <w:pPr>
              <w:jc w:val="center"/>
              <w:ind w:left="21"/>
              <w:spacing w:after="0"/>
              <w:rPr>
                <w:sz w:val="20"/>
                <w:szCs w:val="20"/>
                <w:color w:val="auto"/>
              </w:rPr>
            </w:pPr>
            <w:r>
              <w:rPr>
                <w:rFonts w:ascii="Arial" w:cs="Arial" w:eastAsia="Arial" w:hAnsi="Arial"/>
                <w:sz w:val="16"/>
                <w:szCs w:val="16"/>
                <w:color w:val="auto"/>
              </w:rPr>
              <w:t>0</w:t>
            </w:r>
          </w:p>
        </w:tc>
        <w:tc>
          <w:tcPr>
            <w:tcW w:w="1740" w:type="dxa"/>
            <w:vAlign w:val="bottom"/>
            <w:gridSpan w:val="2"/>
          </w:tcPr>
          <w:p>
            <w:pPr>
              <w:jc w:val="center"/>
              <w:ind w:left="21"/>
              <w:spacing w:after="0"/>
              <w:rPr>
                <w:sz w:val="20"/>
                <w:szCs w:val="20"/>
                <w:color w:val="auto"/>
              </w:rPr>
            </w:pPr>
            <w:r>
              <w:rPr>
                <w:rFonts w:ascii="Arial" w:cs="Arial" w:eastAsia="Arial" w:hAnsi="Arial"/>
                <w:sz w:val="16"/>
                <w:szCs w:val="16"/>
                <w:color w:val="auto"/>
                <w:w w:val="99"/>
              </w:rPr>
              <w:t>8,682</w:t>
            </w:r>
          </w:p>
        </w:tc>
        <w:tc>
          <w:tcPr>
            <w:tcW w:w="0" w:type="dxa"/>
            <w:vAlign w:val="bottom"/>
          </w:tcPr>
          <w:p>
            <w:pPr>
              <w:spacing w:after="0"/>
              <w:rPr>
                <w:sz w:val="1"/>
                <w:szCs w:val="1"/>
                <w:color w:val="auto"/>
              </w:rPr>
            </w:pPr>
          </w:p>
        </w:tc>
      </w:tr>
      <w:tr>
        <w:trPr>
          <w:trHeight w:val="212"/>
        </w:trPr>
        <w:tc>
          <w:tcPr>
            <w:tcW w:w="1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20" w:type="dxa"/>
            <w:vAlign w:val="bottom"/>
            <w:gridSpan w:val="2"/>
          </w:tcPr>
          <w:p>
            <w:pPr>
              <w:jc w:val="center"/>
              <w:ind w:left="41"/>
              <w:spacing w:after="0"/>
              <w:rPr>
                <w:sz w:val="20"/>
                <w:szCs w:val="20"/>
                <w:color w:val="auto"/>
              </w:rPr>
            </w:pPr>
            <w:r>
              <w:rPr>
                <w:rFonts w:ascii="Arial" w:cs="Arial" w:eastAsia="Arial" w:hAnsi="Arial"/>
                <w:sz w:val="16"/>
                <w:szCs w:val="16"/>
                <w:color w:val="auto"/>
              </w:rPr>
              <w:t>2023</w:t>
            </w:r>
          </w:p>
        </w:tc>
        <w:tc>
          <w:tcPr>
            <w:tcW w:w="1740" w:type="dxa"/>
            <w:vAlign w:val="bottom"/>
            <w:gridSpan w:val="2"/>
          </w:tcPr>
          <w:p>
            <w:pPr>
              <w:jc w:val="center"/>
              <w:ind w:left="21"/>
              <w:spacing w:after="0"/>
              <w:rPr>
                <w:sz w:val="20"/>
                <w:szCs w:val="20"/>
                <w:color w:val="auto"/>
              </w:rPr>
            </w:pPr>
            <w:r>
              <w:rPr>
                <w:rFonts w:ascii="Arial" w:cs="Arial" w:eastAsia="Arial" w:hAnsi="Arial"/>
                <w:sz w:val="16"/>
                <w:szCs w:val="16"/>
                <w:color w:val="auto"/>
                <w:w w:val="98"/>
              </w:rPr>
              <w:t>16,500</w:t>
            </w:r>
          </w:p>
        </w:tc>
        <w:tc>
          <w:tcPr>
            <w:tcW w:w="1740" w:type="dxa"/>
            <w:vAlign w:val="bottom"/>
            <w:gridSpan w:val="2"/>
          </w:tcPr>
          <w:p>
            <w:pPr>
              <w:jc w:val="center"/>
              <w:ind w:left="21"/>
              <w:spacing w:after="0"/>
              <w:rPr>
                <w:sz w:val="20"/>
                <w:szCs w:val="20"/>
                <w:color w:val="auto"/>
              </w:rPr>
            </w:pPr>
            <w:r>
              <w:rPr>
                <w:rFonts w:ascii="Arial" w:cs="Arial" w:eastAsia="Arial" w:hAnsi="Arial"/>
                <w:sz w:val="16"/>
                <w:szCs w:val="16"/>
                <w:color w:val="auto"/>
                <w:w w:val="98"/>
              </w:rPr>
              <w:t>19,253</w:t>
            </w:r>
          </w:p>
        </w:tc>
        <w:tc>
          <w:tcPr>
            <w:tcW w:w="1720" w:type="dxa"/>
            <w:vAlign w:val="bottom"/>
            <w:gridSpan w:val="2"/>
          </w:tcPr>
          <w:p>
            <w:pPr>
              <w:jc w:val="center"/>
              <w:ind w:left="21"/>
              <w:spacing w:after="0"/>
              <w:rPr>
                <w:sz w:val="20"/>
                <w:szCs w:val="20"/>
                <w:color w:val="auto"/>
              </w:rPr>
            </w:pPr>
            <w:r>
              <w:rPr>
                <w:rFonts w:ascii="Arial" w:cs="Arial" w:eastAsia="Arial" w:hAnsi="Arial"/>
                <w:sz w:val="16"/>
                <w:szCs w:val="16"/>
                <w:color w:val="auto"/>
              </w:rPr>
              <w:t>147,617</w:t>
            </w:r>
          </w:p>
        </w:tc>
        <w:tc>
          <w:tcPr>
            <w:tcW w:w="1740" w:type="dxa"/>
            <w:vAlign w:val="bottom"/>
            <w:gridSpan w:val="2"/>
          </w:tcPr>
          <w:p>
            <w:pPr>
              <w:jc w:val="center"/>
              <w:ind w:left="21"/>
              <w:spacing w:after="0"/>
              <w:rPr>
                <w:sz w:val="20"/>
                <w:szCs w:val="20"/>
                <w:color w:val="auto"/>
              </w:rPr>
            </w:pPr>
            <w:r>
              <w:rPr>
                <w:rFonts w:ascii="Arial" w:cs="Arial" w:eastAsia="Arial" w:hAnsi="Arial"/>
                <w:sz w:val="16"/>
                <w:szCs w:val="16"/>
                <w:color w:val="auto"/>
                <w:w w:val="96"/>
              </w:rPr>
              <w:t>183,370</w:t>
            </w:r>
          </w:p>
        </w:tc>
        <w:tc>
          <w:tcPr>
            <w:tcW w:w="0" w:type="dxa"/>
            <w:vAlign w:val="bottom"/>
          </w:tcPr>
          <w:p>
            <w:pPr>
              <w:spacing w:after="0"/>
              <w:rPr>
                <w:sz w:val="1"/>
                <w:szCs w:val="1"/>
                <w:color w:val="auto"/>
              </w:rPr>
            </w:pPr>
          </w:p>
        </w:tc>
      </w:tr>
      <w:tr>
        <w:trPr>
          <w:trHeight w:val="254"/>
        </w:trPr>
        <w:tc>
          <w:tcPr>
            <w:tcW w:w="1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720" w:type="dxa"/>
            <w:vAlign w:val="bottom"/>
            <w:gridSpan w:val="2"/>
          </w:tcPr>
          <w:p>
            <w:pPr>
              <w:spacing w:after="0"/>
              <w:rPr>
                <w:sz w:val="22"/>
                <w:szCs w:val="22"/>
                <w:color w:val="auto"/>
              </w:rPr>
            </w:pPr>
          </w:p>
        </w:tc>
        <w:tc>
          <w:tcPr>
            <w:tcW w:w="1740" w:type="dxa"/>
            <w:vAlign w:val="bottom"/>
            <w:gridSpan w:val="2"/>
          </w:tcPr>
          <w:p>
            <w:pPr>
              <w:spacing w:after="0"/>
              <w:rPr>
                <w:sz w:val="22"/>
                <w:szCs w:val="22"/>
                <w:color w:val="auto"/>
              </w:rPr>
            </w:pPr>
          </w:p>
        </w:tc>
        <w:tc>
          <w:tcPr>
            <w:tcW w:w="1740" w:type="dxa"/>
            <w:vAlign w:val="bottom"/>
            <w:gridSpan w:val="2"/>
          </w:tcPr>
          <w:p>
            <w:pPr>
              <w:spacing w:after="0"/>
              <w:rPr>
                <w:sz w:val="22"/>
                <w:szCs w:val="22"/>
                <w:color w:val="auto"/>
              </w:rPr>
            </w:pPr>
          </w:p>
        </w:tc>
        <w:tc>
          <w:tcPr>
            <w:tcW w:w="1720" w:type="dxa"/>
            <w:vAlign w:val="bottom"/>
            <w:gridSpan w:val="2"/>
          </w:tcPr>
          <w:p>
            <w:pPr>
              <w:spacing w:after="0"/>
              <w:rPr>
                <w:sz w:val="22"/>
                <w:szCs w:val="22"/>
                <w:color w:val="auto"/>
              </w:rPr>
            </w:pPr>
          </w:p>
        </w:tc>
        <w:tc>
          <w:tcPr>
            <w:tcW w:w="174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462"/>
        </w:trPr>
        <w:tc>
          <w:tcPr>
            <w:tcW w:w="2540" w:type="dxa"/>
            <w:vAlign w:val="bottom"/>
            <w:gridSpan w:val="2"/>
            <w:shd w:val="clear" w:color="auto" w:fill="E6E7E7"/>
          </w:tcPr>
          <w:p>
            <w:pPr>
              <w:ind w:left="20"/>
              <w:spacing w:after="0"/>
              <w:rPr>
                <w:sz w:val="20"/>
                <w:szCs w:val="20"/>
                <w:color w:val="auto"/>
              </w:rPr>
            </w:pPr>
            <w:r>
              <w:rPr>
                <w:rFonts w:ascii="Arial" w:cs="Arial" w:eastAsia="Arial" w:hAnsi="Arial"/>
                <w:sz w:val="16"/>
                <w:szCs w:val="16"/>
                <w:b w:val="1"/>
                <w:bCs w:val="1"/>
                <w:color w:val="520B90"/>
              </w:rPr>
              <w:t>Steven J. Moskowitz</w:t>
            </w:r>
          </w:p>
        </w:tc>
        <w:tc>
          <w:tcPr>
            <w:tcW w:w="100" w:type="dxa"/>
            <w:vAlign w:val="bottom"/>
          </w:tcPr>
          <w:p>
            <w:pPr>
              <w:spacing w:after="0"/>
              <w:rPr>
                <w:sz w:val="24"/>
                <w:szCs w:val="24"/>
                <w:color w:val="auto"/>
              </w:rPr>
            </w:pPr>
          </w:p>
        </w:tc>
        <w:tc>
          <w:tcPr>
            <w:tcW w:w="162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2025</w:t>
            </w:r>
          </w:p>
        </w:tc>
        <w:tc>
          <w:tcPr>
            <w:tcW w:w="100" w:type="dxa"/>
            <w:vAlign w:val="bottom"/>
          </w:tcPr>
          <w:p>
            <w:pPr>
              <w:spacing w:after="0"/>
              <w:rPr>
                <w:sz w:val="24"/>
                <w:szCs w:val="24"/>
                <w:color w:val="auto"/>
              </w:rPr>
            </w:pPr>
          </w:p>
        </w:tc>
        <w:tc>
          <w:tcPr>
            <w:tcW w:w="164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8"/>
              </w:rPr>
              <w:t>17,500</w:t>
            </w:r>
          </w:p>
        </w:tc>
        <w:tc>
          <w:tcPr>
            <w:tcW w:w="100" w:type="dxa"/>
            <w:vAlign w:val="bottom"/>
          </w:tcPr>
          <w:p>
            <w:pPr>
              <w:spacing w:after="0"/>
              <w:rPr>
                <w:sz w:val="24"/>
                <w:szCs w:val="24"/>
                <w:color w:val="auto"/>
              </w:rPr>
            </w:pPr>
          </w:p>
        </w:tc>
        <w:tc>
          <w:tcPr>
            <w:tcW w:w="164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8"/>
              </w:rPr>
              <w:t>29,073</w:t>
            </w:r>
          </w:p>
        </w:tc>
        <w:tc>
          <w:tcPr>
            <w:tcW w:w="80" w:type="dxa"/>
            <w:vAlign w:val="bottom"/>
          </w:tcPr>
          <w:p>
            <w:pPr>
              <w:spacing w:after="0"/>
              <w:rPr>
                <w:sz w:val="24"/>
                <w:szCs w:val="24"/>
                <w:color w:val="auto"/>
              </w:rPr>
            </w:pPr>
          </w:p>
        </w:tc>
        <w:tc>
          <w:tcPr>
            <w:tcW w:w="164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8"/>
              </w:rPr>
              <w:t>4,950,000</w:t>
            </w:r>
          </w:p>
        </w:tc>
        <w:tc>
          <w:tcPr>
            <w:tcW w:w="100" w:type="dxa"/>
            <w:vAlign w:val="bottom"/>
          </w:tcPr>
          <w:p>
            <w:pPr>
              <w:spacing w:after="0"/>
              <w:rPr>
                <w:sz w:val="24"/>
                <w:szCs w:val="24"/>
                <w:color w:val="auto"/>
              </w:rPr>
            </w:pPr>
          </w:p>
        </w:tc>
        <w:tc>
          <w:tcPr>
            <w:tcW w:w="164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4,996,573</w:t>
            </w:r>
          </w:p>
        </w:tc>
        <w:tc>
          <w:tcPr>
            <w:tcW w:w="0" w:type="dxa"/>
            <w:vAlign w:val="bottom"/>
          </w:tcPr>
          <w:p>
            <w:pPr>
              <w:spacing w:after="0"/>
              <w:rPr>
                <w:sz w:val="1"/>
                <w:szCs w:val="1"/>
                <w:color w:val="auto"/>
              </w:rPr>
            </w:pPr>
          </w:p>
        </w:tc>
      </w:tr>
      <w:tr>
        <w:trPr>
          <w:trHeight w:val="210"/>
        </w:trPr>
        <w:tc>
          <w:tcPr>
            <w:tcW w:w="1120" w:type="dxa"/>
            <w:vAlign w:val="bottom"/>
            <w:shd w:val="clear" w:color="auto" w:fill="E6E7E7"/>
          </w:tcPr>
          <w:p>
            <w:pPr>
              <w:spacing w:after="0"/>
              <w:rPr>
                <w:sz w:val="18"/>
                <w:szCs w:val="18"/>
                <w:color w:val="auto"/>
              </w:rPr>
            </w:pPr>
          </w:p>
        </w:tc>
        <w:tc>
          <w:tcPr>
            <w:tcW w:w="1420" w:type="dxa"/>
            <w:vAlign w:val="bottom"/>
            <w:shd w:val="clear" w:color="auto" w:fill="E6E7E7"/>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8"/>
                <w:szCs w:val="18"/>
                <w:color w:val="auto"/>
              </w:rPr>
            </w:pPr>
          </w:p>
        </w:tc>
        <w:tc>
          <w:tcPr>
            <w:tcW w:w="164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8"/>
              </w:rPr>
              <w:t>17,250</w:t>
            </w:r>
          </w:p>
        </w:tc>
        <w:tc>
          <w:tcPr>
            <w:tcW w:w="100" w:type="dxa"/>
            <w:vAlign w:val="bottom"/>
          </w:tcPr>
          <w:p>
            <w:pPr>
              <w:spacing w:after="0"/>
              <w:rPr>
                <w:sz w:val="18"/>
                <w:szCs w:val="18"/>
                <w:color w:val="auto"/>
              </w:rPr>
            </w:pPr>
          </w:p>
        </w:tc>
        <w:tc>
          <w:tcPr>
            <w:tcW w:w="164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8"/>
              </w:rPr>
              <w:t>17,865</w:t>
            </w:r>
          </w:p>
        </w:tc>
        <w:tc>
          <w:tcPr>
            <w:tcW w:w="80" w:type="dxa"/>
            <w:vAlign w:val="bottom"/>
          </w:tcPr>
          <w:p>
            <w:pPr>
              <w:spacing w:after="0"/>
              <w:rPr>
                <w:sz w:val="18"/>
                <w:szCs w:val="18"/>
                <w:color w:val="auto"/>
              </w:rPr>
            </w:pPr>
          </w:p>
        </w:tc>
        <w:tc>
          <w:tcPr>
            <w:tcW w:w="164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8"/>
                <w:szCs w:val="18"/>
                <w:color w:val="auto"/>
              </w:rPr>
            </w:pPr>
          </w:p>
        </w:tc>
        <w:tc>
          <w:tcPr>
            <w:tcW w:w="164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8"/>
              </w:rPr>
              <w:t>35,115</w:t>
            </w:r>
          </w:p>
        </w:tc>
        <w:tc>
          <w:tcPr>
            <w:tcW w:w="0" w:type="dxa"/>
            <w:vAlign w:val="bottom"/>
          </w:tcPr>
          <w:p>
            <w:pPr>
              <w:spacing w:after="0"/>
              <w:rPr>
                <w:sz w:val="1"/>
                <w:szCs w:val="1"/>
                <w:color w:val="auto"/>
              </w:rPr>
            </w:pPr>
          </w:p>
        </w:tc>
      </w:tr>
      <w:tr>
        <w:trPr>
          <w:trHeight w:val="254"/>
        </w:trPr>
        <w:tc>
          <w:tcPr>
            <w:tcW w:w="1120" w:type="dxa"/>
            <w:vAlign w:val="bottom"/>
            <w:shd w:val="clear" w:color="auto" w:fill="E6E7E7"/>
          </w:tcPr>
          <w:p>
            <w:pPr>
              <w:spacing w:after="0"/>
              <w:rPr>
                <w:sz w:val="22"/>
                <w:szCs w:val="22"/>
                <w:color w:val="auto"/>
              </w:rPr>
            </w:pPr>
          </w:p>
        </w:tc>
        <w:tc>
          <w:tcPr>
            <w:tcW w:w="1420" w:type="dxa"/>
            <w:vAlign w:val="bottom"/>
            <w:shd w:val="clear" w:color="auto" w:fill="E6E7E7"/>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shd w:val="clear" w:color="auto" w:fill="E6E7E7"/>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shd w:val="clear" w:color="auto" w:fill="E6E7E7"/>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shd w:val="clear" w:color="auto" w:fill="E6E7E7"/>
          </w:tcPr>
          <w:p>
            <w:pPr>
              <w:spacing w:after="0"/>
              <w:rPr>
                <w:sz w:val="22"/>
                <w:szCs w:val="22"/>
                <w:color w:val="auto"/>
              </w:rPr>
            </w:pPr>
          </w:p>
        </w:tc>
        <w:tc>
          <w:tcPr>
            <w:tcW w:w="80" w:type="dxa"/>
            <w:vAlign w:val="bottom"/>
          </w:tcPr>
          <w:p>
            <w:pPr>
              <w:spacing w:after="0"/>
              <w:rPr>
                <w:sz w:val="22"/>
                <w:szCs w:val="22"/>
                <w:color w:val="auto"/>
              </w:rPr>
            </w:pPr>
          </w:p>
        </w:tc>
        <w:tc>
          <w:tcPr>
            <w:tcW w:w="1640" w:type="dxa"/>
            <w:vAlign w:val="bottom"/>
            <w:shd w:val="clear" w:color="auto" w:fill="E6E7E7"/>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shd w:val="clear" w:color="auto" w:fill="E6E7E7"/>
          </w:tcPr>
          <w:p>
            <w:pPr>
              <w:spacing w:after="0"/>
              <w:rPr>
                <w:sz w:val="22"/>
                <w:szCs w:val="22"/>
                <w:color w:val="auto"/>
              </w:rPr>
            </w:pPr>
          </w:p>
        </w:tc>
        <w:tc>
          <w:tcPr>
            <w:tcW w:w="0" w:type="dxa"/>
            <w:vAlign w:val="bottom"/>
          </w:tcPr>
          <w:p>
            <w:pPr>
              <w:spacing w:after="0"/>
              <w:rPr>
                <w:sz w:val="1"/>
                <w:szCs w:val="1"/>
                <w:color w:val="auto"/>
              </w:rPr>
            </w:pPr>
          </w:p>
        </w:tc>
      </w:tr>
      <w:tr>
        <w:trPr>
          <w:trHeight w:val="159"/>
        </w:trPr>
        <w:tc>
          <w:tcPr>
            <w:tcW w:w="1120" w:type="dxa"/>
            <w:vAlign w:val="bottom"/>
            <w:tcBorders>
              <w:bottom w:val="single" w:sz="8" w:color="auto"/>
            </w:tcBorders>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320" w:hanging="314"/>
        <w:spacing w:after="0" w:line="267" w:lineRule="auto"/>
        <w:tabs>
          <w:tab w:leader="none" w:pos="311" w:val="left"/>
        </w:tabs>
        <w:numPr>
          <w:ilvl w:val="0"/>
          <w:numId w:val="137"/>
        </w:numPr>
        <w:rPr>
          <w:rFonts w:ascii="Arial" w:cs="Arial" w:eastAsia="Arial" w:hAnsi="Arial"/>
          <w:sz w:val="13"/>
          <w:szCs w:val="13"/>
          <w:color w:val="auto"/>
        </w:rPr>
      </w:pPr>
      <w:r>
        <w:rPr>
          <w:rFonts w:ascii="Arial" w:cs="Arial" w:eastAsia="Arial" w:hAnsi="Arial"/>
          <w:sz w:val="13"/>
          <w:szCs w:val="13"/>
          <w:color w:val="auto"/>
        </w:rPr>
        <w:t>For 2025, represents the Base Match, as applicable, made to the NEOs under the 401(k) Plan, as discussed in "IV. Executive Compensation—Compensation Discussion and Analysis— Other Elements of Executive Compensation—Retirement Benefits." For 2023 and 2024, represents our matching contribution (dollar for dollar on up to 5% of the executive's cash compensation contributed) and an additional profit sharing contribution equal to 5% of the executive's cash compensation made to the NEOs, as applicable, under the 401(k) Plan relating to the applicable fiscal year.</w:t>
      </w:r>
    </w:p>
    <w:p>
      <w:pPr>
        <w:spacing w:after="0" w:line="9" w:lineRule="exact"/>
        <w:rPr>
          <w:rFonts w:ascii="Arial" w:cs="Arial" w:eastAsia="Arial" w:hAnsi="Arial"/>
          <w:sz w:val="13"/>
          <w:szCs w:val="13"/>
          <w:color w:val="auto"/>
        </w:rPr>
      </w:pPr>
    </w:p>
    <w:p>
      <w:pPr>
        <w:ind w:left="320" w:right="560" w:hanging="314"/>
        <w:spacing w:after="0" w:line="276" w:lineRule="auto"/>
        <w:tabs>
          <w:tab w:leader="none" w:pos="311" w:val="left"/>
        </w:tabs>
        <w:numPr>
          <w:ilvl w:val="0"/>
          <w:numId w:val="137"/>
        </w:numPr>
        <w:rPr>
          <w:rFonts w:ascii="Arial" w:cs="Arial" w:eastAsia="Arial" w:hAnsi="Arial"/>
          <w:sz w:val="13"/>
          <w:szCs w:val="13"/>
          <w:color w:val="auto"/>
        </w:rPr>
      </w:pPr>
      <w:r>
        <w:rPr>
          <w:rFonts w:ascii="Arial" w:cs="Arial" w:eastAsia="Arial" w:hAnsi="Arial"/>
          <w:sz w:val="13"/>
          <w:szCs w:val="13"/>
          <w:color w:val="auto"/>
        </w:rPr>
        <w:t>Represents the portion of the NEO's health and welfare insurance premiums paid by us for the applicable fiscal year. The health and welfare benefits for which a portion of these premiums were paid included the following:</w:t>
      </w:r>
    </w:p>
    <w:p>
      <w:pPr>
        <w:ind w:left="680" w:hanging="198"/>
        <w:spacing w:after="0"/>
        <w:tabs>
          <w:tab w:leader="none" w:pos="680" w:val="left"/>
        </w:tabs>
        <w:numPr>
          <w:ilvl w:val="1"/>
          <w:numId w:val="137"/>
        </w:numPr>
        <w:rPr>
          <w:rFonts w:ascii="Arial" w:cs="Arial" w:eastAsia="Arial" w:hAnsi="Arial"/>
          <w:sz w:val="13"/>
          <w:szCs w:val="13"/>
          <w:color w:val="520B90"/>
        </w:rPr>
      </w:pPr>
      <w:r>
        <w:rPr>
          <w:rFonts w:ascii="Arial" w:cs="Arial" w:eastAsia="Arial" w:hAnsi="Arial"/>
          <w:sz w:val="13"/>
          <w:szCs w:val="13"/>
          <w:color w:val="auto"/>
        </w:rPr>
        <w:t>Medical, dental and vision insurance</w:t>
      </w:r>
    </w:p>
    <w:p>
      <w:pPr>
        <w:spacing w:after="0" w:line="49" w:lineRule="exact"/>
        <w:rPr>
          <w:rFonts w:ascii="Arial" w:cs="Arial" w:eastAsia="Arial" w:hAnsi="Arial"/>
          <w:sz w:val="13"/>
          <w:szCs w:val="13"/>
          <w:color w:val="520B90"/>
        </w:rPr>
      </w:pPr>
    </w:p>
    <w:p>
      <w:pPr>
        <w:ind w:left="680" w:hanging="198"/>
        <w:spacing w:after="0"/>
        <w:tabs>
          <w:tab w:leader="none" w:pos="680" w:val="left"/>
        </w:tabs>
        <w:numPr>
          <w:ilvl w:val="1"/>
          <w:numId w:val="137"/>
        </w:numPr>
        <w:rPr>
          <w:rFonts w:ascii="Arial" w:cs="Arial" w:eastAsia="Arial" w:hAnsi="Arial"/>
          <w:sz w:val="13"/>
          <w:szCs w:val="13"/>
          <w:color w:val="520B90"/>
        </w:rPr>
      </w:pPr>
      <w:r>
        <w:rPr>
          <w:rFonts w:ascii="Arial" w:cs="Arial" w:eastAsia="Arial" w:hAnsi="Arial"/>
          <w:sz w:val="13"/>
          <w:szCs w:val="13"/>
          <w:color w:val="auto"/>
        </w:rPr>
        <w:t>Basic life insurance</w:t>
      </w:r>
    </w:p>
    <w:p>
      <w:pPr>
        <w:spacing w:after="0" w:line="49" w:lineRule="exact"/>
        <w:rPr>
          <w:rFonts w:ascii="Arial" w:cs="Arial" w:eastAsia="Arial" w:hAnsi="Arial"/>
          <w:sz w:val="13"/>
          <w:szCs w:val="13"/>
          <w:color w:val="520B90"/>
        </w:rPr>
      </w:pPr>
    </w:p>
    <w:p>
      <w:pPr>
        <w:ind w:left="680" w:hanging="198"/>
        <w:spacing w:after="0"/>
        <w:tabs>
          <w:tab w:leader="none" w:pos="680" w:val="left"/>
        </w:tabs>
        <w:numPr>
          <w:ilvl w:val="1"/>
          <w:numId w:val="137"/>
        </w:numPr>
        <w:rPr>
          <w:rFonts w:ascii="Arial" w:cs="Arial" w:eastAsia="Arial" w:hAnsi="Arial"/>
          <w:sz w:val="13"/>
          <w:szCs w:val="13"/>
          <w:color w:val="520B90"/>
        </w:rPr>
      </w:pPr>
      <w:r>
        <w:rPr>
          <w:rFonts w:ascii="Arial" w:cs="Arial" w:eastAsia="Arial" w:hAnsi="Arial"/>
          <w:sz w:val="13"/>
          <w:szCs w:val="13"/>
          <w:color w:val="auto"/>
        </w:rPr>
        <w:t>Short-term disability insurance</w:t>
      </w:r>
    </w:p>
    <w:p>
      <w:pPr>
        <w:spacing w:after="0" w:line="35" w:lineRule="exact"/>
        <w:rPr>
          <w:rFonts w:ascii="Arial" w:cs="Arial" w:eastAsia="Arial" w:hAnsi="Arial"/>
          <w:sz w:val="13"/>
          <w:szCs w:val="13"/>
          <w:color w:val="520B90"/>
        </w:rPr>
      </w:pPr>
    </w:p>
    <w:p>
      <w:pPr>
        <w:ind w:left="680" w:hanging="198"/>
        <w:spacing w:after="0"/>
        <w:tabs>
          <w:tab w:leader="none" w:pos="680" w:val="left"/>
        </w:tabs>
        <w:numPr>
          <w:ilvl w:val="1"/>
          <w:numId w:val="137"/>
        </w:numPr>
        <w:rPr>
          <w:rFonts w:ascii="Arial" w:cs="Arial" w:eastAsia="Arial" w:hAnsi="Arial"/>
          <w:sz w:val="13"/>
          <w:szCs w:val="13"/>
          <w:color w:val="520B90"/>
        </w:rPr>
      </w:pPr>
      <w:r>
        <w:rPr>
          <w:rFonts w:ascii="Arial" w:cs="Arial" w:eastAsia="Arial" w:hAnsi="Arial"/>
          <w:sz w:val="13"/>
          <w:szCs w:val="13"/>
          <w:color w:val="auto"/>
        </w:rPr>
        <w:t>Long-term disability insurance</w:t>
      </w:r>
    </w:p>
    <w:p>
      <w:pPr>
        <w:spacing w:after="0" w:line="49" w:lineRule="exact"/>
        <w:rPr>
          <w:rFonts w:ascii="Arial" w:cs="Arial" w:eastAsia="Arial" w:hAnsi="Arial"/>
          <w:sz w:val="13"/>
          <w:szCs w:val="13"/>
          <w:color w:val="520B90"/>
        </w:rPr>
      </w:pPr>
    </w:p>
    <w:p>
      <w:pPr>
        <w:ind w:left="320" w:right="20" w:hanging="314"/>
        <w:spacing w:after="0" w:line="267" w:lineRule="auto"/>
        <w:tabs>
          <w:tab w:leader="none" w:pos="304" w:val="left"/>
        </w:tabs>
        <w:numPr>
          <w:ilvl w:val="0"/>
          <w:numId w:val="137"/>
        </w:numPr>
        <w:rPr>
          <w:rFonts w:ascii="Arial" w:cs="Arial" w:eastAsia="Arial" w:hAnsi="Arial"/>
          <w:sz w:val="13"/>
          <w:szCs w:val="13"/>
          <w:color w:val="auto"/>
        </w:rPr>
      </w:pPr>
      <w:r>
        <w:rPr>
          <w:rFonts w:ascii="Arial" w:cs="Arial" w:eastAsia="Arial" w:hAnsi="Arial"/>
          <w:sz w:val="13"/>
          <w:szCs w:val="13"/>
          <w:color w:val="auto"/>
        </w:rPr>
        <w:t>For Mr. Hillabrant, includes (i) $73,161 in reimbursable relocation, temporary lodging and legal expenses that were incurred in 2025 in connection with his commencement of employment and relocation to the Houston, Texas area; and (ii) tax assistance in the form of a tax gross-up of $20,330 related to relocation and temporary lodging reimbursements. For Mr. Patel, represents amounts earned in 2025 for his service as a non-employee director prior to his appointment as EVP &amp; CFO effective April 1, 2025. For Ms. Piche, represents (i) $131,250 paid in 2023 pursuant to an October</w:t>
      </w:r>
    </w:p>
    <w:p>
      <w:pPr>
        <w:spacing w:after="0" w:line="353"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ectPr>
          <w:pgSz w:w="11900" w:h="16838" w:orient="portrait"/>
          <w:cols w:equalWidth="0" w:num="1">
            <w:col w:w="11200"/>
          </w:cols>
          <w:pgMar w:left="320" w:top="1391" w:right="379" w:bottom="1440" w:gutter="0" w:footer="0" w:header="0"/>
        </w:sectPr>
      </w:pP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391" w:right="379" w:bottom="1440" w:gutter="0" w:footer="0" w:header="0"/>
          <w:type w:val="continuous"/>
        </w:sectPr>
      </w:pPr>
    </w:p>
    <w:bookmarkStart w:id="62" w:name="page63"/>
    <w:bookmarkEnd w:id="62"/>
    <w:p>
      <w:pPr>
        <w:ind w:left="314"/>
        <w:spacing w:after="0" w:line="276" w:lineRule="auto"/>
        <w:rPr>
          <w:sz w:val="20"/>
          <w:szCs w:val="20"/>
          <w:color w:val="auto"/>
        </w:rPr>
      </w:pPr>
      <w:r>
        <w:rPr>
          <w:rFonts w:ascii="Arial" w:cs="Arial" w:eastAsia="Arial" w:hAnsi="Arial"/>
          <w:sz w:val="13"/>
          <w:szCs w:val="13"/>
          <w:color w:val="auto"/>
        </w:rPr>
        <w:t>6, 2023, separation and release agreement; and (ii) $16,367 provided in 2023 in connection with reimbursable relocation assistance expenses. For Mr. Moskowitz, represents a lump sum severance payment of $4.950 million paid to him following the occurrence of a Qualifying Termination, as defined in his Severance Agreement.</w:t>
      </w:r>
    </w:p>
    <w:p>
      <w:pPr>
        <w:ind w:left="314" w:right="120" w:hanging="314"/>
        <w:spacing w:after="0" w:line="293" w:lineRule="auto"/>
        <w:tabs>
          <w:tab w:leader="none" w:pos="305" w:val="left"/>
        </w:tabs>
        <w:numPr>
          <w:ilvl w:val="0"/>
          <w:numId w:val="138"/>
        </w:numPr>
        <w:rPr>
          <w:rFonts w:ascii="Arial" w:cs="Arial" w:eastAsia="Arial" w:hAnsi="Arial"/>
          <w:sz w:val="13"/>
          <w:szCs w:val="13"/>
          <w:color w:val="auto"/>
        </w:rPr>
      </w:pPr>
      <w:r>
        <w:rPr>
          <w:rFonts w:ascii="Arial" w:cs="Arial" w:eastAsia="Arial" w:hAnsi="Arial"/>
          <w:sz w:val="13"/>
          <w:szCs w:val="13"/>
          <w:color w:val="auto"/>
        </w:rPr>
        <w:t>Represents the aggregate value of all other compensation elements for the applicable fiscal year, which is included above in the "All Other Compensation" column of the table under "IV. Executive Compensation—Summary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54"/>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ind w:right="-53"/>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7160260" cy="4191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94"/>
          </w:cols>
          <w:pgMar w:left="326" w:top="1278" w:right="37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Grants of Plan-Based Awards in 2025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and the footnotes thereto provide information regarding grants of plan-based equity and non-equity awards made to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NEOs during 2025:</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40" w:type="dxa"/>
            <w:vAlign w:val="bottom"/>
            <w:gridSpan w:val="7"/>
          </w:tcPr>
          <w:p>
            <w:pPr>
              <w:jc w:val="center"/>
              <w:spacing w:after="0"/>
              <w:rPr>
                <w:sz w:val="20"/>
                <w:szCs w:val="20"/>
                <w:color w:val="auto"/>
              </w:rPr>
            </w:pPr>
            <w:r>
              <w:rPr>
                <w:rFonts w:ascii="Arial" w:cs="Arial" w:eastAsia="Arial" w:hAnsi="Arial"/>
                <w:sz w:val="13"/>
                <w:szCs w:val="13"/>
                <w:b w:val="1"/>
                <w:bCs w:val="1"/>
                <w:color w:val="520B90"/>
              </w:rPr>
              <w:t>Estimated Future Payouts</w:t>
            </w:r>
          </w:p>
        </w:tc>
        <w:tc>
          <w:tcPr>
            <w:tcW w:w="100" w:type="dxa"/>
            <w:vAlign w:val="bottom"/>
          </w:tcPr>
          <w:p>
            <w:pPr>
              <w:spacing w:after="0"/>
              <w:rPr>
                <w:sz w:val="13"/>
                <w:szCs w:val="13"/>
                <w:color w:val="auto"/>
              </w:rPr>
            </w:pPr>
          </w:p>
        </w:tc>
        <w:tc>
          <w:tcPr>
            <w:tcW w:w="2800" w:type="dxa"/>
            <w:vAlign w:val="bottom"/>
            <w:gridSpan w:val="5"/>
          </w:tcPr>
          <w:p>
            <w:pPr>
              <w:jc w:val="center"/>
              <w:spacing w:after="0"/>
              <w:rPr>
                <w:sz w:val="20"/>
                <w:szCs w:val="20"/>
                <w:color w:val="auto"/>
              </w:rPr>
            </w:pPr>
            <w:r>
              <w:rPr>
                <w:rFonts w:ascii="Arial" w:cs="Arial" w:eastAsia="Arial" w:hAnsi="Arial"/>
                <w:sz w:val="13"/>
                <w:szCs w:val="13"/>
                <w:b w:val="1"/>
                <w:bCs w:val="1"/>
                <w:color w:val="520B90"/>
              </w:rPr>
              <w:t>Estimated Future Payouts</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20" w:type="dxa"/>
            <w:vAlign w:val="bottom"/>
            <w:gridSpan w:val="5"/>
          </w:tcPr>
          <w:p>
            <w:pPr>
              <w:jc w:val="center"/>
              <w:ind w:right="20"/>
              <w:spacing w:after="0" w:line="133" w:lineRule="exact"/>
              <w:rPr>
                <w:sz w:val="20"/>
                <w:szCs w:val="20"/>
                <w:color w:val="auto"/>
              </w:rPr>
            </w:pPr>
            <w:r>
              <w:rPr>
                <w:rFonts w:ascii="Arial" w:cs="Arial" w:eastAsia="Arial" w:hAnsi="Arial"/>
                <w:sz w:val="13"/>
                <w:szCs w:val="13"/>
                <w:b w:val="1"/>
                <w:bCs w:val="1"/>
                <w:color w:val="520B90"/>
              </w:rPr>
              <w:t>Under Non-Equity</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gridSpan w:val="2"/>
          </w:tcPr>
          <w:p>
            <w:pPr>
              <w:jc w:val="center"/>
              <w:spacing w:after="0" w:line="133" w:lineRule="exact"/>
              <w:rPr>
                <w:sz w:val="20"/>
                <w:szCs w:val="20"/>
                <w:color w:val="auto"/>
              </w:rPr>
            </w:pPr>
            <w:r>
              <w:rPr>
                <w:rFonts w:ascii="Arial" w:cs="Arial" w:eastAsia="Arial" w:hAnsi="Arial"/>
                <w:sz w:val="13"/>
                <w:szCs w:val="13"/>
                <w:b w:val="1"/>
                <w:bCs w:val="1"/>
                <w:color w:val="520B90"/>
              </w:rPr>
              <w:t>Under Equity</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40" w:type="dxa"/>
            <w:vAlign w:val="bottom"/>
            <w:tcBorders>
              <w:bottom w:val="single" w:sz="8" w:color="520B90"/>
            </w:tcBorders>
            <w:gridSpan w:val="7"/>
          </w:tcPr>
          <w:p>
            <w:pPr>
              <w:jc w:val="center"/>
              <w:spacing w:after="0"/>
              <w:rPr>
                <w:sz w:val="20"/>
                <w:szCs w:val="20"/>
                <w:color w:val="auto"/>
              </w:rPr>
            </w:pPr>
            <w:r>
              <w:rPr>
                <w:rFonts w:ascii="Arial" w:cs="Arial" w:eastAsia="Arial" w:hAnsi="Arial"/>
                <w:sz w:val="13"/>
                <w:szCs w:val="13"/>
                <w:b w:val="1"/>
                <w:bCs w:val="1"/>
                <w:color w:val="520B90"/>
              </w:rPr>
              <w:t>Incentive Plan Awards(a)</w:t>
            </w:r>
          </w:p>
        </w:tc>
        <w:tc>
          <w:tcPr>
            <w:tcW w:w="100" w:type="dxa"/>
            <w:vAlign w:val="bottom"/>
          </w:tcPr>
          <w:p>
            <w:pPr>
              <w:spacing w:after="0"/>
              <w:rPr>
                <w:sz w:val="15"/>
                <w:szCs w:val="15"/>
                <w:color w:val="auto"/>
              </w:rPr>
            </w:pPr>
          </w:p>
        </w:tc>
        <w:tc>
          <w:tcPr>
            <w:tcW w:w="2800" w:type="dxa"/>
            <w:vAlign w:val="bottom"/>
            <w:tcBorders>
              <w:bottom w:val="single" w:sz="8" w:color="520B90"/>
            </w:tcBorders>
            <w:gridSpan w:val="5"/>
          </w:tcPr>
          <w:p>
            <w:pPr>
              <w:jc w:val="center"/>
              <w:spacing w:after="0"/>
              <w:rPr>
                <w:sz w:val="20"/>
                <w:szCs w:val="20"/>
                <w:color w:val="auto"/>
              </w:rPr>
            </w:pPr>
            <w:r>
              <w:rPr>
                <w:rFonts w:ascii="Arial" w:cs="Arial" w:eastAsia="Arial" w:hAnsi="Arial"/>
                <w:sz w:val="13"/>
                <w:szCs w:val="13"/>
                <w:b w:val="1"/>
                <w:bCs w:val="1"/>
                <w:color w:val="520B90"/>
              </w:rPr>
              <w:t>Incentive Plan Awards(b)</w:t>
            </w: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520B90"/>
              </w:rPr>
              <w:t>All Other</w:t>
            </w: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520B90"/>
              </w:rPr>
              <w:t>Grant Date Fair</w:t>
            </w:r>
          </w:p>
        </w:tc>
        <w:tc>
          <w:tcPr>
            <w:tcW w:w="0" w:type="dxa"/>
            <w:vAlign w:val="bottom"/>
          </w:tcPr>
          <w:p>
            <w:pPr>
              <w:spacing w:after="0"/>
              <w:rPr>
                <w:sz w:val="1"/>
                <w:szCs w:val="1"/>
                <w:color w:val="auto"/>
              </w:rPr>
            </w:pPr>
          </w:p>
        </w:tc>
      </w:tr>
      <w:tr>
        <w:trPr>
          <w:trHeight w:val="26"/>
        </w:trPr>
        <w:tc>
          <w:tcPr>
            <w:tcW w:w="1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520B90"/>
            </w:tcBorders>
          </w:tcPr>
          <w:p>
            <w:pPr>
              <w:spacing w:after="0"/>
              <w:rPr>
                <w:sz w:val="2"/>
                <w:szCs w:val="2"/>
                <w:color w:val="auto"/>
              </w:rPr>
            </w:pPr>
          </w:p>
        </w:tc>
        <w:tc>
          <w:tcPr>
            <w:tcW w:w="120" w:type="dxa"/>
            <w:vAlign w:val="bottom"/>
            <w:tcBorders>
              <w:bottom w:val="single" w:sz="8" w:color="520B90"/>
            </w:tcBorders>
          </w:tcPr>
          <w:p>
            <w:pPr>
              <w:spacing w:after="0"/>
              <w:rPr>
                <w:sz w:val="2"/>
                <w:szCs w:val="2"/>
                <w:color w:val="auto"/>
              </w:rPr>
            </w:pPr>
          </w:p>
        </w:tc>
        <w:tc>
          <w:tcPr>
            <w:tcW w:w="100" w:type="dxa"/>
            <w:vAlign w:val="bottom"/>
            <w:tcBorders>
              <w:bottom w:val="single" w:sz="8" w:color="520B90"/>
            </w:tcBorders>
          </w:tcPr>
          <w:p>
            <w:pPr>
              <w:spacing w:after="0"/>
              <w:rPr>
                <w:sz w:val="2"/>
                <w:szCs w:val="2"/>
                <w:color w:val="auto"/>
              </w:rPr>
            </w:pPr>
          </w:p>
        </w:tc>
        <w:tc>
          <w:tcPr>
            <w:tcW w:w="820" w:type="dxa"/>
            <w:vAlign w:val="bottom"/>
            <w:tcBorders>
              <w:bottom w:val="single" w:sz="8" w:color="520B90"/>
            </w:tcBorders>
          </w:tcPr>
          <w:p>
            <w:pPr>
              <w:spacing w:after="0"/>
              <w:rPr>
                <w:sz w:val="2"/>
                <w:szCs w:val="2"/>
                <w:color w:val="auto"/>
              </w:rPr>
            </w:pPr>
          </w:p>
        </w:tc>
        <w:tc>
          <w:tcPr>
            <w:tcW w:w="100" w:type="dxa"/>
            <w:vAlign w:val="bottom"/>
            <w:tcBorders>
              <w:bottom w:val="single" w:sz="8" w:color="520B90"/>
            </w:tcBorders>
          </w:tcPr>
          <w:p>
            <w:pPr>
              <w:spacing w:after="0"/>
              <w:rPr>
                <w:sz w:val="2"/>
                <w:szCs w:val="2"/>
                <w:color w:val="auto"/>
              </w:rPr>
            </w:pPr>
          </w:p>
        </w:tc>
        <w:tc>
          <w:tcPr>
            <w:tcW w:w="80" w:type="dxa"/>
            <w:vAlign w:val="bottom"/>
            <w:tcBorders>
              <w:bottom w:val="single" w:sz="8" w:color="520B90"/>
            </w:tcBorders>
          </w:tcPr>
          <w:p>
            <w:pPr>
              <w:spacing w:after="0"/>
              <w:rPr>
                <w:sz w:val="2"/>
                <w:szCs w:val="2"/>
                <w:color w:val="auto"/>
              </w:rPr>
            </w:pPr>
          </w:p>
        </w:tc>
        <w:tc>
          <w:tcPr>
            <w:tcW w:w="820" w:type="dxa"/>
            <w:vAlign w:val="bottom"/>
            <w:tcBorders>
              <w:bottom w:val="single" w:sz="8" w:color="520B90"/>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520B90"/>
            </w:tcBorders>
          </w:tcPr>
          <w:p>
            <w:pPr>
              <w:spacing w:after="0"/>
              <w:rPr>
                <w:sz w:val="2"/>
                <w:szCs w:val="2"/>
                <w:color w:val="auto"/>
              </w:rPr>
            </w:pPr>
          </w:p>
        </w:tc>
        <w:tc>
          <w:tcPr>
            <w:tcW w:w="100" w:type="dxa"/>
            <w:vAlign w:val="bottom"/>
            <w:tcBorders>
              <w:bottom w:val="single" w:sz="8" w:color="520B90"/>
            </w:tcBorders>
          </w:tcPr>
          <w:p>
            <w:pPr>
              <w:spacing w:after="0"/>
              <w:rPr>
                <w:sz w:val="2"/>
                <w:szCs w:val="2"/>
                <w:color w:val="auto"/>
              </w:rPr>
            </w:pPr>
          </w:p>
        </w:tc>
        <w:tc>
          <w:tcPr>
            <w:tcW w:w="780" w:type="dxa"/>
            <w:vAlign w:val="bottom"/>
            <w:tcBorders>
              <w:bottom w:val="single" w:sz="8" w:color="520B90"/>
            </w:tcBorders>
          </w:tcPr>
          <w:p>
            <w:pPr>
              <w:spacing w:after="0"/>
              <w:rPr>
                <w:sz w:val="2"/>
                <w:szCs w:val="2"/>
                <w:color w:val="auto"/>
              </w:rPr>
            </w:pPr>
          </w:p>
        </w:tc>
        <w:tc>
          <w:tcPr>
            <w:tcW w:w="100" w:type="dxa"/>
            <w:vAlign w:val="bottom"/>
            <w:tcBorders>
              <w:bottom w:val="single" w:sz="8" w:color="520B90"/>
            </w:tcBorders>
          </w:tcPr>
          <w:p>
            <w:pPr>
              <w:spacing w:after="0"/>
              <w:rPr>
                <w:sz w:val="2"/>
                <w:szCs w:val="2"/>
                <w:color w:val="auto"/>
              </w:rPr>
            </w:pPr>
          </w:p>
        </w:tc>
        <w:tc>
          <w:tcPr>
            <w:tcW w:w="900" w:type="dxa"/>
            <w:vAlign w:val="bottom"/>
            <w:tcBorders>
              <w:bottom w:val="single" w:sz="8" w:color="520B90"/>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vMerge w:val="restart"/>
          </w:tcPr>
          <w:p>
            <w:pPr>
              <w:jc w:val="center"/>
              <w:spacing w:after="0" w:line="107" w:lineRule="exact"/>
              <w:rPr>
                <w:sz w:val="20"/>
                <w:szCs w:val="20"/>
                <w:color w:val="auto"/>
              </w:rPr>
            </w:pPr>
            <w:r>
              <w:rPr>
                <w:rFonts w:ascii="Arial" w:cs="Arial" w:eastAsia="Arial" w:hAnsi="Arial"/>
                <w:sz w:val="12"/>
                <w:szCs w:val="12"/>
                <w:b w:val="1"/>
                <w:bCs w:val="1"/>
                <w:color w:val="520B90"/>
              </w:rPr>
              <w:t>Stock</w:t>
            </w:r>
          </w:p>
        </w:tc>
        <w:tc>
          <w:tcPr>
            <w:tcW w:w="100" w:type="dxa"/>
            <w:vAlign w:val="bottom"/>
          </w:tcPr>
          <w:p>
            <w:pPr>
              <w:spacing w:after="0"/>
              <w:rPr>
                <w:sz w:val="2"/>
                <w:szCs w:val="2"/>
                <w:color w:val="auto"/>
              </w:rPr>
            </w:pPr>
          </w:p>
        </w:tc>
        <w:tc>
          <w:tcPr>
            <w:tcW w:w="1320" w:type="dxa"/>
            <w:vAlign w:val="bottom"/>
            <w:vMerge w:val="restart"/>
          </w:tcPr>
          <w:p>
            <w:pPr>
              <w:jc w:val="center"/>
              <w:spacing w:after="0" w:line="107" w:lineRule="exact"/>
              <w:rPr>
                <w:sz w:val="20"/>
                <w:szCs w:val="20"/>
                <w:color w:val="auto"/>
              </w:rPr>
            </w:pPr>
            <w:r>
              <w:rPr>
                <w:rFonts w:ascii="Arial" w:cs="Arial" w:eastAsia="Arial" w:hAnsi="Arial"/>
                <w:sz w:val="12"/>
                <w:szCs w:val="12"/>
                <w:b w:val="1"/>
                <w:bCs w:val="1"/>
                <w:color w:val="520B90"/>
              </w:rPr>
              <w:t>Value of Stock</w:t>
            </w:r>
          </w:p>
        </w:tc>
        <w:tc>
          <w:tcPr>
            <w:tcW w:w="0" w:type="dxa"/>
            <w:vAlign w:val="bottom"/>
          </w:tcPr>
          <w:p>
            <w:pPr>
              <w:spacing w:after="0"/>
              <w:rPr>
                <w:sz w:val="1"/>
                <w:szCs w:val="1"/>
                <w:color w:val="auto"/>
              </w:rPr>
            </w:pPr>
          </w:p>
        </w:tc>
      </w:tr>
      <w:tr>
        <w:trPr>
          <w:trHeight w:val="60"/>
        </w:trPr>
        <w:tc>
          <w:tcPr>
            <w:tcW w:w="1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b w:val="1"/>
                <w:bCs w:val="1"/>
                <w:color w:val="520B90"/>
                <w:w w:val="97"/>
              </w:rPr>
              <w:t>Grant</w:t>
            </w: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vMerge w:val="restart"/>
          </w:tcPr>
          <w:p>
            <w:pPr>
              <w:ind w:left="120"/>
              <w:spacing w:after="0"/>
              <w:rPr>
                <w:sz w:val="20"/>
                <w:szCs w:val="20"/>
                <w:color w:val="auto"/>
              </w:rPr>
            </w:pPr>
            <w:r>
              <w:rPr>
                <w:rFonts w:ascii="Arial" w:cs="Arial" w:eastAsia="Arial" w:hAnsi="Arial"/>
                <w:sz w:val="13"/>
                <w:szCs w:val="13"/>
                <w:b w:val="1"/>
                <w:bCs w:val="1"/>
                <w:color w:val="520B90"/>
              </w:rPr>
              <w:t>Threshold</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520B90"/>
                <w:w w:val="95"/>
              </w:rPr>
              <w:t>Target</w:t>
            </w:r>
          </w:p>
        </w:tc>
        <w:tc>
          <w:tcPr>
            <w:tcW w:w="820" w:type="dxa"/>
            <w:vAlign w:val="bottom"/>
            <w:vMerge w:val="restart"/>
          </w:tcPr>
          <w:p>
            <w:pPr>
              <w:ind w:left="40"/>
              <w:spacing w:after="0"/>
              <w:rPr>
                <w:sz w:val="20"/>
                <w:szCs w:val="20"/>
                <w:color w:val="auto"/>
              </w:rPr>
            </w:pPr>
            <w:r>
              <w:rPr>
                <w:rFonts w:ascii="Arial" w:cs="Arial" w:eastAsia="Arial" w:hAnsi="Arial"/>
                <w:sz w:val="13"/>
                <w:szCs w:val="13"/>
                <w:b w:val="1"/>
                <w:bCs w:val="1"/>
                <w:color w:val="520B90"/>
              </w:rPr>
              <w:t>Maximum</w:t>
            </w:r>
          </w:p>
        </w:tc>
        <w:tc>
          <w:tcPr>
            <w:tcW w:w="100" w:type="dxa"/>
            <w:vAlign w:val="bottom"/>
          </w:tcPr>
          <w:p>
            <w:pPr>
              <w:spacing w:after="0"/>
              <w:rPr>
                <w:sz w:val="5"/>
                <w:szCs w:val="5"/>
                <w:color w:val="auto"/>
              </w:rPr>
            </w:pPr>
          </w:p>
        </w:tc>
        <w:tc>
          <w:tcPr>
            <w:tcW w:w="920" w:type="dxa"/>
            <w:vAlign w:val="bottom"/>
            <w:vMerge w:val="restart"/>
          </w:tcPr>
          <w:p>
            <w:pPr>
              <w:ind w:left="120"/>
              <w:spacing w:after="0"/>
              <w:rPr>
                <w:sz w:val="20"/>
                <w:szCs w:val="20"/>
                <w:color w:val="auto"/>
              </w:rPr>
            </w:pPr>
            <w:r>
              <w:rPr>
                <w:rFonts w:ascii="Arial" w:cs="Arial" w:eastAsia="Arial" w:hAnsi="Arial"/>
                <w:sz w:val="13"/>
                <w:szCs w:val="13"/>
                <w:b w:val="1"/>
                <w:bCs w:val="1"/>
                <w:color w:val="520B90"/>
              </w:rPr>
              <w:t>Threshold</w:t>
            </w:r>
          </w:p>
        </w:tc>
        <w:tc>
          <w:tcPr>
            <w:tcW w:w="100" w:type="dxa"/>
            <w:vAlign w:val="bottom"/>
          </w:tcPr>
          <w:p>
            <w:pPr>
              <w:spacing w:after="0"/>
              <w:rPr>
                <w:sz w:val="5"/>
                <w:szCs w:val="5"/>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b w:val="1"/>
                <w:bCs w:val="1"/>
                <w:color w:val="520B90"/>
                <w:w w:val="95"/>
              </w:rPr>
              <w:t>Target</w:t>
            </w:r>
          </w:p>
        </w:tc>
        <w:tc>
          <w:tcPr>
            <w:tcW w:w="100" w:type="dxa"/>
            <w:vAlign w:val="bottom"/>
          </w:tcPr>
          <w:p>
            <w:pPr>
              <w:spacing w:after="0"/>
              <w:rPr>
                <w:sz w:val="5"/>
                <w:szCs w:val="5"/>
                <w:color w:val="auto"/>
              </w:rPr>
            </w:pPr>
          </w:p>
        </w:tc>
        <w:tc>
          <w:tcPr>
            <w:tcW w:w="900" w:type="dxa"/>
            <w:vAlign w:val="bottom"/>
            <w:vMerge w:val="restart"/>
          </w:tcPr>
          <w:p>
            <w:pPr>
              <w:ind w:left="120"/>
              <w:spacing w:after="0"/>
              <w:rPr>
                <w:sz w:val="20"/>
                <w:szCs w:val="20"/>
                <w:color w:val="auto"/>
              </w:rPr>
            </w:pPr>
            <w:r>
              <w:rPr>
                <w:rFonts w:ascii="Arial" w:cs="Arial" w:eastAsia="Arial" w:hAnsi="Arial"/>
                <w:sz w:val="13"/>
                <w:szCs w:val="13"/>
                <w:b w:val="1"/>
                <w:bCs w:val="1"/>
                <w:color w:val="520B90"/>
              </w:rPr>
              <w:t>Maximum</w:t>
            </w:r>
          </w:p>
        </w:tc>
        <w:tc>
          <w:tcPr>
            <w:tcW w:w="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20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520B90"/>
              </w:rPr>
              <w:t>Name</w:t>
            </w:r>
          </w:p>
        </w:tc>
        <w:tc>
          <w:tcPr>
            <w:tcW w:w="7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spacing w:after="0" w:line="133" w:lineRule="exact"/>
              <w:rPr>
                <w:sz w:val="20"/>
                <w:szCs w:val="20"/>
                <w:color w:val="auto"/>
              </w:rPr>
            </w:pPr>
            <w:r>
              <w:rPr>
                <w:rFonts w:ascii="Arial" w:cs="Arial" w:eastAsia="Arial" w:hAnsi="Arial"/>
                <w:sz w:val="13"/>
                <w:szCs w:val="13"/>
                <w:b w:val="1"/>
                <w:bCs w:val="1"/>
                <w:color w:val="520B90"/>
                <w:w w:val="97"/>
              </w:rPr>
              <w:t>Awards</w:t>
            </w:r>
          </w:p>
        </w:tc>
        <w:tc>
          <w:tcPr>
            <w:tcW w:w="100" w:type="dxa"/>
            <w:vAlign w:val="bottom"/>
          </w:tcPr>
          <w:p>
            <w:pPr>
              <w:spacing w:after="0"/>
              <w:rPr>
                <w:sz w:val="11"/>
                <w:szCs w:val="11"/>
                <w:color w:val="auto"/>
              </w:rPr>
            </w:pPr>
          </w:p>
        </w:tc>
        <w:tc>
          <w:tcPr>
            <w:tcW w:w="1320" w:type="dxa"/>
            <w:vAlign w:val="bottom"/>
          </w:tcPr>
          <w:p>
            <w:pPr>
              <w:jc w:val="center"/>
              <w:spacing w:after="0" w:line="133" w:lineRule="exact"/>
              <w:rPr>
                <w:sz w:val="20"/>
                <w:szCs w:val="20"/>
                <w:color w:val="auto"/>
              </w:rPr>
            </w:pPr>
            <w:r>
              <w:rPr>
                <w:rFonts w:ascii="Arial" w:cs="Arial" w:eastAsia="Arial" w:hAnsi="Arial"/>
                <w:sz w:val="13"/>
                <w:szCs w:val="13"/>
                <w:b w:val="1"/>
                <w:bCs w:val="1"/>
                <w:color w:val="520B90"/>
              </w:rPr>
              <w:t>Awards</w:t>
            </w:r>
          </w:p>
        </w:tc>
        <w:tc>
          <w:tcPr>
            <w:tcW w:w="0" w:type="dxa"/>
            <w:vAlign w:val="bottom"/>
          </w:tcPr>
          <w:p>
            <w:pPr>
              <w:spacing w:after="0"/>
              <w:rPr>
                <w:sz w:val="1"/>
                <w:szCs w:val="1"/>
                <w:color w:val="auto"/>
              </w:rPr>
            </w:pPr>
          </w:p>
        </w:tc>
      </w:tr>
      <w:tr>
        <w:trPr>
          <w:trHeight w:val="182"/>
        </w:trPr>
        <w:tc>
          <w:tcPr>
            <w:tcW w:w="2060" w:type="dxa"/>
            <w:vAlign w:val="bottom"/>
            <w:gridSpan w:val="3"/>
            <w:vMerge w:val="continue"/>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520B90"/>
              </w:rPr>
              <w:t>Date</w:t>
            </w:r>
          </w:p>
        </w:tc>
        <w:tc>
          <w:tcPr>
            <w:tcW w:w="280" w:type="dxa"/>
            <w:vAlign w:val="bottom"/>
          </w:tcPr>
          <w:p>
            <w:pPr>
              <w:spacing w:after="0"/>
              <w:rPr>
                <w:sz w:val="15"/>
                <w:szCs w:val="15"/>
                <w:color w:val="auto"/>
              </w:rPr>
            </w:pPr>
          </w:p>
        </w:tc>
        <w:tc>
          <w:tcPr>
            <w:tcW w:w="880" w:type="dxa"/>
            <w:vAlign w:val="bottom"/>
            <w:gridSpan w:val="2"/>
          </w:tcPr>
          <w:p>
            <w:pPr>
              <w:jc w:val="center"/>
              <w:ind w:left="134"/>
              <w:spacing w:after="0"/>
              <w:rPr>
                <w:sz w:val="20"/>
                <w:szCs w:val="20"/>
                <w:color w:val="auto"/>
              </w:rPr>
            </w:pPr>
            <w:r>
              <w:rPr>
                <w:rFonts w:ascii="Arial" w:cs="Arial" w:eastAsia="Arial" w:hAnsi="Arial"/>
                <w:sz w:val="13"/>
                <w:szCs w:val="13"/>
                <w:b w:val="1"/>
                <w:bCs w:val="1"/>
                <w:color w:val="520B90"/>
              </w:rPr>
              <w:t>($)</w:t>
            </w:r>
          </w:p>
        </w:tc>
        <w:tc>
          <w:tcPr>
            <w:tcW w:w="1040" w:type="dxa"/>
            <w:vAlign w:val="bottom"/>
            <w:gridSpan w:val="3"/>
          </w:tcPr>
          <w:p>
            <w:pPr>
              <w:jc w:val="center"/>
              <w:ind w:left="174"/>
              <w:spacing w:after="0"/>
              <w:rPr>
                <w:sz w:val="20"/>
                <w:szCs w:val="20"/>
                <w:color w:val="auto"/>
              </w:rPr>
            </w:pPr>
            <w:r>
              <w:rPr>
                <w:rFonts w:ascii="Arial" w:cs="Arial" w:eastAsia="Arial" w:hAnsi="Arial"/>
                <w:sz w:val="13"/>
                <w:szCs w:val="13"/>
                <w:b w:val="1"/>
                <w:bCs w:val="1"/>
                <w:color w:val="520B90"/>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520B90"/>
              </w:rPr>
              <w:t>($)</w:t>
            </w:r>
          </w:p>
        </w:tc>
        <w:tc>
          <w:tcPr>
            <w:tcW w:w="1020" w:type="dxa"/>
            <w:vAlign w:val="bottom"/>
            <w:gridSpan w:val="2"/>
          </w:tcPr>
          <w:p>
            <w:pPr>
              <w:jc w:val="center"/>
              <w:ind w:left="34"/>
              <w:spacing w:after="0"/>
              <w:rPr>
                <w:sz w:val="20"/>
                <w:szCs w:val="20"/>
                <w:color w:val="auto"/>
              </w:rPr>
            </w:pPr>
            <w:r>
              <w:rPr>
                <w:rFonts w:ascii="Arial" w:cs="Arial" w:eastAsia="Arial" w:hAnsi="Arial"/>
                <w:sz w:val="13"/>
                <w:szCs w:val="13"/>
                <w:b w:val="1"/>
                <w:bCs w:val="1"/>
                <w:color w:val="520B90"/>
              </w:rPr>
              <w:t>(#)</w:t>
            </w:r>
          </w:p>
        </w:tc>
        <w:tc>
          <w:tcPr>
            <w:tcW w:w="880" w:type="dxa"/>
            <w:vAlign w:val="bottom"/>
            <w:gridSpan w:val="2"/>
          </w:tcPr>
          <w:p>
            <w:pPr>
              <w:jc w:val="center"/>
              <w:ind w:left="34"/>
              <w:spacing w:after="0"/>
              <w:rPr>
                <w:sz w:val="20"/>
                <w:szCs w:val="20"/>
                <w:color w:val="auto"/>
              </w:rPr>
            </w:pPr>
            <w:r>
              <w:rPr>
                <w:rFonts w:ascii="Arial" w:cs="Arial" w:eastAsia="Arial" w:hAnsi="Arial"/>
                <w:sz w:val="13"/>
                <w:szCs w:val="13"/>
                <w:b w:val="1"/>
                <w:bCs w:val="1"/>
                <w:color w:val="520B90"/>
              </w:rPr>
              <w:t>(#)</w:t>
            </w:r>
          </w:p>
        </w:tc>
        <w:tc>
          <w:tcPr>
            <w:tcW w:w="1000" w:type="dxa"/>
            <w:vAlign w:val="bottom"/>
            <w:gridSpan w:val="2"/>
          </w:tcPr>
          <w:p>
            <w:pPr>
              <w:jc w:val="center"/>
              <w:ind w:left="34"/>
              <w:spacing w:after="0"/>
              <w:rPr>
                <w:sz w:val="20"/>
                <w:szCs w:val="20"/>
                <w:color w:val="auto"/>
              </w:rPr>
            </w:pPr>
            <w:r>
              <w:rPr>
                <w:rFonts w:ascii="Arial" w:cs="Arial" w:eastAsia="Arial" w:hAnsi="Arial"/>
                <w:sz w:val="13"/>
                <w:szCs w:val="13"/>
                <w:b w:val="1"/>
                <w:bCs w:val="1"/>
                <w:color w:val="520B90"/>
              </w:rPr>
              <w:t>(#)</w:t>
            </w: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520B90"/>
              </w:rPr>
              <w:t>(#)(c)</w:t>
            </w: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520B90"/>
                <w:w w:val="98"/>
              </w:rPr>
              <w:t>($)(d)</w:t>
            </w:r>
          </w:p>
        </w:tc>
        <w:tc>
          <w:tcPr>
            <w:tcW w:w="0" w:type="dxa"/>
            <w:vAlign w:val="bottom"/>
          </w:tcPr>
          <w:p>
            <w:pPr>
              <w:spacing w:after="0"/>
              <w:rPr>
                <w:sz w:val="1"/>
                <w:szCs w:val="1"/>
                <w:color w:val="auto"/>
              </w:rPr>
            </w:pPr>
          </w:p>
        </w:tc>
      </w:tr>
      <w:tr>
        <w:trPr>
          <w:trHeight w:val="361"/>
        </w:trPr>
        <w:tc>
          <w:tcPr>
            <w:tcW w:w="1960" w:type="dxa"/>
            <w:vAlign w:val="bottom"/>
            <w:tcBorders>
              <w:top w:val="single" w:sz="8" w:color="520B90"/>
            </w:tcBorders>
            <w:gridSpan w:val="2"/>
            <w:shd w:val="clear" w:color="auto" w:fill="E6E7E7"/>
          </w:tcPr>
          <w:p>
            <w:pPr>
              <w:ind w:left="20"/>
              <w:spacing w:after="0"/>
              <w:rPr>
                <w:sz w:val="20"/>
                <w:szCs w:val="20"/>
                <w:color w:val="auto"/>
              </w:rPr>
            </w:pPr>
            <w:r>
              <w:rPr>
                <w:rFonts w:ascii="Arial" w:cs="Arial" w:eastAsia="Arial" w:hAnsi="Arial"/>
                <w:sz w:val="13"/>
                <w:szCs w:val="13"/>
                <w:b w:val="1"/>
                <w:bCs w:val="1"/>
                <w:color w:val="520B90"/>
              </w:rPr>
              <w:t>Christian H. Hillabrant</w:t>
            </w:r>
          </w:p>
        </w:tc>
        <w:tc>
          <w:tcPr>
            <w:tcW w:w="100" w:type="dxa"/>
            <w:vAlign w:val="bottom"/>
          </w:tcPr>
          <w:p>
            <w:pPr>
              <w:spacing w:after="0"/>
              <w:rPr>
                <w:sz w:val="24"/>
                <w:szCs w:val="24"/>
                <w:color w:val="auto"/>
              </w:rPr>
            </w:pPr>
          </w:p>
        </w:tc>
        <w:tc>
          <w:tcPr>
            <w:tcW w:w="780" w:type="dxa"/>
            <w:vAlign w:val="bottom"/>
            <w:tcBorders>
              <w:top w:val="single" w:sz="8" w:color="520B90"/>
            </w:tcBorders>
            <w:shd w:val="clear" w:color="auto" w:fill="E6E7E7"/>
          </w:tcPr>
          <w:p>
            <w:pPr>
              <w:jc w:val="center"/>
              <w:spacing w:after="0"/>
              <w:rPr>
                <w:sz w:val="20"/>
                <w:szCs w:val="20"/>
                <w:color w:val="auto"/>
              </w:rPr>
            </w:pPr>
            <w:r>
              <w:rPr>
                <w:rFonts w:ascii="Arial" w:cs="Arial" w:eastAsia="Arial" w:hAnsi="Arial"/>
                <w:sz w:val="13"/>
                <w:szCs w:val="13"/>
                <w:color w:val="auto"/>
              </w:rPr>
              <w:t>—</w:t>
            </w:r>
          </w:p>
        </w:tc>
        <w:tc>
          <w:tcPr>
            <w:tcW w:w="280" w:type="dxa"/>
            <w:vAlign w:val="bottom"/>
            <w:tcBorders>
              <w:top w:val="single" w:sz="8" w:color="520B90"/>
            </w:tcBorders>
            <w:vMerge w:val="restart"/>
            <w:shd w:val="clear" w:color="auto" w:fill="E6E7E7"/>
          </w:tcPr>
          <w:p>
            <w:pPr>
              <w:ind w:left="20"/>
              <w:spacing w:after="0"/>
              <w:rPr>
                <w:sz w:val="20"/>
                <w:szCs w:val="20"/>
                <w:color w:val="auto"/>
              </w:rPr>
            </w:pPr>
            <w:r>
              <w:rPr>
                <w:rFonts w:ascii="Arial" w:cs="Arial" w:eastAsia="Arial" w:hAnsi="Arial"/>
                <w:sz w:val="9"/>
                <w:szCs w:val="9"/>
                <w:color w:val="auto"/>
              </w:rPr>
              <w:t>(e)</w:t>
            </w:r>
          </w:p>
        </w:tc>
        <w:tc>
          <w:tcPr>
            <w:tcW w:w="80" w:type="dxa"/>
            <w:vAlign w:val="bottom"/>
          </w:tcPr>
          <w:p>
            <w:pPr>
              <w:spacing w:after="0"/>
              <w:rPr>
                <w:sz w:val="24"/>
                <w:szCs w:val="24"/>
                <w:color w:val="auto"/>
              </w:rPr>
            </w:pPr>
          </w:p>
        </w:tc>
        <w:tc>
          <w:tcPr>
            <w:tcW w:w="800" w:type="dxa"/>
            <w:vAlign w:val="bottom"/>
            <w:tcBorders>
              <w:top w:val="single" w:sz="8" w:color="520B90"/>
            </w:tcBorders>
            <w:shd w:val="clear" w:color="auto" w:fill="E6E7E7"/>
          </w:tcPr>
          <w:p>
            <w:pPr>
              <w:jc w:val="center"/>
              <w:ind w:left="54"/>
              <w:spacing w:after="0"/>
              <w:rPr>
                <w:sz w:val="20"/>
                <w:szCs w:val="20"/>
                <w:color w:val="auto"/>
              </w:rPr>
            </w:pPr>
            <w:r>
              <w:rPr>
                <w:rFonts w:ascii="Arial" w:cs="Arial" w:eastAsia="Arial" w:hAnsi="Arial"/>
                <w:sz w:val="13"/>
                <w:szCs w:val="13"/>
                <w:color w:val="auto"/>
              </w:rPr>
              <w:t>295,890</w:t>
            </w:r>
          </w:p>
        </w:tc>
        <w:tc>
          <w:tcPr>
            <w:tcW w:w="120" w:type="dxa"/>
            <w:vAlign w:val="bottom"/>
            <w:tcBorders>
              <w:top w:val="single" w:sz="8" w:color="520B90"/>
            </w:tcBorders>
            <w:shd w:val="clear" w:color="auto" w:fill="E6E7E7"/>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top w:val="single" w:sz="8" w:color="520B90"/>
            </w:tcBorders>
            <w:shd w:val="clear" w:color="auto" w:fill="E6E7E7"/>
          </w:tcPr>
          <w:p>
            <w:pPr>
              <w:jc w:val="center"/>
              <w:spacing w:after="0"/>
              <w:rPr>
                <w:sz w:val="20"/>
                <w:szCs w:val="20"/>
                <w:color w:val="auto"/>
              </w:rPr>
            </w:pPr>
            <w:r>
              <w:rPr>
                <w:rFonts w:ascii="Arial" w:cs="Arial" w:eastAsia="Arial" w:hAnsi="Arial"/>
                <w:sz w:val="13"/>
                <w:szCs w:val="13"/>
                <w:color w:val="auto"/>
              </w:rPr>
              <w:t>591,781</w:t>
            </w:r>
          </w:p>
        </w:tc>
        <w:tc>
          <w:tcPr>
            <w:tcW w:w="100" w:type="dxa"/>
            <w:vAlign w:val="bottom"/>
          </w:tcPr>
          <w:p>
            <w:pPr>
              <w:spacing w:after="0"/>
              <w:rPr>
                <w:sz w:val="24"/>
                <w:szCs w:val="24"/>
                <w:color w:val="auto"/>
              </w:rPr>
            </w:pPr>
          </w:p>
        </w:tc>
        <w:tc>
          <w:tcPr>
            <w:tcW w:w="80" w:type="dxa"/>
            <w:vAlign w:val="bottom"/>
            <w:tcBorders>
              <w:top w:val="single" w:sz="8" w:color="520B90"/>
            </w:tcBorders>
            <w:shd w:val="clear" w:color="auto" w:fill="E6E7E7"/>
          </w:tcPr>
          <w:p>
            <w:pPr>
              <w:spacing w:after="0"/>
              <w:rPr>
                <w:sz w:val="24"/>
                <w:szCs w:val="24"/>
                <w:color w:val="auto"/>
              </w:rPr>
            </w:pPr>
          </w:p>
        </w:tc>
        <w:tc>
          <w:tcPr>
            <w:tcW w:w="820" w:type="dxa"/>
            <w:vAlign w:val="bottom"/>
            <w:tcBorders>
              <w:top w:val="single" w:sz="8" w:color="520B90"/>
            </w:tcBorders>
            <w:shd w:val="clear" w:color="auto" w:fill="E6E7E7"/>
          </w:tcPr>
          <w:p>
            <w:pPr>
              <w:jc w:val="center"/>
              <w:ind w:right="14"/>
              <w:spacing w:after="0"/>
              <w:rPr>
                <w:sz w:val="20"/>
                <w:szCs w:val="20"/>
                <w:color w:val="auto"/>
              </w:rPr>
            </w:pPr>
            <w:r>
              <w:rPr>
                <w:rFonts w:ascii="Arial" w:cs="Arial" w:eastAsia="Arial" w:hAnsi="Arial"/>
                <w:sz w:val="13"/>
                <w:szCs w:val="13"/>
                <w:color w:val="auto"/>
              </w:rPr>
              <w:t>1,035,616</w:t>
            </w:r>
          </w:p>
        </w:tc>
        <w:tc>
          <w:tcPr>
            <w:tcW w:w="100" w:type="dxa"/>
            <w:vAlign w:val="bottom"/>
          </w:tcPr>
          <w:p>
            <w:pPr>
              <w:spacing w:after="0"/>
              <w:rPr>
                <w:sz w:val="24"/>
                <w:szCs w:val="24"/>
                <w:color w:val="auto"/>
              </w:rPr>
            </w:pPr>
          </w:p>
        </w:tc>
        <w:tc>
          <w:tcPr>
            <w:tcW w:w="920" w:type="dxa"/>
            <w:vAlign w:val="bottom"/>
            <w:tcBorders>
              <w:top w:val="single" w:sz="8" w:color="520B90"/>
            </w:tcBorders>
            <w:shd w:val="clear" w:color="auto" w:fill="E6E7E7"/>
          </w:tcPr>
          <w:p>
            <w:pPr>
              <w:jc w:val="center"/>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24"/>
                <w:szCs w:val="24"/>
                <w:color w:val="auto"/>
              </w:rPr>
            </w:pPr>
          </w:p>
        </w:tc>
        <w:tc>
          <w:tcPr>
            <w:tcW w:w="780" w:type="dxa"/>
            <w:vAlign w:val="bottom"/>
            <w:tcBorders>
              <w:top w:val="single" w:sz="8" w:color="520B90"/>
            </w:tcBorders>
            <w:shd w:val="clear" w:color="auto" w:fill="E6E7E7"/>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900" w:type="dxa"/>
            <w:vAlign w:val="bottom"/>
            <w:tcBorders>
              <w:top w:val="single" w:sz="8" w:color="520B90"/>
            </w:tcBorders>
            <w:shd w:val="clear" w:color="auto" w:fill="E6E7E7"/>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80" w:type="dxa"/>
            <w:vAlign w:val="bottom"/>
            <w:tcBorders>
              <w:top w:val="single" w:sz="8" w:color="520B90"/>
            </w:tcBorders>
            <w:shd w:val="clear" w:color="auto" w:fill="E6E7E7"/>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320" w:type="dxa"/>
            <w:vAlign w:val="bottom"/>
            <w:tcBorders>
              <w:top w:val="single" w:sz="8" w:color="520B90"/>
            </w:tcBorders>
            <w:shd w:val="clear" w:color="auto" w:fill="E6E7E7"/>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97"/>
        </w:trPr>
        <w:tc>
          <w:tcPr>
            <w:tcW w:w="1120" w:type="dxa"/>
            <w:vAlign w:val="bottom"/>
            <w:shd w:val="clear" w:color="auto" w:fill="E6E7E7"/>
          </w:tcPr>
          <w:p>
            <w:pPr>
              <w:spacing w:after="0"/>
              <w:rPr>
                <w:sz w:val="8"/>
                <w:szCs w:val="8"/>
                <w:color w:val="auto"/>
              </w:rPr>
            </w:pPr>
          </w:p>
        </w:tc>
        <w:tc>
          <w:tcPr>
            <w:tcW w:w="84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9/15/25</w:t>
            </w:r>
          </w:p>
        </w:tc>
        <w:tc>
          <w:tcPr>
            <w:tcW w:w="280" w:type="dxa"/>
            <w:vAlign w:val="bottom"/>
            <w:vMerge w:val="continue"/>
            <w:shd w:val="clear" w:color="auto" w:fill="E6E7E7"/>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vMerge w:val="restart"/>
            <w:shd w:val="clear" w:color="auto" w:fill="E6E7E7"/>
          </w:tcPr>
          <w:p>
            <w:pPr>
              <w:jc w:val="center"/>
              <w:ind w:left="74"/>
              <w:spacing w:after="0"/>
              <w:rPr>
                <w:sz w:val="20"/>
                <w:szCs w:val="20"/>
                <w:color w:val="auto"/>
              </w:rPr>
            </w:pPr>
            <w:r>
              <w:rPr>
                <w:rFonts w:ascii="Arial" w:cs="Arial" w:eastAsia="Arial" w:hAnsi="Arial"/>
                <w:sz w:val="13"/>
                <w:szCs w:val="13"/>
                <w:color w:val="auto"/>
              </w:rPr>
              <w:t>—</w:t>
            </w:r>
          </w:p>
        </w:tc>
        <w:tc>
          <w:tcPr>
            <w:tcW w:w="12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8"/>
                <w:szCs w:val="8"/>
                <w:color w:val="auto"/>
              </w:rPr>
            </w:pPr>
          </w:p>
        </w:tc>
        <w:tc>
          <w:tcPr>
            <w:tcW w:w="80" w:type="dxa"/>
            <w:vAlign w:val="bottom"/>
            <w:shd w:val="clear" w:color="auto" w:fill="E6E7E7"/>
          </w:tcPr>
          <w:p>
            <w:pPr>
              <w:spacing w:after="0"/>
              <w:rPr>
                <w:sz w:val="8"/>
                <w:szCs w:val="8"/>
                <w:color w:val="auto"/>
              </w:rPr>
            </w:pPr>
          </w:p>
        </w:tc>
        <w:tc>
          <w:tcPr>
            <w:tcW w:w="820" w:type="dxa"/>
            <w:vAlign w:val="bottom"/>
            <w:vMerge w:val="restart"/>
            <w:shd w:val="clear" w:color="auto" w:fill="E6E7E7"/>
          </w:tcPr>
          <w:p>
            <w:pPr>
              <w:jc w:val="center"/>
              <w:ind w:right="1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8"/>
                <w:szCs w:val="8"/>
                <w:color w:val="auto"/>
              </w:rPr>
            </w:pPr>
          </w:p>
        </w:tc>
        <w:tc>
          <w:tcPr>
            <w:tcW w:w="92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8"/>
                <w:szCs w:val="8"/>
                <w:color w:val="auto"/>
              </w:rPr>
            </w:pPr>
          </w:p>
        </w:tc>
        <w:tc>
          <w:tcPr>
            <w:tcW w:w="78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8"/>
                <w:szCs w:val="8"/>
                <w:color w:val="auto"/>
              </w:rPr>
            </w:pPr>
          </w:p>
        </w:tc>
        <w:tc>
          <w:tcPr>
            <w:tcW w:w="90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8"/>
                <w:szCs w:val="8"/>
                <w:color w:val="auto"/>
              </w:rPr>
            </w:pPr>
          </w:p>
        </w:tc>
        <w:tc>
          <w:tcPr>
            <w:tcW w:w="78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73,398</w:t>
            </w:r>
          </w:p>
        </w:tc>
        <w:tc>
          <w:tcPr>
            <w:tcW w:w="100" w:type="dxa"/>
            <w:vAlign w:val="bottom"/>
          </w:tcPr>
          <w:p>
            <w:pPr>
              <w:spacing w:after="0"/>
              <w:rPr>
                <w:sz w:val="8"/>
                <w:szCs w:val="8"/>
                <w:color w:val="auto"/>
              </w:rPr>
            </w:pPr>
          </w:p>
        </w:tc>
        <w:tc>
          <w:tcPr>
            <w:tcW w:w="132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6,867,851</w:t>
            </w:r>
          </w:p>
        </w:tc>
        <w:tc>
          <w:tcPr>
            <w:tcW w:w="0" w:type="dxa"/>
            <w:vAlign w:val="bottom"/>
          </w:tcPr>
          <w:p>
            <w:pPr>
              <w:spacing w:after="0"/>
              <w:rPr>
                <w:sz w:val="1"/>
                <w:szCs w:val="1"/>
                <w:color w:val="auto"/>
              </w:rPr>
            </w:pPr>
          </w:p>
        </w:tc>
      </w:tr>
      <w:tr>
        <w:trPr>
          <w:trHeight w:val="82"/>
        </w:trPr>
        <w:tc>
          <w:tcPr>
            <w:tcW w:w="1120" w:type="dxa"/>
            <w:vAlign w:val="bottom"/>
            <w:shd w:val="clear" w:color="auto" w:fill="E6E7E7"/>
          </w:tcPr>
          <w:p>
            <w:pPr>
              <w:spacing w:after="0"/>
              <w:rPr>
                <w:sz w:val="7"/>
                <w:szCs w:val="7"/>
                <w:color w:val="auto"/>
              </w:rPr>
            </w:pPr>
          </w:p>
        </w:tc>
        <w:tc>
          <w:tcPr>
            <w:tcW w:w="840" w:type="dxa"/>
            <w:vAlign w:val="bottom"/>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shd w:val="clear" w:color="auto" w:fill="E6E7E7"/>
          </w:tcPr>
          <w:p>
            <w:pPr>
              <w:spacing w:after="0"/>
              <w:rPr>
                <w:sz w:val="7"/>
                <w:szCs w:val="7"/>
                <w:color w:val="auto"/>
              </w:rPr>
            </w:pPr>
          </w:p>
        </w:tc>
        <w:tc>
          <w:tcPr>
            <w:tcW w:w="280" w:type="dxa"/>
            <w:vAlign w:val="bottom"/>
            <w:shd w:val="clear" w:color="auto" w:fill="E6E7E7"/>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vMerge w:val="continue"/>
            <w:shd w:val="clear" w:color="auto" w:fill="E6E7E7"/>
          </w:tcPr>
          <w:p>
            <w:pPr>
              <w:spacing w:after="0"/>
              <w:rPr>
                <w:sz w:val="7"/>
                <w:szCs w:val="7"/>
                <w:color w:val="auto"/>
              </w:rPr>
            </w:pPr>
          </w:p>
        </w:tc>
        <w:tc>
          <w:tcPr>
            <w:tcW w:w="120" w:type="dxa"/>
            <w:vAlign w:val="bottom"/>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vMerge w:val="continue"/>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shd w:val="clear" w:color="auto" w:fill="E6E7E7"/>
          </w:tcPr>
          <w:p>
            <w:pPr>
              <w:spacing w:after="0"/>
              <w:rPr>
                <w:sz w:val="7"/>
                <w:szCs w:val="7"/>
                <w:color w:val="auto"/>
              </w:rPr>
            </w:pPr>
          </w:p>
        </w:tc>
        <w:tc>
          <w:tcPr>
            <w:tcW w:w="820" w:type="dxa"/>
            <w:vAlign w:val="bottom"/>
            <w:vMerge w:val="continue"/>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vMerge w:val="continue"/>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vMerge w:val="continue"/>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vMerge w:val="continue"/>
            <w:shd w:val="clear" w:color="auto" w:fill="E6E7E7"/>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1120" w:type="dxa"/>
            <w:vAlign w:val="bottom"/>
            <w:shd w:val="clear" w:color="auto" w:fill="E6E7E7"/>
          </w:tcPr>
          <w:p>
            <w:pPr>
              <w:spacing w:after="0"/>
              <w:rPr>
                <w:sz w:val="16"/>
                <w:szCs w:val="16"/>
                <w:color w:val="auto"/>
              </w:rPr>
            </w:pPr>
          </w:p>
        </w:tc>
        <w:tc>
          <w:tcPr>
            <w:tcW w:w="840" w:type="dxa"/>
            <w:vAlign w:val="bottom"/>
            <w:shd w:val="clear" w:color="auto" w:fill="E6E7E7"/>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9/15/25</w:t>
            </w:r>
          </w:p>
        </w:tc>
        <w:tc>
          <w:tcPr>
            <w:tcW w:w="280" w:type="dxa"/>
            <w:vAlign w:val="bottom"/>
            <w:vMerge w:val="restart"/>
            <w:shd w:val="clear" w:color="auto" w:fill="E6E7E7"/>
          </w:tcPr>
          <w:p>
            <w:pPr>
              <w:ind w:left="20"/>
              <w:spacing w:after="0"/>
              <w:rPr>
                <w:sz w:val="20"/>
                <w:szCs w:val="20"/>
                <w:color w:val="auto"/>
              </w:rPr>
            </w:pPr>
            <w:r>
              <w:rPr>
                <w:rFonts w:ascii="Arial" w:cs="Arial" w:eastAsia="Arial" w:hAnsi="Arial"/>
                <w:sz w:val="9"/>
                <w:szCs w:val="9"/>
                <w:color w:val="auto"/>
              </w:rPr>
              <w:t>(f)</w:t>
            </w:r>
          </w:p>
        </w:tc>
        <w:tc>
          <w:tcPr>
            <w:tcW w:w="80" w:type="dxa"/>
            <w:vAlign w:val="bottom"/>
          </w:tcPr>
          <w:p>
            <w:pPr>
              <w:spacing w:after="0"/>
              <w:rPr>
                <w:sz w:val="16"/>
                <w:szCs w:val="16"/>
                <w:color w:val="auto"/>
              </w:rPr>
            </w:pPr>
          </w:p>
        </w:tc>
        <w:tc>
          <w:tcPr>
            <w:tcW w:w="800" w:type="dxa"/>
            <w:vAlign w:val="bottom"/>
            <w:shd w:val="clear" w:color="auto" w:fill="E6E7E7"/>
          </w:tcPr>
          <w:p>
            <w:pPr>
              <w:jc w:val="center"/>
              <w:ind w:left="74"/>
              <w:spacing w:after="0"/>
              <w:rPr>
                <w:sz w:val="20"/>
                <w:szCs w:val="20"/>
                <w:color w:val="auto"/>
              </w:rPr>
            </w:pPr>
            <w:r>
              <w:rPr>
                <w:rFonts w:ascii="Arial" w:cs="Arial" w:eastAsia="Arial" w:hAnsi="Arial"/>
                <w:sz w:val="13"/>
                <w:szCs w:val="13"/>
                <w:color w:val="auto"/>
              </w:rPr>
              <w:t>—</w:t>
            </w:r>
          </w:p>
        </w:tc>
        <w:tc>
          <w:tcPr>
            <w:tcW w:w="120" w:type="dxa"/>
            <w:vAlign w:val="bottom"/>
            <w:shd w:val="clear" w:color="auto" w:fill="E6E7E7"/>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0" w:type="dxa"/>
            <w:vAlign w:val="bottom"/>
            <w:shd w:val="clear" w:color="auto" w:fill="E6E7E7"/>
          </w:tcPr>
          <w:p>
            <w:pPr>
              <w:spacing w:after="0"/>
              <w:rPr>
                <w:sz w:val="16"/>
                <w:szCs w:val="16"/>
                <w:color w:val="auto"/>
              </w:rPr>
            </w:pPr>
          </w:p>
        </w:tc>
        <w:tc>
          <w:tcPr>
            <w:tcW w:w="820" w:type="dxa"/>
            <w:vAlign w:val="bottom"/>
            <w:shd w:val="clear" w:color="auto" w:fill="E6E7E7"/>
          </w:tcPr>
          <w:p>
            <w:pPr>
              <w:jc w:val="center"/>
              <w:ind w:right="1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920" w:type="dxa"/>
            <w:vAlign w:val="bottom"/>
            <w:shd w:val="clear" w:color="auto" w:fill="E6E7E7"/>
          </w:tcPr>
          <w:p>
            <w:pPr>
              <w:jc w:val="center"/>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6"/>
                <w:szCs w:val="16"/>
                <w:color w:val="auto"/>
              </w:rPr>
            </w:pPr>
          </w:p>
        </w:tc>
        <w:tc>
          <w:tcPr>
            <w:tcW w:w="78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90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78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22,020</w:t>
            </w:r>
          </w:p>
        </w:tc>
        <w:tc>
          <w:tcPr>
            <w:tcW w:w="100" w:type="dxa"/>
            <w:vAlign w:val="bottom"/>
          </w:tcPr>
          <w:p>
            <w:pPr>
              <w:spacing w:after="0"/>
              <w:rPr>
                <w:sz w:val="16"/>
                <w:szCs w:val="16"/>
                <w:color w:val="auto"/>
              </w:rPr>
            </w:pPr>
          </w:p>
        </w:tc>
        <w:tc>
          <w:tcPr>
            <w:tcW w:w="1320" w:type="dxa"/>
            <w:vAlign w:val="bottom"/>
            <w:shd w:val="clear" w:color="auto" w:fill="E6E7E7"/>
          </w:tcPr>
          <w:p>
            <w:pPr>
              <w:jc w:val="center"/>
              <w:spacing w:after="0"/>
              <w:rPr>
                <w:sz w:val="20"/>
                <w:szCs w:val="20"/>
                <w:color w:val="auto"/>
              </w:rPr>
            </w:pPr>
            <w:r>
              <w:rPr>
                <w:rFonts w:ascii="Arial" w:cs="Arial" w:eastAsia="Arial" w:hAnsi="Arial"/>
                <w:sz w:val="13"/>
                <w:szCs w:val="13"/>
                <w:color w:val="auto"/>
                <w:w w:val="96"/>
              </w:rPr>
              <w:t>2,060,411</w:t>
            </w:r>
          </w:p>
        </w:tc>
        <w:tc>
          <w:tcPr>
            <w:tcW w:w="0" w:type="dxa"/>
            <w:vAlign w:val="bottom"/>
          </w:tcPr>
          <w:p>
            <w:pPr>
              <w:spacing w:after="0"/>
              <w:rPr>
                <w:sz w:val="1"/>
                <w:szCs w:val="1"/>
                <w:color w:val="auto"/>
              </w:rPr>
            </w:pPr>
          </w:p>
        </w:tc>
      </w:tr>
      <w:tr>
        <w:trPr>
          <w:trHeight w:val="103"/>
        </w:trPr>
        <w:tc>
          <w:tcPr>
            <w:tcW w:w="1120" w:type="dxa"/>
            <w:vAlign w:val="bottom"/>
            <w:shd w:val="clear" w:color="auto" w:fill="E6E7E7"/>
          </w:tcPr>
          <w:p>
            <w:pPr>
              <w:spacing w:after="0"/>
              <w:rPr>
                <w:sz w:val="8"/>
                <w:szCs w:val="8"/>
                <w:color w:val="auto"/>
              </w:rPr>
            </w:pPr>
          </w:p>
        </w:tc>
        <w:tc>
          <w:tcPr>
            <w:tcW w:w="84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9/15/25</w:t>
            </w:r>
          </w:p>
        </w:tc>
        <w:tc>
          <w:tcPr>
            <w:tcW w:w="280" w:type="dxa"/>
            <w:vAlign w:val="bottom"/>
            <w:vMerge w:val="continue"/>
            <w:shd w:val="clear" w:color="auto" w:fill="E6E7E7"/>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vMerge w:val="restart"/>
            <w:shd w:val="clear" w:color="auto" w:fill="E6E7E7"/>
          </w:tcPr>
          <w:p>
            <w:pPr>
              <w:jc w:val="center"/>
              <w:ind w:left="74"/>
              <w:spacing w:after="0"/>
              <w:rPr>
                <w:sz w:val="20"/>
                <w:szCs w:val="20"/>
                <w:color w:val="auto"/>
              </w:rPr>
            </w:pPr>
            <w:r>
              <w:rPr>
                <w:rFonts w:ascii="Arial" w:cs="Arial" w:eastAsia="Arial" w:hAnsi="Arial"/>
                <w:sz w:val="13"/>
                <w:szCs w:val="13"/>
                <w:color w:val="auto"/>
              </w:rPr>
              <w:t>—</w:t>
            </w:r>
          </w:p>
        </w:tc>
        <w:tc>
          <w:tcPr>
            <w:tcW w:w="12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8"/>
                <w:szCs w:val="8"/>
                <w:color w:val="auto"/>
              </w:rPr>
            </w:pPr>
          </w:p>
        </w:tc>
        <w:tc>
          <w:tcPr>
            <w:tcW w:w="80" w:type="dxa"/>
            <w:vAlign w:val="bottom"/>
            <w:shd w:val="clear" w:color="auto" w:fill="E6E7E7"/>
          </w:tcPr>
          <w:p>
            <w:pPr>
              <w:spacing w:after="0"/>
              <w:rPr>
                <w:sz w:val="8"/>
                <w:szCs w:val="8"/>
                <w:color w:val="auto"/>
              </w:rPr>
            </w:pPr>
          </w:p>
        </w:tc>
        <w:tc>
          <w:tcPr>
            <w:tcW w:w="820" w:type="dxa"/>
            <w:vAlign w:val="bottom"/>
            <w:vMerge w:val="restart"/>
            <w:shd w:val="clear" w:color="auto" w:fill="E6E7E7"/>
          </w:tcPr>
          <w:p>
            <w:pPr>
              <w:jc w:val="center"/>
              <w:ind w:right="1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8"/>
                <w:szCs w:val="8"/>
                <w:color w:val="auto"/>
              </w:rPr>
            </w:pPr>
          </w:p>
        </w:tc>
        <w:tc>
          <w:tcPr>
            <w:tcW w:w="92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w w:val="98"/>
              </w:rPr>
              <w:t>8,257</w:t>
            </w:r>
          </w:p>
        </w:tc>
        <w:tc>
          <w:tcPr>
            <w:tcW w:w="100" w:type="dxa"/>
            <w:vAlign w:val="bottom"/>
          </w:tcPr>
          <w:p>
            <w:pPr>
              <w:spacing w:after="0"/>
              <w:rPr>
                <w:sz w:val="8"/>
                <w:szCs w:val="8"/>
                <w:color w:val="auto"/>
              </w:rPr>
            </w:pPr>
          </w:p>
        </w:tc>
        <w:tc>
          <w:tcPr>
            <w:tcW w:w="78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16,515</w:t>
            </w:r>
          </w:p>
        </w:tc>
        <w:tc>
          <w:tcPr>
            <w:tcW w:w="100" w:type="dxa"/>
            <w:vAlign w:val="bottom"/>
          </w:tcPr>
          <w:p>
            <w:pPr>
              <w:spacing w:after="0"/>
              <w:rPr>
                <w:sz w:val="8"/>
                <w:szCs w:val="8"/>
                <w:color w:val="auto"/>
              </w:rPr>
            </w:pPr>
          </w:p>
        </w:tc>
        <w:tc>
          <w:tcPr>
            <w:tcW w:w="90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33,030</w:t>
            </w:r>
          </w:p>
        </w:tc>
        <w:tc>
          <w:tcPr>
            <w:tcW w:w="100" w:type="dxa"/>
            <w:vAlign w:val="bottom"/>
          </w:tcPr>
          <w:p>
            <w:pPr>
              <w:spacing w:after="0"/>
              <w:rPr>
                <w:sz w:val="8"/>
                <w:szCs w:val="8"/>
                <w:color w:val="auto"/>
              </w:rPr>
            </w:pPr>
          </w:p>
        </w:tc>
        <w:tc>
          <w:tcPr>
            <w:tcW w:w="78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8"/>
                <w:szCs w:val="8"/>
                <w:color w:val="auto"/>
              </w:rPr>
            </w:pPr>
          </w:p>
        </w:tc>
        <w:tc>
          <w:tcPr>
            <w:tcW w:w="132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1,609,387</w:t>
            </w:r>
          </w:p>
        </w:tc>
        <w:tc>
          <w:tcPr>
            <w:tcW w:w="0" w:type="dxa"/>
            <w:vAlign w:val="bottom"/>
          </w:tcPr>
          <w:p>
            <w:pPr>
              <w:spacing w:after="0"/>
              <w:rPr>
                <w:sz w:val="1"/>
                <w:szCs w:val="1"/>
                <w:color w:val="auto"/>
              </w:rPr>
            </w:pPr>
          </w:p>
        </w:tc>
      </w:tr>
      <w:tr>
        <w:trPr>
          <w:trHeight w:val="82"/>
        </w:trPr>
        <w:tc>
          <w:tcPr>
            <w:tcW w:w="1120" w:type="dxa"/>
            <w:vAlign w:val="bottom"/>
            <w:shd w:val="clear" w:color="auto" w:fill="E6E7E7"/>
          </w:tcPr>
          <w:p>
            <w:pPr>
              <w:spacing w:after="0"/>
              <w:rPr>
                <w:sz w:val="7"/>
                <w:szCs w:val="7"/>
                <w:color w:val="auto"/>
              </w:rPr>
            </w:pPr>
          </w:p>
        </w:tc>
        <w:tc>
          <w:tcPr>
            <w:tcW w:w="840" w:type="dxa"/>
            <w:vAlign w:val="bottom"/>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shd w:val="clear" w:color="auto" w:fill="E6E7E7"/>
          </w:tcPr>
          <w:p>
            <w:pPr>
              <w:spacing w:after="0"/>
              <w:rPr>
                <w:sz w:val="7"/>
                <w:szCs w:val="7"/>
                <w:color w:val="auto"/>
              </w:rPr>
            </w:pPr>
          </w:p>
        </w:tc>
        <w:tc>
          <w:tcPr>
            <w:tcW w:w="280" w:type="dxa"/>
            <w:vAlign w:val="bottom"/>
            <w:vMerge w:val="restart"/>
            <w:shd w:val="clear" w:color="auto" w:fill="E6E7E7"/>
          </w:tcPr>
          <w:p>
            <w:pPr>
              <w:ind w:left="20"/>
              <w:spacing w:after="0"/>
              <w:rPr>
                <w:sz w:val="20"/>
                <w:szCs w:val="20"/>
                <w:color w:val="auto"/>
              </w:rPr>
            </w:pPr>
            <w:r>
              <w:rPr>
                <w:rFonts w:ascii="Arial" w:cs="Arial" w:eastAsia="Arial" w:hAnsi="Arial"/>
                <w:sz w:val="9"/>
                <w:szCs w:val="9"/>
                <w:color w:val="auto"/>
              </w:rPr>
              <w:t>(g)</w:t>
            </w:r>
          </w:p>
        </w:tc>
        <w:tc>
          <w:tcPr>
            <w:tcW w:w="80" w:type="dxa"/>
            <w:vAlign w:val="bottom"/>
          </w:tcPr>
          <w:p>
            <w:pPr>
              <w:spacing w:after="0"/>
              <w:rPr>
                <w:sz w:val="7"/>
                <w:szCs w:val="7"/>
                <w:color w:val="auto"/>
              </w:rPr>
            </w:pPr>
          </w:p>
        </w:tc>
        <w:tc>
          <w:tcPr>
            <w:tcW w:w="800" w:type="dxa"/>
            <w:vAlign w:val="bottom"/>
            <w:vMerge w:val="continue"/>
            <w:shd w:val="clear" w:color="auto" w:fill="E6E7E7"/>
          </w:tcPr>
          <w:p>
            <w:pPr>
              <w:spacing w:after="0"/>
              <w:rPr>
                <w:sz w:val="7"/>
                <w:szCs w:val="7"/>
                <w:color w:val="auto"/>
              </w:rPr>
            </w:pPr>
          </w:p>
        </w:tc>
        <w:tc>
          <w:tcPr>
            <w:tcW w:w="120" w:type="dxa"/>
            <w:vAlign w:val="bottom"/>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vMerge w:val="continue"/>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shd w:val="clear" w:color="auto" w:fill="E6E7E7"/>
          </w:tcPr>
          <w:p>
            <w:pPr>
              <w:spacing w:after="0"/>
              <w:rPr>
                <w:sz w:val="7"/>
                <w:szCs w:val="7"/>
                <w:color w:val="auto"/>
              </w:rPr>
            </w:pPr>
          </w:p>
        </w:tc>
        <w:tc>
          <w:tcPr>
            <w:tcW w:w="820" w:type="dxa"/>
            <w:vAlign w:val="bottom"/>
            <w:vMerge w:val="continue"/>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vMerge w:val="continue"/>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vMerge w:val="continue"/>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vMerge w:val="continue"/>
            <w:shd w:val="clear" w:color="auto" w:fill="E6E7E7"/>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1120" w:type="dxa"/>
            <w:vAlign w:val="bottom"/>
            <w:shd w:val="clear" w:color="auto" w:fill="E6E7E7"/>
          </w:tcPr>
          <w:p>
            <w:pPr>
              <w:spacing w:after="0"/>
              <w:rPr>
                <w:sz w:val="8"/>
                <w:szCs w:val="8"/>
                <w:color w:val="auto"/>
              </w:rPr>
            </w:pPr>
          </w:p>
        </w:tc>
        <w:tc>
          <w:tcPr>
            <w:tcW w:w="84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9/15/25</w:t>
            </w:r>
          </w:p>
        </w:tc>
        <w:tc>
          <w:tcPr>
            <w:tcW w:w="280" w:type="dxa"/>
            <w:vAlign w:val="bottom"/>
            <w:vMerge w:val="continue"/>
            <w:shd w:val="clear" w:color="auto" w:fill="E6E7E7"/>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vMerge w:val="restart"/>
            <w:shd w:val="clear" w:color="auto" w:fill="E6E7E7"/>
          </w:tcPr>
          <w:p>
            <w:pPr>
              <w:jc w:val="center"/>
              <w:ind w:left="74"/>
              <w:spacing w:after="0"/>
              <w:rPr>
                <w:sz w:val="20"/>
                <w:szCs w:val="20"/>
                <w:color w:val="auto"/>
              </w:rPr>
            </w:pPr>
            <w:r>
              <w:rPr>
                <w:rFonts w:ascii="Arial" w:cs="Arial" w:eastAsia="Arial" w:hAnsi="Arial"/>
                <w:sz w:val="13"/>
                <w:szCs w:val="13"/>
                <w:color w:val="auto"/>
              </w:rPr>
              <w:t>—</w:t>
            </w:r>
          </w:p>
        </w:tc>
        <w:tc>
          <w:tcPr>
            <w:tcW w:w="12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8"/>
                <w:szCs w:val="8"/>
                <w:color w:val="auto"/>
              </w:rPr>
            </w:pPr>
          </w:p>
        </w:tc>
        <w:tc>
          <w:tcPr>
            <w:tcW w:w="80" w:type="dxa"/>
            <w:vAlign w:val="bottom"/>
            <w:shd w:val="clear" w:color="auto" w:fill="E6E7E7"/>
          </w:tcPr>
          <w:p>
            <w:pPr>
              <w:spacing w:after="0"/>
              <w:rPr>
                <w:sz w:val="8"/>
                <w:szCs w:val="8"/>
                <w:color w:val="auto"/>
              </w:rPr>
            </w:pPr>
          </w:p>
        </w:tc>
        <w:tc>
          <w:tcPr>
            <w:tcW w:w="820" w:type="dxa"/>
            <w:vAlign w:val="bottom"/>
            <w:vMerge w:val="restart"/>
            <w:shd w:val="clear" w:color="auto" w:fill="E6E7E7"/>
          </w:tcPr>
          <w:p>
            <w:pPr>
              <w:jc w:val="center"/>
              <w:ind w:right="1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8"/>
                <w:szCs w:val="8"/>
                <w:color w:val="auto"/>
              </w:rPr>
            </w:pPr>
          </w:p>
        </w:tc>
        <w:tc>
          <w:tcPr>
            <w:tcW w:w="92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w w:val="98"/>
              </w:rPr>
              <w:t>8,257</w:t>
            </w:r>
          </w:p>
        </w:tc>
        <w:tc>
          <w:tcPr>
            <w:tcW w:w="100" w:type="dxa"/>
            <w:vAlign w:val="bottom"/>
          </w:tcPr>
          <w:p>
            <w:pPr>
              <w:spacing w:after="0"/>
              <w:rPr>
                <w:sz w:val="8"/>
                <w:szCs w:val="8"/>
                <w:color w:val="auto"/>
              </w:rPr>
            </w:pPr>
          </w:p>
        </w:tc>
        <w:tc>
          <w:tcPr>
            <w:tcW w:w="78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16,515</w:t>
            </w:r>
          </w:p>
        </w:tc>
        <w:tc>
          <w:tcPr>
            <w:tcW w:w="100" w:type="dxa"/>
            <w:vAlign w:val="bottom"/>
          </w:tcPr>
          <w:p>
            <w:pPr>
              <w:spacing w:after="0"/>
              <w:rPr>
                <w:sz w:val="8"/>
                <w:szCs w:val="8"/>
                <w:color w:val="auto"/>
              </w:rPr>
            </w:pPr>
          </w:p>
        </w:tc>
        <w:tc>
          <w:tcPr>
            <w:tcW w:w="90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33,030</w:t>
            </w:r>
          </w:p>
        </w:tc>
        <w:tc>
          <w:tcPr>
            <w:tcW w:w="100" w:type="dxa"/>
            <w:vAlign w:val="bottom"/>
          </w:tcPr>
          <w:p>
            <w:pPr>
              <w:spacing w:after="0"/>
              <w:rPr>
                <w:sz w:val="8"/>
                <w:szCs w:val="8"/>
                <w:color w:val="auto"/>
              </w:rPr>
            </w:pPr>
          </w:p>
        </w:tc>
        <w:tc>
          <w:tcPr>
            <w:tcW w:w="78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8"/>
                <w:szCs w:val="8"/>
                <w:color w:val="auto"/>
              </w:rPr>
            </w:pPr>
          </w:p>
        </w:tc>
        <w:tc>
          <w:tcPr>
            <w:tcW w:w="132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1,609,387</w:t>
            </w:r>
          </w:p>
        </w:tc>
        <w:tc>
          <w:tcPr>
            <w:tcW w:w="0" w:type="dxa"/>
            <w:vAlign w:val="bottom"/>
          </w:tcPr>
          <w:p>
            <w:pPr>
              <w:spacing w:after="0"/>
              <w:rPr>
                <w:sz w:val="1"/>
                <w:szCs w:val="1"/>
                <w:color w:val="auto"/>
              </w:rPr>
            </w:pPr>
          </w:p>
        </w:tc>
      </w:tr>
      <w:tr>
        <w:trPr>
          <w:trHeight w:val="93"/>
        </w:trPr>
        <w:tc>
          <w:tcPr>
            <w:tcW w:w="1120" w:type="dxa"/>
            <w:vAlign w:val="bottom"/>
            <w:shd w:val="clear" w:color="auto" w:fill="E6E7E7"/>
          </w:tcPr>
          <w:p>
            <w:pPr>
              <w:spacing w:after="0"/>
              <w:rPr>
                <w:sz w:val="8"/>
                <w:szCs w:val="8"/>
                <w:color w:val="auto"/>
              </w:rPr>
            </w:pPr>
          </w:p>
        </w:tc>
        <w:tc>
          <w:tcPr>
            <w:tcW w:w="84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vMerge w:val="continue"/>
            <w:shd w:val="clear" w:color="auto" w:fill="E6E7E7"/>
          </w:tcPr>
          <w:p>
            <w:pPr>
              <w:spacing w:after="0"/>
              <w:rPr>
                <w:sz w:val="8"/>
                <w:szCs w:val="8"/>
                <w:color w:val="auto"/>
              </w:rPr>
            </w:pPr>
          </w:p>
        </w:tc>
        <w:tc>
          <w:tcPr>
            <w:tcW w:w="280" w:type="dxa"/>
            <w:vAlign w:val="bottom"/>
            <w:shd w:val="clear" w:color="auto" w:fill="E6E7E7"/>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vMerge w:val="continue"/>
            <w:shd w:val="clear" w:color="auto" w:fill="E6E7E7"/>
          </w:tcPr>
          <w:p>
            <w:pPr>
              <w:spacing w:after="0"/>
              <w:rPr>
                <w:sz w:val="8"/>
                <w:szCs w:val="8"/>
                <w:color w:val="auto"/>
              </w:rPr>
            </w:pPr>
          </w:p>
        </w:tc>
        <w:tc>
          <w:tcPr>
            <w:tcW w:w="12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continue"/>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shd w:val="clear" w:color="auto" w:fill="E6E7E7"/>
          </w:tcPr>
          <w:p>
            <w:pPr>
              <w:spacing w:after="0"/>
              <w:rPr>
                <w:sz w:val="8"/>
                <w:szCs w:val="8"/>
                <w:color w:val="auto"/>
              </w:rPr>
            </w:pPr>
          </w:p>
        </w:tc>
        <w:tc>
          <w:tcPr>
            <w:tcW w:w="820" w:type="dxa"/>
            <w:vAlign w:val="bottom"/>
            <w:vMerge w:val="continue"/>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vMerge w:val="continue"/>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vMerge w:val="continue"/>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vMerge w:val="continue"/>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vMerge w:val="continue"/>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1320" w:type="dxa"/>
            <w:vAlign w:val="bottom"/>
            <w:vMerge w:val="continue"/>
            <w:shd w:val="clear" w:color="auto" w:fill="E6E7E7"/>
          </w:tcPr>
          <w:p>
            <w:pPr>
              <w:spacing w:after="0"/>
              <w:rPr>
                <w:sz w:val="8"/>
                <w:szCs w:val="8"/>
                <w:color w:val="auto"/>
              </w:rPr>
            </w:pPr>
          </w:p>
        </w:tc>
        <w:tc>
          <w:tcPr>
            <w:tcW w:w="0" w:type="dxa"/>
            <w:vAlign w:val="bottom"/>
          </w:tcPr>
          <w:p>
            <w:pPr>
              <w:spacing w:after="0"/>
              <w:rPr>
                <w:sz w:val="1"/>
                <w:szCs w:val="1"/>
                <w:color w:val="auto"/>
              </w:rPr>
            </w:pPr>
          </w:p>
        </w:tc>
      </w:tr>
      <w:tr>
        <w:trPr>
          <w:trHeight w:val="379"/>
        </w:trPr>
        <w:tc>
          <w:tcPr>
            <w:tcW w:w="2060" w:type="dxa"/>
            <w:vAlign w:val="bottom"/>
            <w:gridSpan w:val="3"/>
          </w:tcPr>
          <w:p>
            <w:pPr>
              <w:ind w:left="20"/>
              <w:spacing w:after="0"/>
              <w:rPr>
                <w:sz w:val="20"/>
                <w:szCs w:val="20"/>
                <w:color w:val="auto"/>
              </w:rPr>
            </w:pPr>
            <w:r>
              <w:rPr>
                <w:rFonts w:ascii="Arial" w:cs="Arial" w:eastAsia="Arial" w:hAnsi="Arial"/>
                <w:sz w:val="13"/>
                <w:szCs w:val="13"/>
                <w:b w:val="1"/>
                <w:bCs w:val="1"/>
                <w:color w:val="520B90"/>
              </w:rPr>
              <w:t>Sunit S. Patel</w:t>
            </w:r>
          </w:p>
        </w:tc>
        <w:tc>
          <w:tcPr>
            <w:tcW w:w="780" w:type="dxa"/>
            <w:vAlign w:val="bottom"/>
          </w:tcPr>
          <w:p>
            <w:pPr>
              <w:jc w:val="center"/>
              <w:spacing w:after="0"/>
              <w:rPr>
                <w:sz w:val="20"/>
                <w:szCs w:val="20"/>
                <w:color w:val="auto"/>
              </w:rPr>
            </w:pPr>
            <w:r>
              <w:rPr>
                <w:rFonts w:ascii="Arial" w:cs="Arial" w:eastAsia="Arial" w:hAnsi="Arial"/>
                <w:sz w:val="13"/>
                <w:szCs w:val="13"/>
                <w:color w:val="auto"/>
              </w:rPr>
              <w:t>—</w:t>
            </w:r>
          </w:p>
        </w:tc>
        <w:tc>
          <w:tcPr>
            <w:tcW w:w="280" w:type="dxa"/>
            <w:vAlign w:val="bottom"/>
            <w:vMerge w:val="restart"/>
          </w:tcPr>
          <w:p>
            <w:pPr>
              <w:ind w:left="20"/>
              <w:spacing w:after="0"/>
              <w:rPr>
                <w:sz w:val="20"/>
                <w:szCs w:val="20"/>
                <w:color w:val="auto"/>
              </w:rPr>
            </w:pPr>
            <w:r>
              <w:rPr>
                <w:rFonts w:ascii="Arial" w:cs="Arial" w:eastAsia="Arial" w:hAnsi="Arial"/>
                <w:sz w:val="9"/>
                <w:szCs w:val="9"/>
                <w:color w:val="auto"/>
              </w:rPr>
              <w:t>(h)</w:t>
            </w:r>
          </w:p>
        </w:tc>
        <w:tc>
          <w:tcPr>
            <w:tcW w:w="880" w:type="dxa"/>
            <w:vAlign w:val="bottom"/>
            <w:gridSpan w:val="2"/>
          </w:tcPr>
          <w:p>
            <w:pPr>
              <w:jc w:val="center"/>
              <w:ind w:left="134"/>
              <w:spacing w:after="0"/>
              <w:rPr>
                <w:sz w:val="20"/>
                <w:szCs w:val="20"/>
                <w:color w:val="auto"/>
              </w:rPr>
            </w:pPr>
            <w:r>
              <w:rPr>
                <w:rFonts w:ascii="Arial" w:cs="Arial" w:eastAsia="Arial" w:hAnsi="Arial"/>
                <w:sz w:val="13"/>
                <w:szCs w:val="13"/>
                <w:color w:val="auto"/>
              </w:rPr>
              <w:t>235,445</w:t>
            </w:r>
          </w:p>
        </w:tc>
        <w:tc>
          <w:tcPr>
            <w:tcW w:w="1040" w:type="dxa"/>
            <w:vAlign w:val="bottom"/>
            <w:gridSpan w:val="3"/>
          </w:tcPr>
          <w:p>
            <w:pPr>
              <w:jc w:val="center"/>
              <w:ind w:left="174"/>
              <w:spacing w:after="0"/>
              <w:rPr>
                <w:sz w:val="20"/>
                <w:szCs w:val="20"/>
                <w:color w:val="auto"/>
              </w:rPr>
            </w:pPr>
            <w:r>
              <w:rPr>
                <w:rFonts w:ascii="Arial" w:cs="Arial" w:eastAsia="Arial" w:hAnsi="Arial"/>
                <w:sz w:val="13"/>
                <w:szCs w:val="13"/>
                <w:color w:val="auto"/>
              </w:rPr>
              <w:t>470,890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rPr>
              <w:t>824,058</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97"/>
        </w:trPr>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rPr>
              <w:t>4/1/25</w:t>
            </w:r>
          </w:p>
        </w:tc>
        <w:tc>
          <w:tcPr>
            <w:tcW w:w="2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vMerge w:val="restart"/>
          </w:tcPr>
          <w:p>
            <w:pPr>
              <w:jc w:val="center"/>
              <w:ind w:left="7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3"/>
            <w:vMerge w:val="restart"/>
          </w:tcPr>
          <w:p>
            <w:pPr>
              <w:jc w:val="center"/>
              <w:ind w:right="180"/>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center"/>
              <w:ind w:right="1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8"/>
                <w:szCs w:val="8"/>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8"/>
                <w:szCs w:val="8"/>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8"/>
                <w:szCs w:val="8"/>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880" w:type="dxa"/>
            <w:vAlign w:val="bottom"/>
            <w:gridSpan w:val="2"/>
            <w:vMerge w:val="restart"/>
          </w:tcPr>
          <w:p>
            <w:pPr>
              <w:jc w:val="center"/>
              <w:ind w:left="34"/>
              <w:spacing w:after="0"/>
              <w:rPr>
                <w:sz w:val="20"/>
                <w:szCs w:val="20"/>
                <w:color w:val="auto"/>
              </w:rPr>
            </w:pPr>
            <w:r>
              <w:rPr>
                <w:rFonts w:ascii="Arial" w:cs="Arial" w:eastAsia="Arial" w:hAnsi="Arial"/>
                <w:sz w:val="13"/>
                <w:szCs w:val="13"/>
                <w:color w:val="auto"/>
              </w:rPr>
              <w:t>28,952</w:t>
            </w:r>
          </w:p>
        </w:tc>
        <w:tc>
          <w:tcPr>
            <w:tcW w:w="1420" w:type="dxa"/>
            <w:vAlign w:val="bottom"/>
            <w:gridSpan w:val="2"/>
            <w:vMerge w:val="restart"/>
          </w:tcPr>
          <w:p>
            <w:pPr>
              <w:jc w:val="center"/>
              <w:ind w:left="34"/>
              <w:spacing w:after="0"/>
              <w:rPr>
                <w:sz w:val="20"/>
                <w:szCs w:val="20"/>
                <w:color w:val="auto"/>
              </w:rPr>
            </w:pPr>
            <w:r>
              <w:rPr>
                <w:rFonts w:ascii="Arial" w:cs="Arial" w:eastAsia="Arial" w:hAnsi="Arial"/>
                <w:sz w:val="13"/>
                <w:szCs w:val="13"/>
                <w:color w:val="auto"/>
              </w:rPr>
              <w:t>3,028,669</w:t>
            </w:r>
          </w:p>
        </w:tc>
        <w:tc>
          <w:tcPr>
            <w:tcW w:w="0" w:type="dxa"/>
            <w:vAlign w:val="bottom"/>
          </w:tcPr>
          <w:p>
            <w:pPr>
              <w:spacing w:after="0"/>
              <w:rPr>
                <w:sz w:val="1"/>
                <w:szCs w:val="1"/>
                <w:color w:val="auto"/>
              </w:rPr>
            </w:pPr>
          </w:p>
        </w:tc>
      </w:tr>
      <w:tr>
        <w:trPr>
          <w:trHeight w:val="82"/>
        </w:trPr>
        <w:tc>
          <w:tcPr>
            <w:tcW w:w="1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rPr>
              <w:t>4/1/25</w:t>
            </w:r>
          </w:p>
        </w:tc>
        <w:tc>
          <w:tcPr>
            <w:tcW w:w="280" w:type="dxa"/>
            <w:vAlign w:val="bottom"/>
            <w:vMerge w:val="restart"/>
          </w:tcPr>
          <w:p>
            <w:pPr>
              <w:ind w:left="20"/>
              <w:spacing w:after="0"/>
              <w:rPr>
                <w:sz w:val="20"/>
                <w:szCs w:val="20"/>
                <w:color w:val="auto"/>
              </w:rPr>
            </w:pPr>
            <w:r>
              <w:rPr>
                <w:rFonts w:ascii="Arial" w:cs="Arial" w:eastAsia="Arial" w:hAnsi="Arial"/>
                <w:sz w:val="9"/>
                <w:szCs w:val="9"/>
                <w:color w:val="auto"/>
              </w:rPr>
              <w:t>(f)</w:t>
            </w:r>
          </w:p>
        </w:tc>
        <w:tc>
          <w:tcPr>
            <w:tcW w:w="80" w:type="dxa"/>
            <w:vAlign w:val="bottom"/>
          </w:tcPr>
          <w:p>
            <w:pPr>
              <w:spacing w:after="0"/>
              <w:rPr>
                <w:sz w:val="16"/>
                <w:szCs w:val="16"/>
                <w:color w:val="auto"/>
              </w:rPr>
            </w:pPr>
          </w:p>
        </w:tc>
        <w:tc>
          <w:tcPr>
            <w:tcW w:w="800" w:type="dxa"/>
            <w:vAlign w:val="bottom"/>
          </w:tcPr>
          <w:p>
            <w:pPr>
              <w:jc w:val="center"/>
              <w:ind w:left="7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3"/>
                <w:szCs w:val="13"/>
                <w:color w:val="auto"/>
              </w:rPr>
              <w:t>—</w:t>
            </w:r>
          </w:p>
        </w:tc>
        <w:tc>
          <w:tcPr>
            <w:tcW w:w="820" w:type="dxa"/>
            <w:vAlign w:val="bottom"/>
          </w:tcPr>
          <w:p>
            <w:pPr>
              <w:jc w:val="center"/>
              <w:ind w:right="1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center"/>
              <w:ind w:left="34"/>
              <w:spacing w:after="0"/>
              <w:rPr>
                <w:sz w:val="20"/>
                <w:szCs w:val="20"/>
                <w:color w:val="auto"/>
              </w:rPr>
            </w:pPr>
            <w:r>
              <w:rPr>
                <w:rFonts w:ascii="Arial" w:cs="Arial" w:eastAsia="Arial" w:hAnsi="Arial"/>
                <w:sz w:val="13"/>
                <w:szCs w:val="13"/>
                <w:color w:val="auto"/>
              </w:rPr>
              <w:t>17,178</w:t>
            </w:r>
          </w:p>
        </w:tc>
        <w:tc>
          <w:tcPr>
            <w:tcW w:w="1420" w:type="dxa"/>
            <w:vAlign w:val="bottom"/>
            <w:gridSpan w:val="2"/>
          </w:tcPr>
          <w:p>
            <w:pPr>
              <w:jc w:val="center"/>
              <w:ind w:left="34"/>
              <w:spacing w:after="0"/>
              <w:rPr>
                <w:sz w:val="20"/>
                <w:szCs w:val="20"/>
                <w:color w:val="auto"/>
              </w:rPr>
            </w:pPr>
            <w:r>
              <w:rPr>
                <w:rFonts w:ascii="Arial" w:cs="Arial" w:eastAsia="Arial" w:hAnsi="Arial"/>
                <w:sz w:val="13"/>
                <w:szCs w:val="13"/>
                <w:color w:val="auto"/>
              </w:rPr>
              <w:t>1,796,991</w:t>
            </w:r>
          </w:p>
        </w:tc>
        <w:tc>
          <w:tcPr>
            <w:tcW w:w="0" w:type="dxa"/>
            <w:vAlign w:val="bottom"/>
          </w:tcPr>
          <w:p>
            <w:pPr>
              <w:spacing w:after="0"/>
              <w:rPr>
                <w:sz w:val="1"/>
                <w:szCs w:val="1"/>
                <w:color w:val="auto"/>
              </w:rPr>
            </w:pPr>
          </w:p>
        </w:tc>
      </w:tr>
      <w:tr>
        <w:trPr>
          <w:trHeight w:val="103"/>
        </w:trPr>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rPr>
              <w:t>4/1/25</w:t>
            </w:r>
          </w:p>
        </w:tc>
        <w:tc>
          <w:tcPr>
            <w:tcW w:w="2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vMerge w:val="restart"/>
          </w:tcPr>
          <w:p>
            <w:pPr>
              <w:jc w:val="center"/>
              <w:ind w:left="7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3"/>
            <w:vMerge w:val="restart"/>
          </w:tcPr>
          <w:p>
            <w:pPr>
              <w:jc w:val="center"/>
              <w:ind w:right="180"/>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center"/>
              <w:ind w:right="14"/>
              <w:spacing w:after="0"/>
              <w:rPr>
                <w:sz w:val="20"/>
                <w:szCs w:val="20"/>
                <w:color w:val="auto"/>
              </w:rPr>
            </w:pPr>
            <w:r>
              <w:rPr>
                <w:rFonts w:ascii="Arial" w:cs="Arial" w:eastAsia="Arial" w:hAnsi="Arial"/>
                <w:sz w:val="13"/>
                <w:szCs w:val="13"/>
                <w:color w:val="auto"/>
              </w:rPr>
              <w:t>—</w:t>
            </w:r>
          </w:p>
        </w:tc>
        <w:tc>
          <w:tcPr>
            <w:tcW w:w="1020" w:type="dxa"/>
            <w:vAlign w:val="bottom"/>
            <w:gridSpan w:val="2"/>
            <w:vMerge w:val="restart"/>
          </w:tcPr>
          <w:p>
            <w:pPr>
              <w:jc w:val="center"/>
              <w:ind w:left="34"/>
              <w:spacing w:after="0"/>
              <w:rPr>
                <w:sz w:val="20"/>
                <w:szCs w:val="20"/>
                <w:color w:val="auto"/>
              </w:rPr>
            </w:pPr>
            <w:r>
              <w:rPr>
                <w:rFonts w:ascii="Arial" w:cs="Arial" w:eastAsia="Arial" w:hAnsi="Arial"/>
                <w:sz w:val="13"/>
                <w:szCs w:val="13"/>
                <w:color w:val="auto"/>
                <w:w w:val="98"/>
              </w:rPr>
              <w:t>6,442</w:t>
            </w:r>
          </w:p>
        </w:tc>
        <w:tc>
          <w:tcPr>
            <w:tcW w:w="880" w:type="dxa"/>
            <w:vAlign w:val="bottom"/>
            <w:gridSpan w:val="2"/>
            <w:vMerge w:val="restart"/>
          </w:tcPr>
          <w:p>
            <w:pPr>
              <w:jc w:val="center"/>
              <w:ind w:left="34"/>
              <w:spacing w:after="0"/>
              <w:rPr>
                <w:sz w:val="20"/>
                <w:szCs w:val="20"/>
                <w:color w:val="auto"/>
              </w:rPr>
            </w:pPr>
            <w:r>
              <w:rPr>
                <w:rFonts w:ascii="Arial" w:cs="Arial" w:eastAsia="Arial" w:hAnsi="Arial"/>
                <w:sz w:val="13"/>
                <w:szCs w:val="13"/>
                <w:color w:val="auto"/>
              </w:rPr>
              <w:t>12,884</w:t>
            </w:r>
          </w:p>
        </w:tc>
        <w:tc>
          <w:tcPr>
            <w:tcW w:w="1000" w:type="dxa"/>
            <w:vAlign w:val="bottom"/>
            <w:gridSpan w:val="2"/>
            <w:vMerge w:val="restart"/>
          </w:tcPr>
          <w:p>
            <w:pPr>
              <w:jc w:val="center"/>
              <w:ind w:left="34"/>
              <w:spacing w:after="0"/>
              <w:rPr>
                <w:sz w:val="20"/>
                <w:szCs w:val="20"/>
                <w:color w:val="auto"/>
              </w:rPr>
            </w:pPr>
            <w:r>
              <w:rPr>
                <w:rFonts w:ascii="Arial" w:cs="Arial" w:eastAsia="Arial" w:hAnsi="Arial"/>
                <w:sz w:val="13"/>
                <w:szCs w:val="13"/>
                <w:color w:val="auto"/>
              </w:rPr>
              <w:t>25,768</w:t>
            </w:r>
          </w:p>
        </w:tc>
        <w:tc>
          <w:tcPr>
            <w:tcW w:w="100" w:type="dxa"/>
            <w:vAlign w:val="bottom"/>
          </w:tcPr>
          <w:p>
            <w:pPr>
              <w:spacing w:after="0"/>
              <w:rPr>
                <w:sz w:val="8"/>
                <w:szCs w:val="8"/>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1420" w:type="dxa"/>
            <w:vAlign w:val="bottom"/>
            <w:gridSpan w:val="2"/>
            <w:vMerge w:val="restart"/>
          </w:tcPr>
          <w:p>
            <w:pPr>
              <w:jc w:val="center"/>
              <w:ind w:left="34"/>
              <w:spacing w:after="0"/>
              <w:rPr>
                <w:sz w:val="20"/>
                <w:szCs w:val="20"/>
                <w:color w:val="auto"/>
              </w:rPr>
            </w:pPr>
            <w:r>
              <w:rPr>
                <w:rFonts w:ascii="Arial" w:cs="Arial" w:eastAsia="Arial" w:hAnsi="Arial"/>
                <w:sz w:val="13"/>
                <w:szCs w:val="13"/>
                <w:color w:val="auto"/>
              </w:rPr>
              <w:t>1,435,149</w:t>
            </w:r>
          </w:p>
        </w:tc>
        <w:tc>
          <w:tcPr>
            <w:tcW w:w="0" w:type="dxa"/>
            <w:vAlign w:val="bottom"/>
          </w:tcPr>
          <w:p>
            <w:pPr>
              <w:spacing w:after="0"/>
              <w:rPr>
                <w:sz w:val="1"/>
                <w:szCs w:val="1"/>
                <w:color w:val="auto"/>
              </w:rPr>
            </w:pPr>
          </w:p>
        </w:tc>
      </w:tr>
      <w:tr>
        <w:trPr>
          <w:trHeight w:val="82"/>
        </w:trPr>
        <w:tc>
          <w:tcPr>
            <w:tcW w:w="1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280" w:type="dxa"/>
            <w:vAlign w:val="bottom"/>
            <w:vMerge w:val="restart"/>
          </w:tcPr>
          <w:p>
            <w:pPr>
              <w:ind w:left="20"/>
              <w:spacing w:after="0"/>
              <w:rPr>
                <w:sz w:val="20"/>
                <w:szCs w:val="20"/>
                <w:color w:val="auto"/>
              </w:rPr>
            </w:pPr>
            <w:r>
              <w:rPr>
                <w:rFonts w:ascii="Arial" w:cs="Arial" w:eastAsia="Arial" w:hAnsi="Arial"/>
                <w:sz w:val="9"/>
                <w:szCs w:val="9"/>
                <w:color w:val="auto"/>
              </w:rPr>
              <w:t>(g)</w:t>
            </w:r>
          </w:p>
        </w:tc>
        <w:tc>
          <w:tcPr>
            <w:tcW w:w="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rPr>
              <w:t>4/1/25</w:t>
            </w:r>
          </w:p>
        </w:tc>
        <w:tc>
          <w:tcPr>
            <w:tcW w:w="2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vMerge w:val="restart"/>
          </w:tcPr>
          <w:p>
            <w:pPr>
              <w:jc w:val="center"/>
              <w:ind w:left="7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3"/>
            <w:vMerge w:val="restart"/>
          </w:tcPr>
          <w:p>
            <w:pPr>
              <w:jc w:val="center"/>
              <w:ind w:right="180"/>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center"/>
              <w:ind w:right="14"/>
              <w:spacing w:after="0"/>
              <w:rPr>
                <w:sz w:val="20"/>
                <w:szCs w:val="20"/>
                <w:color w:val="auto"/>
              </w:rPr>
            </w:pPr>
            <w:r>
              <w:rPr>
                <w:rFonts w:ascii="Arial" w:cs="Arial" w:eastAsia="Arial" w:hAnsi="Arial"/>
                <w:sz w:val="13"/>
                <w:szCs w:val="13"/>
                <w:color w:val="auto"/>
              </w:rPr>
              <w:t>—</w:t>
            </w:r>
          </w:p>
        </w:tc>
        <w:tc>
          <w:tcPr>
            <w:tcW w:w="1020" w:type="dxa"/>
            <w:vAlign w:val="bottom"/>
            <w:gridSpan w:val="2"/>
            <w:vMerge w:val="restart"/>
          </w:tcPr>
          <w:p>
            <w:pPr>
              <w:jc w:val="center"/>
              <w:ind w:left="34"/>
              <w:spacing w:after="0"/>
              <w:rPr>
                <w:sz w:val="20"/>
                <w:szCs w:val="20"/>
                <w:color w:val="auto"/>
              </w:rPr>
            </w:pPr>
            <w:r>
              <w:rPr>
                <w:rFonts w:ascii="Arial" w:cs="Arial" w:eastAsia="Arial" w:hAnsi="Arial"/>
                <w:sz w:val="13"/>
                <w:szCs w:val="13"/>
                <w:color w:val="auto"/>
                <w:w w:val="98"/>
              </w:rPr>
              <w:t>6,442</w:t>
            </w:r>
          </w:p>
        </w:tc>
        <w:tc>
          <w:tcPr>
            <w:tcW w:w="880" w:type="dxa"/>
            <w:vAlign w:val="bottom"/>
            <w:gridSpan w:val="2"/>
            <w:vMerge w:val="restart"/>
          </w:tcPr>
          <w:p>
            <w:pPr>
              <w:jc w:val="center"/>
              <w:ind w:left="34"/>
              <w:spacing w:after="0"/>
              <w:rPr>
                <w:sz w:val="20"/>
                <w:szCs w:val="20"/>
                <w:color w:val="auto"/>
              </w:rPr>
            </w:pPr>
            <w:r>
              <w:rPr>
                <w:rFonts w:ascii="Arial" w:cs="Arial" w:eastAsia="Arial" w:hAnsi="Arial"/>
                <w:sz w:val="13"/>
                <w:szCs w:val="13"/>
                <w:color w:val="auto"/>
              </w:rPr>
              <w:t>12,884</w:t>
            </w:r>
          </w:p>
        </w:tc>
        <w:tc>
          <w:tcPr>
            <w:tcW w:w="1000" w:type="dxa"/>
            <w:vAlign w:val="bottom"/>
            <w:gridSpan w:val="2"/>
            <w:vMerge w:val="restart"/>
          </w:tcPr>
          <w:p>
            <w:pPr>
              <w:jc w:val="center"/>
              <w:ind w:left="34"/>
              <w:spacing w:after="0"/>
              <w:rPr>
                <w:sz w:val="20"/>
                <w:szCs w:val="20"/>
                <w:color w:val="auto"/>
              </w:rPr>
            </w:pPr>
            <w:r>
              <w:rPr>
                <w:rFonts w:ascii="Arial" w:cs="Arial" w:eastAsia="Arial" w:hAnsi="Arial"/>
                <w:sz w:val="13"/>
                <w:szCs w:val="13"/>
                <w:color w:val="auto"/>
              </w:rPr>
              <w:t>25,768</w:t>
            </w:r>
          </w:p>
        </w:tc>
        <w:tc>
          <w:tcPr>
            <w:tcW w:w="100" w:type="dxa"/>
            <w:vAlign w:val="bottom"/>
          </w:tcPr>
          <w:p>
            <w:pPr>
              <w:spacing w:after="0"/>
              <w:rPr>
                <w:sz w:val="8"/>
                <w:szCs w:val="8"/>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1420" w:type="dxa"/>
            <w:vAlign w:val="bottom"/>
            <w:gridSpan w:val="2"/>
            <w:vMerge w:val="restart"/>
          </w:tcPr>
          <w:p>
            <w:pPr>
              <w:jc w:val="center"/>
              <w:ind w:left="34"/>
              <w:spacing w:after="0"/>
              <w:rPr>
                <w:sz w:val="20"/>
                <w:szCs w:val="20"/>
                <w:color w:val="auto"/>
              </w:rPr>
            </w:pPr>
            <w:r>
              <w:rPr>
                <w:rFonts w:ascii="Arial" w:cs="Arial" w:eastAsia="Arial" w:hAnsi="Arial"/>
                <w:sz w:val="13"/>
                <w:szCs w:val="13"/>
                <w:color w:val="auto"/>
              </w:rPr>
              <w:t>1,435,149</w:t>
            </w:r>
          </w:p>
        </w:tc>
        <w:tc>
          <w:tcPr>
            <w:tcW w:w="0" w:type="dxa"/>
            <w:vAlign w:val="bottom"/>
          </w:tcPr>
          <w:p>
            <w:pPr>
              <w:spacing w:after="0"/>
              <w:rPr>
                <w:sz w:val="1"/>
                <w:szCs w:val="1"/>
                <w:color w:val="auto"/>
              </w:rPr>
            </w:pPr>
          </w:p>
        </w:tc>
      </w:tr>
      <w:tr>
        <w:trPr>
          <w:trHeight w:val="88"/>
        </w:trPr>
        <w:tc>
          <w:tcPr>
            <w:tcW w:w="1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84"/>
        </w:trPr>
        <w:tc>
          <w:tcPr>
            <w:tcW w:w="1960" w:type="dxa"/>
            <w:vAlign w:val="bottom"/>
            <w:gridSpan w:val="2"/>
            <w:shd w:val="clear" w:color="auto" w:fill="E6E7E7"/>
          </w:tcPr>
          <w:p>
            <w:pPr>
              <w:ind w:left="20"/>
              <w:spacing w:after="0"/>
              <w:rPr>
                <w:sz w:val="20"/>
                <w:szCs w:val="20"/>
                <w:color w:val="auto"/>
              </w:rPr>
            </w:pPr>
            <w:r>
              <w:rPr>
                <w:rFonts w:ascii="Arial" w:cs="Arial" w:eastAsia="Arial" w:hAnsi="Arial"/>
                <w:sz w:val="13"/>
                <w:szCs w:val="13"/>
                <w:b w:val="1"/>
                <w:bCs w:val="1"/>
                <w:color w:val="520B90"/>
              </w:rPr>
              <w:t>Daniel K. Schlanger</w:t>
            </w:r>
          </w:p>
        </w:tc>
        <w:tc>
          <w:tcPr>
            <w:tcW w:w="100" w:type="dxa"/>
            <w:vAlign w:val="bottom"/>
          </w:tcPr>
          <w:p>
            <w:pPr>
              <w:spacing w:after="0"/>
              <w:rPr>
                <w:sz w:val="24"/>
                <w:szCs w:val="24"/>
                <w:color w:val="auto"/>
              </w:rPr>
            </w:pPr>
          </w:p>
        </w:tc>
        <w:tc>
          <w:tcPr>
            <w:tcW w:w="78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w:t>
            </w:r>
          </w:p>
        </w:tc>
        <w:tc>
          <w:tcPr>
            <w:tcW w:w="280" w:type="dxa"/>
            <w:vAlign w:val="bottom"/>
            <w:vMerge w:val="restart"/>
            <w:shd w:val="clear" w:color="auto" w:fill="E6E7E7"/>
          </w:tcPr>
          <w:p>
            <w:pPr>
              <w:ind w:left="20"/>
              <w:spacing w:after="0"/>
              <w:rPr>
                <w:sz w:val="20"/>
                <w:szCs w:val="20"/>
                <w:color w:val="auto"/>
              </w:rPr>
            </w:pPr>
            <w:r>
              <w:rPr>
                <w:rFonts w:ascii="Arial" w:cs="Arial" w:eastAsia="Arial" w:hAnsi="Arial"/>
                <w:sz w:val="9"/>
                <w:szCs w:val="9"/>
                <w:color w:val="auto"/>
              </w:rPr>
              <w:t>(i)</w:t>
            </w:r>
          </w:p>
        </w:tc>
        <w:tc>
          <w:tcPr>
            <w:tcW w:w="80" w:type="dxa"/>
            <w:vAlign w:val="bottom"/>
          </w:tcPr>
          <w:p>
            <w:pPr>
              <w:spacing w:after="0"/>
              <w:rPr>
                <w:sz w:val="24"/>
                <w:szCs w:val="24"/>
                <w:color w:val="auto"/>
              </w:rPr>
            </w:pPr>
          </w:p>
        </w:tc>
        <w:tc>
          <w:tcPr>
            <w:tcW w:w="800" w:type="dxa"/>
            <w:vAlign w:val="bottom"/>
            <w:shd w:val="clear" w:color="auto" w:fill="E6E7E7"/>
          </w:tcPr>
          <w:p>
            <w:pPr>
              <w:jc w:val="center"/>
              <w:ind w:left="54"/>
              <w:spacing w:after="0"/>
              <w:rPr>
                <w:sz w:val="20"/>
                <w:szCs w:val="20"/>
                <w:color w:val="auto"/>
              </w:rPr>
            </w:pPr>
            <w:r>
              <w:rPr>
                <w:rFonts w:ascii="Arial" w:cs="Arial" w:eastAsia="Arial" w:hAnsi="Arial"/>
                <w:sz w:val="13"/>
                <w:szCs w:val="13"/>
                <w:color w:val="auto"/>
              </w:rPr>
              <w:t>320,000</w:t>
            </w:r>
          </w:p>
        </w:tc>
        <w:tc>
          <w:tcPr>
            <w:tcW w:w="120" w:type="dxa"/>
            <w:vAlign w:val="bottom"/>
            <w:shd w:val="clear" w:color="auto" w:fill="E6E7E7"/>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640,000</w:t>
            </w:r>
          </w:p>
        </w:tc>
        <w:tc>
          <w:tcPr>
            <w:tcW w:w="100" w:type="dxa"/>
            <w:vAlign w:val="bottom"/>
          </w:tcPr>
          <w:p>
            <w:pPr>
              <w:spacing w:after="0"/>
              <w:rPr>
                <w:sz w:val="24"/>
                <w:szCs w:val="24"/>
                <w:color w:val="auto"/>
              </w:rPr>
            </w:pPr>
          </w:p>
        </w:tc>
        <w:tc>
          <w:tcPr>
            <w:tcW w:w="80" w:type="dxa"/>
            <w:vAlign w:val="bottom"/>
            <w:shd w:val="clear" w:color="auto" w:fill="E6E7E7"/>
          </w:tcPr>
          <w:p>
            <w:pPr>
              <w:spacing w:after="0"/>
              <w:rPr>
                <w:sz w:val="24"/>
                <w:szCs w:val="24"/>
                <w:color w:val="auto"/>
              </w:rPr>
            </w:pPr>
          </w:p>
        </w:tc>
        <w:tc>
          <w:tcPr>
            <w:tcW w:w="820" w:type="dxa"/>
            <w:vAlign w:val="bottom"/>
            <w:shd w:val="clear" w:color="auto" w:fill="E6E7E7"/>
          </w:tcPr>
          <w:p>
            <w:pPr>
              <w:jc w:val="center"/>
              <w:ind w:right="14"/>
              <w:spacing w:after="0"/>
              <w:rPr>
                <w:sz w:val="20"/>
                <w:szCs w:val="20"/>
                <w:color w:val="auto"/>
              </w:rPr>
            </w:pPr>
            <w:r>
              <w:rPr>
                <w:rFonts w:ascii="Arial" w:cs="Arial" w:eastAsia="Arial" w:hAnsi="Arial"/>
                <w:sz w:val="13"/>
                <w:szCs w:val="13"/>
                <w:color w:val="auto"/>
              </w:rPr>
              <w:t>1,120,000</w:t>
            </w:r>
          </w:p>
        </w:tc>
        <w:tc>
          <w:tcPr>
            <w:tcW w:w="100" w:type="dxa"/>
            <w:vAlign w:val="bottom"/>
          </w:tcPr>
          <w:p>
            <w:pPr>
              <w:spacing w:after="0"/>
              <w:rPr>
                <w:sz w:val="24"/>
                <w:szCs w:val="24"/>
                <w:color w:val="auto"/>
              </w:rPr>
            </w:pPr>
          </w:p>
        </w:tc>
        <w:tc>
          <w:tcPr>
            <w:tcW w:w="920" w:type="dxa"/>
            <w:vAlign w:val="bottom"/>
            <w:shd w:val="clear" w:color="auto" w:fill="E6E7E7"/>
          </w:tcPr>
          <w:p>
            <w:pPr>
              <w:jc w:val="center"/>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24"/>
                <w:szCs w:val="24"/>
                <w:color w:val="auto"/>
              </w:rPr>
            </w:pPr>
          </w:p>
        </w:tc>
        <w:tc>
          <w:tcPr>
            <w:tcW w:w="78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90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8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320" w:type="dxa"/>
            <w:vAlign w:val="bottom"/>
            <w:shd w:val="clear" w:color="auto" w:fill="E6E7E7"/>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97"/>
        </w:trPr>
        <w:tc>
          <w:tcPr>
            <w:tcW w:w="1120" w:type="dxa"/>
            <w:vAlign w:val="bottom"/>
            <w:shd w:val="clear" w:color="auto" w:fill="E6E7E7"/>
          </w:tcPr>
          <w:p>
            <w:pPr>
              <w:spacing w:after="0"/>
              <w:rPr>
                <w:sz w:val="8"/>
                <w:szCs w:val="8"/>
                <w:color w:val="auto"/>
              </w:rPr>
            </w:pPr>
          </w:p>
        </w:tc>
        <w:tc>
          <w:tcPr>
            <w:tcW w:w="84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3/23/25</w:t>
            </w:r>
          </w:p>
        </w:tc>
        <w:tc>
          <w:tcPr>
            <w:tcW w:w="280" w:type="dxa"/>
            <w:vAlign w:val="bottom"/>
            <w:vMerge w:val="continue"/>
            <w:shd w:val="clear" w:color="auto" w:fill="E6E7E7"/>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vMerge w:val="restart"/>
            <w:shd w:val="clear" w:color="auto" w:fill="E6E7E7"/>
          </w:tcPr>
          <w:p>
            <w:pPr>
              <w:jc w:val="center"/>
              <w:ind w:left="74"/>
              <w:spacing w:after="0"/>
              <w:rPr>
                <w:sz w:val="20"/>
                <w:szCs w:val="20"/>
                <w:color w:val="auto"/>
              </w:rPr>
            </w:pPr>
            <w:r>
              <w:rPr>
                <w:rFonts w:ascii="Arial" w:cs="Arial" w:eastAsia="Arial" w:hAnsi="Arial"/>
                <w:sz w:val="13"/>
                <w:szCs w:val="13"/>
                <w:color w:val="auto"/>
              </w:rPr>
              <w:t>—</w:t>
            </w:r>
          </w:p>
        </w:tc>
        <w:tc>
          <w:tcPr>
            <w:tcW w:w="12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8"/>
                <w:szCs w:val="8"/>
                <w:color w:val="auto"/>
              </w:rPr>
            </w:pPr>
          </w:p>
        </w:tc>
        <w:tc>
          <w:tcPr>
            <w:tcW w:w="80" w:type="dxa"/>
            <w:vAlign w:val="bottom"/>
            <w:shd w:val="clear" w:color="auto" w:fill="E6E7E7"/>
          </w:tcPr>
          <w:p>
            <w:pPr>
              <w:spacing w:after="0"/>
              <w:rPr>
                <w:sz w:val="8"/>
                <w:szCs w:val="8"/>
                <w:color w:val="auto"/>
              </w:rPr>
            </w:pPr>
          </w:p>
        </w:tc>
        <w:tc>
          <w:tcPr>
            <w:tcW w:w="820" w:type="dxa"/>
            <w:vAlign w:val="bottom"/>
            <w:vMerge w:val="restart"/>
            <w:shd w:val="clear" w:color="auto" w:fill="E6E7E7"/>
          </w:tcPr>
          <w:p>
            <w:pPr>
              <w:jc w:val="center"/>
              <w:ind w:right="1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8"/>
                <w:szCs w:val="8"/>
                <w:color w:val="auto"/>
              </w:rPr>
            </w:pPr>
          </w:p>
        </w:tc>
        <w:tc>
          <w:tcPr>
            <w:tcW w:w="92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8"/>
                <w:szCs w:val="8"/>
                <w:color w:val="auto"/>
              </w:rPr>
            </w:pPr>
          </w:p>
        </w:tc>
        <w:tc>
          <w:tcPr>
            <w:tcW w:w="78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8"/>
                <w:szCs w:val="8"/>
                <w:color w:val="auto"/>
              </w:rPr>
            </w:pPr>
          </w:p>
        </w:tc>
        <w:tc>
          <w:tcPr>
            <w:tcW w:w="90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8"/>
                <w:szCs w:val="8"/>
                <w:color w:val="auto"/>
              </w:rPr>
            </w:pPr>
          </w:p>
        </w:tc>
        <w:tc>
          <w:tcPr>
            <w:tcW w:w="78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40,478</w:t>
            </w:r>
          </w:p>
        </w:tc>
        <w:tc>
          <w:tcPr>
            <w:tcW w:w="100" w:type="dxa"/>
            <w:vAlign w:val="bottom"/>
          </w:tcPr>
          <w:p>
            <w:pPr>
              <w:spacing w:after="0"/>
              <w:rPr>
                <w:sz w:val="8"/>
                <w:szCs w:val="8"/>
                <w:color w:val="auto"/>
              </w:rPr>
            </w:pPr>
          </w:p>
        </w:tc>
        <w:tc>
          <w:tcPr>
            <w:tcW w:w="132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4,306,454</w:t>
            </w:r>
          </w:p>
        </w:tc>
        <w:tc>
          <w:tcPr>
            <w:tcW w:w="0" w:type="dxa"/>
            <w:vAlign w:val="bottom"/>
          </w:tcPr>
          <w:p>
            <w:pPr>
              <w:spacing w:after="0"/>
              <w:rPr>
                <w:sz w:val="1"/>
                <w:szCs w:val="1"/>
                <w:color w:val="auto"/>
              </w:rPr>
            </w:pPr>
          </w:p>
        </w:tc>
      </w:tr>
      <w:tr>
        <w:trPr>
          <w:trHeight w:val="82"/>
        </w:trPr>
        <w:tc>
          <w:tcPr>
            <w:tcW w:w="1120" w:type="dxa"/>
            <w:vAlign w:val="bottom"/>
            <w:shd w:val="clear" w:color="auto" w:fill="E6E7E7"/>
          </w:tcPr>
          <w:p>
            <w:pPr>
              <w:spacing w:after="0"/>
              <w:rPr>
                <w:sz w:val="7"/>
                <w:szCs w:val="7"/>
                <w:color w:val="auto"/>
              </w:rPr>
            </w:pPr>
          </w:p>
        </w:tc>
        <w:tc>
          <w:tcPr>
            <w:tcW w:w="840" w:type="dxa"/>
            <w:vAlign w:val="bottom"/>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shd w:val="clear" w:color="auto" w:fill="E6E7E7"/>
          </w:tcPr>
          <w:p>
            <w:pPr>
              <w:spacing w:after="0"/>
              <w:rPr>
                <w:sz w:val="7"/>
                <w:szCs w:val="7"/>
                <w:color w:val="auto"/>
              </w:rPr>
            </w:pPr>
          </w:p>
        </w:tc>
        <w:tc>
          <w:tcPr>
            <w:tcW w:w="280" w:type="dxa"/>
            <w:vAlign w:val="bottom"/>
            <w:vMerge w:val="restart"/>
            <w:shd w:val="clear" w:color="auto" w:fill="E6E7E7"/>
          </w:tcPr>
          <w:p>
            <w:pPr>
              <w:ind w:left="20"/>
              <w:spacing w:after="0"/>
              <w:rPr>
                <w:sz w:val="20"/>
                <w:szCs w:val="20"/>
                <w:color w:val="auto"/>
              </w:rPr>
            </w:pPr>
            <w:r>
              <w:rPr>
                <w:rFonts w:ascii="Arial" w:cs="Arial" w:eastAsia="Arial" w:hAnsi="Arial"/>
                <w:sz w:val="9"/>
                <w:szCs w:val="9"/>
                <w:color w:val="auto"/>
              </w:rPr>
              <w:t>(j)</w:t>
            </w:r>
          </w:p>
        </w:tc>
        <w:tc>
          <w:tcPr>
            <w:tcW w:w="80" w:type="dxa"/>
            <w:vAlign w:val="bottom"/>
          </w:tcPr>
          <w:p>
            <w:pPr>
              <w:spacing w:after="0"/>
              <w:rPr>
                <w:sz w:val="7"/>
                <w:szCs w:val="7"/>
                <w:color w:val="auto"/>
              </w:rPr>
            </w:pPr>
          </w:p>
        </w:tc>
        <w:tc>
          <w:tcPr>
            <w:tcW w:w="800" w:type="dxa"/>
            <w:vAlign w:val="bottom"/>
            <w:vMerge w:val="continue"/>
            <w:shd w:val="clear" w:color="auto" w:fill="E6E7E7"/>
          </w:tcPr>
          <w:p>
            <w:pPr>
              <w:spacing w:after="0"/>
              <w:rPr>
                <w:sz w:val="7"/>
                <w:szCs w:val="7"/>
                <w:color w:val="auto"/>
              </w:rPr>
            </w:pPr>
          </w:p>
        </w:tc>
        <w:tc>
          <w:tcPr>
            <w:tcW w:w="120" w:type="dxa"/>
            <w:vAlign w:val="bottom"/>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vMerge w:val="continue"/>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shd w:val="clear" w:color="auto" w:fill="E6E7E7"/>
          </w:tcPr>
          <w:p>
            <w:pPr>
              <w:spacing w:after="0"/>
              <w:rPr>
                <w:sz w:val="7"/>
                <w:szCs w:val="7"/>
                <w:color w:val="auto"/>
              </w:rPr>
            </w:pPr>
          </w:p>
        </w:tc>
        <w:tc>
          <w:tcPr>
            <w:tcW w:w="820" w:type="dxa"/>
            <w:vAlign w:val="bottom"/>
            <w:vMerge w:val="continue"/>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vMerge w:val="continue"/>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vMerge w:val="continue"/>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vMerge w:val="continue"/>
            <w:shd w:val="clear" w:color="auto" w:fill="E6E7E7"/>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1120" w:type="dxa"/>
            <w:vAlign w:val="bottom"/>
            <w:shd w:val="clear" w:color="auto" w:fill="E6E7E7"/>
          </w:tcPr>
          <w:p>
            <w:pPr>
              <w:spacing w:after="0"/>
              <w:rPr>
                <w:sz w:val="8"/>
                <w:szCs w:val="8"/>
                <w:color w:val="auto"/>
              </w:rPr>
            </w:pPr>
          </w:p>
        </w:tc>
        <w:tc>
          <w:tcPr>
            <w:tcW w:w="84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3/23/25</w:t>
            </w:r>
          </w:p>
        </w:tc>
        <w:tc>
          <w:tcPr>
            <w:tcW w:w="280" w:type="dxa"/>
            <w:vAlign w:val="bottom"/>
            <w:vMerge w:val="continue"/>
            <w:shd w:val="clear" w:color="auto" w:fill="E6E7E7"/>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vMerge w:val="restart"/>
            <w:shd w:val="clear" w:color="auto" w:fill="E6E7E7"/>
          </w:tcPr>
          <w:p>
            <w:pPr>
              <w:jc w:val="center"/>
              <w:ind w:left="74"/>
              <w:spacing w:after="0"/>
              <w:rPr>
                <w:sz w:val="20"/>
                <w:szCs w:val="20"/>
                <w:color w:val="auto"/>
              </w:rPr>
            </w:pPr>
            <w:r>
              <w:rPr>
                <w:rFonts w:ascii="Arial" w:cs="Arial" w:eastAsia="Arial" w:hAnsi="Arial"/>
                <w:sz w:val="13"/>
                <w:szCs w:val="13"/>
                <w:color w:val="auto"/>
              </w:rPr>
              <w:t>—</w:t>
            </w:r>
          </w:p>
        </w:tc>
        <w:tc>
          <w:tcPr>
            <w:tcW w:w="12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8"/>
                <w:szCs w:val="8"/>
                <w:color w:val="auto"/>
              </w:rPr>
            </w:pPr>
          </w:p>
        </w:tc>
        <w:tc>
          <w:tcPr>
            <w:tcW w:w="80" w:type="dxa"/>
            <w:vAlign w:val="bottom"/>
            <w:shd w:val="clear" w:color="auto" w:fill="E6E7E7"/>
          </w:tcPr>
          <w:p>
            <w:pPr>
              <w:spacing w:after="0"/>
              <w:rPr>
                <w:sz w:val="8"/>
                <w:szCs w:val="8"/>
                <w:color w:val="auto"/>
              </w:rPr>
            </w:pPr>
          </w:p>
        </w:tc>
        <w:tc>
          <w:tcPr>
            <w:tcW w:w="820" w:type="dxa"/>
            <w:vAlign w:val="bottom"/>
            <w:vMerge w:val="restart"/>
            <w:shd w:val="clear" w:color="auto" w:fill="E6E7E7"/>
          </w:tcPr>
          <w:p>
            <w:pPr>
              <w:jc w:val="center"/>
              <w:ind w:right="1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8"/>
                <w:szCs w:val="8"/>
                <w:color w:val="auto"/>
              </w:rPr>
            </w:pPr>
          </w:p>
        </w:tc>
        <w:tc>
          <w:tcPr>
            <w:tcW w:w="92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8"/>
                <w:szCs w:val="8"/>
                <w:color w:val="auto"/>
              </w:rPr>
            </w:pPr>
          </w:p>
        </w:tc>
        <w:tc>
          <w:tcPr>
            <w:tcW w:w="78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9,873</w:t>
            </w:r>
          </w:p>
        </w:tc>
        <w:tc>
          <w:tcPr>
            <w:tcW w:w="100" w:type="dxa"/>
            <w:vAlign w:val="bottom"/>
          </w:tcPr>
          <w:p>
            <w:pPr>
              <w:spacing w:after="0"/>
              <w:rPr>
                <w:sz w:val="8"/>
                <w:szCs w:val="8"/>
                <w:color w:val="auto"/>
              </w:rPr>
            </w:pPr>
          </w:p>
        </w:tc>
        <w:tc>
          <w:tcPr>
            <w:tcW w:w="90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9,873</w:t>
            </w:r>
          </w:p>
        </w:tc>
        <w:tc>
          <w:tcPr>
            <w:tcW w:w="100" w:type="dxa"/>
            <w:vAlign w:val="bottom"/>
          </w:tcPr>
          <w:p>
            <w:pPr>
              <w:spacing w:after="0"/>
              <w:rPr>
                <w:sz w:val="8"/>
                <w:szCs w:val="8"/>
                <w:color w:val="auto"/>
              </w:rPr>
            </w:pPr>
          </w:p>
        </w:tc>
        <w:tc>
          <w:tcPr>
            <w:tcW w:w="78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8"/>
                <w:szCs w:val="8"/>
                <w:color w:val="auto"/>
              </w:rPr>
            </w:pPr>
          </w:p>
        </w:tc>
        <w:tc>
          <w:tcPr>
            <w:tcW w:w="132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1,050,388</w:t>
            </w:r>
          </w:p>
        </w:tc>
        <w:tc>
          <w:tcPr>
            <w:tcW w:w="0" w:type="dxa"/>
            <w:vAlign w:val="bottom"/>
          </w:tcPr>
          <w:p>
            <w:pPr>
              <w:spacing w:after="0"/>
              <w:rPr>
                <w:sz w:val="1"/>
                <w:szCs w:val="1"/>
                <w:color w:val="auto"/>
              </w:rPr>
            </w:pPr>
          </w:p>
        </w:tc>
      </w:tr>
      <w:tr>
        <w:trPr>
          <w:trHeight w:val="82"/>
        </w:trPr>
        <w:tc>
          <w:tcPr>
            <w:tcW w:w="1120" w:type="dxa"/>
            <w:vAlign w:val="bottom"/>
            <w:shd w:val="clear" w:color="auto" w:fill="E6E7E7"/>
          </w:tcPr>
          <w:p>
            <w:pPr>
              <w:spacing w:after="0"/>
              <w:rPr>
                <w:sz w:val="7"/>
                <w:szCs w:val="7"/>
                <w:color w:val="auto"/>
              </w:rPr>
            </w:pPr>
          </w:p>
        </w:tc>
        <w:tc>
          <w:tcPr>
            <w:tcW w:w="840" w:type="dxa"/>
            <w:vAlign w:val="bottom"/>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shd w:val="clear" w:color="auto" w:fill="E6E7E7"/>
          </w:tcPr>
          <w:p>
            <w:pPr>
              <w:spacing w:after="0"/>
              <w:rPr>
                <w:sz w:val="7"/>
                <w:szCs w:val="7"/>
                <w:color w:val="auto"/>
              </w:rPr>
            </w:pPr>
          </w:p>
        </w:tc>
        <w:tc>
          <w:tcPr>
            <w:tcW w:w="280" w:type="dxa"/>
            <w:vAlign w:val="bottom"/>
            <w:shd w:val="clear" w:color="auto" w:fill="E6E7E7"/>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vMerge w:val="continue"/>
            <w:shd w:val="clear" w:color="auto" w:fill="E6E7E7"/>
          </w:tcPr>
          <w:p>
            <w:pPr>
              <w:spacing w:after="0"/>
              <w:rPr>
                <w:sz w:val="7"/>
                <w:szCs w:val="7"/>
                <w:color w:val="auto"/>
              </w:rPr>
            </w:pPr>
          </w:p>
        </w:tc>
        <w:tc>
          <w:tcPr>
            <w:tcW w:w="120" w:type="dxa"/>
            <w:vAlign w:val="bottom"/>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vMerge w:val="continue"/>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shd w:val="clear" w:color="auto" w:fill="E6E7E7"/>
          </w:tcPr>
          <w:p>
            <w:pPr>
              <w:spacing w:after="0"/>
              <w:rPr>
                <w:sz w:val="7"/>
                <w:szCs w:val="7"/>
                <w:color w:val="auto"/>
              </w:rPr>
            </w:pPr>
          </w:p>
        </w:tc>
        <w:tc>
          <w:tcPr>
            <w:tcW w:w="820" w:type="dxa"/>
            <w:vAlign w:val="bottom"/>
            <w:vMerge w:val="continue"/>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vMerge w:val="continue"/>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vMerge w:val="continue"/>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vMerge w:val="continue"/>
            <w:shd w:val="clear" w:color="auto" w:fill="E6E7E7"/>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1120" w:type="dxa"/>
            <w:vAlign w:val="bottom"/>
            <w:shd w:val="clear" w:color="auto" w:fill="E6E7E7"/>
          </w:tcPr>
          <w:p>
            <w:pPr>
              <w:spacing w:after="0"/>
              <w:rPr>
                <w:sz w:val="16"/>
                <w:szCs w:val="16"/>
                <w:color w:val="auto"/>
              </w:rPr>
            </w:pPr>
          </w:p>
        </w:tc>
        <w:tc>
          <w:tcPr>
            <w:tcW w:w="840" w:type="dxa"/>
            <w:vAlign w:val="bottom"/>
            <w:shd w:val="clear" w:color="auto" w:fill="E6E7E7"/>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3/23/25</w:t>
            </w:r>
          </w:p>
        </w:tc>
        <w:tc>
          <w:tcPr>
            <w:tcW w:w="280" w:type="dxa"/>
            <w:vAlign w:val="bottom"/>
            <w:vMerge w:val="restart"/>
            <w:shd w:val="clear" w:color="auto" w:fill="E6E7E7"/>
          </w:tcPr>
          <w:p>
            <w:pPr>
              <w:ind w:left="20"/>
              <w:spacing w:after="0"/>
              <w:rPr>
                <w:sz w:val="20"/>
                <w:szCs w:val="20"/>
                <w:color w:val="auto"/>
              </w:rPr>
            </w:pPr>
            <w:r>
              <w:rPr>
                <w:rFonts w:ascii="Arial" w:cs="Arial" w:eastAsia="Arial" w:hAnsi="Arial"/>
                <w:sz w:val="9"/>
                <w:szCs w:val="9"/>
                <w:color w:val="auto"/>
              </w:rPr>
              <w:t>(f)</w:t>
            </w:r>
          </w:p>
        </w:tc>
        <w:tc>
          <w:tcPr>
            <w:tcW w:w="80" w:type="dxa"/>
            <w:vAlign w:val="bottom"/>
          </w:tcPr>
          <w:p>
            <w:pPr>
              <w:spacing w:after="0"/>
              <w:rPr>
                <w:sz w:val="16"/>
                <w:szCs w:val="16"/>
                <w:color w:val="auto"/>
              </w:rPr>
            </w:pPr>
          </w:p>
        </w:tc>
        <w:tc>
          <w:tcPr>
            <w:tcW w:w="800" w:type="dxa"/>
            <w:vAlign w:val="bottom"/>
            <w:shd w:val="clear" w:color="auto" w:fill="E6E7E7"/>
          </w:tcPr>
          <w:p>
            <w:pPr>
              <w:jc w:val="center"/>
              <w:ind w:left="74"/>
              <w:spacing w:after="0"/>
              <w:rPr>
                <w:sz w:val="20"/>
                <w:szCs w:val="20"/>
                <w:color w:val="auto"/>
              </w:rPr>
            </w:pPr>
            <w:r>
              <w:rPr>
                <w:rFonts w:ascii="Arial" w:cs="Arial" w:eastAsia="Arial" w:hAnsi="Arial"/>
                <w:sz w:val="13"/>
                <w:szCs w:val="13"/>
                <w:color w:val="auto"/>
              </w:rPr>
              <w:t>—</w:t>
            </w:r>
          </w:p>
        </w:tc>
        <w:tc>
          <w:tcPr>
            <w:tcW w:w="120" w:type="dxa"/>
            <w:vAlign w:val="bottom"/>
            <w:shd w:val="clear" w:color="auto" w:fill="E6E7E7"/>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0" w:type="dxa"/>
            <w:vAlign w:val="bottom"/>
            <w:shd w:val="clear" w:color="auto" w:fill="E6E7E7"/>
          </w:tcPr>
          <w:p>
            <w:pPr>
              <w:spacing w:after="0"/>
              <w:rPr>
                <w:sz w:val="16"/>
                <w:szCs w:val="16"/>
                <w:color w:val="auto"/>
              </w:rPr>
            </w:pPr>
          </w:p>
        </w:tc>
        <w:tc>
          <w:tcPr>
            <w:tcW w:w="820" w:type="dxa"/>
            <w:vAlign w:val="bottom"/>
            <w:shd w:val="clear" w:color="auto" w:fill="E6E7E7"/>
          </w:tcPr>
          <w:p>
            <w:pPr>
              <w:jc w:val="center"/>
              <w:ind w:right="1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920" w:type="dxa"/>
            <w:vAlign w:val="bottom"/>
            <w:shd w:val="clear" w:color="auto" w:fill="E6E7E7"/>
          </w:tcPr>
          <w:p>
            <w:pPr>
              <w:jc w:val="center"/>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6"/>
                <w:szCs w:val="16"/>
                <w:color w:val="auto"/>
              </w:rPr>
            </w:pPr>
          </w:p>
        </w:tc>
        <w:tc>
          <w:tcPr>
            <w:tcW w:w="78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90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78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16,290</w:t>
            </w:r>
          </w:p>
        </w:tc>
        <w:tc>
          <w:tcPr>
            <w:tcW w:w="100" w:type="dxa"/>
            <w:vAlign w:val="bottom"/>
          </w:tcPr>
          <w:p>
            <w:pPr>
              <w:spacing w:after="0"/>
              <w:rPr>
                <w:sz w:val="16"/>
                <w:szCs w:val="16"/>
                <w:color w:val="auto"/>
              </w:rPr>
            </w:pPr>
          </w:p>
        </w:tc>
        <w:tc>
          <w:tcPr>
            <w:tcW w:w="132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1,733,093</w:t>
            </w:r>
          </w:p>
        </w:tc>
        <w:tc>
          <w:tcPr>
            <w:tcW w:w="0" w:type="dxa"/>
            <w:vAlign w:val="bottom"/>
          </w:tcPr>
          <w:p>
            <w:pPr>
              <w:spacing w:after="0"/>
              <w:rPr>
                <w:sz w:val="1"/>
                <w:szCs w:val="1"/>
                <w:color w:val="auto"/>
              </w:rPr>
            </w:pPr>
          </w:p>
        </w:tc>
      </w:tr>
      <w:tr>
        <w:trPr>
          <w:trHeight w:val="103"/>
        </w:trPr>
        <w:tc>
          <w:tcPr>
            <w:tcW w:w="1120" w:type="dxa"/>
            <w:vAlign w:val="bottom"/>
            <w:shd w:val="clear" w:color="auto" w:fill="E6E7E7"/>
          </w:tcPr>
          <w:p>
            <w:pPr>
              <w:spacing w:after="0"/>
              <w:rPr>
                <w:sz w:val="8"/>
                <w:szCs w:val="8"/>
                <w:color w:val="auto"/>
              </w:rPr>
            </w:pPr>
          </w:p>
        </w:tc>
        <w:tc>
          <w:tcPr>
            <w:tcW w:w="84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3/23/25</w:t>
            </w:r>
          </w:p>
        </w:tc>
        <w:tc>
          <w:tcPr>
            <w:tcW w:w="280" w:type="dxa"/>
            <w:vAlign w:val="bottom"/>
            <w:vMerge w:val="continue"/>
            <w:shd w:val="clear" w:color="auto" w:fill="E6E7E7"/>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vMerge w:val="restart"/>
            <w:shd w:val="clear" w:color="auto" w:fill="E6E7E7"/>
          </w:tcPr>
          <w:p>
            <w:pPr>
              <w:jc w:val="center"/>
              <w:ind w:left="74"/>
              <w:spacing w:after="0"/>
              <w:rPr>
                <w:sz w:val="20"/>
                <w:szCs w:val="20"/>
                <w:color w:val="auto"/>
              </w:rPr>
            </w:pPr>
            <w:r>
              <w:rPr>
                <w:rFonts w:ascii="Arial" w:cs="Arial" w:eastAsia="Arial" w:hAnsi="Arial"/>
                <w:sz w:val="13"/>
                <w:szCs w:val="13"/>
                <w:color w:val="auto"/>
              </w:rPr>
              <w:t>—</w:t>
            </w:r>
          </w:p>
        </w:tc>
        <w:tc>
          <w:tcPr>
            <w:tcW w:w="12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8"/>
                <w:szCs w:val="8"/>
                <w:color w:val="auto"/>
              </w:rPr>
            </w:pPr>
          </w:p>
        </w:tc>
        <w:tc>
          <w:tcPr>
            <w:tcW w:w="80" w:type="dxa"/>
            <w:vAlign w:val="bottom"/>
            <w:shd w:val="clear" w:color="auto" w:fill="E6E7E7"/>
          </w:tcPr>
          <w:p>
            <w:pPr>
              <w:spacing w:after="0"/>
              <w:rPr>
                <w:sz w:val="8"/>
                <w:szCs w:val="8"/>
                <w:color w:val="auto"/>
              </w:rPr>
            </w:pPr>
          </w:p>
        </w:tc>
        <w:tc>
          <w:tcPr>
            <w:tcW w:w="820" w:type="dxa"/>
            <w:vAlign w:val="bottom"/>
            <w:vMerge w:val="restart"/>
            <w:shd w:val="clear" w:color="auto" w:fill="E6E7E7"/>
          </w:tcPr>
          <w:p>
            <w:pPr>
              <w:jc w:val="center"/>
              <w:ind w:right="1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8"/>
                <w:szCs w:val="8"/>
                <w:color w:val="auto"/>
              </w:rPr>
            </w:pPr>
          </w:p>
        </w:tc>
        <w:tc>
          <w:tcPr>
            <w:tcW w:w="92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w w:val="98"/>
              </w:rPr>
              <w:t>6,108</w:t>
            </w:r>
          </w:p>
        </w:tc>
        <w:tc>
          <w:tcPr>
            <w:tcW w:w="100" w:type="dxa"/>
            <w:vAlign w:val="bottom"/>
          </w:tcPr>
          <w:p>
            <w:pPr>
              <w:spacing w:after="0"/>
              <w:rPr>
                <w:sz w:val="8"/>
                <w:szCs w:val="8"/>
                <w:color w:val="auto"/>
              </w:rPr>
            </w:pPr>
          </w:p>
        </w:tc>
        <w:tc>
          <w:tcPr>
            <w:tcW w:w="78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12,217</w:t>
            </w:r>
          </w:p>
        </w:tc>
        <w:tc>
          <w:tcPr>
            <w:tcW w:w="100" w:type="dxa"/>
            <w:vAlign w:val="bottom"/>
          </w:tcPr>
          <w:p>
            <w:pPr>
              <w:spacing w:after="0"/>
              <w:rPr>
                <w:sz w:val="8"/>
                <w:szCs w:val="8"/>
                <w:color w:val="auto"/>
              </w:rPr>
            </w:pPr>
          </w:p>
        </w:tc>
        <w:tc>
          <w:tcPr>
            <w:tcW w:w="90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24,434</w:t>
            </w:r>
          </w:p>
        </w:tc>
        <w:tc>
          <w:tcPr>
            <w:tcW w:w="100" w:type="dxa"/>
            <w:vAlign w:val="bottom"/>
          </w:tcPr>
          <w:p>
            <w:pPr>
              <w:spacing w:after="0"/>
              <w:rPr>
                <w:sz w:val="8"/>
                <w:szCs w:val="8"/>
                <w:color w:val="auto"/>
              </w:rPr>
            </w:pPr>
          </w:p>
        </w:tc>
        <w:tc>
          <w:tcPr>
            <w:tcW w:w="78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8"/>
                <w:szCs w:val="8"/>
                <w:color w:val="auto"/>
              </w:rPr>
            </w:pPr>
          </w:p>
        </w:tc>
        <w:tc>
          <w:tcPr>
            <w:tcW w:w="132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1,397,747</w:t>
            </w:r>
          </w:p>
        </w:tc>
        <w:tc>
          <w:tcPr>
            <w:tcW w:w="0" w:type="dxa"/>
            <w:vAlign w:val="bottom"/>
          </w:tcPr>
          <w:p>
            <w:pPr>
              <w:spacing w:after="0"/>
              <w:rPr>
                <w:sz w:val="1"/>
                <w:szCs w:val="1"/>
                <w:color w:val="auto"/>
              </w:rPr>
            </w:pPr>
          </w:p>
        </w:tc>
      </w:tr>
      <w:tr>
        <w:trPr>
          <w:trHeight w:val="82"/>
        </w:trPr>
        <w:tc>
          <w:tcPr>
            <w:tcW w:w="1120" w:type="dxa"/>
            <w:vAlign w:val="bottom"/>
            <w:shd w:val="clear" w:color="auto" w:fill="E6E7E7"/>
          </w:tcPr>
          <w:p>
            <w:pPr>
              <w:spacing w:after="0"/>
              <w:rPr>
                <w:sz w:val="7"/>
                <w:szCs w:val="7"/>
                <w:color w:val="auto"/>
              </w:rPr>
            </w:pPr>
          </w:p>
        </w:tc>
        <w:tc>
          <w:tcPr>
            <w:tcW w:w="840" w:type="dxa"/>
            <w:vAlign w:val="bottom"/>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shd w:val="clear" w:color="auto" w:fill="E6E7E7"/>
          </w:tcPr>
          <w:p>
            <w:pPr>
              <w:spacing w:after="0"/>
              <w:rPr>
                <w:sz w:val="7"/>
                <w:szCs w:val="7"/>
                <w:color w:val="auto"/>
              </w:rPr>
            </w:pPr>
          </w:p>
        </w:tc>
        <w:tc>
          <w:tcPr>
            <w:tcW w:w="280" w:type="dxa"/>
            <w:vAlign w:val="bottom"/>
            <w:vMerge w:val="restart"/>
            <w:shd w:val="clear" w:color="auto" w:fill="E6E7E7"/>
          </w:tcPr>
          <w:p>
            <w:pPr>
              <w:ind w:left="20"/>
              <w:spacing w:after="0"/>
              <w:rPr>
                <w:sz w:val="20"/>
                <w:szCs w:val="20"/>
                <w:color w:val="auto"/>
              </w:rPr>
            </w:pPr>
            <w:r>
              <w:rPr>
                <w:rFonts w:ascii="Arial" w:cs="Arial" w:eastAsia="Arial" w:hAnsi="Arial"/>
                <w:sz w:val="9"/>
                <w:szCs w:val="9"/>
                <w:color w:val="auto"/>
              </w:rPr>
              <w:t>(g)</w:t>
            </w:r>
          </w:p>
        </w:tc>
        <w:tc>
          <w:tcPr>
            <w:tcW w:w="80" w:type="dxa"/>
            <w:vAlign w:val="bottom"/>
          </w:tcPr>
          <w:p>
            <w:pPr>
              <w:spacing w:after="0"/>
              <w:rPr>
                <w:sz w:val="7"/>
                <w:szCs w:val="7"/>
                <w:color w:val="auto"/>
              </w:rPr>
            </w:pPr>
          </w:p>
        </w:tc>
        <w:tc>
          <w:tcPr>
            <w:tcW w:w="800" w:type="dxa"/>
            <w:vAlign w:val="bottom"/>
            <w:vMerge w:val="continue"/>
            <w:shd w:val="clear" w:color="auto" w:fill="E6E7E7"/>
          </w:tcPr>
          <w:p>
            <w:pPr>
              <w:spacing w:after="0"/>
              <w:rPr>
                <w:sz w:val="7"/>
                <w:szCs w:val="7"/>
                <w:color w:val="auto"/>
              </w:rPr>
            </w:pPr>
          </w:p>
        </w:tc>
        <w:tc>
          <w:tcPr>
            <w:tcW w:w="120" w:type="dxa"/>
            <w:vAlign w:val="bottom"/>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vMerge w:val="continue"/>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shd w:val="clear" w:color="auto" w:fill="E6E7E7"/>
          </w:tcPr>
          <w:p>
            <w:pPr>
              <w:spacing w:after="0"/>
              <w:rPr>
                <w:sz w:val="7"/>
                <w:szCs w:val="7"/>
                <w:color w:val="auto"/>
              </w:rPr>
            </w:pPr>
          </w:p>
        </w:tc>
        <w:tc>
          <w:tcPr>
            <w:tcW w:w="820" w:type="dxa"/>
            <w:vAlign w:val="bottom"/>
            <w:vMerge w:val="continue"/>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vMerge w:val="continue"/>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vMerge w:val="continue"/>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vMerge w:val="continue"/>
            <w:shd w:val="clear" w:color="auto" w:fill="E6E7E7"/>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1120" w:type="dxa"/>
            <w:vAlign w:val="bottom"/>
            <w:shd w:val="clear" w:color="auto" w:fill="E6E7E7"/>
          </w:tcPr>
          <w:p>
            <w:pPr>
              <w:spacing w:after="0"/>
              <w:rPr>
                <w:sz w:val="8"/>
                <w:szCs w:val="8"/>
                <w:color w:val="auto"/>
              </w:rPr>
            </w:pPr>
          </w:p>
        </w:tc>
        <w:tc>
          <w:tcPr>
            <w:tcW w:w="84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3/23/25</w:t>
            </w:r>
          </w:p>
        </w:tc>
        <w:tc>
          <w:tcPr>
            <w:tcW w:w="280" w:type="dxa"/>
            <w:vAlign w:val="bottom"/>
            <w:vMerge w:val="continue"/>
            <w:shd w:val="clear" w:color="auto" w:fill="E6E7E7"/>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vMerge w:val="restart"/>
            <w:shd w:val="clear" w:color="auto" w:fill="E6E7E7"/>
          </w:tcPr>
          <w:p>
            <w:pPr>
              <w:jc w:val="center"/>
              <w:ind w:left="74"/>
              <w:spacing w:after="0"/>
              <w:rPr>
                <w:sz w:val="20"/>
                <w:szCs w:val="20"/>
                <w:color w:val="auto"/>
              </w:rPr>
            </w:pPr>
            <w:r>
              <w:rPr>
                <w:rFonts w:ascii="Arial" w:cs="Arial" w:eastAsia="Arial" w:hAnsi="Arial"/>
                <w:sz w:val="13"/>
                <w:szCs w:val="13"/>
                <w:color w:val="auto"/>
              </w:rPr>
              <w:t>—</w:t>
            </w:r>
          </w:p>
        </w:tc>
        <w:tc>
          <w:tcPr>
            <w:tcW w:w="12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8"/>
                <w:szCs w:val="8"/>
                <w:color w:val="auto"/>
              </w:rPr>
            </w:pPr>
          </w:p>
        </w:tc>
        <w:tc>
          <w:tcPr>
            <w:tcW w:w="80" w:type="dxa"/>
            <w:vAlign w:val="bottom"/>
            <w:shd w:val="clear" w:color="auto" w:fill="E6E7E7"/>
          </w:tcPr>
          <w:p>
            <w:pPr>
              <w:spacing w:after="0"/>
              <w:rPr>
                <w:sz w:val="8"/>
                <w:szCs w:val="8"/>
                <w:color w:val="auto"/>
              </w:rPr>
            </w:pPr>
          </w:p>
        </w:tc>
        <w:tc>
          <w:tcPr>
            <w:tcW w:w="820" w:type="dxa"/>
            <w:vAlign w:val="bottom"/>
            <w:vMerge w:val="restart"/>
            <w:shd w:val="clear" w:color="auto" w:fill="E6E7E7"/>
          </w:tcPr>
          <w:p>
            <w:pPr>
              <w:jc w:val="center"/>
              <w:ind w:right="1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8"/>
                <w:szCs w:val="8"/>
                <w:color w:val="auto"/>
              </w:rPr>
            </w:pPr>
          </w:p>
        </w:tc>
        <w:tc>
          <w:tcPr>
            <w:tcW w:w="92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w w:val="98"/>
              </w:rPr>
              <w:t>6,108</w:t>
            </w:r>
          </w:p>
        </w:tc>
        <w:tc>
          <w:tcPr>
            <w:tcW w:w="100" w:type="dxa"/>
            <w:vAlign w:val="bottom"/>
          </w:tcPr>
          <w:p>
            <w:pPr>
              <w:spacing w:after="0"/>
              <w:rPr>
                <w:sz w:val="8"/>
                <w:szCs w:val="8"/>
                <w:color w:val="auto"/>
              </w:rPr>
            </w:pPr>
          </w:p>
        </w:tc>
        <w:tc>
          <w:tcPr>
            <w:tcW w:w="78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12,217</w:t>
            </w:r>
          </w:p>
        </w:tc>
        <w:tc>
          <w:tcPr>
            <w:tcW w:w="100" w:type="dxa"/>
            <w:vAlign w:val="bottom"/>
          </w:tcPr>
          <w:p>
            <w:pPr>
              <w:spacing w:after="0"/>
              <w:rPr>
                <w:sz w:val="8"/>
                <w:szCs w:val="8"/>
                <w:color w:val="auto"/>
              </w:rPr>
            </w:pPr>
          </w:p>
        </w:tc>
        <w:tc>
          <w:tcPr>
            <w:tcW w:w="90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24,434</w:t>
            </w:r>
          </w:p>
        </w:tc>
        <w:tc>
          <w:tcPr>
            <w:tcW w:w="100" w:type="dxa"/>
            <w:vAlign w:val="bottom"/>
          </w:tcPr>
          <w:p>
            <w:pPr>
              <w:spacing w:after="0"/>
              <w:rPr>
                <w:sz w:val="8"/>
                <w:szCs w:val="8"/>
                <w:color w:val="auto"/>
              </w:rPr>
            </w:pPr>
          </w:p>
        </w:tc>
        <w:tc>
          <w:tcPr>
            <w:tcW w:w="78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8"/>
                <w:szCs w:val="8"/>
                <w:color w:val="auto"/>
              </w:rPr>
            </w:pPr>
          </w:p>
        </w:tc>
        <w:tc>
          <w:tcPr>
            <w:tcW w:w="132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1,397,747</w:t>
            </w:r>
          </w:p>
        </w:tc>
        <w:tc>
          <w:tcPr>
            <w:tcW w:w="0" w:type="dxa"/>
            <w:vAlign w:val="bottom"/>
          </w:tcPr>
          <w:p>
            <w:pPr>
              <w:spacing w:after="0"/>
              <w:rPr>
                <w:sz w:val="1"/>
                <w:szCs w:val="1"/>
                <w:color w:val="auto"/>
              </w:rPr>
            </w:pPr>
          </w:p>
        </w:tc>
      </w:tr>
      <w:tr>
        <w:trPr>
          <w:trHeight w:val="93"/>
        </w:trPr>
        <w:tc>
          <w:tcPr>
            <w:tcW w:w="1120" w:type="dxa"/>
            <w:vAlign w:val="bottom"/>
            <w:shd w:val="clear" w:color="auto" w:fill="E6E7E7"/>
          </w:tcPr>
          <w:p>
            <w:pPr>
              <w:spacing w:after="0"/>
              <w:rPr>
                <w:sz w:val="8"/>
                <w:szCs w:val="8"/>
                <w:color w:val="auto"/>
              </w:rPr>
            </w:pPr>
          </w:p>
        </w:tc>
        <w:tc>
          <w:tcPr>
            <w:tcW w:w="84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vMerge w:val="continue"/>
            <w:shd w:val="clear" w:color="auto" w:fill="E6E7E7"/>
          </w:tcPr>
          <w:p>
            <w:pPr>
              <w:spacing w:after="0"/>
              <w:rPr>
                <w:sz w:val="8"/>
                <w:szCs w:val="8"/>
                <w:color w:val="auto"/>
              </w:rPr>
            </w:pPr>
          </w:p>
        </w:tc>
        <w:tc>
          <w:tcPr>
            <w:tcW w:w="280" w:type="dxa"/>
            <w:vAlign w:val="bottom"/>
            <w:shd w:val="clear" w:color="auto" w:fill="E6E7E7"/>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vMerge w:val="continue"/>
            <w:shd w:val="clear" w:color="auto" w:fill="E6E7E7"/>
          </w:tcPr>
          <w:p>
            <w:pPr>
              <w:spacing w:after="0"/>
              <w:rPr>
                <w:sz w:val="8"/>
                <w:szCs w:val="8"/>
                <w:color w:val="auto"/>
              </w:rPr>
            </w:pPr>
          </w:p>
        </w:tc>
        <w:tc>
          <w:tcPr>
            <w:tcW w:w="12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continue"/>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shd w:val="clear" w:color="auto" w:fill="E6E7E7"/>
          </w:tcPr>
          <w:p>
            <w:pPr>
              <w:spacing w:after="0"/>
              <w:rPr>
                <w:sz w:val="8"/>
                <w:szCs w:val="8"/>
                <w:color w:val="auto"/>
              </w:rPr>
            </w:pPr>
          </w:p>
        </w:tc>
        <w:tc>
          <w:tcPr>
            <w:tcW w:w="820" w:type="dxa"/>
            <w:vAlign w:val="bottom"/>
            <w:vMerge w:val="continue"/>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vMerge w:val="continue"/>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vMerge w:val="continue"/>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vMerge w:val="continue"/>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vMerge w:val="continue"/>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1320" w:type="dxa"/>
            <w:vAlign w:val="bottom"/>
            <w:vMerge w:val="continue"/>
            <w:shd w:val="clear" w:color="auto" w:fill="E6E7E7"/>
          </w:tcPr>
          <w:p>
            <w:pPr>
              <w:spacing w:after="0"/>
              <w:rPr>
                <w:sz w:val="8"/>
                <w:szCs w:val="8"/>
                <w:color w:val="auto"/>
              </w:rPr>
            </w:pPr>
          </w:p>
        </w:tc>
        <w:tc>
          <w:tcPr>
            <w:tcW w:w="0" w:type="dxa"/>
            <w:vAlign w:val="bottom"/>
          </w:tcPr>
          <w:p>
            <w:pPr>
              <w:spacing w:after="0"/>
              <w:rPr>
                <w:sz w:val="1"/>
                <w:szCs w:val="1"/>
                <w:color w:val="auto"/>
              </w:rPr>
            </w:pPr>
          </w:p>
        </w:tc>
      </w:tr>
      <w:tr>
        <w:trPr>
          <w:trHeight w:val="379"/>
        </w:trPr>
        <w:tc>
          <w:tcPr>
            <w:tcW w:w="2060" w:type="dxa"/>
            <w:vAlign w:val="bottom"/>
            <w:gridSpan w:val="3"/>
          </w:tcPr>
          <w:p>
            <w:pPr>
              <w:ind w:left="20"/>
              <w:spacing w:after="0"/>
              <w:rPr>
                <w:sz w:val="20"/>
                <w:szCs w:val="20"/>
                <w:color w:val="auto"/>
              </w:rPr>
            </w:pPr>
            <w:r>
              <w:rPr>
                <w:rFonts w:ascii="Arial" w:cs="Arial" w:eastAsia="Arial" w:hAnsi="Arial"/>
                <w:sz w:val="13"/>
                <w:szCs w:val="13"/>
                <w:b w:val="1"/>
                <w:bCs w:val="1"/>
                <w:color w:val="520B90"/>
              </w:rPr>
              <w:t>Christopher D. Levendos</w:t>
            </w:r>
          </w:p>
        </w:tc>
        <w:tc>
          <w:tcPr>
            <w:tcW w:w="780" w:type="dxa"/>
            <w:vAlign w:val="bottom"/>
          </w:tcPr>
          <w:p>
            <w:pPr>
              <w:jc w:val="center"/>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4"/>
                <w:szCs w:val="24"/>
                <w:color w:val="auto"/>
              </w:rPr>
            </w:pPr>
          </w:p>
        </w:tc>
        <w:tc>
          <w:tcPr>
            <w:tcW w:w="880" w:type="dxa"/>
            <w:vAlign w:val="bottom"/>
            <w:gridSpan w:val="2"/>
          </w:tcPr>
          <w:p>
            <w:pPr>
              <w:jc w:val="center"/>
              <w:ind w:left="134"/>
              <w:spacing w:after="0"/>
              <w:rPr>
                <w:sz w:val="20"/>
                <w:szCs w:val="20"/>
                <w:color w:val="auto"/>
              </w:rPr>
            </w:pPr>
            <w:r>
              <w:rPr>
                <w:rFonts w:ascii="Arial" w:cs="Arial" w:eastAsia="Arial" w:hAnsi="Arial"/>
                <w:sz w:val="13"/>
                <w:szCs w:val="13"/>
                <w:color w:val="auto"/>
              </w:rPr>
              <w:t>300,000</w:t>
            </w:r>
          </w:p>
        </w:tc>
        <w:tc>
          <w:tcPr>
            <w:tcW w:w="1040" w:type="dxa"/>
            <w:vAlign w:val="bottom"/>
            <w:gridSpan w:val="3"/>
          </w:tcPr>
          <w:p>
            <w:pPr>
              <w:jc w:val="center"/>
              <w:ind w:left="174"/>
              <w:spacing w:after="0"/>
              <w:rPr>
                <w:sz w:val="20"/>
                <w:szCs w:val="20"/>
                <w:color w:val="auto"/>
              </w:rPr>
            </w:pPr>
            <w:r>
              <w:rPr>
                <w:rFonts w:ascii="Arial" w:cs="Arial" w:eastAsia="Arial" w:hAnsi="Arial"/>
                <w:sz w:val="13"/>
                <w:szCs w:val="13"/>
                <w:color w:val="auto"/>
              </w:rPr>
              <w:t>600,000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center"/>
              <w:ind w:right="14"/>
              <w:spacing w:after="0"/>
              <w:rPr>
                <w:sz w:val="20"/>
                <w:szCs w:val="20"/>
                <w:color w:val="auto"/>
              </w:rPr>
            </w:pPr>
            <w:r>
              <w:rPr>
                <w:rFonts w:ascii="Arial" w:cs="Arial" w:eastAsia="Arial" w:hAnsi="Arial"/>
                <w:sz w:val="13"/>
                <w:szCs w:val="13"/>
                <w:color w:val="auto"/>
              </w:rPr>
              <w:t>1,050,000</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79"/>
        </w:trPr>
        <w:tc>
          <w:tcPr>
            <w:tcW w:w="1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rPr>
              <w:t>2/26/25</w:t>
            </w:r>
          </w:p>
        </w:tc>
        <w:tc>
          <w:tcPr>
            <w:tcW w:w="280" w:type="dxa"/>
            <w:vAlign w:val="bottom"/>
            <w:vMerge w:val="restart"/>
          </w:tcPr>
          <w:p>
            <w:pPr>
              <w:ind w:left="20"/>
              <w:spacing w:after="0"/>
              <w:rPr>
                <w:sz w:val="20"/>
                <w:szCs w:val="20"/>
                <w:color w:val="auto"/>
              </w:rPr>
            </w:pPr>
            <w:r>
              <w:rPr>
                <w:rFonts w:ascii="Arial" w:cs="Arial" w:eastAsia="Arial" w:hAnsi="Arial"/>
                <w:sz w:val="9"/>
                <w:szCs w:val="9"/>
                <w:color w:val="auto"/>
              </w:rPr>
              <w:t>(f)</w:t>
            </w:r>
          </w:p>
        </w:tc>
        <w:tc>
          <w:tcPr>
            <w:tcW w:w="80" w:type="dxa"/>
            <w:vAlign w:val="bottom"/>
          </w:tcPr>
          <w:p>
            <w:pPr>
              <w:spacing w:after="0"/>
              <w:rPr>
                <w:sz w:val="15"/>
                <w:szCs w:val="15"/>
                <w:color w:val="auto"/>
              </w:rPr>
            </w:pPr>
          </w:p>
        </w:tc>
        <w:tc>
          <w:tcPr>
            <w:tcW w:w="800" w:type="dxa"/>
            <w:vAlign w:val="bottom"/>
          </w:tcPr>
          <w:p>
            <w:pPr>
              <w:jc w:val="center"/>
              <w:ind w:left="7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3"/>
                <w:szCs w:val="13"/>
                <w:color w:val="auto"/>
              </w:rPr>
              <w:t>—</w:t>
            </w:r>
          </w:p>
        </w:tc>
        <w:tc>
          <w:tcPr>
            <w:tcW w:w="820" w:type="dxa"/>
            <w:vAlign w:val="bottom"/>
          </w:tcPr>
          <w:p>
            <w:pPr>
              <w:jc w:val="center"/>
              <w:ind w:right="1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center"/>
              <w:ind w:left="34"/>
              <w:spacing w:after="0"/>
              <w:rPr>
                <w:sz w:val="20"/>
                <w:szCs w:val="20"/>
                <w:color w:val="auto"/>
              </w:rPr>
            </w:pPr>
            <w:r>
              <w:rPr>
                <w:rFonts w:ascii="Arial" w:cs="Arial" w:eastAsia="Arial" w:hAnsi="Arial"/>
                <w:sz w:val="13"/>
                <w:szCs w:val="13"/>
                <w:color w:val="auto"/>
              </w:rPr>
              <w:t>19,182</w:t>
            </w:r>
          </w:p>
        </w:tc>
        <w:tc>
          <w:tcPr>
            <w:tcW w:w="1420" w:type="dxa"/>
            <w:vAlign w:val="bottom"/>
            <w:gridSpan w:val="2"/>
          </w:tcPr>
          <w:p>
            <w:pPr>
              <w:jc w:val="center"/>
              <w:ind w:left="34"/>
              <w:spacing w:after="0"/>
              <w:rPr>
                <w:sz w:val="20"/>
                <w:szCs w:val="20"/>
                <w:color w:val="auto"/>
              </w:rPr>
            </w:pPr>
            <w:r>
              <w:rPr>
                <w:rFonts w:ascii="Arial" w:cs="Arial" w:eastAsia="Arial" w:hAnsi="Arial"/>
                <w:sz w:val="13"/>
                <w:szCs w:val="13"/>
                <w:color w:val="auto"/>
              </w:rPr>
              <w:t>1,757,647</w:t>
            </w:r>
          </w:p>
        </w:tc>
        <w:tc>
          <w:tcPr>
            <w:tcW w:w="0" w:type="dxa"/>
            <w:vAlign w:val="bottom"/>
          </w:tcPr>
          <w:p>
            <w:pPr>
              <w:spacing w:after="0"/>
              <w:rPr>
                <w:sz w:val="1"/>
                <w:szCs w:val="1"/>
                <w:color w:val="auto"/>
              </w:rPr>
            </w:pPr>
          </w:p>
        </w:tc>
      </w:tr>
      <w:tr>
        <w:trPr>
          <w:trHeight w:val="103"/>
        </w:trPr>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rPr>
              <w:t>2/26/25</w:t>
            </w:r>
          </w:p>
        </w:tc>
        <w:tc>
          <w:tcPr>
            <w:tcW w:w="2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vMerge w:val="restart"/>
          </w:tcPr>
          <w:p>
            <w:pPr>
              <w:jc w:val="center"/>
              <w:ind w:left="7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3"/>
            <w:vMerge w:val="restart"/>
          </w:tcPr>
          <w:p>
            <w:pPr>
              <w:jc w:val="center"/>
              <w:ind w:right="180"/>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center"/>
              <w:ind w:right="14"/>
              <w:spacing w:after="0"/>
              <w:rPr>
                <w:sz w:val="20"/>
                <w:szCs w:val="20"/>
                <w:color w:val="auto"/>
              </w:rPr>
            </w:pPr>
            <w:r>
              <w:rPr>
                <w:rFonts w:ascii="Arial" w:cs="Arial" w:eastAsia="Arial" w:hAnsi="Arial"/>
                <w:sz w:val="13"/>
                <w:szCs w:val="13"/>
                <w:color w:val="auto"/>
              </w:rPr>
              <w:t>—</w:t>
            </w:r>
          </w:p>
        </w:tc>
        <w:tc>
          <w:tcPr>
            <w:tcW w:w="1020" w:type="dxa"/>
            <w:vAlign w:val="bottom"/>
            <w:gridSpan w:val="2"/>
            <w:vMerge w:val="restart"/>
          </w:tcPr>
          <w:p>
            <w:pPr>
              <w:jc w:val="center"/>
              <w:ind w:left="34"/>
              <w:spacing w:after="0"/>
              <w:rPr>
                <w:sz w:val="20"/>
                <w:szCs w:val="20"/>
                <w:color w:val="auto"/>
              </w:rPr>
            </w:pPr>
            <w:r>
              <w:rPr>
                <w:rFonts w:ascii="Arial" w:cs="Arial" w:eastAsia="Arial" w:hAnsi="Arial"/>
                <w:sz w:val="13"/>
                <w:szCs w:val="13"/>
                <w:color w:val="auto"/>
                <w:w w:val="98"/>
              </w:rPr>
              <w:t>7,193</w:t>
            </w:r>
          </w:p>
        </w:tc>
        <w:tc>
          <w:tcPr>
            <w:tcW w:w="880" w:type="dxa"/>
            <w:vAlign w:val="bottom"/>
            <w:gridSpan w:val="2"/>
            <w:vMerge w:val="restart"/>
          </w:tcPr>
          <w:p>
            <w:pPr>
              <w:jc w:val="center"/>
              <w:ind w:left="34"/>
              <w:spacing w:after="0"/>
              <w:rPr>
                <w:sz w:val="20"/>
                <w:szCs w:val="20"/>
                <w:color w:val="auto"/>
              </w:rPr>
            </w:pPr>
            <w:r>
              <w:rPr>
                <w:rFonts w:ascii="Arial" w:cs="Arial" w:eastAsia="Arial" w:hAnsi="Arial"/>
                <w:sz w:val="13"/>
                <w:szCs w:val="13"/>
                <w:color w:val="auto"/>
              </w:rPr>
              <w:t>14,387</w:t>
            </w:r>
          </w:p>
        </w:tc>
        <w:tc>
          <w:tcPr>
            <w:tcW w:w="1000" w:type="dxa"/>
            <w:vAlign w:val="bottom"/>
            <w:gridSpan w:val="2"/>
            <w:vMerge w:val="restart"/>
          </w:tcPr>
          <w:p>
            <w:pPr>
              <w:jc w:val="center"/>
              <w:ind w:left="34"/>
              <w:spacing w:after="0"/>
              <w:rPr>
                <w:sz w:val="20"/>
                <w:szCs w:val="20"/>
                <w:color w:val="auto"/>
              </w:rPr>
            </w:pPr>
            <w:r>
              <w:rPr>
                <w:rFonts w:ascii="Arial" w:cs="Arial" w:eastAsia="Arial" w:hAnsi="Arial"/>
                <w:sz w:val="13"/>
                <w:szCs w:val="13"/>
                <w:color w:val="auto"/>
              </w:rPr>
              <w:t>28,774</w:t>
            </w:r>
          </w:p>
        </w:tc>
        <w:tc>
          <w:tcPr>
            <w:tcW w:w="100" w:type="dxa"/>
            <w:vAlign w:val="bottom"/>
          </w:tcPr>
          <w:p>
            <w:pPr>
              <w:spacing w:after="0"/>
              <w:rPr>
                <w:sz w:val="8"/>
                <w:szCs w:val="8"/>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1420" w:type="dxa"/>
            <w:vAlign w:val="bottom"/>
            <w:gridSpan w:val="2"/>
            <w:vMerge w:val="restart"/>
          </w:tcPr>
          <w:p>
            <w:pPr>
              <w:jc w:val="center"/>
              <w:ind w:left="34"/>
              <w:spacing w:after="0"/>
              <w:rPr>
                <w:sz w:val="20"/>
                <w:szCs w:val="20"/>
                <w:color w:val="auto"/>
              </w:rPr>
            </w:pPr>
            <w:r>
              <w:rPr>
                <w:rFonts w:ascii="Arial" w:cs="Arial" w:eastAsia="Arial" w:hAnsi="Arial"/>
                <w:sz w:val="13"/>
                <w:szCs w:val="13"/>
                <w:color w:val="auto"/>
              </w:rPr>
              <w:t>1,332,380</w:t>
            </w:r>
          </w:p>
        </w:tc>
        <w:tc>
          <w:tcPr>
            <w:tcW w:w="0" w:type="dxa"/>
            <w:vAlign w:val="bottom"/>
          </w:tcPr>
          <w:p>
            <w:pPr>
              <w:spacing w:after="0"/>
              <w:rPr>
                <w:sz w:val="1"/>
                <w:szCs w:val="1"/>
                <w:color w:val="auto"/>
              </w:rPr>
            </w:pPr>
          </w:p>
        </w:tc>
      </w:tr>
      <w:tr>
        <w:trPr>
          <w:trHeight w:val="82"/>
        </w:trPr>
        <w:tc>
          <w:tcPr>
            <w:tcW w:w="1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280" w:type="dxa"/>
            <w:vAlign w:val="bottom"/>
            <w:vMerge w:val="restart"/>
          </w:tcPr>
          <w:p>
            <w:pPr>
              <w:ind w:left="20"/>
              <w:spacing w:after="0"/>
              <w:rPr>
                <w:sz w:val="20"/>
                <w:szCs w:val="20"/>
                <w:color w:val="auto"/>
              </w:rPr>
            </w:pPr>
            <w:r>
              <w:rPr>
                <w:rFonts w:ascii="Arial" w:cs="Arial" w:eastAsia="Arial" w:hAnsi="Arial"/>
                <w:sz w:val="9"/>
                <w:szCs w:val="9"/>
                <w:color w:val="auto"/>
              </w:rPr>
              <w:t>(g)</w:t>
            </w:r>
          </w:p>
        </w:tc>
        <w:tc>
          <w:tcPr>
            <w:tcW w:w="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rPr>
              <w:t>2/26/25</w:t>
            </w:r>
          </w:p>
        </w:tc>
        <w:tc>
          <w:tcPr>
            <w:tcW w:w="2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vMerge w:val="restart"/>
          </w:tcPr>
          <w:p>
            <w:pPr>
              <w:jc w:val="center"/>
              <w:ind w:left="7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3"/>
            <w:vMerge w:val="restart"/>
          </w:tcPr>
          <w:p>
            <w:pPr>
              <w:jc w:val="center"/>
              <w:ind w:right="180"/>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center"/>
              <w:ind w:right="14"/>
              <w:spacing w:after="0"/>
              <w:rPr>
                <w:sz w:val="20"/>
                <w:szCs w:val="20"/>
                <w:color w:val="auto"/>
              </w:rPr>
            </w:pPr>
            <w:r>
              <w:rPr>
                <w:rFonts w:ascii="Arial" w:cs="Arial" w:eastAsia="Arial" w:hAnsi="Arial"/>
                <w:sz w:val="13"/>
                <w:szCs w:val="13"/>
                <w:color w:val="auto"/>
              </w:rPr>
              <w:t>—</w:t>
            </w:r>
          </w:p>
        </w:tc>
        <w:tc>
          <w:tcPr>
            <w:tcW w:w="1020" w:type="dxa"/>
            <w:vAlign w:val="bottom"/>
            <w:gridSpan w:val="2"/>
            <w:vMerge w:val="restart"/>
          </w:tcPr>
          <w:p>
            <w:pPr>
              <w:jc w:val="center"/>
              <w:ind w:left="34"/>
              <w:spacing w:after="0"/>
              <w:rPr>
                <w:sz w:val="20"/>
                <w:szCs w:val="20"/>
                <w:color w:val="auto"/>
              </w:rPr>
            </w:pPr>
            <w:r>
              <w:rPr>
                <w:rFonts w:ascii="Arial" w:cs="Arial" w:eastAsia="Arial" w:hAnsi="Arial"/>
                <w:sz w:val="13"/>
                <w:szCs w:val="13"/>
                <w:color w:val="auto"/>
                <w:w w:val="98"/>
              </w:rPr>
              <w:t>7,193</w:t>
            </w:r>
          </w:p>
        </w:tc>
        <w:tc>
          <w:tcPr>
            <w:tcW w:w="880" w:type="dxa"/>
            <w:vAlign w:val="bottom"/>
            <w:gridSpan w:val="2"/>
            <w:vMerge w:val="restart"/>
          </w:tcPr>
          <w:p>
            <w:pPr>
              <w:jc w:val="center"/>
              <w:ind w:left="34"/>
              <w:spacing w:after="0"/>
              <w:rPr>
                <w:sz w:val="20"/>
                <w:szCs w:val="20"/>
                <w:color w:val="auto"/>
              </w:rPr>
            </w:pPr>
            <w:r>
              <w:rPr>
                <w:rFonts w:ascii="Arial" w:cs="Arial" w:eastAsia="Arial" w:hAnsi="Arial"/>
                <w:sz w:val="13"/>
                <w:szCs w:val="13"/>
                <w:color w:val="auto"/>
              </w:rPr>
              <w:t>14,387</w:t>
            </w:r>
          </w:p>
        </w:tc>
        <w:tc>
          <w:tcPr>
            <w:tcW w:w="1000" w:type="dxa"/>
            <w:vAlign w:val="bottom"/>
            <w:gridSpan w:val="2"/>
            <w:vMerge w:val="restart"/>
          </w:tcPr>
          <w:p>
            <w:pPr>
              <w:jc w:val="center"/>
              <w:ind w:left="34"/>
              <w:spacing w:after="0"/>
              <w:rPr>
                <w:sz w:val="20"/>
                <w:szCs w:val="20"/>
                <w:color w:val="auto"/>
              </w:rPr>
            </w:pPr>
            <w:r>
              <w:rPr>
                <w:rFonts w:ascii="Arial" w:cs="Arial" w:eastAsia="Arial" w:hAnsi="Arial"/>
                <w:sz w:val="13"/>
                <w:szCs w:val="13"/>
                <w:color w:val="auto"/>
              </w:rPr>
              <w:t>28,774</w:t>
            </w:r>
          </w:p>
        </w:tc>
        <w:tc>
          <w:tcPr>
            <w:tcW w:w="100" w:type="dxa"/>
            <w:vAlign w:val="bottom"/>
          </w:tcPr>
          <w:p>
            <w:pPr>
              <w:spacing w:after="0"/>
              <w:rPr>
                <w:sz w:val="8"/>
                <w:szCs w:val="8"/>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1420" w:type="dxa"/>
            <w:vAlign w:val="bottom"/>
            <w:gridSpan w:val="2"/>
            <w:vMerge w:val="restart"/>
          </w:tcPr>
          <w:p>
            <w:pPr>
              <w:jc w:val="center"/>
              <w:ind w:left="34"/>
              <w:spacing w:after="0"/>
              <w:rPr>
                <w:sz w:val="20"/>
                <w:szCs w:val="20"/>
                <w:color w:val="auto"/>
              </w:rPr>
            </w:pPr>
            <w:r>
              <w:rPr>
                <w:rFonts w:ascii="Arial" w:cs="Arial" w:eastAsia="Arial" w:hAnsi="Arial"/>
                <w:sz w:val="13"/>
                <w:szCs w:val="13"/>
                <w:color w:val="auto"/>
              </w:rPr>
              <w:t>1,332,380</w:t>
            </w:r>
          </w:p>
        </w:tc>
        <w:tc>
          <w:tcPr>
            <w:tcW w:w="0" w:type="dxa"/>
            <w:vAlign w:val="bottom"/>
          </w:tcPr>
          <w:p>
            <w:pPr>
              <w:spacing w:after="0"/>
              <w:rPr>
                <w:sz w:val="1"/>
                <w:szCs w:val="1"/>
                <w:color w:val="auto"/>
              </w:rPr>
            </w:pPr>
          </w:p>
        </w:tc>
      </w:tr>
      <w:tr>
        <w:trPr>
          <w:trHeight w:val="82"/>
        </w:trPr>
        <w:tc>
          <w:tcPr>
            <w:tcW w:w="1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280" w:type="dxa"/>
            <w:vAlign w:val="bottom"/>
            <w:vMerge w:val="restart"/>
          </w:tcPr>
          <w:p>
            <w:pPr>
              <w:ind w:left="20"/>
              <w:spacing w:after="0"/>
              <w:rPr>
                <w:sz w:val="20"/>
                <w:szCs w:val="20"/>
                <w:color w:val="auto"/>
              </w:rPr>
            </w:pPr>
            <w:r>
              <w:rPr>
                <w:rFonts w:ascii="Arial" w:cs="Arial" w:eastAsia="Arial" w:hAnsi="Arial"/>
                <w:sz w:val="9"/>
                <w:szCs w:val="9"/>
                <w:color w:val="auto"/>
              </w:rPr>
              <w:t>(j)</w:t>
            </w:r>
          </w:p>
        </w:tc>
        <w:tc>
          <w:tcPr>
            <w:tcW w:w="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rPr>
              <w:t>3/28/25</w:t>
            </w:r>
          </w:p>
        </w:tc>
        <w:tc>
          <w:tcPr>
            <w:tcW w:w="2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vMerge w:val="restart"/>
          </w:tcPr>
          <w:p>
            <w:pPr>
              <w:jc w:val="center"/>
              <w:ind w:left="7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3"/>
            <w:vMerge w:val="restart"/>
          </w:tcPr>
          <w:p>
            <w:pPr>
              <w:jc w:val="center"/>
              <w:ind w:right="180"/>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center"/>
              <w:ind w:right="1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8"/>
                <w:szCs w:val="8"/>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880" w:type="dxa"/>
            <w:vAlign w:val="bottom"/>
            <w:gridSpan w:val="2"/>
            <w:vMerge w:val="restart"/>
          </w:tcPr>
          <w:p>
            <w:pPr>
              <w:jc w:val="center"/>
              <w:ind w:left="34"/>
              <w:spacing w:after="0"/>
              <w:rPr>
                <w:sz w:val="20"/>
                <w:szCs w:val="20"/>
                <w:color w:val="auto"/>
              </w:rPr>
            </w:pPr>
            <w:r>
              <w:rPr>
                <w:rFonts w:ascii="Arial" w:cs="Arial" w:eastAsia="Arial" w:hAnsi="Arial"/>
                <w:sz w:val="13"/>
                <w:szCs w:val="13"/>
                <w:color w:val="auto"/>
              </w:rPr>
              <w:t>9,660</w:t>
            </w:r>
          </w:p>
        </w:tc>
        <w:tc>
          <w:tcPr>
            <w:tcW w:w="1000" w:type="dxa"/>
            <w:vAlign w:val="bottom"/>
            <w:gridSpan w:val="2"/>
            <w:vMerge w:val="restart"/>
          </w:tcPr>
          <w:p>
            <w:pPr>
              <w:jc w:val="center"/>
              <w:ind w:left="34"/>
              <w:spacing w:after="0"/>
              <w:rPr>
                <w:sz w:val="20"/>
                <w:szCs w:val="20"/>
                <w:color w:val="auto"/>
              </w:rPr>
            </w:pPr>
            <w:r>
              <w:rPr>
                <w:rFonts w:ascii="Arial" w:cs="Arial" w:eastAsia="Arial" w:hAnsi="Arial"/>
                <w:sz w:val="13"/>
                <w:szCs w:val="13"/>
                <w:color w:val="auto"/>
              </w:rPr>
              <w:t>9,660</w:t>
            </w:r>
          </w:p>
        </w:tc>
        <w:tc>
          <w:tcPr>
            <w:tcW w:w="100" w:type="dxa"/>
            <w:vAlign w:val="bottom"/>
          </w:tcPr>
          <w:p>
            <w:pPr>
              <w:spacing w:after="0"/>
              <w:rPr>
                <w:sz w:val="8"/>
                <w:szCs w:val="8"/>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1420" w:type="dxa"/>
            <w:vAlign w:val="bottom"/>
            <w:gridSpan w:val="2"/>
            <w:vMerge w:val="restart"/>
          </w:tcPr>
          <w:p>
            <w:pPr>
              <w:jc w:val="center"/>
              <w:ind w:left="34"/>
              <w:spacing w:after="0"/>
              <w:rPr>
                <w:sz w:val="20"/>
                <w:szCs w:val="20"/>
                <w:color w:val="auto"/>
              </w:rPr>
            </w:pPr>
            <w:r>
              <w:rPr>
                <w:rFonts w:ascii="Arial" w:cs="Arial" w:eastAsia="Arial" w:hAnsi="Arial"/>
                <w:sz w:val="13"/>
                <w:szCs w:val="13"/>
                <w:color w:val="auto"/>
              </w:rPr>
              <w:t>1,000,776</w:t>
            </w:r>
          </w:p>
        </w:tc>
        <w:tc>
          <w:tcPr>
            <w:tcW w:w="0" w:type="dxa"/>
            <w:vAlign w:val="bottom"/>
          </w:tcPr>
          <w:p>
            <w:pPr>
              <w:spacing w:after="0"/>
              <w:rPr>
                <w:sz w:val="1"/>
                <w:szCs w:val="1"/>
                <w:color w:val="auto"/>
              </w:rPr>
            </w:pPr>
          </w:p>
        </w:tc>
      </w:tr>
      <w:tr>
        <w:trPr>
          <w:trHeight w:val="88"/>
        </w:trPr>
        <w:tc>
          <w:tcPr>
            <w:tcW w:w="1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1"/>
        </w:trPr>
        <w:tc>
          <w:tcPr>
            <w:tcW w:w="1960" w:type="dxa"/>
            <w:vAlign w:val="bottom"/>
            <w:gridSpan w:val="2"/>
            <w:shd w:val="clear" w:color="auto" w:fill="E6E7E7"/>
          </w:tcPr>
          <w:p>
            <w:pPr>
              <w:ind w:left="20"/>
              <w:spacing w:after="0"/>
              <w:rPr>
                <w:sz w:val="20"/>
                <w:szCs w:val="20"/>
                <w:color w:val="auto"/>
              </w:rPr>
            </w:pPr>
            <w:r>
              <w:rPr>
                <w:rFonts w:ascii="Arial" w:cs="Arial" w:eastAsia="Arial" w:hAnsi="Arial"/>
                <w:sz w:val="13"/>
                <w:szCs w:val="13"/>
                <w:b w:val="1"/>
                <w:bCs w:val="1"/>
                <w:color w:val="520B90"/>
              </w:rPr>
              <w:t>Edward B. Adams, Jr.</w:t>
            </w:r>
          </w:p>
        </w:tc>
        <w:tc>
          <w:tcPr>
            <w:tcW w:w="100" w:type="dxa"/>
            <w:vAlign w:val="bottom"/>
          </w:tcPr>
          <w:p>
            <w:pPr>
              <w:spacing w:after="0"/>
              <w:rPr>
                <w:sz w:val="24"/>
                <w:szCs w:val="24"/>
                <w:color w:val="auto"/>
              </w:rPr>
            </w:pPr>
          </w:p>
        </w:tc>
        <w:tc>
          <w:tcPr>
            <w:tcW w:w="78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w:t>
            </w:r>
          </w:p>
        </w:tc>
        <w:tc>
          <w:tcPr>
            <w:tcW w:w="280" w:type="dxa"/>
            <w:vAlign w:val="bottom"/>
            <w:shd w:val="clear" w:color="auto" w:fill="E6E7E7"/>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shd w:val="clear" w:color="auto" w:fill="E6E7E7"/>
          </w:tcPr>
          <w:p>
            <w:pPr>
              <w:jc w:val="center"/>
              <w:ind w:left="54"/>
              <w:spacing w:after="0"/>
              <w:rPr>
                <w:sz w:val="20"/>
                <w:szCs w:val="20"/>
                <w:color w:val="auto"/>
              </w:rPr>
            </w:pPr>
            <w:r>
              <w:rPr>
                <w:rFonts w:ascii="Arial" w:cs="Arial" w:eastAsia="Arial" w:hAnsi="Arial"/>
                <w:sz w:val="13"/>
                <w:szCs w:val="13"/>
                <w:color w:val="auto"/>
              </w:rPr>
              <w:t>257,500</w:t>
            </w:r>
          </w:p>
        </w:tc>
        <w:tc>
          <w:tcPr>
            <w:tcW w:w="120" w:type="dxa"/>
            <w:vAlign w:val="bottom"/>
            <w:shd w:val="clear" w:color="auto" w:fill="E6E7E7"/>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515,000</w:t>
            </w:r>
          </w:p>
        </w:tc>
        <w:tc>
          <w:tcPr>
            <w:tcW w:w="100" w:type="dxa"/>
            <w:vAlign w:val="bottom"/>
          </w:tcPr>
          <w:p>
            <w:pPr>
              <w:spacing w:after="0"/>
              <w:rPr>
                <w:sz w:val="24"/>
                <w:szCs w:val="24"/>
                <w:color w:val="auto"/>
              </w:rPr>
            </w:pPr>
          </w:p>
        </w:tc>
        <w:tc>
          <w:tcPr>
            <w:tcW w:w="80" w:type="dxa"/>
            <w:vAlign w:val="bottom"/>
            <w:shd w:val="clear" w:color="auto" w:fill="E6E7E7"/>
          </w:tcPr>
          <w:p>
            <w:pPr>
              <w:spacing w:after="0"/>
              <w:rPr>
                <w:sz w:val="24"/>
                <w:szCs w:val="24"/>
                <w:color w:val="auto"/>
              </w:rPr>
            </w:pPr>
          </w:p>
        </w:tc>
        <w:tc>
          <w:tcPr>
            <w:tcW w:w="82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901,250</w:t>
            </w:r>
          </w:p>
        </w:tc>
        <w:tc>
          <w:tcPr>
            <w:tcW w:w="100" w:type="dxa"/>
            <w:vAlign w:val="bottom"/>
          </w:tcPr>
          <w:p>
            <w:pPr>
              <w:spacing w:after="0"/>
              <w:rPr>
                <w:sz w:val="24"/>
                <w:szCs w:val="24"/>
                <w:color w:val="auto"/>
              </w:rPr>
            </w:pPr>
          </w:p>
        </w:tc>
        <w:tc>
          <w:tcPr>
            <w:tcW w:w="920" w:type="dxa"/>
            <w:vAlign w:val="bottom"/>
            <w:shd w:val="clear" w:color="auto" w:fill="E6E7E7"/>
          </w:tcPr>
          <w:p>
            <w:pPr>
              <w:jc w:val="center"/>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24"/>
                <w:szCs w:val="24"/>
                <w:color w:val="auto"/>
              </w:rPr>
            </w:pPr>
          </w:p>
        </w:tc>
        <w:tc>
          <w:tcPr>
            <w:tcW w:w="78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90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8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320" w:type="dxa"/>
            <w:vAlign w:val="bottom"/>
            <w:shd w:val="clear" w:color="auto" w:fill="E6E7E7"/>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206"/>
        </w:trPr>
        <w:tc>
          <w:tcPr>
            <w:tcW w:w="1120" w:type="dxa"/>
            <w:vAlign w:val="bottom"/>
            <w:shd w:val="clear" w:color="auto" w:fill="E6E7E7"/>
          </w:tcPr>
          <w:p>
            <w:pPr>
              <w:spacing w:after="0"/>
              <w:rPr>
                <w:sz w:val="17"/>
                <w:szCs w:val="17"/>
                <w:color w:val="auto"/>
              </w:rPr>
            </w:pPr>
          </w:p>
        </w:tc>
        <w:tc>
          <w:tcPr>
            <w:tcW w:w="840" w:type="dxa"/>
            <w:vAlign w:val="bottom"/>
            <w:shd w:val="clear" w:color="auto" w:fill="E6E7E7"/>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2/26/25</w:t>
            </w:r>
          </w:p>
        </w:tc>
        <w:tc>
          <w:tcPr>
            <w:tcW w:w="280" w:type="dxa"/>
            <w:vAlign w:val="bottom"/>
            <w:vMerge w:val="restart"/>
            <w:shd w:val="clear" w:color="auto" w:fill="E6E7E7"/>
          </w:tcPr>
          <w:p>
            <w:pPr>
              <w:ind w:left="20"/>
              <w:spacing w:after="0"/>
              <w:rPr>
                <w:sz w:val="20"/>
                <w:szCs w:val="20"/>
                <w:color w:val="auto"/>
              </w:rPr>
            </w:pPr>
            <w:r>
              <w:rPr>
                <w:rFonts w:ascii="Arial" w:cs="Arial" w:eastAsia="Arial" w:hAnsi="Arial"/>
                <w:sz w:val="9"/>
                <w:szCs w:val="9"/>
                <w:color w:val="auto"/>
              </w:rPr>
              <w:t>(f)</w:t>
            </w:r>
          </w:p>
        </w:tc>
        <w:tc>
          <w:tcPr>
            <w:tcW w:w="80" w:type="dxa"/>
            <w:vAlign w:val="bottom"/>
          </w:tcPr>
          <w:p>
            <w:pPr>
              <w:spacing w:after="0"/>
              <w:rPr>
                <w:sz w:val="17"/>
                <w:szCs w:val="17"/>
                <w:color w:val="auto"/>
              </w:rPr>
            </w:pPr>
          </w:p>
        </w:tc>
        <w:tc>
          <w:tcPr>
            <w:tcW w:w="800" w:type="dxa"/>
            <w:vAlign w:val="bottom"/>
            <w:shd w:val="clear" w:color="auto" w:fill="E6E7E7"/>
          </w:tcPr>
          <w:p>
            <w:pPr>
              <w:jc w:val="center"/>
              <w:ind w:left="74"/>
              <w:spacing w:after="0"/>
              <w:rPr>
                <w:sz w:val="20"/>
                <w:szCs w:val="20"/>
                <w:color w:val="auto"/>
              </w:rPr>
            </w:pPr>
            <w:r>
              <w:rPr>
                <w:rFonts w:ascii="Arial" w:cs="Arial" w:eastAsia="Arial" w:hAnsi="Arial"/>
                <w:sz w:val="13"/>
                <w:szCs w:val="13"/>
                <w:color w:val="auto"/>
              </w:rPr>
              <w:t>—</w:t>
            </w:r>
          </w:p>
        </w:tc>
        <w:tc>
          <w:tcPr>
            <w:tcW w:w="120" w:type="dxa"/>
            <w:vAlign w:val="bottom"/>
            <w:shd w:val="clear" w:color="auto" w:fill="E6E7E7"/>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80" w:type="dxa"/>
            <w:vAlign w:val="bottom"/>
            <w:shd w:val="clear" w:color="auto" w:fill="E6E7E7"/>
          </w:tcPr>
          <w:p>
            <w:pPr>
              <w:spacing w:after="0"/>
              <w:rPr>
                <w:sz w:val="17"/>
                <w:szCs w:val="17"/>
                <w:color w:val="auto"/>
              </w:rPr>
            </w:pPr>
          </w:p>
        </w:tc>
        <w:tc>
          <w:tcPr>
            <w:tcW w:w="820" w:type="dxa"/>
            <w:vAlign w:val="bottom"/>
            <w:shd w:val="clear" w:color="auto" w:fill="E6E7E7"/>
          </w:tcPr>
          <w:p>
            <w:pPr>
              <w:jc w:val="center"/>
              <w:ind w:right="1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920" w:type="dxa"/>
            <w:vAlign w:val="bottom"/>
            <w:shd w:val="clear" w:color="auto" w:fill="E6E7E7"/>
          </w:tcPr>
          <w:p>
            <w:pPr>
              <w:jc w:val="center"/>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7"/>
                <w:szCs w:val="17"/>
                <w:color w:val="auto"/>
              </w:rPr>
            </w:pPr>
          </w:p>
        </w:tc>
        <w:tc>
          <w:tcPr>
            <w:tcW w:w="78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90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78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12,788</w:t>
            </w:r>
          </w:p>
        </w:tc>
        <w:tc>
          <w:tcPr>
            <w:tcW w:w="100" w:type="dxa"/>
            <w:vAlign w:val="bottom"/>
          </w:tcPr>
          <w:p>
            <w:pPr>
              <w:spacing w:after="0"/>
              <w:rPr>
                <w:sz w:val="17"/>
                <w:szCs w:val="17"/>
                <w:color w:val="auto"/>
              </w:rPr>
            </w:pPr>
          </w:p>
        </w:tc>
        <w:tc>
          <w:tcPr>
            <w:tcW w:w="132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1,171,764</w:t>
            </w:r>
          </w:p>
        </w:tc>
        <w:tc>
          <w:tcPr>
            <w:tcW w:w="0" w:type="dxa"/>
            <w:vAlign w:val="bottom"/>
          </w:tcPr>
          <w:p>
            <w:pPr>
              <w:spacing w:after="0"/>
              <w:rPr>
                <w:sz w:val="1"/>
                <w:szCs w:val="1"/>
                <w:color w:val="auto"/>
              </w:rPr>
            </w:pPr>
          </w:p>
        </w:tc>
      </w:tr>
      <w:tr>
        <w:trPr>
          <w:trHeight w:val="103"/>
        </w:trPr>
        <w:tc>
          <w:tcPr>
            <w:tcW w:w="1120" w:type="dxa"/>
            <w:vAlign w:val="bottom"/>
            <w:shd w:val="clear" w:color="auto" w:fill="E6E7E7"/>
          </w:tcPr>
          <w:p>
            <w:pPr>
              <w:spacing w:after="0"/>
              <w:rPr>
                <w:sz w:val="8"/>
                <w:szCs w:val="8"/>
                <w:color w:val="auto"/>
              </w:rPr>
            </w:pPr>
          </w:p>
        </w:tc>
        <w:tc>
          <w:tcPr>
            <w:tcW w:w="84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2/26/25</w:t>
            </w:r>
          </w:p>
        </w:tc>
        <w:tc>
          <w:tcPr>
            <w:tcW w:w="280" w:type="dxa"/>
            <w:vAlign w:val="bottom"/>
            <w:vMerge w:val="continue"/>
            <w:shd w:val="clear" w:color="auto" w:fill="E6E7E7"/>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vMerge w:val="restart"/>
            <w:shd w:val="clear" w:color="auto" w:fill="E6E7E7"/>
          </w:tcPr>
          <w:p>
            <w:pPr>
              <w:jc w:val="center"/>
              <w:ind w:left="74"/>
              <w:spacing w:after="0"/>
              <w:rPr>
                <w:sz w:val="20"/>
                <w:szCs w:val="20"/>
                <w:color w:val="auto"/>
              </w:rPr>
            </w:pPr>
            <w:r>
              <w:rPr>
                <w:rFonts w:ascii="Arial" w:cs="Arial" w:eastAsia="Arial" w:hAnsi="Arial"/>
                <w:sz w:val="13"/>
                <w:szCs w:val="13"/>
                <w:color w:val="auto"/>
              </w:rPr>
              <w:t>—</w:t>
            </w:r>
          </w:p>
        </w:tc>
        <w:tc>
          <w:tcPr>
            <w:tcW w:w="12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8"/>
                <w:szCs w:val="8"/>
                <w:color w:val="auto"/>
              </w:rPr>
            </w:pPr>
          </w:p>
        </w:tc>
        <w:tc>
          <w:tcPr>
            <w:tcW w:w="80" w:type="dxa"/>
            <w:vAlign w:val="bottom"/>
            <w:shd w:val="clear" w:color="auto" w:fill="E6E7E7"/>
          </w:tcPr>
          <w:p>
            <w:pPr>
              <w:spacing w:after="0"/>
              <w:rPr>
                <w:sz w:val="8"/>
                <w:szCs w:val="8"/>
                <w:color w:val="auto"/>
              </w:rPr>
            </w:pPr>
          </w:p>
        </w:tc>
        <w:tc>
          <w:tcPr>
            <w:tcW w:w="820" w:type="dxa"/>
            <w:vAlign w:val="bottom"/>
            <w:vMerge w:val="restart"/>
            <w:shd w:val="clear" w:color="auto" w:fill="E6E7E7"/>
          </w:tcPr>
          <w:p>
            <w:pPr>
              <w:jc w:val="center"/>
              <w:ind w:right="1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8"/>
                <w:szCs w:val="8"/>
                <w:color w:val="auto"/>
              </w:rPr>
            </w:pPr>
          </w:p>
        </w:tc>
        <w:tc>
          <w:tcPr>
            <w:tcW w:w="92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w w:val="98"/>
              </w:rPr>
              <w:t>4,795</w:t>
            </w:r>
          </w:p>
        </w:tc>
        <w:tc>
          <w:tcPr>
            <w:tcW w:w="100" w:type="dxa"/>
            <w:vAlign w:val="bottom"/>
          </w:tcPr>
          <w:p>
            <w:pPr>
              <w:spacing w:after="0"/>
              <w:rPr>
                <w:sz w:val="8"/>
                <w:szCs w:val="8"/>
                <w:color w:val="auto"/>
              </w:rPr>
            </w:pPr>
          </w:p>
        </w:tc>
        <w:tc>
          <w:tcPr>
            <w:tcW w:w="78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9,591</w:t>
            </w:r>
          </w:p>
        </w:tc>
        <w:tc>
          <w:tcPr>
            <w:tcW w:w="100" w:type="dxa"/>
            <w:vAlign w:val="bottom"/>
          </w:tcPr>
          <w:p>
            <w:pPr>
              <w:spacing w:after="0"/>
              <w:rPr>
                <w:sz w:val="8"/>
                <w:szCs w:val="8"/>
                <w:color w:val="auto"/>
              </w:rPr>
            </w:pPr>
          </w:p>
        </w:tc>
        <w:tc>
          <w:tcPr>
            <w:tcW w:w="90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19,182</w:t>
            </w:r>
          </w:p>
        </w:tc>
        <w:tc>
          <w:tcPr>
            <w:tcW w:w="100" w:type="dxa"/>
            <w:vAlign w:val="bottom"/>
          </w:tcPr>
          <w:p>
            <w:pPr>
              <w:spacing w:after="0"/>
              <w:rPr>
                <w:sz w:val="8"/>
                <w:szCs w:val="8"/>
                <w:color w:val="auto"/>
              </w:rPr>
            </w:pPr>
          </w:p>
        </w:tc>
        <w:tc>
          <w:tcPr>
            <w:tcW w:w="78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8"/>
                <w:szCs w:val="8"/>
                <w:color w:val="auto"/>
              </w:rPr>
            </w:pPr>
          </w:p>
        </w:tc>
        <w:tc>
          <w:tcPr>
            <w:tcW w:w="132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888,223</w:t>
            </w:r>
          </w:p>
        </w:tc>
        <w:tc>
          <w:tcPr>
            <w:tcW w:w="0" w:type="dxa"/>
            <w:vAlign w:val="bottom"/>
          </w:tcPr>
          <w:p>
            <w:pPr>
              <w:spacing w:after="0"/>
              <w:rPr>
                <w:sz w:val="1"/>
                <w:szCs w:val="1"/>
                <w:color w:val="auto"/>
              </w:rPr>
            </w:pPr>
          </w:p>
        </w:tc>
      </w:tr>
      <w:tr>
        <w:trPr>
          <w:trHeight w:val="82"/>
        </w:trPr>
        <w:tc>
          <w:tcPr>
            <w:tcW w:w="1120" w:type="dxa"/>
            <w:vAlign w:val="bottom"/>
            <w:shd w:val="clear" w:color="auto" w:fill="E6E7E7"/>
          </w:tcPr>
          <w:p>
            <w:pPr>
              <w:spacing w:after="0"/>
              <w:rPr>
                <w:sz w:val="7"/>
                <w:szCs w:val="7"/>
                <w:color w:val="auto"/>
              </w:rPr>
            </w:pPr>
          </w:p>
        </w:tc>
        <w:tc>
          <w:tcPr>
            <w:tcW w:w="840" w:type="dxa"/>
            <w:vAlign w:val="bottom"/>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shd w:val="clear" w:color="auto" w:fill="E6E7E7"/>
          </w:tcPr>
          <w:p>
            <w:pPr>
              <w:spacing w:after="0"/>
              <w:rPr>
                <w:sz w:val="7"/>
                <w:szCs w:val="7"/>
                <w:color w:val="auto"/>
              </w:rPr>
            </w:pPr>
          </w:p>
        </w:tc>
        <w:tc>
          <w:tcPr>
            <w:tcW w:w="280" w:type="dxa"/>
            <w:vAlign w:val="bottom"/>
            <w:vMerge w:val="restart"/>
            <w:shd w:val="clear" w:color="auto" w:fill="E6E7E7"/>
          </w:tcPr>
          <w:p>
            <w:pPr>
              <w:ind w:left="20"/>
              <w:spacing w:after="0"/>
              <w:rPr>
                <w:sz w:val="20"/>
                <w:szCs w:val="20"/>
                <w:color w:val="auto"/>
              </w:rPr>
            </w:pPr>
            <w:r>
              <w:rPr>
                <w:rFonts w:ascii="Arial" w:cs="Arial" w:eastAsia="Arial" w:hAnsi="Arial"/>
                <w:sz w:val="9"/>
                <w:szCs w:val="9"/>
                <w:color w:val="auto"/>
              </w:rPr>
              <w:t>(g)</w:t>
            </w:r>
          </w:p>
        </w:tc>
        <w:tc>
          <w:tcPr>
            <w:tcW w:w="80" w:type="dxa"/>
            <w:vAlign w:val="bottom"/>
          </w:tcPr>
          <w:p>
            <w:pPr>
              <w:spacing w:after="0"/>
              <w:rPr>
                <w:sz w:val="7"/>
                <w:szCs w:val="7"/>
                <w:color w:val="auto"/>
              </w:rPr>
            </w:pPr>
          </w:p>
        </w:tc>
        <w:tc>
          <w:tcPr>
            <w:tcW w:w="800" w:type="dxa"/>
            <w:vAlign w:val="bottom"/>
            <w:vMerge w:val="continue"/>
            <w:shd w:val="clear" w:color="auto" w:fill="E6E7E7"/>
          </w:tcPr>
          <w:p>
            <w:pPr>
              <w:spacing w:after="0"/>
              <w:rPr>
                <w:sz w:val="7"/>
                <w:szCs w:val="7"/>
                <w:color w:val="auto"/>
              </w:rPr>
            </w:pPr>
          </w:p>
        </w:tc>
        <w:tc>
          <w:tcPr>
            <w:tcW w:w="120" w:type="dxa"/>
            <w:vAlign w:val="bottom"/>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vMerge w:val="continue"/>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shd w:val="clear" w:color="auto" w:fill="E6E7E7"/>
          </w:tcPr>
          <w:p>
            <w:pPr>
              <w:spacing w:after="0"/>
              <w:rPr>
                <w:sz w:val="7"/>
                <w:szCs w:val="7"/>
                <w:color w:val="auto"/>
              </w:rPr>
            </w:pPr>
          </w:p>
        </w:tc>
        <w:tc>
          <w:tcPr>
            <w:tcW w:w="820" w:type="dxa"/>
            <w:vAlign w:val="bottom"/>
            <w:vMerge w:val="continue"/>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vMerge w:val="continue"/>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vMerge w:val="continue"/>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vMerge w:val="continue"/>
            <w:shd w:val="clear" w:color="auto" w:fill="E6E7E7"/>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1120" w:type="dxa"/>
            <w:vAlign w:val="bottom"/>
            <w:shd w:val="clear" w:color="auto" w:fill="E6E7E7"/>
          </w:tcPr>
          <w:p>
            <w:pPr>
              <w:spacing w:after="0"/>
              <w:rPr>
                <w:sz w:val="8"/>
                <w:szCs w:val="8"/>
                <w:color w:val="auto"/>
              </w:rPr>
            </w:pPr>
          </w:p>
        </w:tc>
        <w:tc>
          <w:tcPr>
            <w:tcW w:w="84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2/26/25</w:t>
            </w:r>
          </w:p>
        </w:tc>
        <w:tc>
          <w:tcPr>
            <w:tcW w:w="280" w:type="dxa"/>
            <w:vAlign w:val="bottom"/>
            <w:vMerge w:val="continue"/>
            <w:shd w:val="clear" w:color="auto" w:fill="E6E7E7"/>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vMerge w:val="restart"/>
            <w:shd w:val="clear" w:color="auto" w:fill="E6E7E7"/>
          </w:tcPr>
          <w:p>
            <w:pPr>
              <w:jc w:val="center"/>
              <w:ind w:left="74"/>
              <w:spacing w:after="0"/>
              <w:rPr>
                <w:sz w:val="20"/>
                <w:szCs w:val="20"/>
                <w:color w:val="auto"/>
              </w:rPr>
            </w:pPr>
            <w:r>
              <w:rPr>
                <w:rFonts w:ascii="Arial" w:cs="Arial" w:eastAsia="Arial" w:hAnsi="Arial"/>
                <w:sz w:val="13"/>
                <w:szCs w:val="13"/>
                <w:color w:val="auto"/>
              </w:rPr>
              <w:t>—</w:t>
            </w:r>
          </w:p>
        </w:tc>
        <w:tc>
          <w:tcPr>
            <w:tcW w:w="12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8"/>
                <w:szCs w:val="8"/>
                <w:color w:val="auto"/>
              </w:rPr>
            </w:pPr>
          </w:p>
        </w:tc>
        <w:tc>
          <w:tcPr>
            <w:tcW w:w="80" w:type="dxa"/>
            <w:vAlign w:val="bottom"/>
            <w:shd w:val="clear" w:color="auto" w:fill="E6E7E7"/>
          </w:tcPr>
          <w:p>
            <w:pPr>
              <w:spacing w:after="0"/>
              <w:rPr>
                <w:sz w:val="8"/>
                <w:szCs w:val="8"/>
                <w:color w:val="auto"/>
              </w:rPr>
            </w:pPr>
          </w:p>
        </w:tc>
        <w:tc>
          <w:tcPr>
            <w:tcW w:w="820" w:type="dxa"/>
            <w:vAlign w:val="bottom"/>
            <w:vMerge w:val="restart"/>
            <w:shd w:val="clear" w:color="auto" w:fill="E6E7E7"/>
          </w:tcPr>
          <w:p>
            <w:pPr>
              <w:jc w:val="center"/>
              <w:ind w:right="1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8"/>
                <w:szCs w:val="8"/>
                <w:color w:val="auto"/>
              </w:rPr>
            </w:pPr>
          </w:p>
        </w:tc>
        <w:tc>
          <w:tcPr>
            <w:tcW w:w="92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w w:val="98"/>
              </w:rPr>
              <w:t>4,795</w:t>
            </w:r>
          </w:p>
        </w:tc>
        <w:tc>
          <w:tcPr>
            <w:tcW w:w="100" w:type="dxa"/>
            <w:vAlign w:val="bottom"/>
          </w:tcPr>
          <w:p>
            <w:pPr>
              <w:spacing w:after="0"/>
              <w:rPr>
                <w:sz w:val="8"/>
                <w:szCs w:val="8"/>
                <w:color w:val="auto"/>
              </w:rPr>
            </w:pPr>
          </w:p>
        </w:tc>
        <w:tc>
          <w:tcPr>
            <w:tcW w:w="78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9,591</w:t>
            </w:r>
          </w:p>
        </w:tc>
        <w:tc>
          <w:tcPr>
            <w:tcW w:w="100" w:type="dxa"/>
            <w:vAlign w:val="bottom"/>
          </w:tcPr>
          <w:p>
            <w:pPr>
              <w:spacing w:after="0"/>
              <w:rPr>
                <w:sz w:val="8"/>
                <w:szCs w:val="8"/>
                <w:color w:val="auto"/>
              </w:rPr>
            </w:pPr>
          </w:p>
        </w:tc>
        <w:tc>
          <w:tcPr>
            <w:tcW w:w="90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19,182</w:t>
            </w:r>
          </w:p>
        </w:tc>
        <w:tc>
          <w:tcPr>
            <w:tcW w:w="100" w:type="dxa"/>
            <w:vAlign w:val="bottom"/>
          </w:tcPr>
          <w:p>
            <w:pPr>
              <w:spacing w:after="0"/>
              <w:rPr>
                <w:sz w:val="8"/>
                <w:szCs w:val="8"/>
                <w:color w:val="auto"/>
              </w:rPr>
            </w:pPr>
          </w:p>
        </w:tc>
        <w:tc>
          <w:tcPr>
            <w:tcW w:w="78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8"/>
                <w:szCs w:val="8"/>
                <w:color w:val="auto"/>
              </w:rPr>
            </w:pPr>
          </w:p>
        </w:tc>
        <w:tc>
          <w:tcPr>
            <w:tcW w:w="132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888,223</w:t>
            </w:r>
          </w:p>
        </w:tc>
        <w:tc>
          <w:tcPr>
            <w:tcW w:w="0" w:type="dxa"/>
            <w:vAlign w:val="bottom"/>
          </w:tcPr>
          <w:p>
            <w:pPr>
              <w:spacing w:after="0"/>
              <w:rPr>
                <w:sz w:val="1"/>
                <w:szCs w:val="1"/>
                <w:color w:val="auto"/>
              </w:rPr>
            </w:pPr>
          </w:p>
        </w:tc>
      </w:tr>
      <w:tr>
        <w:trPr>
          <w:trHeight w:val="82"/>
        </w:trPr>
        <w:tc>
          <w:tcPr>
            <w:tcW w:w="1120" w:type="dxa"/>
            <w:vAlign w:val="bottom"/>
            <w:shd w:val="clear" w:color="auto" w:fill="E6E7E7"/>
          </w:tcPr>
          <w:p>
            <w:pPr>
              <w:spacing w:after="0"/>
              <w:rPr>
                <w:sz w:val="7"/>
                <w:szCs w:val="7"/>
                <w:color w:val="auto"/>
              </w:rPr>
            </w:pPr>
          </w:p>
        </w:tc>
        <w:tc>
          <w:tcPr>
            <w:tcW w:w="840" w:type="dxa"/>
            <w:vAlign w:val="bottom"/>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shd w:val="clear" w:color="auto" w:fill="E6E7E7"/>
          </w:tcPr>
          <w:p>
            <w:pPr>
              <w:spacing w:after="0"/>
              <w:rPr>
                <w:sz w:val="7"/>
                <w:szCs w:val="7"/>
                <w:color w:val="auto"/>
              </w:rPr>
            </w:pPr>
          </w:p>
        </w:tc>
        <w:tc>
          <w:tcPr>
            <w:tcW w:w="280" w:type="dxa"/>
            <w:vAlign w:val="bottom"/>
            <w:vMerge w:val="restart"/>
            <w:shd w:val="clear" w:color="auto" w:fill="E6E7E7"/>
          </w:tcPr>
          <w:p>
            <w:pPr>
              <w:ind w:left="20"/>
              <w:spacing w:after="0"/>
              <w:rPr>
                <w:sz w:val="20"/>
                <w:szCs w:val="20"/>
                <w:color w:val="auto"/>
              </w:rPr>
            </w:pPr>
            <w:r>
              <w:rPr>
                <w:rFonts w:ascii="Arial" w:cs="Arial" w:eastAsia="Arial" w:hAnsi="Arial"/>
                <w:sz w:val="9"/>
                <w:szCs w:val="9"/>
                <w:color w:val="auto"/>
              </w:rPr>
              <w:t>(j)</w:t>
            </w:r>
          </w:p>
        </w:tc>
        <w:tc>
          <w:tcPr>
            <w:tcW w:w="80" w:type="dxa"/>
            <w:vAlign w:val="bottom"/>
          </w:tcPr>
          <w:p>
            <w:pPr>
              <w:spacing w:after="0"/>
              <w:rPr>
                <w:sz w:val="7"/>
                <w:szCs w:val="7"/>
                <w:color w:val="auto"/>
              </w:rPr>
            </w:pPr>
          </w:p>
        </w:tc>
        <w:tc>
          <w:tcPr>
            <w:tcW w:w="800" w:type="dxa"/>
            <w:vAlign w:val="bottom"/>
            <w:vMerge w:val="continue"/>
            <w:shd w:val="clear" w:color="auto" w:fill="E6E7E7"/>
          </w:tcPr>
          <w:p>
            <w:pPr>
              <w:spacing w:after="0"/>
              <w:rPr>
                <w:sz w:val="7"/>
                <w:szCs w:val="7"/>
                <w:color w:val="auto"/>
              </w:rPr>
            </w:pPr>
          </w:p>
        </w:tc>
        <w:tc>
          <w:tcPr>
            <w:tcW w:w="120" w:type="dxa"/>
            <w:vAlign w:val="bottom"/>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vMerge w:val="continue"/>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shd w:val="clear" w:color="auto" w:fill="E6E7E7"/>
          </w:tcPr>
          <w:p>
            <w:pPr>
              <w:spacing w:after="0"/>
              <w:rPr>
                <w:sz w:val="7"/>
                <w:szCs w:val="7"/>
                <w:color w:val="auto"/>
              </w:rPr>
            </w:pPr>
          </w:p>
        </w:tc>
        <w:tc>
          <w:tcPr>
            <w:tcW w:w="820" w:type="dxa"/>
            <w:vAlign w:val="bottom"/>
            <w:vMerge w:val="continue"/>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vMerge w:val="continue"/>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vMerge w:val="continue"/>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vMerge w:val="continue"/>
            <w:shd w:val="clear" w:color="auto" w:fill="E6E7E7"/>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1120" w:type="dxa"/>
            <w:vAlign w:val="bottom"/>
            <w:shd w:val="clear" w:color="auto" w:fill="E6E7E7"/>
          </w:tcPr>
          <w:p>
            <w:pPr>
              <w:spacing w:after="0"/>
              <w:rPr>
                <w:sz w:val="8"/>
                <w:szCs w:val="8"/>
                <w:color w:val="auto"/>
              </w:rPr>
            </w:pPr>
          </w:p>
        </w:tc>
        <w:tc>
          <w:tcPr>
            <w:tcW w:w="84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3/28/25</w:t>
            </w:r>
          </w:p>
        </w:tc>
        <w:tc>
          <w:tcPr>
            <w:tcW w:w="280" w:type="dxa"/>
            <w:vAlign w:val="bottom"/>
            <w:vMerge w:val="continue"/>
            <w:shd w:val="clear" w:color="auto" w:fill="E6E7E7"/>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vMerge w:val="restart"/>
            <w:shd w:val="clear" w:color="auto" w:fill="E6E7E7"/>
          </w:tcPr>
          <w:p>
            <w:pPr>
              <w:jc w:val="center"/>
              <w:ind w:left="74"/>
              <w:spacing w:after="0"/>
              <w:rPr>
                <w:sz w:val="20"/>
                <w:szCs w:val="20"/>
                <w:color w:val="auto"/>
              </w:rPr>
            </w:pPr>
            <w:r>
              <w:rPr>
                <w:rFonts w:ascii="Arial" w:cs="Arial" w:eastAsia="Arial" w:hAnsi="Arial"/>
                <w:sz w:val="13"/>
                <w:szCs w:val="13"/>
                <w:color w:val="auto"/>
              </w:rPr>
              <w:t>—</w:t>
            </w:r>
          </w:p>
        </w:tc>
        <w:tc>
          <w:tcPr>
            <w:tcW w:w="12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8"/>
                <w:szCs w:val="8"/>
                <w:color w:val="auto"/>
              </w:rPr>
            </w:pPr>
          </w:p>
        </w:tc>
        <w:tc>
          <w:tcPr>
            <w:tcW w:w="80" w:type="dxa"/>
            <w:vAlign w:val="bottom"/>
            <w:shd w:val="clear" w:color="auto" w:fill="E6E7E7"/>
          </w:tcPr>
          <w:p>
            <w:pPr>
              <w:spacing w:after="0"/>
              <w:rPr>
                <w:sz w:val="8"/>
                <w:szCs w:val="8"/>
                <w:color w:val="auto"/>
              </w:rPr>
            </w:pPr>
          </w:p>
        </w:tc>
        <w:tc>
          <w:tcPr>
            <w:tcW w:w="820" w:type="dxa"/>
            <w:vAlign w:val="bottom"/>
            <w:vMerge w:val="restart"/>
            <w:shd w:val="clear" w:color="auto" w:fill="E6E7E7"/>
          </w:tcPr>
          <w:p>
            <w:pPr>
              <w:jc w:val="center"/>
              <w:ind w:right="1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8"/>
                <w:szCs w:val="8"/>
                <w:color w:val="auto"/>
              </w:rPr>
            </w:pPr>
          </w:p>
        </w:tc>
        <w:tc>
          <w:tcPr>
            <w:tcW w:w="92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8"/>
                <w:szCs w:val="8"/>
                <w:color w:val="auto"/>
              </w:rPr>
            </w:pPr>
          </w:p>
        </w:tc>
        <w:tc>
          <w:tcPr>
            <w:tcW w:w="78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14,490</w:t>
            </w:r>
          </w:p>
        </w:tc>
        <w:tc>
          <w:tcPr>
            <w:tcW w:w="100" w:type="dxa"/>
            <w:vAlign w:val="bottom"/>
          </w:tcPr>
          <w:p>
            <w:pPr>
              <w:spacing w:after="0"/>
              <w:rPr>
                <w:sz w:val="8"/>
                <w:szCs w:val="8"/>
                <w:color w:val="auto"/>
              </w:rPr>
            </w:pPr>
          </w:p>
        </w:tc>
        <w:tc>
          <w:tcPr>
            <w:tcW w:w="90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14,490</w:t>
            </w:r>
          </w:p>
        </w:tc>
        <w:tc>
          <w:tcPr>
            <w:tcW w:w="100" w:type="dxa"/>
            <w:vAlign w:val="bottom"/>
          </w:tcPr>
          <w:p>
            <w:pPr>
              <w:spacing w:after="0"/>
              <w:rPr>
                <w:sz w:val="8"/>
                <w:szCs w:val="8"/>
                <w:color w:val="auto"/>
              </w:rPr>
            </w:pPr>
          </w:p>
        </w:tc>
        <w:tc>
          <w:tcPr>
            <w:tcW w:w="78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8"/>
                <w:szCs w:val="8"/>
                <w:color w:val="auto"/>
              </w:rPr>
            </w:pPr>
          </w:p>
        </w:tc>
        <w:tc>
          <w:tcPr>
            <w:tcW w:w="132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1,501,164</w:t>
            </w:r>
          </w:p>
        </w:tc>
        <w:tc>
          <w:tcPr>
            <w:tcW w:w="0" w:type="dxa"/>
            <w:vAlign w:val="bottom"/>
          </w:tcPr>
          <w:p>
            <w:pPr>
              <w:spacing w:after="0"/>
              <w:rPr>
                <w:sz w:val="1"/>
                <w:szCs w:val="1"/>
                <w:color w:val="auto"/>
              </w:rPr>
            </w:pPr>
          </w:p>
        </w:tc>
      </w:tr>
      <w:tr>
        <w:trPr>
          <w:trHeight w:val="93"/>
        </w:trPr>
        <w:tc>
          <w:tcPr>
            <w:tcW w:w="1120" w:type="dxa"/>
            <w:vAlign w:val="bottom"/>
            <w:shd w:val="clear" w:color="auto" w:fill="E6E7E7"/>
          </w:tcPr>
          <w:p>
            <w:pPr>
              <w:spacing w:after="0"/>
              <w:rPr>
                <w:sz w:val="8"/>
                <w:szCs w:val="8"/>
                <w:color w:val="auto"/>
              </w:rPr>
            </w:pPr>
          </w:p>
        </w:tc>
        <w:tc>
          <w:tcPr>
            <w:tcW w:w="84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vMerge w:val="continue"/>
            <w:shd w:val="clear" w:color="auto" w:fill="E6E7E7"/>
          </w:tcPr>
          <w:p>
            <w:pPr>
              <w:spacing w:after="0"/>
              <w:rPr>
                <w:sz w:val="8"/>
                <w:szCs w:val="8"/>
                <w:color w:val="auto"/>
              </w:rPr>
            </w:pPr>
          </w:p>
        </w:tc>
        <w:tc>
          <w:tcPr>
            <w:tcW w:w="280" w:type="dxa"/>
            <w:vAlign w:val="bottom"/>
            <w:shd w:val="clear" w:color="auto" w:fill="E6E7E7"/>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vMerge w:val="continue"/>
            <w:shd w:val="clear" w:color="auto" w:fill="E6E7E7"/>
          </w:tcPr>
          <w:p>
            <w:pPr>
              <w:spacing w:after="0"/>
              <w:rPr>
                <w:sz w:val="8"/>
                <w:szCs w:val="8"/>
                <w:color w:val="auto"/>
              </w:rPr>
            </w:pPr>
          </w:p>
        </w:tc>
        <w:tc>
          <w:tcPr>
            <w:tcW w:w="12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continue"/>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shd w:val="clear" w:color="auto" w:fill="E6E7E7"/>
          </w:tcPr>
          <w:p>
            <w:pPr>
              <w:spacing w:after="0"/>
              <w:rPr>
                <w:sz w:val="8"/>
                <w:szCs w:val="8"/>
                <w:color w:val="auto"/>
              </w:rPr>
            </w:pPr>
          </w:p>
        </w:tc>
        <w:tc>
          <w:tcPr>
            <w:tcW w:w="820" w:type="dxa"/>
            <w:vAlign w:val="bottom"/>
            <w:vMerge w:val="continue"/>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vMerge w:val="continue"/>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vMerge w:val="continue"/>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vMerge w:val="continue"/>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vMerge w:val="continue"/>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1320" w:type="dxa"/>
            <w:vAlign w:val="bottom"/>
            <w:vMerge w:val="continue"/>
            <w:shd w:val="clear" w:color="auto" w:fill="E6E7E7"/>
          </w:tcPr>
          <w:p>
            <w:pPr>
              <w:spacing w:after="0"/>
              <w:rPr>
                <w:sz w:val="8"/>
                <w:szCs w:val="8"/>
                <w:color w:val="auto"/>
              </w:rPr>
            </w:pPr>
          </w:p>
        </w:tc>
        <w:tc>
          <w:tcPr>
            <w:tcW w:w="0" w:type="dxa"/>
            <w:vAlign w:val="bottom"/>
          </w:tcPr>
          <w:p>
            <w:pPr>
              <w:spacing w:after="0"/>
              <w:rPr>
                <w:sz w:val="1"/>
                <w:szCs w:val="1"/>
                <w:color w:val="auto"/>
              </w:rPr>
            </w:pPr>
          </w:p>
        </w:tc>
      </w:tr>
      <w:tr>
        <w:trPr>
          <w:trHeight w:val="379"/>
        </w:trPr>
        <w:tc>
          <w:tcPr>
            <w:tcW w:w="2060" w:type="dxa"/>
            <w:vAlign w:val="bottom"/>
            <w:gridSpan w:val="3"/>
          </w:tcPr>
          <w:p>
            <w:pPr>
              <w:ind w:left="20"/>
              <w:spacing w:after="0"/>
              <w:rPr>
                <w:sz w:val="20"/>
                <w:szCs w:val="20"/>
                <w:color w:val="auto"/>
              </w:rPr>
            </w:pPr>
            <w:r>
              <w:rPr>
                <w:rFonts w:ascii="Arial" w:cs="Arial" w:eastAsia="Arial" w:hAnsi="Arial"/>
                <w:sz w:val="13"/>
                <w:szCs w:val="13"/>
                <w:b w:val="1"/>
                <w:bCs w:val="1"/>
                <w:color w:val="520B90"/>
              </w:rPr>
              <w:t>Catherine Piche</w:t>
            </w:r>
          </w:p>
        </w:tc>
        <w:tc>
          <w:tcPr>
            <w:tcW w:w="780" w:type="dxa"/>
            <w:vAlign w:val="bottom"/>
          </w:tcPr>
          <w:p>
            <w:pPr>
              <w:jc w:val="center"/>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4"/>
                <w:szCs w:val="24"/>
                <w:color w:val="auto"/>
              </w:rPr>
            </w:pPr>
          </w:p>
        </w:tc>
        <w:tc>
          <w:tcPr>
            <w:tcW w:w="880" w:type="dxa"/>
            <w:vAlign w:val="bottom"/>
            <w:gridSpan w:val="2"/>
          </w:tcPr>
          <w:p>
            <w:pPr>
              <w:jc w:val="center"/>
              <w:ind w:left="134"/>
              <w:spacing w:after="0"/>
              <w:rPr>
                <w:sz w:val="20"/>
                <w:szCs w:val="20"/>
                <w:color w:val="auto"/>
              </w:rPr>
            </w:pPr>
            <w:r>
              <w:rPr>
                <w:rFonts w:ascii="Arial" w:cs="Arial" w:eastAsia="Arial" w:hAnsi="Arial"/>
                <w:sz w:val="13"/>
                <w:szCs w:val="13"/>
                <w:color w:val="auto"/>
              </w:rPr>
              <w:t>275,000</w:t>
            </w:r>
          </w:p>
        </w:tc>
        <w:tc>
          <w:tcPr>
            <w:tcW w:w="1040" w:type="dxa"/>
            <w:vAlign w:val="bottom"/>
            <w:gridSpan w:val="3"/>
          </w:tcPr>
          <w:p>
            <w:pPr>
              <w:jc w:val="center"/>
              <w:ind w:left="174"/>
              <w:spacing w:after="0"/>
              <w:rPr>
                <w:sz w:val="20"/>
                <w:szCs w:val="20"/>
                <w:color w:val="auto"/>
              </w:rPr>
            </w:pPr>
            <w:r>
              <w:rPr>
                <w:rFonts w:ascii="Arial" w:cs="Arial" w:eastAsia="Arial" w:hAnsi="Arial"/>
                <w:sz w:val="13"/>
                <w:szCs w:val="13"/>
                <w:color w:val="auto"/>
              </w:rPr>
              <w:t>550,000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3"/>
                <w:szCs w:val="13"/>
                <w:color w:val="auto"/>
              </w:rPr>
              <w:t>962,500</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79"/>
        </w:trPr>
        <w:tc>
          <w:tcPr>
            <w:tcW w:w="1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rPr>
              <w:t>2/26/25</w:t>
            </w:r>
          </w:p>
        </w:tc>
        <w:tc>
          <w:tcPr>
            <w:tcW w:w="280" w:type="dxa"/>
            <w:vAlign w:val="bottom"/>
            <w:vMerge w:val="restart"/>
          </w:tcPr>
          <w:p>
            <w:pPr>
              <w:ind w:left="20"/>
              <w:spacing w:after="0"/>
              <w:rPr>
                <w:sz w:val="20"/>
                <w:szCs w:val="20"/>
                <w:color w:val="auto"/>
              </w:rPr>
            </w:pPr>
            <w:r>
              <w:rPr>
                <w:rFonts w:ascii="Arial" w:cs="Arial" w:eastAsia="Arial" w:hAnsi="Arial"/>
                <w:sz w:val="9"/>
                <w:szCs w:val="9"/>
                <w:color w:val="auto"/>
              </w:rPr>
              <w:t>(f)</w:t>
            </w:r>
          </w:p>
        </w:tc>
        <w:tc>
          <w:tcPr>
            <w:tcW w:w="80" w:type="dxa"/>
            <w:vAlign w:val="bottom"/>
          </w:tcPr>
          <w:p>
            <w:pPr>
              <w:spacing w:after="0"/>
              <w:rPr>
                <w:sz w:val="15"/>
                <w:szCs w:val="15"/>
                <w:color w:val="auto"/>
              </w:rPr>
            </w:pPr>
          </w:p>
        </w:tc>
        <w:tc>
          <w:tcPr>
            <w:tcW w:w="800" w:type="dxa"/>
            <w:vAlign w:val="bottom"/>
          </w:tcPr>
          <w:p>
            <w:pPr>
              <w:jc w:val="center"/>
              <w:ind w:left="7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3"/>
                <w:szCs w:val="13"/>
                <w:color w:val="auto"/>
              </w:rPr>
              <w:t>—</w:t>
            </w:r>
          </w:p>
        </w:tc>
        <w:tc>
          <w:tcPr>
            <w:tcW w:w="820" w:type="dxa"/>
            <w:vAlign w:val="bottom"/>
          </w:tcPr>
          <w:p>
            <w:pPr>
              <w:jc w:val="center"/>
              <w:ind w:right="1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center"/>
              <w:ind w:left="34"/>
              <w:spacing w:after="0"/>
              <w:rPr>
                <w:sz w:val="20"/>
                <w:szCs w:val="20"/>
                <w:color w:val="auto"/>
              </w:rPr>
            </w:pPr>
            <w:r>
              <w:rPr>
                <w:rFonts w:ascii="Arial" w:cs="Arial" w:eastAsia="Arial" w:hAnsi="Arial"/>
                <w:sz w:val="13"/>
                <w:szCs w:val="13"/>
                <w:color w:val="auto"/>
              </w:rPr>
              <w:t>16,316</w:t>
            </w:r>
          </w:p>
        </w:tc>
        <w:tc>
          <w:tcPr>
            <w:tcW w:w="1420" w:type="dxa"/>
            <w:vAlign w:val="bottom"/>
            <w:gridSpan w:val="2"/>
          </w:tcPr>
          <w:p>
            <w:pPr>
              <w:jc w:val="center"/>
              <w:ind w:left="34"/>
              <w:spacing w:after="0"/>
              <w:rPr>
                <w:sz w:val="20"/>
                <w:szCs w:val="20"/>
                <w:color w:val="auto"/>
              </w:rPr>
            </w:pPr>
            <w:r>
              <w:rPr>
                <w:rFonts w:ascii="Arial" w:cs="Arial" w:eastAsia="Arial" w:hAnsi="Arial"/>
                <w:sz w:val="13"/>
                <w:szCs w:val="13"/>
                <w:color w:val="auto"/>
              </w:rPr>
              <w:t>1,495,035</w:t>
            </w:r>
          </w:p>
        </w:tc>
        <w:tc>
          <w:tcPr>
            <w:tcW w:w="0" w:type="dxa"/>
            <w:vAlign w:val="bottom"/>
          </w:tcPr>
          <w:p>
            <w:pPr>
              <w:spacing w:after="0"/>
              <w:rPr>
                <w:sz w:val="1"/>
                <w:szCs w:val="1"/>
                <w:color w:val="auto"/>
              </w:rPr>
            </w:pPr>
          </w:p>
        </w:tc>
      </w:tr>
      <w:tr>
        <w:trPr>
          <w:trHeight w:val="103"/>
        </w:trPr>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rPr>
              <w:t>2/26/25</w:t>
            </w:r>
          </w:p>
        </w:tc>
        <w:tc>
          <w:tcPr>
            <w:tcW w:w="2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vMerge w:val="restart"/>
          </w:tcPr>
          <w:p>
            <w:pPr>
              <w:jc w:val="center"/>
              <w:ind w:left="7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3"/>
            <w:vMerge w:val="restart"/>
          </w:tcPr>
          <w:p>
            <w:pPr>
              <w:jc w:val="center"/>
              <w:ind w:right="180"/>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center"/>
              <w:ind w:right="14"/>
              <w:spacing w:after="0"/>
              <w:rPr>
                <w:sz w:val="20"/>
                <w:szCs w:val="20"/>
                <w:color w:val="auto"/>
              </w:rPr>
            </w:pPr>
            <w:r>
              <w:rPr>
                <w:rFonts w:ascii="Arial" w:cs="Arial" w:eastAsia="Arial" w:hAnsi="Arial"/>
                <w:sz w:val="13"/>
                <w:szCs w:val="13"/>
                <w:color w:val="auto"/>
              </w:rPr>
              <w:t>—</w:t>
            </w:r>
          </w:p>
        </w:tc>
        <w:tc>
          <w:tcPr>
            <w:tcW w:w="1020" w:type="dxa"/>
            <w:vAlign w:val="bottom"/>
            <w:gridSpan w:val="2"/>
            <w:vMerge w:val="restart"/>
          </w:tcPr>
          <w:p>
            <w:pPr>
              <w:jc w:val="center"/>
              <w:ind w:left="34"/>
              <w:spacing w:after="0"/>
              <w:rPr>
                <w:sz w:val="20"/>
                <w:szCs w:val="20"/>
                <w:color w:val="auto"/>
              </w:rPr>
            </w:pPr>
            <w:r>
              <w:rPr>
                <w:rFonts w:ascii="Arial" w:cs="Arial" w:eastAsia="Arial" w:hAnsi="Arial"/>
                <w:sz w:val="13"/>
                <w:szCs w:val="13"/>
                <w:color w:val="auto"/>
                <w:w w:val="98"/>
              </w:rPr>
              <w:t>6,118</w:t>
            </w:r>
          </w:p>
        </w:tc>
        <w:tc>
          <w:tcPr>
            <w:tcW w:w="880" w:type="dxa"/>
            <w:vAlign w:val="bottom"/>
            <w:gridSpan w:val="2"/>
            <w:vMerge w:val="restart"/>
          </w:tcPr>
          <w:p>
            <w:pPr>
              <w:jc w:val="center"/>
              <w:ind w:left="34"/>
              <w:spacing w:after="0"/>
              <w:rPr>
                <w:sz w:val="20"/>
                <w:szCs w:val="20"/>
                <w:color w:val="auto"/>
              </w:rPr>
            </w:pPr>
            <w:r>
              <w:rPr>
                <w:rFonts w:ascii="Arial" w:cs="Arial" w:eastAsia="Arial" w:hAnsi="Arial"/>
                <w:sz w:val="13"/>
                <w:szCs w:val="13"/>
                <w:color w:val="auto"/>
              </w:rPr>
              <w:t>12,237</w:t>
            </w:r>
          </w:p>
        </w:tc>
        <w:tc>
          <w:tcPr>
            <w:tcW w:w="1000" w:type="dxa"/>
            <w:vAlign w:val="bottom"/>
            <w:gridSpan w:val="2"/>
            <w:vMerge w:val="restart"/>
          </w:tcPr>
          <w:p>
            <w:pPr>
              <w:jc w:val="center"/>
              <w:ind w:left="34"/>
              <w:spacing w:after="0"/>
              <w:rPr>
                <w:sz w:val="20"/>
                <w:szCs w:val="20"/>
                <w:color w:val="auto"/>
              </w:rPr>
            </w:pPr>
            <w:r>
              <w:rPr>
                <w:rFonts w:ascii="Arial" w:cs="Arial" w:eastAsia="Arial" w:hAnsi="Arial"/>
                <w:sz w:val="13"/>
                <w:szCs w:val="13"/>
                <w:color w:val="auto"/>
              </w:rPr>
              <w:t>24,474</w:t>
            </w:r>
          </w:p>
        </w:tc>
        <w:tc>
          <w:tcPr>
            <w:tcW w:w="100" w:type="dxa"/>
            <w:vAlign w:val="bottom"/>
          </w:tcPr>
          <w:p>
            <w:pPr>
              <w:spacing w:after="0"/>
              <w:rPr>
                <w:sz w:val="8"/>
                <w:szCs w:val="8"/>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1420" w:type="dxa"/>
            <w:vAlign w:val="bottom"/>
            <w:gridSpan w:val="2"/>
            <w:vMerge w:val="restart"/>
          </w:tcPr>
          <w:p>
            <w:pPr>
              <w:jc w:val="center"/>
              <w:ind w:left="34"/>
              <w:spacing w:after="0"/>
              <w:rPr>
                <w:sz w:val="20"/>
                <w:szCs w:val="20"/>
                <w:color w:val="auto"/>
              </w:rPr>
            </w:pPr>
            <w:r>
              <w:rPr>
                <w:rFonts w:ascii="Arial" w:cs="Arial" w:eastAsia="Arial" w:hAnsi="Arial"/>
                <w:sz w:val="13"/>
                <w:szCs w:val="13"/>
                <w:color w:val="auto"/>
              </w:rPr>
              <w:t>1,133,269</w:t>
            </w:r>
          </w:p>
        </w:tc>
        <w:tc>
          <w:tcPr>
            <w:tcW w:w="0" w:type="dxa"/>
            <w:vAlign w:val="bottom"/>
          </w:tcPr>
          <w:p>
            <w:pPr>
              <w:spacing w:after="0"/>
              <w:rPr>
                <w:sz w:val="1"/>
                <w:szCs w:val="1"/>
                <w:color w:val="auto"/>
              </w:rPr>
            </w:pPr>
          </w:p>
        </w:tc>
      </w:tr>
      <w:tr>
        <w:trPr>
          <w:trHeight w:val="82"/>
        </w:trPr>
        <w:tc>
          <w:tcPr>
            <w:tcW w:w="1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280" w:type="dxa"/>
            <w:vAlign w:val="bottom"/>
            <w:vMerge w:val="restart"/>
          </w:tcPr>
          <w:p>
            <w:pPr>
              <w:ind w:left="20"/>
              <w:spacing w:after="0"/>
              <w:rPr>
                <w:sz w:val="20"/>
                <w:szCs w:val="20"/>
                <w:color w:val="auto"/>
              </w:rPr>
            </w:pPr>
            <w:r>
              <w:rPr>
                <w:rFonts w:ascii="Arial" w:cs="Arial" w:eastAsia="Arial" w:hAnsi="Arial"/>
                <w:sz w:val="9"/>
                <w:szCs w:val="9"/>
                <w:color w:val="auto"/>
              </w:rPr>
              <w:t>(g)</w:t>
            </w:r>
          </w:p>
        </w:tc>
        <w:tc>
          <w:tcPr>
            <w:tcW w:w="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rPr>
              <w:t>2/26/25</w:t>
            </w:r>
          </w:p>
        </w:tc>
        <w:tc>
          <w:tcPr>
            <w:tcW w:w="2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vMerge w:val="restart"/>
          </w:tcPr>
          <w:p>
            <w:pPr>
              <w:jc w:val="center"/>
              <w:ind w:left="7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3"/>
            <w:vMerge w:val="restart"/>
          </w:tcPr>
          <w:p>
            <w:pPr>
              <w:jc w:val="center"/>
              <w:ind w:right="180"/>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center"/>
              <w:ind w:right="14"/>
              <w:spacing w:after="0"/>
              <w:rPr>
                <w:sz w:val="20"/>
                <w:szCs w:val="20"/>
                <w:color w:val="auto"/>
              </w:rPr>
            </w:pPr>
            <w:r>
              <w:rPr>
                <w:rFonts w:ascii="Arial" w:cs="Arial" w:eastAsia="Arial" w:hAnsi="Arial"/>
                <w:sz w:val="13"/>
                <w:szCs w:val="13"/>
                <w:color w:val="auto"/>
              </w:rPr>
              <w:t>—</w:t>
            </w:r>
          </w:p>
        </w:tc>
        <w:tc>
          <w:tcPr>
            <w:tcW w:w="1020" w:type="dxa"/>
            <w:vAlign w:val="bottom"/>
            <w:gridSpan w:val="2"/>
            <w:vMerge w:val="restart"/>
          </w:tcPr>
          <w:p>
            <w:pPr>
              <w:jc w:val="center"/>
              <w:ind w:left="34"/>
              <w:spacing w:after="0"/>
              <w:rPr>
                <w:sz w:val="20"/>
                <w:szCs w:val="20"/>
                <w:color w:val="auto"/>
              </w:rPr>
            </w:pPr>
            <w:r>
              <w:rPr>
                <w:rFonts w:ascii="Arial" w:cs="Arial" w:eastAsia="Arial" w:hAnsi="Arial"/>
                <w:sz w:val="13"/>
                <w:szCs w:val="13"/>
                <w:color w:val="auto"/>
                <w:w w:val="98"/>
              </w:rPr>
              <w:t>6,118</w:t>
            </w:r>
          </w:p>
        </w:tc>
        <w:tc>
          <w:tcPr>
            <w:tcW w:w="880" w:type="dxa"/>
            <w:vAlign w:val="bottom"/>
            <w:gridSpan w:val="2"/>
            <w:vMerge w:val="restart"/>
          </w:tcPr>
          <w:p>
            <w:pPr>
              <w:jc w:val="center"/>
              <w:ind w:left="34"/>
              <w:spacing w:after="0"/>
              <w:rPr>
                <w:sz w:val="20"/>
                <w:szCs w:val="20"/>
                <w:color w:val="auto"/>
              </w:rPr>
            </w:pPr>
            <w:r>
              <w:rPr>
                <w:rFonts w:ascii="Arial" w:cs="Arial" w:eastAsia="Arial" w:hAnsi="Arial"/>
                <w:sz w:val="13"/>
                <w:szCs w:val="13"/>
                <w:color w:val="auto"/>
              </w:rPr>
              <w:t>12,237</w:t>
            </w:r>
          </w:p>
        </w:tc>
        <w:tc>
          <w:tcPr>
            <w:tcW w:w="1000" w:type="dxa"/>
            <w:vAlign w:val="bottom"/>
            <w:gridSpan w:val="2"/>
            <w:vMerge w:val="restart"/>
          </w:tcPr>
          <w:p>
            <w:pPr>
              <w:jc w:val="center"/>
              <w:ind w:left="34"/>
              <w:spacing w:after="0"/>
              <w:rPr>
                <w:sz w:val="20"/>
                <w:szCs w:val="20"/>
                <w:color w:val="auto"/>
              </w:rPr>
            </w:pPr>
            <w:r>
              <w:rPr>
                <w:rFonts w:ascii="Arial" w:cs="Arial" w:eastAsia="Arial" w:hAnsi="Arial"/>
                <w:sz w:val="13"/>
                <w:szCs w:val="13"/>
                <w:color w:val="auto"/>
              </w:rPr>
              <w:t>24,474</w:t>
            </w:r>
          </w:p>
        </w:tc>
        <w:tc>
          <w:tcPr>
            <w:tcW w:w="100" w:type="dxa"/>
            <w:vAlign w:val="bottom"/>
          </w:tcPr>
          <w:p>
            <w:pPr>
              <w:spacing w:after="0"/>
              <w:rPr>
                <w:sz w:val="8"/>
                <w:szCs w:val="8"/>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1420" w:type="dxa"/>
            <w:vAlign w:val="bottom"/>
            <w:gridSpan w:val="2"/>
            <w:vMerge w:val="restart"/>
          </w:tcPr>
          <w:p>
            <w:pPr>
              <w:jc w:val="center"/>
              <w:ind w:left="34"/>
              <w:spacing w:after="0"/>
              <w:rPr>
                <w:sz w:val="20"/>
                <w:szCs w:val="20"/>
                <w:color w:val="auto"/>
              </w:rPr>
            </w:pPr>
            <w:r>
              <w:rPr>
                <w:rFonts w:ascii="Arial" w:cs="Arial" w:eastAsia="Arial" w:hAnsi="Arial"/>
                <w:sz w:val="13"/>
                <w:szCs w:val="13"/>
                <w:color w:val="auto"/>
              </w:rPr>
              <w:t>1,133,269</w:t>
            </w:r>
          </w:p>
        </w:tc>
        <w:tc>
          <w:tcPr>
            <w:tcW w:w="0" w:type="dxa"/>
            <w:vAlign w:val="bottom"/>
          </w:tcPr>
          <w:p>
            <w:pPr>
              <w:spacing w:after="0"/>
              <w:rPr>
                <w:sz w:val="1"/>
                <w:szCs w:val="1"/>
                <w:color w:val="auto"/>
              </w:rPr>
            </w:pPr>
          </w:p>
        </w:tc>
      </w:tr>
      <w:tr>
        <w:trPr>
          <w:trHeight w:val="82"/>
        </w:trPr>
        <w:tc>
          <w:tcPr>
            <w:tcW w:w="1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280" w:type="dxa"/>
            <w:vAlign w:val="bottom"/>
            <w:vMerge w:val="restart"/>
          </w:tcPr>
          <w:p>
            <w:pPr>
              <w:ind w:left="20"/>
              <w:spacing w:after="0"/>
              <w:rPr>
                <w:sz w:val="20"/>
                <w:szCs w:val="20"/>
                <w:color w:val="auto"/>
              </w:rPr>
            </w:pPr>
            <w:r>
              <w:rPr>
                <w:rFonts w:ascii="Arial" w:cs="Arial" w:eastAsia="Arial" w:hAnsi="Arial"/>
                <w:sz w:val="9"/>
                <w:szCs w:val="9"/>
                <w:color w:val="auto"/>
              </w:rPr>
              <w:t>(j)</w:t>
            </w:r>
          </w:p>
        </w:tc>
        <w:tc>
          <w:tcPr>
            <w:tcW w:w="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rPr>
              <w:t>4/22/25</w:t>
            </w:r>
          </w:p>
        </w:tc>
        <w:tc>
          <w:tcPr>
            <w:tcW w:w="2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vMerge w:val="restart"/>
          </w:tcPr>
          <w:p>
            <w:pPr>
              <w:jc w:val="center"/>
              <w:ind w:left="7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3"/>
            <w:vMerge w:val="restart"/>
          </w:tcPr>
          <w:p>
            <w:pPr>
              <w:jc w:val="center"/>
              <w:ind w:right="180"/>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center"/>
              <w:ind w:right="1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8"/>
                <w:szCs w:val="8"/>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880" w:type="dxa"/>
            <w:vAlign w:val="bottom"/>
            <w:gridSpan w:val="2"/>
            <w:vMerge w:val="restart"/>
          </w:tcPr>
          <w:p>
            <w:pPr>
              <w:jc w:val="center"/>
              <w:ind w:left="34"/>
              <w:spacing w:after="0"/>
              <w:rPr>
                <w:sz w:val="20"/>
                <w:szCs w:val="20"/>
                <w:color w:val="auto"/>
              </w:rPr>
            </w:pPr>
            <w:r>
              <w:rPr>
                <w:rFonts w:ascii="Arial" w:cs="Arial" w:eastAsia="Arial" w:hAnsi="Arial"/>
                <w:sz w:val="13"/>
                <w:szCs w:val="13"/>
                <w:color w:val="auto"/>
              </w:rPr>
              <w:t>5,031</w:t>
            </w:r>
          </w:p>
        </w:tc>
        <w:tc>
          <w:tcPr>
            <w:tcW w:w="1000" w:type="dxa"/>
            <w:vAlign w:val="bottom"/>
            <w:gridSpan w:val="2"/>
            <w:vMerge w:val="restart"/>
          </w:tcPr>
          <w:p>
            <w:pPr>
              <w:jc w:val="center"/>
              <w:ind w:left="34"/>
              <w:spacing w:after="0"/>
              <w:rPr>
                <w:sz w:val="20"/>
                <w:szCs w:val="20"/>
                <w:color w:val="auto"/>
              </w:rPr>
            </w:pPr>
            <w:r>
              <w:rPr>
                <w:rFonts w:ascii="Arial" w:cs="Arial" w:eastAsia="Arial" w:hAnsi="Arial"/>
                <w:sz w:val="13"/>
                <w:szCs w:val="13"/>
                <w:color w:val="auto"/>
              </w:rPr>
              <w:t>5,031</w:t>
            </w:r>
          </w:p>
        </w:tc>
        <w:tc>
          <w:tcPr>
            <w:tcW w:w="100" w:type="dxa"/>
            <w:vAlign w:val="bottom"/>
          </w:tcPr>
          <w:p>
            <w:pPr>
              <w:spacing w:after="0"/>
              <w:rPr>
                <w:sz w:val="8"/>
                <w:szCs w:val="8"/>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1420" w:type="dxa"/>
            <w:vAlign w:val="bottom"/>
            <w:gridSpan w:val="2"/>
            <w:vMerge w:val="restart"/>
          </w:tcPr>
          <w:p>
            <w:pPr>
              <w:jc w:val="center"/>
              <w:ind w:left="34"/>
              <w:spacing w:after="0"/>
              <w:rPr>
                <w:sz w:val="20"/>
                <w:szCs w:val="20"/>
                <w:color w:val="auto"/>
              </w:rPr>
            </w:pPr>
            <w:r>
              <w:rPr>
                <w:rFonts w:ascii="Arial" w:cs="Arial" w:eastAsia="Arial" w:hAnsi="Arial"/>
                <w:sz w:val="13"/>
                <w:szCs w:val="13"/>
                <w:color w:val="auto"/>
              </w:rPr>
              <w:t>525,085</w:t>
            </w:r>
          </w:p>
        </w:tc>
        <w:tc>
          <w:tcPr>
            <w:tcW w:w="0" w:type="dxa"/>
            <w:vAlign w:val="bottom"/>
          </w:tcPr>
          <w:p>
            <w:pPr>
              <w:spacing w:after="0"/>
              <w:rPr>
                <w:sz w:val="1"/>
                <w:szCs w:val="1"/>
                <w:color w:val="auto"/>
              </w:rPr>
            </w:pPr>
          </w:p>
        </w:tc>
      </w:tr>
      <w:tr>
        <w:trPr>
          <w:trHeight w:val="88"/>
        </w:trPr>
        <w:tc>
          <w:tcPr>
            <w:tcW w:w="1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84"/>
        </w:trPr>
        <w:tc>
          <w:tcPr>
            <w:tcW w:w="1960" w:type="dxa"/>
            <w:vAlign w:val="bottom"/>
            <w:gridSpan w:val="2"/>
            <w:shd w:val="clear" w:color="auto" w:fill="E6E7E7"/>
          </w:tcPr>
          <w:p>
            <w:pPr>
              <w:ind w:left="20"/>
              <w:spacing w:after="0"/>
              <w:rPr>
                <w:sz w:val="20"/>
                <w:szCs w:val="20"/>
                <w:color w:val="auto"/>
              </w:rPr>
            </w:pPr>
            <w:r>
              <w:rPr>
                <w:rFonts w:ascii="Arial" w:cs="Arial" w:eastAsia="Arial" w:hAnsi="Arial"/>
                <w:sz w:val="13"/>
                <w:szCs w:val="13"/>
                <w:b w:val="1"/>
                <w:bCs w:val="1"/>
                <w:color w:val="520B90"/>
              </w:rPr>
              <w:t>Steven J. Moskowitz</w:t>
            </w:r>
          </w:p>
        </w:tc>
        <w:tc>
          <w:tcPr>
            <w:tcW w:w="100" w:type="dxa"/>
            <w:vAlign w:val="bottom"/>
          </w:tcPr>
          <w:p>
            <w:pPr>
              <w:spacing w:after="0"/>
              <w:rPr>
                <w:sz w:val="24"/>
                <w:szCs w:val="24"/>
                <w:color w:val="auto"/>
              </w:rPr>
            </w:pPr>
          </w:p>
        </w:tc>
        <w:tc>
          <w:tcPr>
            <w:tcW w:w="78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w:t>
            </w:r>
          </w:p>
        </w:tc>
        <w:tc>
          <w:tcPr>
            <w:tcW w:w="280" w:type="dxa"/>
            <w:vAlign w:val="bottom"/>
            <w:shd w:val="clear" w:color="auto" w:fill="E6E7E7"/>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shd w:val="clear" w:color="auto" w:fill="E6E7E7"/>
          </w:tcPr>
          <w:p>
            <w:pPr>
              <w:jc w:val="center"/>
              <w:ind w:left="54"/>
              <w:spacing w:after="0"/>
              <w:rPr>
                <w:sz w:val="20"/>
                <w:szCs w:val="20"/>
                <w:color w:val="auto"/>
              </w:rPr>
            </w:pPr>
            <w:r>
              <w:rPr>
                <w:rFonts w:ascii="Arial" w:cs="Arial" w:eastAsia="Arial" w:hAnsi="Arial"/>
                <w:sz w:val="13"/>
                <w:szCs w:val="13"/>
                <w:color w:val="auto"/>
              </w:rPr>
              <w:t>176,918</w:t>
            </w:r>
          </w:p>
        </w:tc>
        <w:tc>
          <w:tcPr>
            <w:tcW w:w="120" w:type="dxa"/>
            <w:vAlign w:val="bottom"/>
            <w:shd w:val="clear" w:color="auto" w:fill="E6E7E7"/>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353,836</w:t>
            </w:r>
          </w:p>
        </w:tc>
        <w:tc>
          <w:tcPr>
            <w:tcW w:w="100" w:type="dxa"/>
            <w:vAlign w:val="bottom"/>
          </w:tcPr>
          <w:p>
            <w:pPr>
              <w:spacing w:after="0"/>
              <w:rPr>
                <w:sz w:val="24"/>
                <w:szCs w:val="24"/>
                <w:color w:val="auto"/>
              </w:rPr>
            </w:pPr>
          </w:p>
        </w:tc>
        <w:tc>
          <w:tcPr>
            <w:tcW w:w="80" w:type="dxa"/>
            <w:vAlign w:val="bottom"/>
            <w:shd w:val="clear" w:color="auto" w:fill="E6E7E7"/>
          </w:tcPr>
          <w:p>
            <w:pPr>
              <w:spacing w:after="0"/>
              <w:rPr>
                <w:sz w:val="24"/>
                <w:szCs w:val="24"/>
                <w:color w:val="auto"/>
              </w:rPr>
            </w:pPr>
          </w:p>
        </w:tc>
        <w:tc>
          <w:tcPr>
            <w:tcW w:w="82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619,212</w:t>
            </w:r>
          </w:p>
        </w:tc>
        <w:tc>
          <w:tcPr>
            <w:tcW w:w="100" w:type="dxa"/>
            <w:vAlign w:val="bottom"/>
          </w:tcPr>
          <w:p>
            <w:pPr>
              <w:spacing w:after="0"/>
              <w:rPr>
                <w:sz w:val="24"/>
                <w:szCs w:val="24"/>
                <w:color w:val="auto"/>
              </w:rPr>
            </w:pPr>
          </w:p>
        </w:tc>
        <w:tc>
          <w:tcPr>
            <w:tcW w:w="920" w:type="dxa"/>
            <w:vAlign w:val="bottom"/>
            <w:shd w:val="clear" w:color="auto" w:fill="E6E7E7"/>
          </w:tcPr>
          <w:p>
            <w:pPr>
              <w:jc w:val="center"/>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24"/>
                <w:szCs w:val="24"/>
                <w:color w:val="auto"/>
              </w:rPr>
            </w:pPr>
          </w:p>
        </w:tc>
        <w:tc>
          <w:tcPr>
            <w:tcW w:w="78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90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8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320" w:type="dxa"/>
            <w:vAlign w:val="bottom"/>
            <w:shd w:val="clear" w:color="auto" w:fill="E6E7E7"/>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79"/>
        </w:trPr>
        <w:tc>
          <w:tcPr>
            <w:tcW w:w="1120" w:type="dxa"/>
            <w:vAlign w:val="bottom"/>
            <w:shd w:val="clear" w:color="auto" w:fill="E6E7E7"/>
          </w:tcPr>
          <w:p>
            <w:pPr>
              <w:spacing w:after="0"/>
              <w:rPr>
                <w:sz w:val="15"/>
                <w:szCs w:val="15"/>
                <w:color w:val="auto"/>
              </w:rPr>
            </w:pPr>
          </w:p>
        </w:tc>
        <w:tc>
          <w:tcPr>
            <w:tcW w:w="840" w:type="dxa"/>
            <w:vAlign w:val="bottom"/>
            <w:shd w:val="clear" w:color="auto" w:fill="E6E7E7"/>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2/26/25</w:t>
            </w:r>
          </w:p>
        </w:tc>
        <w:tc>
          <w:tcPr>
            <w:tcW w:w="280" w:type="dxa"/>
            <w:vAlign w:val="bottom"/>
            <w:vMerge w:val="restart"/>
            <w:shd w:val="clear" w:color="auto" w:fill="E6E7E7"/>
          </w:tcPr>
          <w:p>
            <w:pPr>
              <w:ind w:left="20"/>
              <w:spacing w:after="0"/>
              <w:rPr>
                <w:sz w:val="20"/>
                <w:szCs w:val="20"/>
                <w:color w:val="auto"/>
              </w:rPr>
            </w:pPr>
            <w:r>
              <w:rPr>
                <w:rFonts w:ascii="Arial" w:cs="Arial" w:eastAsia="Arial" w:hAnsi="Arial"/>
                <w:sz w:val="9"/>
                <w:szCs w:val="9"/>
                <w:color w:val="auto"/>
              </w:rPr>
              <w:t>(f)</w:t>
            </w:r>
          </w:p>
        </w:tc>
        <w:tc>
          <w:tcPr>
            <w:tcW w:w="80" w:type="dxa"/>
            <w:vAlign w:val="bottom"/>
          </w:tcPr>
          <w:p>
            <w:pPr>
              <w:spacing w:after="0"/>
              <w:rPr>
                <w:sz w:val="15"/>
                <w:szCs w:val="15"/>
                <w:color w:val="auto"/>
              </w:rPr>
            </w:pPr>
          </w:p>
        </w:tc>
        <w:tc>
          <w:tcPr>
            <w:tcW w:w="800" w:type="dxa"/>
            <w:vAlign w:val="bottom"/>
            <w:shd w:val="clear" w:color="auto" w:fill="E6E7E7"/>
          </w:tcPr>
          <w:p>
            <w:pPr>
              <w:jc w:val="center"/>
              <w:ind w:left="74"/>
              <w:spacing w:after="0"/>
              <w:rPr>
                <w:sz w:val="20"/>
                <w:szCs w:val="20"/>
                <w:color w:val="auto"/>
              </w:rPr>
            </w:pPr>
            <w:r>
              <w:rPr>
                <w:rFonts w:ascii="Arial" w:cs="Arial" w:eastAsia="Arial" w:hAnsi="Arial"/>
                <w:sz w:val="13"/>
                <w:szCs w:val="13"/>
                <w:color w:val="auto"/>
              </w:rPr>
              <w:t>—</w:t>
            </w:r>
          </w:p>
        </w:tc>
        <w:tc>
          <w:tcPr>
            <w:tcW w:w="120" w:type="dxa"/>
            <w:vAlign w:val="bottom"/>
            <w:shd w:val="clear" w:color="auto" w:fill="E6E7E7"/>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shd w:val="clear" w:color="auto" w:fill="E6E7E7"/>
          </w:tcPr>
          <w:p>
            <w:pPr>
              <w:spacing w:after="0"/>
              <w:rPr>
                <w:sz w:val="15"/>
                <w:szCs w:val="15"/>
                <w:color w:val="auto"/>
              </w:rPr>
            </w:pPr>
          </w:p>
        </w:tc>
        <w:tc>
          <w:tcPr>
            <w:tcW w:w="820" w:type="dxa"/>
            <w:vAlign w:val="bottom"/>
            <w:shd w:val="clear" w:color="auto" w:fill="E6E7E7"/>
          </w:tcPr>
          <w:p>
            <w:pPr>
              <w:jc w:val="center"/>
              <w:ind w:right="1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20" w:type="dxa"/>
            <w:vAlign w:val="bottom"/>
            <w:shd w:val="clear" w:color="auto" w:fill="E6E7E7"/>
          </w:tcPr>
          <w:p>
            <w:pPr>
              <w:jc w:val="center"/>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5"/>
                <w:szCs w:val="15"/>
                <w:color w:val="auto"/>
              </w:rPr>
            </w:pPr>
          </w:p>
        </w:tc>
        <w:tc>
          <w:tcPr>
            <w:tcW w:w="78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0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54,239</w:t>
            </w:r>
          </w:p>
        </w:tc>
        <w:tc>
          <w:tcPr>
            <w:tcW w:w="100" w:type="dxa"/>
            <w:vAlign w:val="bottom"/>
          </w:tcPr>
          <w:p>
            <w:pPr>
              <w:spacing w:after="0"/>
              <w:rPr>
                <w:sz w:val="15"/>
                <w:szCs w:val="15"/>
                <w:color w:val="auto"/>
              </w:rPr>
            </w:pPr>
          </w:p>
        </w:tc>
        <w:tc>
          <w:tcPr>
            <w:tcW w:w="132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4,969,920</w:t>
            </w:r>
          </w:p>
        </w:tc>
        <w:tc>
          <w:tcPr>
            <w:tcW w:w="0" w:type="dxa"/>
            <w:vAlign w:val="bottom"/>
          </w:tcPr>
          <w:p>
            <w:pPr>
              <w:spacing w:after="0"/>
              <w:rPr>
                <w:sz w:val="1"/>
                <w:szCs w:val="1"/>
                <w:color w:val="auto"/>
              </w:rPr>
            </w:pPr>
          </w:p>
        </w:tc>
      </w:tr>
      <w:tr>
        <w:trPr>
          <w:trHeight w:val="103"/>
        </w:trPr>
        <w:tc>
          <w:tcPr>
            <w:tcW w:w="1120" w:type="dxa"/>
            <w:vAlign w:val="bottom"/>
            <w:shd w:val="clear" w:color="auto" w:fill="E6E7E7"/>
          </w:tcPr>
          <w:p>
            <w:pPr>
              <w:spacing w:after="0"/>
              <w:rPr>
                <w:sz w:val="8"/>
                <w:szCs w:val="8"/>
                <w:color w:val="auto"/>
              </w:rPr>
            </w:pPr>
          </w:p>
        </w:tc>
        <w:tc>
          <w:tcPr>
            <w:tcW w:w="84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2/26/25</w:t>
            </w:r>
          </w:p>
        </w:tc>
        <w:tc>
          <w:tcPr>
            <w:tcW w:w="280" w:type="dxa"/>
            <w:vAlign w:val="bottom"/>
            <w:vMerge w:val="continue"/>
            <w:shd w:val="clear" w:color="auto" w:fill="E6E7E7"/>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vMerge w:val="restart"/>
            <w:shd w:val="clear" w:color="auto" w:fill="E6E7E7"/>
          </w:tcPr>
          <w:p>
            <w:pPr>
              <w:jc w:val="center"/>
              <w:ind w:left="74"/>
              <w:spacing w:after="0"/>
              <w:rPr>
                <w:sz w:val="20"/>
                <w:szCs w:val="20"/>
                <w:color w:val="auto"/>
              </w:rPr>
            </w:pPr>
            <w:r>
              <w:rPr>
                <w:rFonts w:ascii="Arial" w:cs="Arial" w:eastAsia="Arial" w:hAnsi="Arial"/>
                <w:sz w:val="13"/>
                <w:szCs w:val="13"/>
                <w:color w:val="auto"/>
              </w:rPr>
              <w:t>—</w:t>
            </w:r>
          </w:p>
        </w:tc>
        <w:tc>
          <w:tcPr>
            <w:tcW w:w="12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8"/>
                <w:szCs w:val="8"/>
                <w:color w:val="auto"/>
              </w:rPr>
            </w:pPr>
          </w:p>
        </w:tc>
        <w:tc>
          <w:tcPr>
            <w:tcW w:w="80" w:type="dxa"/>
            <w:vAlign w:val="bottom"/>
            <w:shd w:val="clear" w:color="auto" w:fill="E6E7E7"/>
          </w:tcPr>
          <w:p>
            <w:pPr>
              <w:spacing w:after="0"/>
              <w:rPr>
                <w:sz w:val="8"/>
                <w:szCs w:val="8"/>
                <w:color w:val="auto"/>
              </w:rPr>
            </w:pPr>
          </w:p>
        </w:tc>
        <w:tc>
          <w:tcPr>
            <w:tcW w:w="820" w:type="dxa"/>
            <w:vAlign w:val="bottom"/>
            <w:vMerge w:val="restart"/>
            <w:shd w:val="clear" w:color="auto" w:fill="E6E7E7"/>
          </w:tcPr>
          <w:p>
            <w:pPr>
              <w:jc w:val="center"/>
              <w:ind w:right="1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8"/>
                <w:szCs w:val="8"/>
                <w:color w:val="auto"/>
              </w:rPr>
            </w:pPr>
          </w:p>
        </w:tc>
        <w:tc>
          <w:tcPr>
            <w:tcW w:w="92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20,339</w:t>
            </w:r>
          </w:p>
        </w:tc>
        <w:tc>
          <w:tcPr>
            <w:tcW w:w="100" w:type="dxa"/>
            <w:vAlign w:val="bottom"/>
          </w:tcPr>
          <w:p>
            <w:pPr>
              <w:spacing w:after="0"/>
              <w:rPr>
                <w:sz w:val="8"/>
                <w:szCs w:val="8"/>
                <w:color w:val="auto"/>
              </w:rPr>
            </w:pPr>
          </w:p>
        </w:tc>
        <w:tc>
          <w:tcPr>
            <w:tcW w:w="78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40,679</w:t>
            </w:r>
          </w:p>
        </w:tc>
        <w:tc>
          <w:tcPr>
            <w:tcW w:w="100" w:type="dxa"/>
            <w:vAlign w:val="bottom"/>
          </w:tcPr>
          <w:p>
            <w:pPr>
              <w:spacing w:after="0"/>
              <w:rPr>
                <w:sz w:val="8"/>
                <w:szCs w:val="8"/>
                <w:color w:val="auto"/>
              </w:rPr>
            </w:pPr>
          </w:p>
        </w:tc>
        <w:tc>
          <w:tcPr>
            <w:tcW w:w="90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81,358</w:t>
            </w:r>
          </w:p>
        </w:tc>
        <w:tc>
          <w:tcPr>
            <w:tcW w:w="100" w:type="dxa"/>
            <w:vAlign w:val="bottom"/>
          </w:tcPr>
          <w:p>
            <w:pPr>
              <w:spacing w:after="0"/>
              <w:rPr>
                <w:sz w:val="8"/>
                <w:szCs w:val="8"/>
                <w:color w:val="auto"/>
              </w:rPr>
            </w:pPr>
          </w:p>
        </w:tc>
        <w:tc>
          <w:tcPr>
            <w:tcW w:w="78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8"/>
                <w:szCs w:val="8"/>
                <w:color w:val="auto"/>
              </w:rPr>
            </w:pPr>
          </w:p>
        </w:tc>
        <w:tc>
          <w:tcPr>
            <w:tcW w:w="132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3,767,282</w:t>
            </w:r>
          </w:p>
        </w:tc>
        <w:tc>
          <w:tcPr>
            <w:tcW w:w="0" w:type="dxa"/>
            <w:vAlign w:val="bottom"/>
          </w:tcPr>
          <w:p>
            <w:pPr>
              <w:spacing w:after="0"/>
              <w:rPr>
                <w:sz w:val="1"/>
                <w:szCs w:val="1"/>
                <w:color w:val="auto"/>
              </w:rPr>
            </w:pPr>
          </w:p>
        </w:tc>
      </w:tr>
      <w:tr>
        <w:trPr>
          <w:trHeight w:val="82"/>
        </w:trPr>
        <w:tc>
          <w:tcPr>
            <w:tcW w:w="1120" w:type="dxa"/>
            <w:vAlign w:val="bottom"/>
            <w:shd w:val="clear" w:color="auto" w:fill="E6E7E7"/>
          </w:tcPr>
          <w:p>
            <w:pPr>
              <w:spacing w:after="0"/>
              <w:rPr>
                <w:sz w:val="7"/>
                <w:szCs w:val="7"/>
                <w:color w:val="auto"/>
              </w:rPr>
            </w:pPr>
          </w:p>
        </w:tc>
        <w:tc>
          <w:tcPr>
            <w:tcW w:w="840" w:type="dxa"/>
            <w:vAlign w:val="bottom"/>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shd w:val="clear" w:color="auto" w:fill="E6E7E7"/>
          </w:tcPr>
          <w:p>
            <w:pPr>
              <w:spacing w:after="0"/>
              <w:rPr>
                <w:sz w:val="7"/>
                <w:szCs w:val="7"/>
                <w:color w:val="auto"/>
              </w:rPr>
            </w:pPr>
          </w:p>
        </w:tc>
        <w:tc>
          <w:tcPr>
            <w:tcW w:w="280" w:type="dxa"/>
            <w:vAlign w:val="bottom"/>
            <w:vMerge w:val="restart"/>
            <w:shd w:val="clear" w:color="auto" w:fill="E6E7E7"/>
          </w:tcPr>
          <w:p>
            <w:pPr>
              <w:ind w:left="20"/>
              <w:spacing w:after="0"/>
              <w:rPr>
                <w:sz w:val="20"/>
                <w:szCs w:val="20"/>
                <w:color w:val="auto"/>
              </w:rPr>
            </w:pPr>
            <w:r>
              <w:rPr>
                <w:rFonts w:ascii="Arial" w:cs="Arial" w:eastAsia="Arial" w:hAnsi="Arial"/>
                <w:sz w:val="9"/>
                <w:szCs w:val="9"/>
                <w:color w:val="auto"/>
              </w:rPr>
              <w:t>(g)</w:t>
            </w:r>
          </w:p>
        </w:tc>
        <w:tc>
          <w:tcPr>
            <w:tcW w:w="80" w:type="dxa"/>
            <w:vAlign w:val="bottom"/>
          </w:tcPr>
          <w:p>
            <w:pPr>
              <w:spacing w:after="0"/>
              <w:rPr>
                <w:sz w:val="7"/>
                <w:szCs w:val="7"/>
                <w:color w:val="auto"/>
              </w:rPr>
            </w:pPr>
          </w:p>
        </w:tc>
        <w:tc>
          <w:tcPr>
            <w:tcW w:w="800" w:type="dxa"/>
            <w:vAlign w:val="bottom"/>
            <w:vMerge w:val="continue"/>
            <w:shd w:val="clear" w:color="auto" w:fill="E6E7E7"/>
          </w:tcPr>
          <w:p>
            <w:pPr>
              <w:spacing w:after="0"/>
              <w:rPr>
                <w:sz w:val="7"/>
                <w:szCs w:val="7"/>
                <w:color w:val="auto"/>
              </w:rPr>
            </w:pPr>
          </w:p>
        </w:tc>
        <w:tc>
          <w:tcPr>
            <w:tcW w:w="120" w:type="dxa"/>
            <w:vAlign w:val="bottom"/>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vMerge w:val="continue"/>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shd w:val="clear" w:color="auto" w:fill="E6E7E7"/>
          </w:tcPr>
          <w:p>
            <w:pPr>
              <w:spacing w:after="0"/>
              <w:rPr>
                <w:sz w:val="7"/>
                <w:szCs w:val="7"/>
                <w:color w:val="auto"/>
              </w:rPr>
            </w:pPr>
          </w:p>
        </w:tc>
        <w:tc>
          <w:tcPr>
            <w:tcW w:w="820" w:type="dxa"/>
            <w:vAlign w:val="bottom"/>
            <w:vMerge w:val="continue"/>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vMerge w:val="continue"/>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vMerge w:val="continue"/>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shd w:val="clear" w:color="auto" w:fill="E6E7E7"/>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vMerge w:val="continue"/>
            <w:shd w:val="clear" w:color="auto" w:fill="E6E7E7"/>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1120" w:type="dxa"/>
            <w:vAlign w:val="bottom"/>
            <w:shd w:val="clear" w:color="auto" w:fill="E6E7E7"/>
          </w:tcPr>
          <w:p>
            <w:pPr>
              <w:spacing w:after="0"/>
              <w:rPr>
                <w:sz w:val="8"/>
                <w:szCs w:val="8"/>
                <w:color w:val="auto"/>
              </w:rPr>
            </w:pPr>
          </w:p>
        </w:tc>
        <w:tc>
          <w:tcPr>
            <w:tcW w:w="84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2/26/25</w:t>
            </w:r>
          </w:p>
        </w:tc>
        <w:tc>
          <w:tcPr>
            <w:tcW w:w="280" w:type="dxa"/>
            <w:vAlign w:val="bottom"/>
            <w:vMerge w:val="continue"/>
            <w:shd w:val="clear" w:color="auto" w:fill="E6E7E7"/>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vMerge w:val="restart"/>
            <w:shd w:val="clear" w:color="auto" w:fill="E6E7E7"/>
          </w:tcPr>
          <w:p>
            <w:pPr>
              <w:jc w:val="center"/>
              <w:ind w:left="74"/>
              <w:spacing w:after="0"/>
              <w:rPr>
                <w:sz w:val="20"/>
                <w:szCs w:val="20"/>
                <w:color w:val="auto"/>
              </w:rPr>
            </w:pPr>
            <w:r>
              <w:rPr>
                <w:rFonts w:ascii="Arial" w:cs="Arial" w:eastAsia="Arial" w:hAnsi="Arial"/>
                <w:sz w:val="13"/>
                <w:szCs w:val="13"/>
                <w:color w:val="auto"/>
              </w:rPr>
              <w:t>—</w:t>
            </w:r>
          </w:p>
        </w:tc>
        <w:tc>
          <w:tcPr>
            <w:tcW w:w="12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8"/>
                <w:szCs w:val="8"/>
                <w:color w:val="auto"/>
              </w:rPr>
            </w:pPr>
          </w:p>
        </w:tc>
        <w:tc>
          <w:tcPr>
            <w:tcW w:w="80" w:type="dxa"/>
            <w:vAlign w:val="bottom"/>
            <w:shd w:val="clear" w:color="auto" w:fill="E6E7E7"/>
          </w:tcPr>
          <w:p>
            <w:pPr>
              <w:spacing w:after="0"/>
              <w:rPr>
                <w:sz w:val="8"/>
                <w:szCs w:val="8"/>
                <w:color w:val="auto"/>
              </w:rPr>
            </w:pPr>
          </w:p>
        </w:tc>
        <w:tc>
          <w:tcPr>
            <w:tcW w:w="820" w:type="dxa"/>
            <w:vAlign w:val="bottom"/>
            <w:vMerge w:val="restart"/>
            <w:shd w:val="clear" w:color="auto" w:fill="E6E7E7"/>
          </w:tcPr>
          <w:p>
            <w:pPr>
              <w:jc w:val="center"/>
              <w:ind w:right="1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8"/>
                <w:szCs w:val="8"/>
                <w:color w:val="auto"/>
              </w:rPr>
            </w:pPr>
          </w:p>
        </w:tc>
        <w:tc>
          <w:tcPr>
            <w:tcW w:w="92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20,339</w:t>
            </w:r>
          </w:p>
        </w:tc>
        <w:tc>
          <w:tcPr>
            <w:tcW w:w="100" w:type="dxa"/>
            <w:vAlign w:val="bottom"/>
          </w:tcPr>
          <w:p>
            <w:pPr>
              <w:spacing w:after="0"/>
              <w:rPr>
                <w:sz w:val="8"/>
                <w:szCs w:val="8"/>
                <w:color w:val="auto"/>
              </w:rPr>
            </w:pPr>
          </w:p>
        </w:tc>
        <w:tc>
          <w:tcPr>
            <w:tcW w:w="78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40,679</w:t>
            </w:r>
          </w:p>
        </w:tc>
        <w:tc>
          <w:tcPr>
            <w:tcW w:w="100" w:type="dxa"/>
            <w:vAlign w:val="bottom"/>
          </w:tcPr>
          <w:p>
            <w:pPr>
              <w:spacing w:after="0"/>
              <w:rPr>
                <w:sz w:val="8"/>
                <w:szCs w:val="8"/>
                <w:color w:val="auto"/>
              </w:rPr>
            </w:pPr>
          </w:p>
        </w:tc>
        <w:tc>
          <w:tcPr>
            <w:tcW w:w="90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81,358</w:t>
            </w:r>
          </w:p>
        </w:tc>
        <w:tc>
          <w:tcPr>
            <w:tcW w:w="100" w:type="dxa"/>
            <w:vAlign w:val="bottom"/>
          </w:tcPr>
          <w:p>
            <w:pPr>
              <w:spacing w:after="0"/>
              <w:rPr>
                <w:sz w:val="8"/>
                <w:szCs w:val="8"/>
                <w:color w:val="auto"/>
              </w:rPr>
            </w:pPr>
          </w:p>
        </w:tc>
        <w:tc>
          <w:tcPr>
            <w:tcW w:w="78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8"/>
                <w:szCs w:val="8"/>
                <w:color w:val="auto"/>
              </w:rPr>
            </w:pPr>
          </w:p>
        </w:tc>
        <w:tc>
          <w:tcPr>
            <w:tcW w:w="132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3,767,282</w:t>
            </w:r>
          </w:p>
        </w:tc>
        <w:tc>
          <w:tcPr>
            <w:tcW w:w="0" w:type="dxa"/>
            <w:vAlign w:val="bottom"/>
          </w:tcPr>
          <w:p>
            <w:pPr>
              <w:spacing w:after="0"/>
              <w:rPr>
                <w:sz w:val="1"/>
                <w:szCs w:val="1"/>
                <w:color w:val="auto"/>
              </w:rPr>
            </w:pPr>
          </w:p>
        </w:tc>
      </w:tr>
      <w:tr>
        <w:trPr>
          <w:trHeight w:val="93"/>
        </w:trPr>
        <w:tc>
          <w:tcPr>
            <w:tcW w:w="1120" w:type="dxa"/>
            <w:vAlign w:val="bottom"/>
            <w:shd w:val="clear" w:color="auto" w:fill="E6E7E7"/>
          </w:tcPr>
          <w:p>
            <w:pPr>
              <w:spacing w:after="0"/>
              <w:rPr>
                <w:sz w:val="8"/>
                <w:szCs w:val="8"/>
                <w:color w:val="auto"/>
              </w:rPr>
            </w:pPr>
          </w:p>
        </w:tc>
        <w:tc>
          <w:tcPr>
            <w:tcW w:w="84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vMerge w:val="continue"/>
            <w:shd w:val="clear" w:color="auto" w:fill="E6E7E7"/>
          </w:tcPr>
          <w:p>
            <w:pPr>
              <w:spacing w:after="0"/>
              <w:rPr>
                <w:sz w:val="8"/>
                <w:szCs w:val="8"/>
                <w:color w:val="auto"/>
              </w:rPr>
            </w:pPr>
          </w:p>
        </w:tc>
        <w:tc>
          <w:tcPr>
            <w:tcW w:w="280" w:type="dxa"/>
            <w:vAlign w:val="bottom"/>
            <w:shd w:val="clear" w:color="auto" w:fill="E6E7E7"/>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vMerge w:val="continue"/>
            <w:shd w:val="clear" w:color="auto" w:fill="E6E7E7"/>
          </w:tcPr>
          <w:p>
            <w:pPr>
              <w:spacing w:after="0"/>
              <w:rPr>
                <w:sz w:val="8"/>
                <w:szCs w:val="8"/>
                <w:color w:val="auto"/>
              </w:rPr>
            </w:pPr>
          </w:p>
        </w:tc>
        <w:tc>
          <w:tcPr>
            <w:tcW w:w="12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continue"/>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shd w:val="clear" w:color="auto" w:fill="E6E7E7"/>
          </w:tcPr>
          <w:p>
            <w:pPr>
              <w:spacing w:after="0"/>
              <w:rPr>
                <w:sz w:val="8"/>
                <w:szCs w:val="8"/>
                <w:color w:val="auto"/>
              </w:rPr>
            </w:pPr>
          </w:p>
        </w:tc>
        <w:tc>
          <w:tcPr>
            <w:tcW w:w="820" w:type="dxa"/>
            <w:vAlign w:val="bottom"/>
            <w:vMerge w:val="continue"/>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vMerge w:val="continue"/>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vMerge w:val="continue"/>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vMerge w:val="continue"/>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vMerge w:val="continue"/>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1320" w:type="dxa"/>
            <w:vAlign w:val="bottom"/>
            <w:vMerge w:val="continue"/>
            <w:shd w:val="clear" w:color="auto" w:fill="E6E7E7"/>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1120" w:type="dxa"/>
            <w:vAlign w:val="bottom"/>
            <w:tcBorders>
              <w:bottom w:val="single" w:sz="8" w:color="auto"/>
            </w:tcBorders>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320" w:right="20" w:hanging="314"/>
        <w:spacing w:after="0" w:line="266" w:lineRule="auto"/>
        <w:tabs>
          <w:tab w:leader="none" w:pos="310" w:val="left"/>
        </w:tabs>
        <w:numPr>
          <w:ilvl w:val="0"/>
          <w:numId w:val="139"/>
        </w:numPr>
        <w:rPr>
          <w:rFonts w:ascii="Arial" w:cs="Arial" w:eastAsia="Arial" w:hAnsi="Arial"/>
          <w:sz w:val="13"/>
          <w:szCs w:val="13"/>
          <w:color w:val="auto"/>
        </w:rPr>
      </w:pPr>
      <w:r>
        <w:rPr>
          <w:rFonts w:ascii="Arial" w:cs="Arial" w:eastAsia="Arial" w:hAnsi="Arial"/>
          <w:sz w:val="13"/>
          <w:szCs w:val="13"/>
          <w:color w:val="auto"/>
        </w:rPr>
        <w:t>Represents the estimated payouts that the NEOs could earn under the AIP as described in the CD&amp;A above. The annual incentive opportunities for each NEO, calculated as a percentage of the NEO's base salary, are provided above in "IV. Executive Compensation—Compensation Discussion and Analysis—Executive Compensation Elements—Short-Term Incentives— Annual Incentives." For Mr. Hillabrant and Mr. Patel, such amounts are shown on a prorated basis, reflective of their partial year participation in the 2025 AIP. The actual annual incentives paid to each NEO under the AIP are disclosed above in the "Non-Equity Incentive Plan Compensation" column of the table at "IV. Executive Compensation—Summary Compensation Table."</w:t>
      </w:r>
    </w:p>
    <w:p>
      <w:pPr>
        <w:spacing w:after="0" w:line="171" w:lineRule="exact"/>
        <w:rPr>
          <w:rFonts w:ascii="Arial" w:cs="Arial" w:eastAsia="Arial" w:hAnsi="Arial"/>
          <w:sz w:val="13"/>
          <w:szCs w:val="13"/>
          <w:color w:val="auto"/>
        </w:rPr>
      </w:pPr>
    </w:p>
    <w:p>
      <w:pPr>
        <w:ind w:left="320" w:hanging="314"/>
        <w:spacing w:after="0" w:line="274" w:lineRule="auto"/>
        <w:tabs>
          <w:tab w:leader="none" w:pos="310" w:val="left"/>
        </w:tabs>
        <w:numPr>
          <w:ilvl w:val="0"/>
          <w:numId w:val="139"/>
        </w:numPr>
        <w:rPr>
          <w:rFonts w:ascii="Arial" w:cs="Arial" w:eastAsia="Arial" w:hAnsi="Arial"/>
          <w:sz w:val="13"/>
          <w:szCs w:val="13"/>
          <w:color w:val="auto"/>
        </w:rPr>
      </w:pPr>
      <w:r>
        <w:rPr>
          <w:rFonts w:ascii="Arial" w:cs="Arial" w:eastAsia="Arial" w:hAnsi="Arial"/>
          <w:sz w:val="13"/>
          <w:szCs w:val="13"/>
          <w:color w:val="auto"/>
        </w:rPr>
        <w:t>The grant listed for each NEO represents the Performance RSU component of the 2025 LTIs, as well as Transformation RSUs granted to certain NEOs in 2025. All such grants were made pursuant to the 2022 LTIP. Details regarding vesting parameters generally applicable to these RSUs are provided above in "IV. Executive Compensation—Compensation Discussion and Analysis—Executive Compensation Elements—Long-Term Incentives."</w:t>
      </w:r>
    </w:p>
    <w:p>
      <w:pPr>
        <w:spacing w:after="0" w:line="348"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ectPr>
          <w:pgSz w:w="11900" w:h="16838" w:orient="portrait"/>
          <w:cols w:equalWidth="0" w:num="1">
            <w:col w:w="11240"/>
          </w:cols>
          <w:pgMar w:left="320" w:top="1391" w:right="339"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1" w:right="339" w:bottom="1440" w:gutter="0" w:footer="0" w:header="0"/>
          <w:type w:val="continuous"/>
        </w:sectPr>
      </w:pPr>
    </w:p>
    <w:bookmarkStart w:id="64" w:name="page65"/>
    <w:bookmarkEnd w:id="64"/>
    <w:p>
      <w:pPr>
        <w:ind w:left="314" w:right="420" w:hanging="314"/>
        <w:spacing w:after="0" w:line="269" w:lineRule="auto"/>
        <w:tabs>
          <w:tab w:leader="none" w:pos="310" w:val="left"/>
        </w:tabs>
        <w:numPr>
          <w:ilvl w:val="0"/>
          <w:numId w:val="140"/>
        </w:numPr>
        <w:rPr>
          <w:rFonts w:ascii="Arial" w:cs="Arial" w:eastAsia="Arial" w:hAnsi="Arial"/>
          <w:sz w:val="13"/>
          <w:szCs w:val="13"/>
          <w:color w:val="auto"/>
        </w:rPr>
      </w:pPr>
      <w:r>
        <w:rPr>
          <w:rFonts w:ascii="Arial" w:cs="Arial" w:eastAsia="Arial" w:hAnsi="Arial"/>
          <w:sz w:val="13"/>
          <w:szCs w:val="13"/>
          <w:color w:val="auto"/>
        </w:rPr>
        <w:t>The grant listed for each NEO represents the Time RSU component of the 2025 LTIs. All such grants were made pursuant to the 2022 LTIP. Details regarding vesting parameters generally applicable to these RSUs are provided above in "IV. Executive Compensation—Compensation Discussion and Analysis—Executive Compensation Elements—Long-Term Incentives."</w:t>
      </w:r>
    </w:p>
    <w:p>
      <w:pPr>
        <w:ind w:left="314" w:hanging="314"/>
        <w:spacing w:after="0" w:line="267" w:lineRule="auto"/>
        <w:tabs>
          <w:tab w:leader="none" w:pos="304" w:val="left"/>
        </w:tabs>
        <w:numPr>
          <w:ilvl w:val="0"/>
          <w:numId w:val="140"/>
        </w:numPr>
        <w:rPr>
          <w:rFonts w:ascii="Arial" w:cs="Arial" w:eastAsia="Arial" w:hAnsi="Arial"/>
          <w:sz w:val="13"/>
          <w:szCs w:val="13"/>
          <w:color w:val="auto"/>
        </w:rPr>
      </w:pPr>
      <w:r>
        <w:rPr>
          <w:rFonts w:ascii="Arial" w:cs="Arial" w:eastAsia="Arial" w:hAnsi="Arial"/>
          <w:sz w:val="13"/>
          <w:szCs w:val="13"/>
          <w:color w:val="auto"/>
        </w:rPr>
        <w:t>Represents the grant date fair value of the RSUs granted to the NEOs in 2025 calculated in accordance with ASC 718, the aggregate of which is included above in the "Stock Awards" column of the table at "IV. Executive Compensation—Summary Compensation Table." Generally, the grant date fair value is the amount we would expense in our financial statements over the award's vesting schedule. For information on the valuation assumptions utilized for accounting purposes, see notes 2 and 12 to the consolidated financial statements in our 2025 Form 10-K.</w:t>
      </w:r>
    </w:p>
    <w:p>
      <w:pPr>
        <w:spacing w:after="0" w:line="9" w:lineRule="exact"/>
        <w:rPr>
          <w:rFonts w:ascii="Arial" w:cs="Arial" w:eastAsia="Arial" w:hAnsi="Arial"/>
          <w:sz w:val="13"/>
          <w:szCs w:val="13"/>
          <w:color w:val="auto"/>
        </w:rPr>
      </w:pPr>
    </w:p>
    <w:p>
      <w:pPr>
        <w:ind w:left="314" w:right="60" w:hanging="314"/>
        <w:spacing w:after="0" w:line="286" w:lineRule="auto"/>
        <w:tabs>
          <w:tab w:leader="none" w:pos="304" w:val="left"/>
        </w:tabs>
        <w:numPr>
          <w:ilvl w:val="0"/>
          <w:numId w:val="140"/>
        </w:numPr>
        <w:rPr>
          <w:rFonts w:ascii="Arial" w:cs="Arial" w:eastAsia="Arial" w:hAnsi="Arial"/>
          <w:sz w:val="13"/>
          <w:szCs w:val="13"/>
          <w:color w:val="auto"/>
        </w:rPr>
      </w:pPr>
      <w:r>
        <w:rPr>
          <w:rFonts w:ascii="Arial" w:cs="Arial" w:eastAsia="Arial" w:hAnsi="Arial"/>
          <w:sz w:val="13"/>
          <w:szCs w:val="13"/>
          <w:color w:val="auto"/>
        </w:rPr>
        <w:t>Represents Make-Whole RSUs granted to Mr. Hillabrant in connection with his commencement of employment on September 15, 2025. Such RSUs vest annually, in one-third increments on each of the first, second and third anniversaries of the date of grant, subject to Mr. Hillabrant's continued employment through each applicable vesting date.</w:t>
      </w:r>
    </w:p>
    <w:p>
      <w:pPr>
        <w:spacing w:after="0" w:line="1" w:lineRule="exact"/>
        <w:rPr>
          <w:rFonts w:ascii="Arial" w:cs="Arial" w:eastAsia="Arial" w:hAnsi="Arial"/>
          <w:sz w:val="13"/>
          <w:szCs w:val="13"/>
          <w:color w:val="auto"/>
        </w:rPr>
      </w:pPr>
    </w:p>
    <w:p>
      <w:pPr>
        <w:ind w:left="314" w:hanging="314"/>
        <w:spacing w:after="0"/>
        <w:tabs>
          <w:tab w:leader="none" w:pos="314" w:val="left"/>
        </w:tabs>
        <w:numPr>
          <w:ilvl w:val="0"/>
          <w:numId w:val="140"/>
        </w:numPr>
        <w:rPr>
          <w:rFonts w:ascii="Arial" w:cs="Arial" w:eastAsia="Arial" w:hAnsi="Arial"/>
          <w:sz w:val="13"/>
          <w:szCs w:val="13"/>
          <w:color w:val="auto"/>
        </w:rPr>
      </w:pPr>
      <w:r>
        <w:rPr>
          <w:rFonts w:ascii="Arial" w:cs="Arial" w:eastAsia="Arial" w:hAnsi="Arial"/>
          <w:sz w:val="13"/>
          <w:szCs w:val="13"/>
          <w:color w:val="auto"/>
        </w:rPr>
        <w:t>The grant listed for each NEO represents the Average ROIC Performance RSUs.</w:t>
      </w:r>
    </w:p>
    <w:p>
      <w:pPr>
        <w:spacing w:after="0" w:line="35" w:lineRule="exact"/>
        <w:rPr>
          <w:rFonts w:ascii="Arial" w:cs="Arial" w:eastAsia="Arial" w:hAnsi="Arial"/>
          <w:sz w:val="13"/>
          <w:szCs w:val="13"/>
          <w:color w:val="auto"/>
        </w:rPr>
      </w:pPr>
    </w:p>
    <w:p>
      <w:pPr>
        <w:ind w:left="314" w:hanging="314"/>
        <w:spacing w:after="0"/>
        <w:tabs>
          <w:tab w:leader="none" w:pos="314" w:val="left"/>
        </w:tabs>
        <w:numPr>
          <w:ilvl w:val="0"/>
          <w:numId w:val="140"/>
        </w:numPr>
        <w:rPr>
          <w:rFonts w:ascii="Arial" w:cs="Arial" w:eastAsia="Arial" w:hAnsi="Arial"/>
          <w:sz w:val="13"/>
          <w:szCs w:val="13"/>
          <w:color w:val="auto"/>
        </w:rPr>
      </w:pPr>
      <w:r>
        <w:rPr>
          <w:rFonts w:ascii="Arial" w:cs="Arial" w:eastAsia="Arial" w:hAnsi="Arial"/>
          <w:sz w:val="13"/>
          <w:szCs w:val="13"/>
          <w:color w:val="auto"/>
        </w:rPr>
        <w:t>The grant listed for each NEO represents the Cumulative AFFO Performance RSUs.</w:t>
      </w:r>
    </w:p>
    <w:p>
      <w:pPr>
        <w:spacing w:after="0" w:line="49" w:lineRule="exact"/>
        <w:rPr>
          <w:rFonts w:ascii="Arial" w:cs="Arial" w:eastAsia="Arial" w:hAnsi="Arial"/>
          <w:sz w:val="13"/>
          <w:szCs w:val="13"/>
          <w:color w:val="auto"/>
        </w:rPr>
      </w:pPr>
    </w:p>
    <w:p>
      <w:pPr>
        <w:ind w:left="314" w:right="100" w:hanging="314"/>
        <w:spacing w:after="0" w:line="286" w:lineRule="auto"/>
        <w:tabs>
          <w:tab w:leader="none" w:pos="304" w:val="left"/>
        </w:tabs>
        <w:numPr>
          <w:ilvl w:val="0"/>
          <w:numId w:val="140"/>
        </w:numPr>
        <w:rPr>
          <w:rFonts w:ascii="Arial" w:cs="Arial" w:eastAsia="Arial" w:hAnsi="Arial"/>
          <w:sz w:val="13"/>
          <w:szCs w:val="13"/>
          <w:color w:val="auto"/>
        </w:rPr>
      </w:pPr>
      <w:r>
        <w:rPr>
          <w:rFonts w:ascii="Arial" w:cs="Arial" w:eastAsia="Arial" w:hAnsi="Arial"/>
          <w:sz w:val="13"/>
          <w:szCs w:val="13"/>
          <w:color w:val="auto"/>
        </w:rPr>
        <w:t>Represents Make-Whole RSUs granted to Mr. Patel in connection with his commencement of employment on April 1, 2025. Such RSUs vest annually, in one-third increments on April 10 of each of 2026, 2027 and 2028, subject to Mr. Patel's continued employment through each applicable vesting date.</w:t>
      </w:r>
    </w:p>
    <w:p>
      <w:pPr>
        <w:spacing w:after="0" w:line="1" w:lineRule="exact"/>
        <w:rPr>
          <w:rFonts w:ascii="Arial" w:cs="Arial" w:eastAsia="Arial" w:hAnsi="Arial"/>
          <w:sz w:val="13"/>
          <w:szCs w:val="13"/>
          <w:color w:val="auto"/>
        </w:rPr>
      </w:pPr>
    </w:p>
    <w:p>
      <w:pPr>
        <w:ind w:left="314" w:right="620" w:hanging="314"/>
        <w:spacing w:after="0" w:line="276" w:lineRule="auto"/>
        <w:tabs>
          <w:tab w:leader="none" w:pos="312" w:val="left"/>
        </w:tabs>
        <w:numPr>
          <w:ilvl w:val="0"/>
          <w:numId w:val="140"/>
        </w:numPr>
        <w:rPr>
          <w:rFonts w:ascii="Arial" w:cs="Arial" w:eastAsia="Arial" w:hAnsi="Arial"/>
          <w:sz w:val="13"/>
          <w:szCs w:val="13"/>
          <w:color w:val="auto"/>
        </w:rPr>
      </w:pPr>
      <w:r>
        <w:rPr>
          <w:rFonts w:ascii="Arial" w:cs="Arial" w:eastAsia="Arial" w:hAnsi="Arial"/>
          <w:sz w:val="13"/>
          <w:szCs w:val="13"/>
          <w:color w:val="auto"/>
        </w:rPr>
        <w:t>Represents Promotion RSUs granted to Mr. Schlanger in connection with his appointment as Interim President &amp; CEO. Such RSUs vest in full on March 23, 2026, subject to Mr. Schlanger's continued employment through such vesting date.</w:t>
      </w:r>
    </w:p>
    <w:p>
      <w:pPr>
        <w:ind w:left="314" w:right="240" w:hanging="314"/>
        <w:spacing w:after="0" w:line="274" w:lineRule="auto"/>
        <w:tabs>
          <w:tab w:leader="none" w:pos="312" w:val="left"/>
        </w:tabs>
        <w:numPr>
          <w:ilvl w:val="0"/>
          <w:numId w:val="140"/>
        </w:numPr>
        <w:rPr>
          <w:rFonts w:ascii="Arial" w:cs="Arial" w:eastAsia="Arial" w:hAnsi="Arial"/>
          <w:sz w:val="13"/>
          <w:szCs w:val="13"/>
          <w:color w:val="auto"/>
        </w:rPr>
      </w:pPr>
      <w:r>
        <w:rPr>
          <w:rFonts w:ascii="Arial" w:cs="Arial" w:eastAsia="Arial" w:hAnsi="Arial"/>
          <w:sz w:val="13"/>
          <w:szCs w:val="13"/>
          <w:color w:val="auto"/>
        </w:rPr>
        <w:t>Represents Transformation RSUs, the vesting of which is contingent on the closing of the Strategic Fiber Transaction. For Mr. Schlanger, 50% of such Transformation RSUs vest upon closing of the Strategic Fiber Transaction and the remaining 50% vest on the six-month anniversary of such closing, subject to Mr. Schlanger's continued employment through each applicable vesting date. Transformation RSUs granted to other NEOs vest in full upon the closing of the Strategic Fiber Transaction.</w:t>
      </w:r>
    </w:p>
    <w:p>
      <w:pPr>
        <w:spacing w:after="0" w:line="348" w:lineRule="exact"/>
        <w:rPr>
          <w:sz w:val="20"/>
          <w:szCs w:val="20"/>
          <w:color w:val="auto"/>
        </w:rPr>
      </w:pPr>
    </w:p>
    <w:p>
      <w:pPr>
        <w:ind w:left="3854"/>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ind w:right="-13"/>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7160260" cy="4191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34"/>
          </w:cols>
          <w:pgMar w:left="326" w:top="1278"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Outstanding Equity Awards at 2025 Fiscal Year-End</w:t>
      </w:r>
    </w:p>
    <w:p>
      <w:pPr>
        <w:spacing w:after="0" w:line="166" w:lineRule="exact"/>
        <w:rPr>
          <w:sz w:val="20"/>
          <w:szCs w:val="20"/>
          <w:color w:val="auto"/>
        </w:rPr>
      </w:pPr>
    </w:p>
    <w:p>
      <w:pPr>
        <w:ind w:right="40"/>
        <w:spacing w:after="0" w:line="274" w:lineRule="auto"/>
        <w:rPr>
          <w:sz w:val="20"/>
          <w:szCs w:val="20"/>
          <w:color w:val="auto"/>
        </w:rPr>
      </w:pPr>
      <w:r>
        <w:rPr>
          <w:rFonts w:ascii="Arial" w:cs="Arial" w:eastAsia="Arial" w:hAnsi="Arial"/>
          <w:sz w:val="18"/>
          <w:szCs w:val="18"/>
          <w:color w:val="auto"/>
        </w:rPr>
        <w:t>The following table and footnotes related thereto provide information regarding equity-based awards outstanding as of December 31, 2025, for each NEO. As of December 31, 2025, and the Record Date, none of the NEOs had any outstanding stock options.</w:t>
      </w:r>
    </w:p>
    <w:p>
      <w:pPr>
        <w:sectPr>
          <w:pgSz w:w="11900" w:h="16838" w:orient="portrait"/>
          <w:cols w:equalWidth="0" w:num="1">
            <w:col w:w="11140"/>
          </w:cols>
          <w:pgMar w:left="320" w:top="139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520B90"/>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30480</wp:posOffset>
            </wp:positionV>
            <wp:extent cx="1697355" cy="68897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697355" cy="6889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Borders>
              <w:bottom w:val="single" w:sz="8" w:color="520B90"/>
            </w:tcBorders>
          </w:tcPr>
          <w:p>
            <w:pPr>
              <w:spacing w:after="0"/>
              <w:rPr>
                <w:sz w:val="15"/>
                <w:szCs w:val="15"/>
                <w:color w:val="auto"/>
              </w:rPr>
            </w:pPr>
          </w:p>
        </w:tc>
        <w:tc>
          <w:tcPr>
            <w:tcW w:w="80" w:type="dxa"/>
            <w:vAlign w:val="bottom"/>
            <w:tcBorders>
              <w:bottom w:val="single" w:sz="8" w:color="520B90"/>
            </w:tcBorders>
          </w:tcPr>
          <w:p>
            <w:pPr>
              <w:spacing w:after="0"/>
              <w:rPr>
                <w:sz w:val="15"/>
                <w:szCs w:val="15"/>
                <w:color w:val="auto"/>
              </w:rPr>
            </w:pPr>
          </w:p>
        </w:tc>
        <w:tc>
          <w:tcPr>
            <w:tcW w:w="1400" w:type="dxa"/>
            <w:vAlign w:val="bottom"/>
            <w:tcBorders>
              <w:bottom w:val="single" w:sz="8" w:color="520B90"/>
            </w:tcBorders>
          </w:tcPr>
          <w:p>
            <w:pPr>
              <w:spacing w:after="0"/>
              <w:rPr>
                <w:sz w:val="15"/>
                <w:szCs w:val="15"/>
                <w:color w:val="auto"/>
              </w:rPr>
            </w:pPr>
          </w:p>
        </w:tc>
        <w:tc>
          <w:tcPr>
            <w:tcW w:w="2180" w:type="dxa"/>
            <w:vAlign w:val="bottom"/>
            <w:tcBorders>
              <w:bottom w:val="single" w:sz="8" w:color="520B90"/>
            </w:tcBorders>
            <w:gridSpan w:val="3"/>
          </w:tcPr>
          <w:p>
            <w:pPr>
              <w:ind w:left="20"/>
              <w:spacing w:after="0"/>
              <w:rPr>
                <w:sz w:val="20"/>
                <w:szCs w:val="20"/>
                <w:color w:val="auto"/>
              </w:rPr>
            </w:pPr>
            <w:r>
              <w:rPr>
                <w:rFonts w:ascii="Arial" w:cs="Arial" w:eastAsia="Arial" w:hAnsi="Arial"/>
                <w:sz w:val="13"/>
                <w:szCs w:val="13"/>
                <w:b w:val="1"/>
                <w:bCs w:val="1"/>
                <w:color w:val="520B90"/>
              </w:rPr>
              <w:t>Stock Awards</w:t>
            </w:r>
          </w:p>
        </w:tc>
        <w:tc>
          <w:tcPr>
            <w:tcW w:w="100" w:type="dxa"/>
            <w:vAlign w:val="bottom"/>
            <w:tcBorders>
              <w:bottom w:val="single" w:sz="8" w:color="520B90"/>
            </w:tcBorders>
          </w:tcPr>
          <w:p>
            <w:pPr>
              <w:spacing w:after="0"/>
              <w:rPr>
                <w:sz w:val="15"/>
                <w:szCs w:val="15"/>
                <w:color w:val="auto"/>
              </w:rPr>
            </w:pPr>
          </w:p>
        </w:tc>
        <w:tc>
          <w:tcPr>
            <w:tcW w:w="1720" w:type="dxa"/>
            <w:vAlign w:val="bottom"/>
            <w:tcBorders>
              <w:bottom w:val="single" w:sz="8" w:color="520B90"/>
            </w:tcBorders>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520B90"/>
            </w:tcBorders>
          </w:tcPr>
          <w:p>
            <w:pPr>
              <w:spacing w:after="0" w:line="20" w:lineRule="exact"/>
              <w:rPr>
                <w:sz w:val="1"/>
                <w:szCs w:val="1"/>
                <w:color w:val="auto"/>
              </w:rPr>
            </w:pPr>
          </w:p>
        </w:tc>
        <w:tc>
          <w:tcPr>
            <w:tcW w:w="80" w:type="dxa"/>
            <w:vAlign w:val="bottom"/>
            <w:tcBorders>
              <w:bottom w:val="single" w:sz="8" w:color="520B90"/>
            </w:tcBorders>
          </w:tcPr>
          <w:p>
            <w:pPr>
              <w:spacing w:after="0" w:line="20" w:lineRule="exact"/>
              <w:rPr>
                <w:sz w:val="1"/>
                <w:szCs w:val="1"/>
                <w:color w:val="auto"/>
              </w:rPr>
            </w:pPr>
          </w:p>
        </w:tc>
        <w:tc>
          <w:tcPr>
            <w:tcW w:w="1400" w:type="dxa"/>
            <w:vAlign w:val="bottom"/>
            <w:tcBorders>
              <w:bottom w:val="single" w:sz="8" w:color="520B90"/>
            </w:tcBorders>
          </w:tcPr>
          <w:p>
            <w:pPr>
              <w:spacing w:after="0" w:line="20" w:lineRule="exact"/>
              <w:rPr>
                <w:sz w:val="1"/>
                <w:szCs w:val="1"/>
                <w:color w:val="auto"/>
              </w:rPr>
            </w:pPr>
          </w:p>
        </w:tc>
        <w:tc>
          <w:tcPr>
            <w:tcW w:w="340" w:type="dxa"/>
            <w:vAlign w:val="bottom"/>
            <w:tcBorders>
              <w:bottom w:val="single" w:sz="8" w:color="520B90"/>
            </w:tcBorders>
          </w:tcPr>
          <w:p>
            <w:pPr>
              <w:spacing w:after="0" w:line="20" w:lineRule="exact"/>
              <w:rPr>
                <w:sz w:val="1"/>
                <w:szCs w:val="1"/>
                <w:color w:val="auto"/>
              </w:rPr>
            </w:pPr>
          </w:p>
        </w:tc>
        <w:tc>
          <w:tcPr>
            <w:tcW w:w="100" w:type="dxa"/>
            <w:vAlign w:val="bottom"/>
            <w:tcBorders>
              <w:bottom w:val="single" w:sz="8" w:color="520B90"/>
            </w:tcBorders>
          </w:tcPr>
          <w:p>
            <w:pPr>
              <w:spacing w:after="0" w:line="20" w:lineRule="exact"/>
              <w:rPr>
                <w:sz w:val="1"/>
                <w:szCs w:val="1"/>
                <w:color w:val="auto"/>
              </w:rPr>
            </w:pPr>
          </w:p>
        </w:tc>
        <w:tc>
          <w:tcPr>
            <w:tcW w:w="1740" w:type="dxa"/>
            <w:vAlign w:val="bottom"/>
            <w:tcBorders>
              <w:bottom w:val="single" w:sz="8" w:color="520B90"/>
            </w:tcBorders>
          </w:tcPr>
          <w:p>
            <w:pPr>
              <w:spacing w:after="0" w:line="20" w:lineRule="exact"/>
              <w:rPr>
                <w:sz w:val="1"/>
                <w:szCs w:val="1"/>
                <w:color w:val="auto"/>
              </w:rPr>
            </w:pPr>
          </w:p>
        </w:tc>
        <w:tc>
          <w:tcPr>
            <w:tcW w:w="100" w:type="dxa"/>
            <w:vAlign w:val="bottom"/>
            <w:tcBorders>
              <w:bottom w:val="single" w:sz="8" w:color="520B90"/>
            </w:tcBorders>
          </w:tcPr>
          <w:p>
            <w:pPr>
              <w:spacing w:after="0" w:line="20" w:lineRule="exact"/>
              <w:rPr>
                <w:sz w:val="1"/>
                <w:szCs w:val="1"/>
                <w:color w:val="auto"/>
              </w:rPr>
            </w:pPr>
          </w:p>
        </w:tc>
        <w:tc>
          <w:tcPr>
            <w:tcW w:w="1720" w:type="dxa"/>
            <w:vAlign w:val="bottom"/>
            <w:tcBorders>
              <w:bottom w:val="single" w:sz="8" w:color="520B9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6"/>
        </w:trPr>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20" w:type="dxa"/>
            <w:vAlign w:val="bottom"/>
          </w:tcPr>
          <w:p>
            <w:pPr>
              <w:jc w:val="center"/>
              <w:spacing w:after="0" w:line="126" w:lineRule="exact"/>
              <w:rPr>
                <w:sz w:val="20"/>
                <w:szCs w:val="20"/>
                <w:color w:val="auto"/>
              </w:rPr>
            </w:pPr>
            <w:r>
              <w:rPr>
                <w:rFonts w:ascii="Arial" w:cs="Arial" w:eastAsia="Arial" w:hAnsi="Arial"/>
                <w:sz w:val="13"/>
                <w:szCs w:val="13"/>
                <w:b w:val="1"/>
                <w:bCs w:val="1"/>
                <w:color w:val="520B90"/>
              </w:rPr>
              <w:t>Equity Incentive</w:t>
            </w:r>
          </w:p>
        </w:tc>
        <w:tc>
          <w:tcPr>
            <w:tcW w:w="0" w:type="dxa"/>
            <w:vAlign w:val="bottom"/>
          </w:tcPr>
          <w:p>
            <w:pPr>
              <w:spacing w:after="0"/>
              <w:rPr>
                <w:sz w:val="1"/>
                <w:szCs w:val="1"/>
                <w:color w:val="auto"/>
              </w:rPr>
            </w:pPr>
          </w:p>
        </w:tc>
      </w:tr>
      <w:tr>
        <w:trPr>
          <w:trHeight w:val="159"/>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vMerge w:val="restart"/>
          </w:tcPr>
          <w:p>
            <w:pPr>
              <w:jc w:val="center"/>
              <w:spacing w:after="0"/>
              <w:rPr>
                <w:sz w:val="20"/>
                <w:szCs w:val="20"/>
                <w:color w:val="auto"/>
              </w:rPr>
            </w:pPr>
            <w:r>
              <w:rPr>
                <w:rFonts w:ascii="Arial" w:cs="Arial" w:eastAsia="Arial" w:hAnsi="Arial"/>
                <w:sz w:val="13"/>
                <w:szCs w:val="13"/>
                <w:b w:val="1"/>
                <w:bCs w:val="1"/>
                <w:color w:val="520B90"/>
              </w:rPr>
              <w:t>Equity Incentive Plan</w:t>
            </w:r>
          </w:p>
        </w:tc>
        <w:tc>
          <w:tcPr>
            <w:tcW w:w="10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b w:val="1"/>
                <w:bCs w:val="1"/>
                <w:color w:val="520B90"/>
              </w:rPr>
              <w:t>Awards:</w:t>
            </w:r>
          </w:p>
        </w:tc>
        <w:tc>
          <w:tcPr>
            <w:tcW w:w="0" w:type="dxa"/>
            <w:vAlign w:val="bottom"/>
          </w:tcPr>
          <w:p>
            <w:pPr>
              <w:spacing w:after="0"/>
              <w:rPr>
                <w:sz w:val="1"/>
                <w:szCs w:val="1"/>
                <w:color w:val="auto"/>
              </w:rPr>
            </w:pPr>
          </w:p>
        </w:tc>
      </w:tr>
      <w:tr>
        <w:trPr>
          <w:trHeight w:val="26"/>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vMerge w:val="restart"/>
          </w:tcPr>
          <w:p>
            <w:pPr>
              <w:jc w:val="center"/>
              <w:spacing w:after="0"/>
              <w:rPr>
                <w:sz w:val="20"/>
                <w:szCs w:val="20"/>
                <w:color w:val="auto"/>
              </w:rPr>
            </w:pPr>
            <w:r>
              <w:rPr>
                <w:rFonts w:ascii="Arial" w:cs="Arial" w:eastAsia="Arial" w:hAnsi="Arial"/>
                <w:sz w:val="13"/>
                <w:szCs w:val="13"/>
                <w:b w:val="1"/>
                <w:bCs w:val="1"/>
                <w:color w:val="520B90"/>
              </w:rPr>
              <w:t>Market or Payout Plan</w:t>
            </w:r>
          </w:p>
        </w:tc>
        <w:tc>
          <w:tcPr>
            <w:tcW w:w="0" w:type="dxa"/>
            <w:vAlign w:val="bottom"/>
          </w:tcPr>
          <w:p>
            <w:pPr>
              <w:spacing w:after="0" w:line="20" w:lineRule="exact"/>
              <w:rPr>
                <w:sz w:val="1"/>
                <w:szCs w:val="1"/>
                <w:color w:val="auto"/>
              </w:rPr>
            </w:pPr>
          </w:p>
        </w:tc>
      </w:tr>
      <w:tr>
        <w:trPr>
          <w:trHeight w:val="132"/>
        </w:trPr>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vMerge w:val="restart"/>
          </w:tcPr>
          <w:p>
            <w:pPr>
              <w:jc w:val="center"/>
              <w:ind w:left="294"/>
              <w:spacing w:after="0"/>
              <w:rPr>
                <w:sz w:val="20"/>
                <w:szCs w:val="20"/>
                <w:color w:val="auto"/>
              </w:rPr>
            </w:pPr>
            <w:r>
              <w:rPr>
                <w:rFonts w:ascii="Arial" w:cs="Arial" w:eastAsia="Arial" w:hAnsi="Arial"/>
                <w:sz w:val="13"/>
                <w:szCs w:val="13"/>
                <w:b w:val="1"/>
                <w:bCs w:val="1"/>
                <w:color w:val="520B90"/>
                <w:w w:val="99"/>
              </w:rPr>
              <w:t>Market Value of</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tcPr>
          <w:p>
            <w:pPr>
              <w:jc w:val="center"/>
              <w:spacing w:after="0" w:line="132" w:lineRule="exact"/>
              <w:rPr>
                <w:sz w:val="20"/>
                <w:szCs w:val="20"/>
                <w:color w:val="auto"/>
              </w:rPr>
            </w:pPr>
            <w:r>
              <w:rPr>
                <w:rFonts w:ascii="Arial" w:cs="Arial" w:eastAsia="Arial" w:hAnsi="Arial"/>
                <w:sz w:val="13"/>
                <w:szCs w:val="13"/>
                <w:b w:val="1"/>
                <w:bCs w:val="1"/>
                <w:color w:val="520B90"/>
              </w:rPr>
              <w:t>Awards: Number of</w:t>
            </w:r>
          </w:p>
        </w:tc>
        <w:tc>
          <w:tcPr>
            <w:tcW w:w="100" w:type="dxa"/>
            <w:vAlign w:val="bottom"/>
          </w:tcPr>
          <w:p>
            <w:pPr>
              <w:spacing w:after="0"/>
              <w:rPr>
                <w:sz w:val="11"/>
                <w:szCs w:val="11"/>
                <w:color w:val="auto"/>
              </w:rPr>
            </w:pPr>
          </w:p>
        </w:tc>
        <w:tc>
          <w:tcPr>
            <w:tcW w:w="1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vMerge w:val="restart"/>
          </w:tcPr>
          <w:p>
            <w:pPr>
              <w:jc w:val="center"/>
              <w:spacing w:after="0"/>
              <w:rPr>
                <w:sz w:val="20"/>
                <w:szCs w:val="20"/>
                <w:color w:val="auto"/>
              </w:rPr>
            </w:pPr>
            <w:r>
              <w:rPr>
                <w:rFonts w:ascii="Arial" w:cs="Arial" w:eastAsia="Arial" w:hAnsi="Arial"/>
                <w:sz w:val="13"/>
                <w:szCs w:val="13"/>
                <w:b w:val="1"/>
                <w:bCs w:val="1"/>
                <w:color w:val="520B90"/>
              </w:rPr>
              <w:t>Number of Shares or</w:t>
            </w:r>
          </w:p>
        </w:tc>
        <w:tc>
          <w:tcPr>
            <w:tcW w:w="8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tcPr>
          <w:p>
            <w:pPr>
              <w:jc w:val="center"/>
              <w:spacing w:after="0" w:line="133" w:lineRule="exact"/>
              <w:rPr>
                <w:sz w:val="20"/>
                <w:szCs w:val="20"/>
                <w:color w:val="auto"/>
              </w:rPr>
            </w:pPr>
            <w:r>
              <w:rPr>
                <w:rFonts w:ascii="Arial" w:cs="Arial" w:eastAsia="Arial" w:hAnsi="Arial"/>
                <w:sz w:val="13"/>
                <w:szCs w:val="13"/>
                <w:b w:val="1"/>
                <w:bCs w:val="1"/>
                <w:color w:val="520B90"/>
              </w:rPr>
              <w:t>Unearned</w:t>
            </w:r>
          </w:p>
        </w:tc>
        <w:tc>
          <w:tcPr>
            <w:tcW w:w="100" w:type="dxa"/>
            <w:vAlign w:val="bottom"/>
          </w:tcPr>
          <w:p>
            <w:pPr>
              <w:spacing w:after="0"/>
              <w:rPr>
                <w:sz w:val="11"/>
                <w:szCs w:val="11"/>
                <w:color w:val="auto"/>
              </w:rPr>
            </w:pPr>
          </w:p>
        </w:tc>
        <w:tc>
          <w:tcPr>
            <w:tcW w:w="1720" w:type="dxa"/>
            <w:vAlign w:val="bottom"/>
          </w:tcPr>
          <w:p>
            <w:pPr>
              <w:jc w:val="center"/>
              <w:spacing w:after="0" w:line="133" w:lineRule="exact"/>
              <w:rPr>
                <w:sz w:val="20"/>
                <w:szCs w:val="20"/>
                <w:color w:val="auto"/>
              </w:rPr>
            </w:pPr>
            <w:r>
              <w:rPr>
                <w:rFonts w:ascii="Arial" w:cs="Arial" w:eastAsia="Arial" w:hAnsi="Arial"/>
                <w:sz w:val="13"/>
                <w:szCs w:val="13"/>
                <w:b w:val="1"/>
                <w:bCs w:val="1"/>
                <w:color w:val="520B90"/>
              </w:rPr>
              <w:t>Value of Unearned</w:t>
            </w:r>
          </w:p>
        </w:tc>
        <w:tc>
          <w:tcPr>
            <w:tcW w:w="0" w:type="dxa"/>
            <w:vAlign w:val="bottom"/>
          </w:tcPr>
          <w:p>
            <w:pPr>
              <w:spacing w:after="0"/>
              <w:rPr>
                <w:sz w:val="1"/>
                <w:szCs w:val="1"/>
                <w:color w:val="auto"/>
              </w:rPr>
            </w:pPr>
          </w:p>
        </w:tc>
      </w:tr>
      <w:tr>
        <w:trPr>
          <w:trHeight w:val="132"/>
        </w:trPr>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Pr>
          <w:p>
            <w:pPr>
              <w:jc w:val="center"/>
              <w:ind w:left="274"/>
              <w:spacing w:after="0" w:line="133" w:lineRule="exact"/>
              <w:rPr>
                <w:sz w:val="20"/>
                <w:szCs w:val="20"/>
                <w:color w:val="auto"/>
              </w:rPr>
            </w:pPr>
            <w:r>
              <w:rPr>
                <w:rFonts w:ascii="Arial" w:cs="Arial" w:eastAsia="Arial" w:hAnsi="Arial"/>
                <w:sz w:val="13"/>
                <w:szCs w:val="13"/>
                <w:b w:val="1"/>
                <w:bCs w:val="1"/>
                <w:color w:val="520B90"/>
              </w:rPr>
              <w:t>Shares or Units</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tcPr>
          <w:p>
            <w:pPr>
              <w:jc w:val="center"/>
              <w:spacing w:after="0" w:line="133" w:lineRule="exact"/>
              <w:rPr>
                <w:sz w:val="20"/>
                <w:szCs w:val="20"/>
                <w:color w:val="auto"/>
              </w:rPr>
            </w:pPr>
            <w:r>
              <w:rPr>
                <w:rFonts w:ascii="Arial" w:cs="Arial" w:eastAsia="Arial" w:hAnsi="Arial"/>
                <w:sz w:val="13"/>
                <w:szCs w:val="13"/>
                <w:b w:val="1"/>
                <w:bCs w:val="1"/>
                <w:color w:val="520B90"/>
              </w:rPr>
              <w:t>Shares, Units or Other</w:t>
            </w:r>
          </w:p>
        </w:tc>
        <w:tc>
          <w:tcPr>
            <w:tcW w:w="100" w:type="dxa"/>
            <w:vAlign w:val="bottom"/>
          </w:tcPr>
          <w:p>
            <w:pPr>
              <w:spacing w:after="0"/>
              <w:rPr>
                <w:sz w:val="11"/>
                <w:szCs w:val="11"/>
                <w:color w:val="auto"/>
              </w:rPr>
            </w:pPr>
          </w:p>
        </w:tc>
        <w:tc>
          <w:tcPr>
            <w:tcW w:w="1720" w:type="dxa"/>
            <w:vAlign w:val="bottom"/>
          </w:tcPr>
          <w:p>
            <w:pPr>
              <w:jc w:val="center"/>
              <w:spacing w:after="0" w:line="133" w:lineRule="exact"/>
              <w:rPr>
                <w:sz w:val="20"/>
                <w:szCs w:val="20"/>
                <w:color w:val="auto"/>
              </w:rPr>
            </w:pPr>
            <w:r>
              <w:rPr>
                <w:rFonts w:ascii="Arial" w:cs="Arial" w:eastAsia="Arial" w:hAnsi="Arial"/>
                <w:sz w:val="13"/>
                <w:szCs w:val="13"/>
                <w:b w:val="1"/>
                <w:bCs w:val="1"/>
                <w:color w:val="520B90"/>
              </w:rPr>
              <w:t>Shares, Units or Other</w:t>
            </w:r>
          </w:p>
        </w:tc>
        <w:tc>
          <w:tcPr>
            <w:tcW w:w="0" w:type="dxa"/>
            <w:vAlign w:val="bottom"/>
          </w:tcPr>
          <w:p>
            <w:pPr>
              <w:spacing w:after="0"/>
              <w:rPr>
                <w:sz w:val="1"/>
                <w:szCs w:val="1"/>
                <w:color w:val="auto"/>
              </w:rPr>
            </w:pPr>
          </w:p>
        </w:tc>
      </w:tr>
      <w:tr>
        <w:trPr>
          <w:trHeight w:val="132"/>
        </w:trPr>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tcPr>
          <w:p>
            <w:pPr>
              <w:jc w:val="center"/>
              <w:spacing w:after="0" w:line="133" w:lineRule="exact"/>
              <w:rPr>
                <w:sz w:val="20"/>
                <w:szCs w:val="20"/>
                <w:color w:val="auto"/>
              </w:rPr>
            </w:pPr>
            <w:r>
              <w:rPr>
                <w:rFonts w:ascii="Arial" w:cs="Arial" w:eastAsia="Arial" w:hAnsi="Arial"/>
                <w:sz w:val="13"/>
                <w:szCs w:val="13"/>
                <w:b w:val="1"/>
                <w:bCs w:val="1"/>
                <w:color w:val="520B90"/>
              </w:rPr>
              <w:t>Units of Stock That Have</w:t>
            </w:r>
          </w:p>
        </w:tc>
        <w:tc>
          <w:tcPr>
            <w:tcW w:w="80" w:type="dxa"/>
            <w:vAlign w:val="bottom"/>
          </w:tcPr>
          <w:p>
            <w:pPr>
              <w:spacing w:after="0"/>
              <w:rPr>
                <w:sz w:val="11"/>
                <w:szCs w:val="11"/>
                <w:color w:val="auto"/>
              </w:rPr>
            </w:pPr>
          </w:p>
        </w:tc>
        <w:tc>
          <w:tcPr>
            <w:tcW w:w="1400" w:type="dxa"/>
            <w:vAlign w:val="bottom"/>
          </w:tcPr>
          <w:p>
            <w:pPr>
              <w:jc w:val="center"/>
              <w:ind w:left="294"/>
              <w:spacing w:after="0" w:line="133" w:lineRule="exact"/>
              <w:rPr>
                <w:sz w:val="20"/>
                <w:szCs w:val="20"/>
                <w:color w:val="auto"/>
              </w:rPr>
            </w:pPr>
            <w:r>
              <w:rPr>
                <w:rFonts w:ascii="Arial" w:cs="Arial" w:eastAsia="Arial" w:hAnsi="Arial"/>
                <w:sz w:val="13"/>
                <w:szCs w:val="13"/>
                <w:b w:val="1"/>
                <w:bCs w:val="1"/>
                <w:color w:val="520B90"/>
              </w:rPr>
              <w:t>of Stock That</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tcPr>
          <w:p>
            <w:pPr>
              <w:jc w:val="center"/>
              <w:spacing w:after="0" w:line="133" w:lineRule="exact"/>
              <w:rPr>
                <w:sz w:val="20"/>
                <w:szCs w:val="20"/>
                <w:color w:val="auto"/>
              </w:rPr>
            </w:pPr>
            <w:r>
              <w:rPr>
                <w:rFonts w:ascii="Arial" w:cs="Arial" w:eastAsia="Arial" w:hAnsi="Arial"/>
                <w:sz w:val="13"/>
                <w:szCs w:val="13"/>
                <w:b w:val="1"/>
                <w:bCs w:val="1"/>
                <w:color w:val="520B90"/>
              </w:rPr>
              <w:t>Rights that</w:t>
            </w:r>
          </w:p>
        </w:tc>
        <w:tc>
          <w:tcPr>
            <w:tcW w:w="100" w:type="dxa"/>
            <w:vAlign w:val="bottom"/>
          </w:tcPr>
          <w:p>
            <w:pPr>
              <w:spacing w:after="0"/>
              <w:rPr>
                <w:sz w:val="11"/>
                <w:szCs w:val="11"/>
                <w:color w:val="auto"/>
              </w:rPr>
            </w:pPr>
          </w:p>
        </w:tc>
        <w:tc>
          <w:tcPr>
            <w:tcW w:w="1720" w:type="dxa"/>
            <w:vAlign w:val="bottom"/>
          </w:tcPr>
          <w:p>
            <w:pPr>
              <w:jc w:val="center"/>
              <w:spacing w:after="0" w:line="133" w:lineRule="exact"/>
              <w:rPr>
                <w:sz w:val="20"/>
                <w:szCs w:val="20"/>
                <w:color w:val="auto"/>
              </w:rPr>
            </w:pPr>
            <w:r>
              <w:rPr>
                <w:rFonts w:ascii="Arial" w:cs="Arial" w:eastAsia="Arial" w:hAnsi="Arial"/>
                <w:sz w:val="13"/>
                <w:szCs w:val="13"/>
                <w:b w:val="1"/>
                <w:bCs w:val="1"/>
                <w:color w:val="520B90"/>
              </w:rPr>
              <w:t>Rights that Have Not</w:t>
            </w:r>
          </w:p>
        </w:tc>
        <w:tc>
          <w:tcPr>
            <w:tcW w:w="0" w:type="dxa"/>
            <w:vAlign w:val="bottom"/>
          </w:tcPr>
          <w:p>
            <w:pPr>
              <w:spacing w:after="0"/>
              <w:rPr>
                <w:sz w:val="1"/>
                <w:szCs w:val="1"/>
                <w:color w:val="auto"/>
              </w:rPr>
            </w:pPr>
          </w:p>
        </w:tc>
      </w:tr>
      <w:tr>
        <w:trPr>
          <w:trHeight w:val="132"/>
        </w:trPr>
        <w:tc>
          <w:tcPr>
            <w:tcW w:w="126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520B90"/>
              </w:rPr>
              <w:t>Grant Date</w:t>
            </w:r>
          </w:p>
        </w:tc>
        <w:tc>
          <w:tcPr>
            <w:tcW w:w="1620" w:type="dxa"/>
            <w:vAlign w:val="bottom"/>
          </w:tcPr>
          <w:p>
            <w:pPr>
              <w:jc w:val="center"/>
              <w:spacing w:after="0" w:line="133" w:lineRule="exact"/>
              <w:rPr>
                <w:sz w:val="20"/>
                <w:szCs w:val="20"/>
                <w:color w:val="auto"/>
              </w:rPr>
            </w:pPr>
            <w:r>
              <w:rPr>
                <w:rFonts w:ascii="Arial" w:cs="Arial" w:eastAsia="Arial" w:hAnsi="Arial"/>
                <w:sz w:val="13"/>
                <w:szCs w:val="13"/>
                <w:b w:val="1"/>
                <w:bCs w:val="1"/>
                <w:color w:val="520B90"/>
              </w:rPr>
              <w:t>Not Vested</w:t>
            </w:r>
          </w:p>
        </w:tc>
        <w:tc>
          <w:tcPr>
            <w:tcW w:w="80" w:type="dxa"/>
            <w:vAlign w:val="bottom"/>
          </w:tcPr>
          <w:p>
            <w:pPr>
              <w:spacing w:after="0"/>
              <w:rPr>
                <w:sz w:val="11"/>
                <w:szCs w:val="11"/>
                <w:color w:val="auto"/>
              </w:rPr>
            </w:pPr>
          </w:p>
        </w:tc>
        <w:tc>
          <w:tcPr>
            <w:tcW w:w="1400" w:type="dxa"/>
            <w:vAlign w:val="bottom"/>
          </w:tcPr>
          <w:p>
            <w:pPr>
              <w:jc w:val="center"/>
              <w:ind w:left="294"/>
              <w:spacing w:after="0" w:line="133" w:lineRule="exact"/>
              <w:rPr>
                <w:sz w:val="20"/>
                <w:szCs w:val="20"/>
                <w:color w:val="auto"/>
              </w:rPr>
            </w:pPr>
            <w:r>
              <w:rPr>
                <w:rFonts w:ascii="Arial" w:cs="Arial" w:eastAsia="Arial" w:hAnsi="Arial"/>
                <w:sz w:val="13"/>
                <w:szCs w:val="13"/>
                <w:b w:val="1"/>
                <w:bCs w:val="1"/>
                <w:color w:val="520B90"/>
              </w:rPr>
              <w:t>Have Not Vested</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tcPr>
          <w:p>
            <w:pPr>
              <w:jc w:val="center"/>
              <w:spacing w:after="0" w:line="133" w:lineRule="exact"/>
              <w:rPr>
                <w:sz w:val="20"/>
                <w:szCs w:val="20"/>
                <w:color w:val="auto"/>
              </w:rPr>
            </w:pPr>
            <w:r>
              <w:rPr>
                <w:rFonts w:ascii="Arial" w:cs="Arial" w:eastAsia="Arial" w:hAnsi="Arial"/>
                <w:sz w:val="13"/>
                <w:szCs w:val="13"/>
                <w:b w:val="1"/>
                <w:bCs w:val="1"/>
                <w:color w:val="520B90"/>
                <w:w w:val="99"/>
              </w:rPr>
              <w:t>Have Not Vested</w:t>
            </w:r>
          </w:p>
        </w:tc>
        <w:tc>
          <w:tcPr>
            <w:tcW w:w="100" w:type="dxa"/>
            <w:vAlign w:val="bottom"/>
          </w:tcPr>
          <w:p>
            <w:pPr>
              <w:spacing w:after="0"/>
              <w:rPr>
                <w:sz w:val="11"/>
                <w:szCs w:val="11"/>
                <w:color w:val="auto"/>
              </w:rPr>
            </w:pPr>
          </w:p>
        </w:tc>
        <w:tc>
          <w:tcPr>
            <w:tcW w:w="1720" w:type="dxa"/>
            <w:vAlign w:val="bottom"/>
          </w:tcPr>
          <w:p>
            <w:pPr>
              <w:jc w:val="center"/>
              <w:spacing w:after="0" w:line="133" w:lineRule="exact"/>
              <w:rPr>
                <w:sz w:val="20"/>
                <w:szCs w:val="20"/>
                <w:color w:val="auto"/>
              </w:rPr>
            </w:pPr>
            <w:r>
              <w:rPr>
                <w:rFonts w:ascii="Arial" w:cs="Arial" w:eastAsia="Arial" w:hAnsi="Arial"/>
                <w:sz w:val="13"/>
                <w:szCs w:val="13"/>
                <w:b w:val="1"/>
                <w:bCs w:val="1"/>
                <w:color w:val="520B90"/>
              </w:rPr>
              <w:t>Vested</w:t>
            </w:r>
          </w:p>
        </w:tc>
        <w:tc>
          <w:tcPr>
            <w:tcW w:w="0" w:type="dxa"/>
            <w:vAlign w:val="bottom"/>
          </w:tcPr>
          <w:p>
            <w:pPr>
              <w:spacing w:after="0"/>
              <w:rPr>
                <w:sz w:val="1"/>
                <w:szCs w:val="1"/>
                <w:color w:val="auto"/>
              </w:rPr>
            </w:pPr>
          </w:p>
        </w:tc>
      </w:tr>
      <w:tr>
        <w:trPr>
          <w:trHeight w:val="183"/>
        </w:trPr>
        <w:tc>
          <w:tcPr>
            <w:tcW w:w="1260" w:type="dxa"/>
            <w:vAlign w:val="bottom"/>
            <w:gridSpan w:val="2"/>
            <w:vMerge w:val="continue"/>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3"/>
                <w:szCs w:val="13"/>
                <w:b w:val="1"/>
                <w:bCs w:val="1"/>
                <w:color w:val="520B90"/>
              </w:rPr>
              <w:t>(#)(a)</w:t>
            </w:r>
          </w:p>
        </w:tc>
        <w:tc>
          <w:tcPr>
            <w:tcW w:w="80" w:type="dxa"/>
            <w:vAlign w:val="bottom"/>
          </w:tcPr>
          <w:p>
            <w:pPr>
              <w:spacing w:after="0"/>
              <w:rPr>
                <w:sz w:val="15"/>
                <w:szCs w:val="15"/>
                <w:color w:val="auto"/>
              </w:rPr>
            </w:pPr>
          </w:p>
        </w:tc>
        <w:tc>
          <w:tcPr>
            <w:tcW w:w="1400" w:type="dxa"/>
            <w:vAlign w:val="bottom"/>
          </w:tcPr>
          <w:p>
            <w:pPr>
              <w:jc w:val="center"/>
              <w:ind w:left="294"/>
              <w:spacing w:after="0"/>
              <w:rPr>
                <w:sz w:val="20"/>
                <w:szCs w:val="20"/>
                <w:color w:val="auto"/>
              </w:rPr>
            </w:pPr>
            <w:r>
              <w:rPr>
                <w:rFonts w:ascii="Arial" w:cs="Arial" w:eastAsia="Arial" w:hAnsi="Arial"/>
                <w:sz w:val="13"/>
                <w:szCs w:val="13"/>
                <w:b w:val="1"/>
                <w:bCs w:val="1"/>
                <w:color w:val="520B90"/>
                <w:w w:val="98"/>
              </w:rPr>
              <w:t>($)(b)</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jc w:val="center"/>
              <w:spacing w:after="0"/>
              <w:rPr>
                <w:sz w:val="20"/>
                <w:szCs w:val="20"/>
                <w:color w:val="auto"/>
              </w:rPr>
            </w:pPr>
            <w:r>
              <w:rPr>
                <w:rFonts w:ascii="Arial" w:cs="Arial" w:eastAsia="Arial" w:hAnsi="Arial"/>
                <w:sz w:val="13"/>
                <w:szCs w:val="13"/>
                <w:b w:val="1"/>
                <w:bCs w:val="1"/>
                <w:color w:val="520B90"/>
              </w:rPr>
              <w:t>(#)(c)</w:t>
            </w:r>
          </w:p>
        </w:tc>
        <w:tc>
          <w:tcPr>
            <w:tcW w:w="10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Arial" w:cs="Arial" w:eastAsia="Arial" w:hAnsi="Arial"/>
                <w:sz w:val="13"/>
                <w:szCs w:val="13"/>
                <w:b w:val="1"/>
                <w:bCs w:val="1"/>
                <w:color w:val="520B90"/>
                <w:w w:val="98"/>
              </w:rPr>
              <w:t>($)(b)</w:t>
            </w:r>
          </w:p>
        </w:tc>
        <w:tc>
          <w:tcPr>
            <w:tcW w:w="0" w:type="dxa"/>
            <w:vAlign w:val="bottom"/>
          </w:tcPr>
          <w:p>
            <w:pPr>
              <w:spacing w:after="0"/>
              <w:rPr>
                <w:sz w:val="1"/>
                <w:szCs w:val="1"/>
                <w:color w:val="auto"/>
              </w:rPr>
            </w:pPr>
          </w:p>
        </w:tc>
      </w:tr>
      <w:tr>
        <w:trPr>
          <w:trHeight w:val="194"/>
        </w:trPr>
        <w:tc>
          <w:tcPr>
            <w:tcW w:w="1160" w:type="dxa"/>
            <w:vAlign w:val="bottom"/>
            <w:tcBorders>
              <w:top w:val="single" w:sz="8" w:color="520B90"/>
            </w:tcBorders>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Borders>
              <w:top w:val="single" w:sz="8" w:color="520B90"/>
            </w:tcBorders>
            <w:shd w:val="clear" w:color="auto" w:fill="E6E7E7"/>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Borders>
              <w:top w:val="single" w:sz="8" w:color="520B90"/>
            </w:tcBorders>
            <w:shd w:val="clear" w:color="auto" w:fill="E6E7E7"/>
          </w:tcPr>
          <w:p>
            <w:pPr>
              <w:spacing w:after="0"/>
              <w:rPr>
                <w:sz w:val="16"/>
                <w:szCs w:val="16"/>
                <w:color w:val="auto"/>
              </w:rPr>
            </w:pPr>
          </w:p>
        </w:tc>
        <w:tc>
          <w:tcPr>
            <w:tcW w:w="340" w:type="dxa"/>
            <w:vAlign w:val="bottom"/>
            <w:tcBorders>
              <w:top w:val="single" w:sz="8" w:color="520B90"/>
            </w:tcBorders>
            <w:shd w:val="clear" w:color="auto" w:fill="E6E7E7"/>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Borders>
              <w:top w:val="single" w:sz="8" w:color="520B90"/>
            </w:tcBorders>
            <w:shd w:val="clear" w:color="auto" w:fill="E6E7E7"/>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Borders>
              <w:top w:val="single" w:sz="8" w:color="520B9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-133985</wp:posOffset>
            </wp:positionV>
            <wp:extent cx="1638935" cy="68897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638935" cy="688975"/>
                    </a:xfrm>
                    <a:prstGeom prst="rect">
                      <a:avLst/>
                    </a:prstGeom>
                    <a:noFill/>
                  </pic:spPr>
                </pic:pic>
              </a:graphicData>
            </a:graphic>
          </wp:anchor>
        </w:drawing>
      </w:r>
    </w:p>
    <w:p>
      <w:pPr>
        <w:spacing w:after="0" w:line="12" w:lineRule="exact"/>
        <w:rPr>
          <w:sz w:val="20"/>
          <w:szCs w:val="20"/>
          <w:color w:val="auto"/>
        </w:rPr>
      </w:pPr>
    </w:p>
    <w:p>
      <w:pPr>
        <w:sectPr>
          <w:pgSz w:w="11900" w:h="16838" w:orient="portrait"/>
          <w:cols w:equalWidth="0" w:num="2">
            <w:col w:w="2060" w:space="720"/>
            <w:col w:w="8360"/>
          </w:cols>
          <w:pgMar w:left="320" w:top="1391" w:right="439" w:bottom="1440" w:gutter="0" w:footer="0" w:header="0"/>
          <w:type w:val="continuous"/>
        </w:sectPr>
      </w:pPr>
    </w:p>
    <w:p>
      <w:pPr>
        <w:ind w:left="100"/>
        <w:spacing w:after="0"/>
        <w:rPr>
          <w:sz w:val="20"/>
          <w:szCs w:val="20"/>
          <w:color w:val="auto"/>
        </w:rPr>
      </w:pPr>
      <w:r>
        <w:rPr>
          <w:rFonts w:ascii="Arial" w:cs="Arial" w:eastAsia="Arial" w:hAnsi="Arial"/>
          <w:sz w:val="16"/>
          <w:szCs w:val="16"/>
          <w:b w:val="1"/>
          <w:bCs w:val="1"/>
          <w:color w:val="520B90"/>
        </w:rPr>
        <w:t>Christian H. Hillabrant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20B90"/>
        </w:rPr>
        <w:t>Sunit S.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429895</wp:posOffset>
            </wp:positionV>
            <wp:extent cx="1697355" cy="163068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697355" cy="1630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520B90"/>
        </w:rPr>
        <w:t>Daniel K. Schlanger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520B90"/>
        </w:rPr>
        <w:t>Christopher D. Levendos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1243965</wp:posOffset>
            </wp:positionV>
            <wp:extent cx="169735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1440" w:val="left"/>
        </w:tabs>
        <w:rPr>
          <w:sz w:val="20"/>
          <w:szCs w:val="20"/>
          <w:color w:val="auto"/>
        </w:rPr>
      </w:pPr>
      <w:r>
        <w:rPr>
          <w:rFonts w:ascii="Arial" w:cs="Arial" w:eastAsia="Arial" w:hAnsi="Arial"/>
          <w:sz w:val="15"/>
          <w:szCs w:val="15"/>
          <w:color w:val="auto"/>
        </w:rPr>
        <w:t>9/15/2025</w:t>
      </w:r>
      <w:r>
        <w:rPr>
          <w:sz w:val="20"/>
          <w:szCs w:val="20"/>
          <w:color w:val="auto"/>
        </w:rPr>
        <w:tab/>
      </w:r>
      <w:r>
        <w:rPr>
          <w:rFonts w:ascii="Arial" w:cs="Arial" w:eastAsia="Arial" w:hAnsi="Arial"/>
          <w:sz w:val="15"/>
          <w:szCs w:val="15"/>
          <w:color w:val="auto"/>
        </w:rPr>
        <w:t>73,398</w:t>
      </w:r>
    </w:p>
    <w:p>
      <w:pPr>
        <w:spacing w:after="0" w:line="39" w:lineRule="exact"/>
        <w:rPr>
          <w:sz w:val="20"/>
          <w:szCs w:val="20"/>
          <w:color w:val="auto"/>
        </w:rPr>
      </w:pPr>
    </w:p>
    <w:p>
      <w:pPr>
        <w:spacing w:after="0"/>
        <w:tabs>
          <w:tab w:leader="none" w:pos="1440" w:val="left"/>
        </w:tabs>
        <w:rPr>
          <w:sz w:val="20"/>
          <w:szCs w:val="20"/>
          <w:color w:val="auto"/>
        </w:rPr>
      </w:pPr>
      <w:r>
        <w:rPr>
          <w:rFonts w:ascii="Arial" w:cs="Arial" w:eastAsia="Arial" w:hAnsi="Arial"/>
          <w:sz w:val="15"/>
          <w:szCs w:val="15"/>
          <w:color w:val="auto"/>
        </w:rPr>
        <w:t>9/15/2025</w:t>
      </w:r>
      <w:r>
        <w:rPr>
          <w:sz w:val="20"/>
          <w:szCs w:val="20"/>
          <w:color w:val="auto"/>
        </w:rPr>
        <w:tab/>
      </w:r>
      <w:r>
        <w:rPr>
          <w:rFonts w:ascii="Arial" w:cs="Arial" w:eastAsia="Arial" w:hAnsi="Arial"/>
          <w:sz w:val="15"/>
          <w:szCs w:val="15"/>
          <w:color w:val="auto"/>
        </w:rPr>
        <w:t>22,020</w:t>
      </w:r>
    </w:p>
    <w:p>
      <w:pPr>
        <w:spacing w:after="0" w:line="39" w:lineRule="exact"/>
        <w:rPr>
          <w:sz w:val="20"/>
          <w:szCs w:val="20"/>
          <w:color w:val="auto"/>
        </w:rPr>
      </w:pPr>
    </w:p>
    <w:p>
      <w:pPr>
        <w:spacing w:after="0"/>
        <w:tabs>
          <w:tab w:leader="none" w:pos="1600" w:val="left"/>
        </w:tabs>
        <w:rPr>
          <w:sz w:val="20"/>
          <w:szCs w:val="20"/>
          <w:color w:val="auto"/>
        </w:rPr>
      </w:pPr>
      <w:r>
        <w:rPr>
          <w:rFonts w:ascii="Arial" w:cs="Arial" w:eastAsia="Arial" w:hAnsi="Arial"/>
          <w:sz w:val="16"/>
          <w:szCs w:val="16"/>
          <w:color w:val="auto"/>
        </w:rPr>
        <w:t>9/15/2025</w:t>
      </w:r>
      <w:r>
        <w:rPr>
          <w:sz w:val="20"/>
          <w:szCs w:val="20"/>
          <w:color w:val="auto"/>
        </w:rPr>
        <w:tab/>
      </w:r>
      <w:r>
        <w:rPr>
          <w:rFonts w:ascii="Arial" w:cs="Arial" w:eastAsia="Arial" w:hAnsi="Arial"/>
          <w:sz w:val="16"/>
          <w:szCs w:val="16"/>
          <w:color w:val="auto"/>
        </w:rPr>
        <w:t>—</w:t>
      </w:r>
    </w:p>
    <w:p>
      <w:pPr>
        <w:spacing w:after="0" w:line="28" w:lineRule="exact"/>
        <w:rPr>
          <w:sz w:val="20"/>
          <w:szCs w:val="20"/>
          <w:color w:val="auto"/>
        </w:rPr>
      </w:pPr>
    </w:p>
    <w:p>
      <w:pPr>
        <w:spacing w:after="0"/>
        <w:tabs>
          <w:tab w:leader="none" w:pos="1600" w:val="left"/>
        </w:tabs>
        <w:rPr>
          <w:sz w:val="20"/>
          <w:szCs w:val="20"/>
          <w:color w:val="auto"/>
        </w:rPr>
      </w:pPr>
      <w:r>
        <w:rPr>
          <w:rFonts w:ascii="Arial" w:cs="Arial" w:eastAsia="Arial" w:hAnsi="Arial"/>
          <w:sz w:val="16"/>
          <w:szCs w:val="16"/>
          <w:color w:val="auto"/>
        </w:rPr>
        <w:t>9/15/2025</w:t>
      </w:r>
      <w:r>
        <w:rPr>
          <w:sz w:val="20"/>
          <w:szCs w:val="20"/>
          <w:color w:val="auto"/>
        </w:rPr>
        <w:tab/>
      </w:r>
      <w:r>
        <w:rPr>
          <w:rFonts w:ascii="Arial" w:cs="Arial" w:eastAsia="Arial" w:hAnsi="Arial"/>
          <w:sz w:val="16"/>
          <w:szCs w:val="16"/>
          <w:color w:val="auto"/>
        </w:rPr>
        <w:t>—</w:t>
      </w:r>
    </w:p>
    <w:p>
      <w:pPr>
        <w:spacing w:after="0" w:line="266" w:lineRule="exact"/>
        <w:rPr>
          <w:sz w:val="20"/>
          <w:szCs w:val="20"/>
          <w:color w:val="auto"/>
        </w:rPr>
      </w:pPr>
    </w:p>
    <w:p>
      <w:pPr>
        <w:ind w:left="60"/>
        <w:spacing w:after="0"/>
        <w:tabs>
          <w:tab w:leader="none" w:pos="1440" w:val="left"/>
        </w:tabs>
        <w:rPr>
          <w:sz w:val="20"/>
          <w:szCs w:val="20"/>
          <w:color w:val="auto"/>
        </w:rPr>
      </w:pPr>
      <w:r>
        <w:rPr>
          <w:rFonts w:ascii="Arial" w:cs="Arial" w:eastAsia="Arial" w:hAnsi="Arial"/>
          <w:sz w:val="15"/>
          <w:szCs w:val="15"/>
          <w:color w:val="auto"/>
        </w:rPr>
        <w:t>4/1/2025</w:t>
      </w:r>
      <w:r>
        <w:rPr>
          <w:sz w:val="20"/>
          <w:szCs w:val="20"/>
          <w:color w:val="auto"/>
        </w:rPr>
        <w:tab/>
      </w:r>
      <w:r>
        <w:rPr>
          <w:rFonts w:ascii="Arial" w:cs="Arial" w:eastAsia="Arial" w:hAnsi="Arial"/>
          <w:sz w:val="15"/>
          <w:szCs w:val="15"/>
          <w:color w:val="auto"/>
        </w:rPr>
        <w:t>28,952</w:t>
      </w:r>
    </w:p>
    <w:p>
      <w:pPr>
        <w:spacing w:after="0" w:line="39" w:lineRule="exact"/>
        <w:rPr>
          <w:sz w:val="20"/>
          <w:szCs w:val="20"/>
          <w:color w:val="auto"/>
        </w:rPr>
      </w:pPr>
    </w:p>
    <w:p>
      <w:pPr>
        <w:ind w:left="60"/>
        <w:spacing w:after="0"/>
        <w:tabs>
          <w:tab w:leader="none" w:pos="1440" w:val="left"/>
        </w:tabs>
        <w:rPr>
          <w:sz w:val="20"/>
          <w:szCs w:val="20"/>
          <w:color w:val="auto"/>
        </w:rPr>
      </w:pPr>
      <w:r>
        <w:rPr>
          <w:rFonts w:ascii="Arial" w:cs="Arial" w:eastAsia="Arial" w:hAnsi="Arial"/>
          <w:sz w:val="15"/>
          <w:szCs w:val="15"/>
          <w:color w:val="auto"/>
        </w:rPr>
        <w:t>4/1/2025</w:t>
      </w:r>
      <w:r>
        <w:rPr>
          <w:sz w:val="20"/>
          <w:szCs w:val="20"/>
          <w:color w:val="auto"/>
        </w:rPr>
        <w:tab/>
      </w:r>
      <w:r>
        <w:rPr>
          <w:rFonts w:ascii="Arial" w:cs="Arial" w:eastAsia="Arial" w:hAnsi="Arial"/>
          <w:sz w:val="15"/>
          <w:szCs w:val="15"/>
          <w:color w:val="auto"/>
        </w:rPr>
        <w:t>17,178</w:t>
      </w:r>
    </w:p>
    <w:p>
      <w:pPr>
        <w:spacing w:after="0" w:line="39" w:lineRule="exact"/>
        <w:rPr>
          <w:sz w:val="20"/>
          <w:szCs w:val="20"/>
          <w:color w:val="auto"/>
        </w:rPr>
      </w:pPr>
    </w:p>
    <w:p>
      <w:pPr>
        <w:ind w:left="60"/>
        <w:spacing w:after="0"/>
        <w:tabs>
          <w:tab w:leader="none" w:pos="1600" w:val="left"/>
        </w:tabs>
        <w:rPr>
          <w:sz w:val="20"/>
          <w:szCs w:val="20"/>
          <w:color w:val="auto"/>
        </w:rPr>
      </w:pPr>
      <w:r>
        <w:rPr>
          <w:rFonts w:ascii="Arial" w:cs="Arial" w:eastAsia="Arial" w:hAnsi="Arial"/>
          <w:sz w:val="16"/>
          <w:szCs w:val="16"/>
          <w:color w:val="auto"/>
        </w:rPr>
        <w:t>4/1/2025</w:t>
      </w:r>
      <w:r>
        <w:rPr>
          <w:sz w:val="20"/>
          <w:szCs w:val="20"/>
          <w:color w:val="auto"/>
        </w:rPr>
        <w:tab/>
      </w:r>
      <w:r>
        <w:rPr>
          <w:rFonts w:ascii="Arial" w:cs="Arial" w:eastAsia="Arial" w:hAnsi="Arial"/>
          <w:sz w:val="16"/>
          <w:szCs w:val="16"/>
          <w:color w:val="auto"/>
        </w:rPr>
        <w:t>—</w:t>
      </w:r>
    </w:p>
    <w:p>
      <w:pPr>
        <w:spacing w:after="0" w:line="28" w:lineRule="exact"/>
        <w:rPr>
          <w:sz w:val="20"/>
          <w:szCs w:val="20"/>
          <w:color w:val="auto"/>
        </w:rPr>
      </w:pPr>
    </w:p>
    <w:p>
      <w:pPr>
        <w:ind w:left="60"/>
        <w:spacing w:after="0"/>
        <w:tabs>
          <w:tab w:leader="none" w:pos="1600" w:val="left"/>
        </w:tabs>
        <w:rPr>
          <w:sz w:val="20"/>
          <w:szCs w:val="20"/>
          <w:color w:val="auto"/>
        </w:rPr>
      </w:pPr>
      <w:r>
        <w:rPr>
          <w:rFonts w:ascii="Arial" w:cs="Arial" w:eastAsia="Arial" w:hAnsi="Arial"/>
          <w:sz w:val="16"/>
          <w:szCs w:val="16"/>
          <w:color w:val="auto"/>
        </w:rPr>
        <w:t>4/1/2025</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18415</wp:posOffset>
            </wp:positionV>
            <wp:extent cx="1831975" cy="163068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831975" cy="1630680"/>
                    </a:xfrm>
                    <a:prstGeom prst="rect">
                      <a:avLst/>
                    </a:prstGeom>
                    <a:noFill/>
                  </pic:spPr>
                </pic:pic>
              </a:graphicData>
            </a:graphic>
          </wp:anchor>
        </w:drawing>
      </w:r>
    </w:p>
    <w:p>
      <w:pPr>
        <w:spacing w:after="0" w:line="246" w:lineRule="exact"/>
        <w:rPr>
          <w:sz w:val="20"/>
          <w:szCs w:val="20"/>
          <w:color w:val="auto"/>
        </w:rPr>
      </w:pPr>
    </w:p>
    <w:p>
      <w:pPr>
        <w:spacing w:after="0"/>
        <w:tabs>
          <w:tab w:leader="none" w:pos="1480" w:val="left"/>
        </w:tabs>
        <w:rPr>
          <w:sz w:val="20"/>
          <w:szCs w:val="20"/>
          <w:color w:val="auto"/>
        </w:rPr>
      </w:pPr>
      <w:r>
        <w:rPr>
          <w:rFonts w:ascii="Arial" w:cs="Arial" w:eastAsia="Arial" w:hAnsi="Arial"/>
          <w:sz w:val="16"/>
          <w:szCs w:val="16"/>
          <w:color w:val="auto"/>
        </w:rPr>
        <w:t>2/22/2023</w:t>
      </w:r>
      <w:r>
        <w:rPr>
          <w:sz w:val="20"/>
          <w:szCs w:val="20"/>
          <w:color w:val="auto"/>
        </w:rPr>
        <w:tab/>
      </w:r>
      <w:r>
        <w:rPr>
          <w:rFonts w:ascii="Arial" w:cs="Arial" w:eastAsia="Arial" w:hAnsi="Arial"/>
          <w:sz w:val="16"/>
          <w:szCs w:val="16"/>
          <w:color w:val="auto"/>
        </w:rPr>
        <w:t>3,586</w:t>
      </w:r>
    </w:p>
    <w:p>
      <w:pPr>
        <w:spacing w:after="0" w:line="28" w:lineRule="exact"/>
        <w:rPr>
          <w:sz w:val="20"/>
          <w:szCs w:val="20"/>
          <w:color w:val="auto"/>
        </w:rPr>
      </w:pPr>
    </w:p>
    <w:p>
      <w:pPr>
        <w:spacing w:after="0"/>
        <w:tabs>
          <w:tab w:leader="none" w:pos="1640" w:val="left"/>
        </w:tabs>
        <w:rPr>
          <w:sz w:val="20"/>
          <w:szCs w:val="20"/>
          <w:color w:val="auto"/>
        </w:rPr>
      </w:pPr>
      <w:r>
        <w:rPr>
          <w:rFonts w:ascii="Arial" w:cs="Arial" w:eastAsia="Arial" w:hAnsi="Arial"/>
          <w:sz w:val="16"/>
          <w:szCs w:val="16"/>
          <w:color w:val="auto"/>
        </w:rPr>
        <w:t>2/22/2023</w:t>
      </w:r>
      <w:r>
        <w:rPr>
          <w:sz w:val="20"/>
          <w:szCs w:val="20"/>
          <w:color w:val="auto"/>
        </w:rPr>
        <w:tab/>
      </w:r>
      <w:r>
        <w:rPr>
          <w:rFonts w:ascii="Arial" w:cs="Arial" w:eastAsia="Arial" w:hAnsi="Arial"/>
          <w:sz w:val="16"/>
          <w:szCs w:val="16"/>
          <w:color w:val="auto"/>
        </w:rPr>
        <w:t>0</w:t>
      </w:r>
    </w:p>
    <w:p>
      <w:pPr>
        <w:spacing w:after="0" w:line="28" w:lineRule="exact"/>
        <w:rPr>
          <w:sz w:val="20"/>
          <w:szCs w:val="20"/>
          <w:color w:val="auto"/>
        </w:rPr>
      </w:pPr>
    </w:p>
    <w:p>
      <w:pPr>
        <w:spacing w:after="0"/>
        <w:tabs>
          <w:tab w:leader="none" w:pos="1640" w:val="left"/>
        </w:tabs>
        <w:rPr>
          <w:sz w:val="20"/>
          <w:szCs w:val="20"/>
          <w:color w:val="auto"/>
        </w:rPr>
      </w:pPr>
      <w:r>
        <w:rPr>
          <w:rFonts w:ascii="Arial" w:cs="Arial" w:eastAsia="Arial" w:hAnsi="Arial"/>
          <w:sz w:val="16"/>
          <w:szCs w:val="16"/>
          <w:color w:val="auto"/>
        </w:rPr>
        <w:t>2/22/2023</w:t>
      </w:r>
      <w:r>
        <w:rPr>
          <w:sz w:val="20"/>
          <w:szCs w:val="20"/>
          <w:color w:val="auto"/>
        </w:rPr>
        <w:tab/>
      </w:r>
      <w:r>
        <w:rPr>
          <w:rFonts w:ascii="Arial" w:cs="Arial" w:eastAsia="Arial" w:hAnsi="Arial"/>
          <w:sz w:val="16"/>
          <w:szCs w:val="16"/>
          <w:color w:val="auto"/>
        </w:rPr>
        <w:t>0</w:t>
      </w:r>
    </w:p>
    <w:p>
      <w:pPr>
        <w:spacing w:after="0" w:line="28" w:lineRule="exact"/>
        <w:rPr>
          <w:sz w:val="20"/>
          <w:szCs w:val="20"/>
          <w:color w:val="auto"/>
        </w:rPr>
      </w:pPr>
    </w:p>
    <w:p>
      <w:pPr>
        <w:spacing w:after="0"/>
        <w:tabs>
          <w:tab w:leader="none" w:pos="1440" w:val="left"/>
        </w:tabs>
        <w:rPr>
          <w:sz w:val="20"/>
          <w:szCs w:val="20"/>
          <w:color w:val="auto"/>
        </w:rPr>
      </w:pPr>
      <w:r>
        <w:rPr>
          <w:rFonts w:ascii="Arial" w:cs="Arial" w:eastAsia="Arial" w:hAnsi="Arial"/>
          <w:sz w:val="15"/>
          <w:szCs w:val="15"/>
          <w:color w:val="auto"/>
        </w:rPr>
        <w:t>2/21/2024</w:t>
      </w:r>
      <w:r>
        <w:rPr>
          <w:sz w:val="20"/>
          <w:szCs w:val="20"/>
          <w:color w:val="auto"/>
        </w:rPr>
        <w:tab/>
      </w:r>
      <w:r>
        <w:rPr>
          <w:rFonts w:ascii="Arial" w:cs="Arial" w:eastAsia="Arial" w:hAnsi="Arial"/>
          <w:sz w:val="15"/>
          <w:szCs w:val="15"/>
          <w:color w:val="auto"/>
        </w:rPr>
        <w:t>10,235</w:t>
      </w:r>
    </w:p>
    <w:p>
      <w:pPr>
        <w:spacing w:after="0" w:line="39" w:lineRule="exact"/>
        <w:rPr>
          <w:sz w:val="20"/>
          <w:szCs w:val="20"/>
          <w:color w:val="auto"/>
        </w:rPr>
      </w:pPr>
    </w:p>
    <w:p>
      <w:pPr>
        <w:spacing w:after="0"/>
        <w:tabs>
          <w:tab w:leader="none" w:pos="1600" w:val="left"/>
        </w:tabs>
        <w:rPr>
          <w:sz w:val="20"/>
          <w:szCs w:val="20"/>
          <w:color w:val="auto"/>
        </w:rPr>
      </w:pPr>
      <w:r>
        <w:rPr>
          <w:rFonts w:ascii="Arial" w:cs="Arial" w:eastAsia="Arial" w:hAnsi="Arial"/>
          <w:sz w:val="16"/>
          <w:szCs w:val="16"/>
          <w:color w:val="auto"/>
        </w:rPr>
        <w:t>2/21/2024</w:t>
      </w:r>
      <w:r>
        <w:rPr>
          <w:sz w:val="20"/>
          <w:szCs w:val="20"/>
          <w:color w:val="auto"/>
        </w:rPr>
        <w:tab/>
      </w:r>
      <w:r>
        <w:rPr>
          <w:rFonts w:ascii="Arial" w:cs="Arial" w:eastAsia="Arial" w:hAnsi="Arial"/>
          <w:sz w:val="16"/>
          <w:szCs w:val="16"/>
          <w:color w:val="auto"/>
        </w:rPr>
        <w:t>—</w:t>
      </w:r>
    </w:p>
    <w:p>
      <w:pPr>
        <w:spacing w:after="0" w:line="28" w:lineRule="exact"/>
        <w:rPr>
          <w:sz w:val="20"/>
          <w:szCs w:val="20"/>
          <w:color w:val="auto"/>
        </w:rPr>
      </w:pPr>
    </w:p>
    <w:p>
      <w:pPr>
        <w:spacing w:after="0"/>
        <w:tabs>
          <w:tab w:leader="none" w:pos="1600" w:val="left"/>
        </w:tabs>
        <w:rPr>
          <w:sz w:val="20"/>
          <w:szCs w:val="20"/>
          <w:color w:val="auto"/>
        </w:rPr>
      </w:pPr>
      <w:r>
        <w:rPr>
          <w:rFonts w:ascii="Arial" w:cs="Arial" w:eastAsia="Arial" w:hAnsi="Arial"/>
          <w:sz w:val="16"/>
          <w:szCs w:val="16"/>
          <w:color w:val="auto"/>
        </w:rPr>
        <w:t>2/21/2024</w:t>
      </w:r>
      <w:r>
        <w:rPr>
          <w:sz w:val="20"/>
          <w:szCs w:val="20"/>
          <w:color w:val="auto"/>
        </w:rPr>
        <w:tab/>
      </w:r>
      <w:r>
        <w:rPr>
          <w:rFonts w:ascii="Arial" w:cs="Arial" w:eastAsia="Arial" w:hAnsi="Arial"/>
          <w:sz w:val="16"/>
          <w:szCs w:val="16"/>
          <w:color w:val="auto"/>
        </w:rPr>
        <w:t>—</w:t>
      </w:r>
    </w:p>
    <w:p>
      <w:pPr>
        <w:spacing w:after="0" w:line="28" w:lineRule="exact"/>
        <w:rPr>
          <w:sz w:val="20"/>
          <w:szCs w:val="20"/>
          <w:color w:val="auto"/>
        </w:rPr>
      </w:pPr>
    </w:p>
    <w:p>
      <w:pPr>
        <w:spacing w:after="0"/>
        <w:tabs>
          <w:tab w:leader="none" w:pos="1440" w:val="left"/>
        </w:tabs>
        <w:rPr>
          <w:sz w:val="20"/>
          <w:szCs w:val="20"/>
          <w:color w:val="auto"/>
        </w:rPr>
      </w:pPr>
      <w:r>
        <w:rPr>
          <w:rFonts w:ascii="Arial" w:cs="Arial" w:eastAsia="Arial" w:hAnsi="Arial"/>
          <w:sz w:val="15"/>
          <w:szCs w:val="15"/>
          <w:color w:val="auto"/>
        </w:rPr>
        <w:t>3/23/2025</w:t>
      </w:r>
      <w:r>
        <w:rPr>
          <w:sz w:val="20"/>
          <w:szCs w:val="20"/>
          <w:color w:val="auto"/>
        </w:rPr>
        <w:tab/>
      </w:r>
      <w:r>
        <w:rPr>
          <w:rFonts w:ascii="Arial" w:cs="Arial" w:eastAsia="Arial" w:hAnsi="Arial"/>
          <w:sz w:val="15"/>
          <w:szCs w:val="15"/>
          <w:color w:val="auto"/>
        </w:rPr>
        <w:t>40,478</w:t>
      </w:r>
    </w:p>
    <w:p>
      <w:pPr>
        <w:spacing w:after="0" w:line="39" w:lineRule="exact"/>
        <w:rPr>
          <w:sz w:val="20"/>
          <w:szCs w:val="20"/>
          <w:color w:val="auto"/>
        </w:rPr>
      </w:pPr>
    </w:p>
    <w:p>
      <w:pPr>
        <w:spacing w:after="0"/>
        <w:tabs>
          <w:tab w:leader="none" w:pos="1600" w:val="left"/>
        </w:tabs>
        <w:rPr>
          <w:sz w:val="20"/>
          <w:szCs w:val="20"/>
          <w:color w:val="auto"/>
        </w:rPr>
      </w:pPr>
      <w:r>
        <w:rPr>
          <w:rFonts w:ascii="Arial" w:cs="Arial" w:eastAsia="Arial" w:hAnsi="Arial"/>
          <w:sz w:val="16"/>
          <w:szCs w:val="16"/>
          <w:color w:val="auto"/>
        </w:rPr>
        <w:t>3/23/2025</w:t>
      </w:r>
      <w:r>
        <w:rPr>
          <w:sz w:val="20"/>
          <w:szCs w:val="20"/>
          <w:color w:val="auto"/>
        </w:rPr>
        <w:tab/>
      </w:r>
      <w:r>
        <w:rPr>
          <w:rFonts w:ascii="Arial" w:cs="Arial" w:eastAsia="Arial" w:hAnsi="Arial"/>
          <w:sz w:val="16"/>
          <w:szCs w:val="16"/>
          <w:color w:val="auto"/>
        </w:rPr>
        <w:t>—</w:t>
      </w:r>
    </w:p>
    <w:p>
      <w:pPr>
        <w:spacing w:after="0" w:line="28" w:lineRule="exact"/>
        <w:rPr>
          <w:sz w:val="20"/>
          <w:szCs w:val="20"/>
          <w:color w:val="auto"/>
        </w:rPr>
      </w:pPr>
    </w:p>
    <w:p>
      <w:pPr>
        <w:spacing w:after="0"/>
        <w:tabs>
          <w:tab w:leader="none" w:pos="1440" w:val="left"/>
        </w:tabs>
        <w:rPr>
          <w:sz w:val="20"/>
          <w:szCs w:val="20"/>
          <w:color w:val="auto"/>
        </w:rPr>
      </w:pPr>
      <w:r>
        <w:rPr>
          <w:rFonts w:ascii="Arial" w:cs="Arial" w:eastAsia="Arial" w:hAnsi="Arial"/>
          <w:sz w:val="15"/>
          <w:szCs w:val="15"/>
          <w:color w:val="auto"/>
        </w:rPr>
        <w:t>3/23/2025</w:t>
      </w:r>
      <w:r>
        <w:rPr>
          <w:sz w:val="20"/>
          <w:szCs w:val="20"/>
          <w:color w:val="auto"/>
        </w:rPr>
        <w:tab/>
      </w:r>
      <w:r>
        <w:rPr>
          <w:rFonts w:ascii="Arial" w:cs="Arial" w:eastAsia="Arial" w:hAnsi="Arial"/>
          <w:sz w:val="15"/>
          <w:szCs w:val="15"/>
          <w:color w:val="auto"/>
        </w:rPr>
        <w:t>16,290</w:t>
      </w:r>
    </w:p>
    <w:p>
      <w:pPr>
        <w:spacing w:after="0" w:line="39" w:lineRule="exact"/>
        <w:rPr>
          <w:sz w:val="20"/>
          <w:szCs w:val="20"/>
          <w:color w:val="auto"/>
        </w:rPr>
      </w:pPr>
    </w:p>
    <w:p>
      <w:pPr>
        <w:spacing w:after="0"/>
        <w:tabs>
          <w:tab w:leader="none" w:pos="1600" w:val="left"/>
        </w:tabs>
        <w:rPr>
          <w:sz w:val="20"/>
          <w:szCs w:val="20"/>
          <w:color w:val="auto"/>
        </w:rPr>
      </w:pPr>
      <w:r>
        <w:rPr>
          <w:rFonts w:ascii="Arial" w:cs="Arial" w:eastAsia="Arial" w:hAnsi="Arial"/>
          <w:sz w:val="16"/>
          <w:szCs w:val="16"/>
          <w:color w:val="auto"/>
        </w:rPr>
        <w:t>3/23/2025</w:t>
      </w:r>
      <w:r>
        <w:rPr>
          <w:sz w:val="20"/>
          <w:szCs w:val="20"/>
          <w:color w:val="auto"/>
        </w:rPr>
        <w:tab/>
      </w:r>
      <w:r>
        <w:rPr>
          <w:rFonts w:ascii="Arial" w:cs="Arial" w:eastAsia="Arial" w:hAnsi="Arial"/>
          <w:sz w:val="16"/>
          <w:szCs w:val="16"/>
          <w:color w:val="auto"/>
        </w:rPr>
        <w:t>—</w:t>
      </w:r>
    </w:p>
    <w:p>
      <w:pPr>
        <w:spacing w:after="0" w:line="28" w:lineRule="exact"/>
        <w:rPr>
          <w:sz w:val="20"/>
          <w:szCs w:val="20"/>
          <w:color w:val="auto"/>
        </w:rPr>
      </w:pPr>
    </w:p>
    <w:p>
      <w:pPr>
        <w:spacing w:after="0"/>
        <w:tabs>
          <w:tab w:leader="none" w:pos="1600" w:val="left"/>
        </w:tabs>
        <w:rPr>
          <w:sz w:val="20"/>
          <w:szCs w:val="20"/>
          <w:color w:val="auto"/>
        </w:rPr>
      </w:pPr>
      <w:r>
        <w:rPr>
          <w:rFonts w:ascii="Arial" w:cs="Arial" w:eastAsia="Arial" w:hAnsi="Arial"/>
          <w:sz w:val="16"/>
          <w:szCs w:val="16"/>
          <w:color w:val="auto"/>
        </w:rPr>
        <w:t>3/23/2025</w:t>
      </w:r>
      <w:r>
        <w:rPr>
          <w:sz w:val="20"/>
          <w:szCs w:val="20"/>
          <w:color w:val="auto"/>
        </w:rPr>
        <w:tab/>
      </w:r>
      <w:r>
        <w:rPr>
          <w:rFonts w:ascii="Arial" w:cs="Arial" w:eastAsia="Arial" w:hAnsi="Arial"/>
          <w:sz w:val="16"/>
          <w:szCs w:val="16"/>
          <w:color w:val="auto"/>
        </w:rPr>
        <w:t>—</w:t>
      </w:r>
    </w:p>
    <w:p>
      <w:pPr>
        <w:spacing w:after="0" w:line="266" w:lineRule="exact"/>
        <w:rPr>
          <w:sz w:val="20"/>
          <w:szCs w:val="20"/>
          <w:color w:val="auto"/>
        </w:rPr>
      </w:pPr>
    </w:p>
    <w:p>
      <w:pPr>
        <w:spacing w:after="0"/>
        <w:tabs>
          <w:tab w:leader="none" w:pos="1480" w:val="left"/>
        </w:tabs>
        <w:rPr>
          <w:sz w:val="20"/>
          <w:szCs w:val="20"/>
          <w:color w:val="auto"/>
        </w:rPr>
      </w:pPr>
      <w:r>
        <w:rPr>
          <w:rFonts w:ascii="Arial" w:cs="Arial" w:eastAsia="Arial" w:hAnsi="Arial"/>
          <w:sz w:val="16"/>
          <w:szCs w:val="16"/>
          <w:color w:val="auto"/>
        </w:rPr>
        <w:t>2/22/2023</w:t>
      </w:r>
      <w:r>
        <w:rPr>
          <w:sz w:val="20"/>
          <w:szCs w:val="20"/>
          <w:color w:val="auto"/>
        </w:rPr>
        <w:tab/>
      </w:r>
      <w:r>
        <w:rPr>
          <w:rFonts w:ascii="Arial" w:cs="Arial" w:eastAsia="Arial" w:hAnsi="Arial"/>
          <w:sz w:val="16"/>
          <w:szCs w:val="16"/>
          <w:color w:val="auto"/>
        </w:rPr>
        <w:t>3,912</w:t>
      </w:r>
    </w:p>
    <w:p>
      <w:pPr>
        <w:spacing w:after="0" w:line="28" w:lineRule="exact"/>
        <w:rPr>
          <w:sz w:val="20"/>
          <w:szCs w:val="20"/>
          <w:color w:val="auto"/>
        </w:rPr>
      </w:pPr>
    </w:p>
    <w:p>
      <w:pPr>
        <w:spacing w:after="0"/>
        <w:tabs>
          <w:tab w:leader="none" w:pos="1640" w:val="left"/>
        </w:tabs>
        <w:rPr>
          <w:sz w:val="20"/>
          <w:szCs w:val="20"/>
          <w:color w:val="auto"/>
        </w:rPr>
      </w:pPr>
      <w:r>
        <w:rPr>
          <w:rFonts w:ascii="Arial" w:cs="Arial" w:eastAsia="Arial" w:hAnsi="Arial"/>
          <w:sz w:val="16"/>
          <w:szCs w:val="16"/>
          <w:color w:val="auto"/>
        </w:rPr>
        <w:t>2/22/2023</w:t>
      </w:r>
      <w:r>
        <w:rPr>
          <w:sz w:val="20"/>
          <w:szCs w:val="20"/>
          <w:color w:val="auto"/>
        </w:rPr>
        <w:tab/>
      </w:r>
      <w:r>
        <w:rPr>
          <w:rFonts w:ascii="Arial" w:cs="Arial" w:eastAsia="Arial" w:hAnsi="Arial"/>
          <w:sz w:val="16"/>
          <w:szCs w:val="16"/>
          <w:color w:val="auto"/>
        </w:rPr>
        <w:t>0</w:t>
      </w:r>
    </w:p>
    <w:p>
      <w:pPr>
        <w:spacing w:after="0" w:line="28" w:lineRule="exact"/>
        <w:rPr>
          <w:sz w:val="20"/>
          <w:szCs w:val="20"/>
          <w:color w:val="auto"/>
        </w:rPr>
      </w:pPr>
    </w:p>
    <w:p>
      <w:pPr>
        <w:spacing w:after="0"/>
        <w:tabs>
          <w:tab w:leader="none" w:pos="1640" w:val="left"/>
        </w:tabs>
        <w:rPr>
          <w:sz w:val="20"/>
          <w:szCs w:val="20"/>
          <w:color w:val="auto"/>
        </w:rPr>
      </w:pPr>
      <w:r>
        <w:rPr>
          <w:rFonts w:ascii="Arial" w:cs="Arial" w:eastAsia="Arial" w:hAnsi="Arial"/>
          <w:sz w:val="16"/>
          <w:szCs w:val="16"/>
          <w:color w:val="auto"/>
        </w:rPr>
        <w:t>2/22/2023</w:t>
      </w:r>
      <w:r>
        <w:rPr>
          <w:sz w:val="20"/>
          <w:szCs w:val="20"/>
          <w:color w:val="auto"/>
        </w:rPr>
        <w:tab/>
      </w:r>
      <w:r>
        <w:rPr>
          <w:rFonts w:ascii="Arial" w:cs="Arial" w:eastAsia="Arial" w:hAnsi="Arial"/>
          <w:sz w:val="16"/>
          <w:szCs w:val="16"/>
          <w:color w:val="auto"/>
        </w:rPr>
        <w:t>0</w:t>
      </w:r>
    </w:p>
    <w:p>
      <w:pPr>
        <w:spacing w:after="0" w:line="28" w:lineRule="exact"/>
        <w:rPr>
          <w:sz w:val="20"/>
          <w:szCs w:val="20"/>
          <w:color w:val="auto"/>
        </w:rPr>
      </w:pPr>
    </w:p>
    <w:p>
      <w:pPr>
        <w:spacing w:after="0"/>
        <w:tabs>
          <w:tab w:leader="none" w:pos="1440" w:val="left"/>
        </w:tabs>
        <w:rPr>
          <w:sz w:val="20"/>
          <w:szCs w:val="20"/>
          <w:color w:val="auto"/>
        </w:rPr>
      </w:pPr>
      <w:r>
        <w:rPr>
          <w:rFonts w:ascii="Arial" w:cs="Arial" w:eastAsia="Arial" w:hAnsi="Arial"/>
          <w:sz w:val="15"/>
          <w:szCs w:val="15"/>
          <w:color w:val="auto"/>
        </w:rPr>
        <w:t>2/21/2024</w:t>
      </w:r>
      <w:r>
        <w:rPr>
          <w:sz w:val="20"/>
          <w:szCs w:val="20"/>
          <w:color w:val="auto"/>
        </w:rPr>
        <w:tab/>
      </w:r>
      <w:r>
        <w:rPr>
          <w:rFonts w:ascii="Arial" w:cs="Arial" w:eastAsia="Arial" w:hAnsi="Arial"/>
          <w:sz w:val="15"/>
          <w:szCs w:val="15"/>
          <w:color w:val="auto"/>
        </w:rPr>
        <w:t>10,793</w:t>
      </w:r>
    </w:p>
    <w:p>
      <w:pPr>
        <w:spacing w:after="0" w:line="39" w:lineRule="exact"/>
        <w:rPr>
          <w:sz w:val="20"/>
          <w:szCs w:val="20"/>
          <w:color w:val="auto"/>
        </w:rPr>
      </w:pPr>
    </w:p>
    <w:p>
      <w:pPr>
        <w:spacing w:after="0"/>
        <w:tabs>
          <w:tab w:leader="none" w:pos="1600" w:val="left"/>
        </w:tabs>
        <w:rPr>
          <w:sz w:val="20"/>
          <w:szCs w:val="20"/>
          <w:color w:val="auto"/>
        </w:rPr>
      </w:pPr>
      <w:r>
        <w:rPr>
          <w:rFonts w:ascii="Arial" w:cs="Arial" w:eastAsia="Arial" w:hAnsi="Arial"/>
          <w:sz w:val="16"/>
          <w:szCs w:val="16"/>
          <w:color w:val="auto"/>
        </w:rPr>
        <w:t>2/21/2024</w:t>
      </w:r>
      <w:r>
        <w:rPr>
          <w:sz w:val="20"/>
          <w:szCs w:val="20"/>
          <w:color w:val="auto"/>
        </w:rPr>
        <w:tab/>
      </w:r>
      <w:r>
        <w:rPr>
          <w:rFonts w:ascii="Arial" w:cs="Arial" w:eastAsia="Arial" w:hAnsi="Arial"/>
          <w:sz w:val="16"/>
          <w:szCs w:val="16"/>
          <w:color w:val="auto"/>
        </w:rPr>
        <w:t>—</w:t>
      </w:r>
    </w:p>
    <w:p>
      <w:pPr>
        <w:spacing w:after="0" w:line="28" w:lineRule="exact"/>
        <w:rPr>
          <w:sz w:val="20"/>
          <w:szCs w:val="20"/>
          <w:color w:val="auto"/>
        </w:rPr>
      </w:pPr>
    </w:p>
    <w:p>
      <w:pPr>
        <w:spacing w:after="0"/>
        <w:tabs>
          <w:tab w:leader="none" w:pos="1600" w:val="left"/>
        </w:tabs>
        <w:rPr>
          <w:sz w:val="20"/>
          <w:szCs w:val="20"/>
          <w:color w:val="auto"/>
        </w:rPr>
      </w:pPr>
      <w:r>
        <w:rPr>
          <w:rFonts w:ascii="Arial" w:cs="Arial" w:eastAsia="Arial" w:hAnsi="Arial"/>
          <w:sz w:val="16"/>
          <w:szCs w:val="16"/>
          <w:color w:val="auto"/>
        </w:rPr>
        <w:t>2/21/2024</w:t>
      </w:r>
      <w:r>
        <w:rPr>
          <w:sz w:val="20"/>
          <w:szCs w:val="20"/>
          <w:color w:val="auto"/>
        </w:rPr>
        <w:tab/>
      </w:r>
      <w:r>
        <w:rPr>
          <w:rFonts w:ascii="Arial" w:cs="Arial" w:eastAsia="Arial" w:hAnsi="Arial"/>
          <w:sz w:val="16"/>
          <w:szCs w:val="16"/>
          <w:color w:val="auto"/>
        </w:rPr>
        <w:t>—</w:t>
      </w:r>
    </w:p>
    <w:p>
      <w:pPr>
        <w:spacing w:after="0" w:line="28" w:lineRule="exact"/>
        <w:rPr>
          <w:sz w:val="20"/>
          <w:szCs w:val="20"/>
          <w:color w:val="auto"/>
        </w:rPr>
      </w:pPr>
    </w:p>
    <w:p>
      <w:pPr>
        <w:spacing w:after="0"/>
        <w:tabs>
          <w:tab w:leader="none" w:pos="1440" w:val="left"/>
        </w:tabs>
        <w:rPr>
          <w:sz w:val="20"/>
          <w:szCs w:val="20"/>
          <w:color w:val="auto"/>
        </w:rPr>
      </w:pPr>
      <w:r>
        <w:rPr>
          <w:rFonts w:ascii="Arial" w:cs="Arial" w:eastAsia="Arial" w:hAnsi="Arial"/>
          <w:sz w:val="15"/>
          <w:szCs w:val="15"/>
          <w:color w:val="auto"/>
        </w:rPr>
        <w:t>2/26/2025</w:t>
      </w:r>
      <w:r>
        <w:rPr>
          <w:sz w:val="20"/>
          <w:szCs w:val="20"/>
          <w:color w:val="auto"/>
        </w:rPr>
        <w:tab/>
      </w:r>
      <w:r>
        <w:rPr>
          <w:rFonts w:ascii="Arial" w:cs="Arial" w:eastAsia="Arial" w:hAnsi="Arial"/>
          <w:sz w:val="15"/>
          <w:szCs w:val="15"/>
          <w:color w:val="auto"/>
        </w:rPr>
        <w:t>19,182</w:t>
      </w:r>
    </w:p>
    <w:p>
      <w:pPr>
        <w:spacing w:after="0" w:line="39" w:lineRule="exact"/>
        <w:rPr>
          <w:sz w:val="20"/>
          <w:szCs w:val="20"/>
          <w:color w:val="auto"/>
        </w:rPr>
      </w:pPr>
    </w:p>
    <w:p>
      <w:pPr>
        <w:spacing w:after="0"/>
        <w:tabs>
          <w:tab w:leader="none" w:pos="1600" w:val="left"/>
        </w:tabs>
        <w:rPr>
          <w:sz w:val="20"/>
          <w:szCs w:val="20"/>
          <w:color w:val="auto"/>
        </w:rPr>
      </w:pPr>
      <w:r>
        <w:rPr>
          <w:rFonts w:ascii="Arial" w:cs="Arial" w:eastAsia="Arial" w:hAnsi="Arial"/>
          <w:sz w:val="16"/>
          <w:szCs w:val="16"/>
          <w:color w:val="auto"/>
        </w:rPr>
        <w:t>2/26/2025</w:t>
      </w:r>
      <w:r>
        <w:rPr>
          <w:sz w:val="20"/>
          <w:szCs w:val="20"/>
          <w:color w:val="auto"/>
        </w:rPr>
        <w:tab/>
      </w:r>
      <w:r>
        <w:rPr>
          <w:rFonts w:ascii="Arial" w:cs="Arial" w:eastAsia="Arial" w:hAnsi="Arial"/>
          <w:sz w:val="16"/>
          <w:szCs w:val="16"/>
          <w:color w:val="auto"/>
        </w:rPr>
        <w:t>—</w:t>
      </w:r>
    </w:p>
    <w:p>
      <w:pPr>
        <w:spacing w:after="0" w:line="28" w:lineRule="exact"/>
        <w:rPr>
          <w:sz w:val="20"/>
          <w:szCs w:val="20"/>
          <w:color w:val="auto"/>
        </w:rPr>
      </w:pPr>
    </w:p>
    <w:p>
      <w:pPr>
        <w:spacing w:after="0"/>
        <w:tabs>
          <w:tab w:leader="none" w:pos="1600" w:val="left"/>
        </w:tabs>
        <w:rPr>
          <w:sz w:val="20"/>
          <w:szCs w:val="20"/>
          <w:color w:val="auto"/>
        </w:rPr>
      </w:pPr>
      <w:r>
        <w:rPr>
          <w:rFonts w:ascii="Arial" w:cs="Arial" w:eastAsia="Arial" w:hAnsi="Arial"/>
          <w:sz w:val="16"/>
          <w:szCs w:val="16"/>
          <w:color w:val="auto"/>
        </w:rPr>
        <w:t>2/26/2025</w:t>
      </w:r>
      <w:r>
        <w:rPr>
          <w:sz w:val="20"/>
          <w:szCs w:val="20"/>
          <w:color w:val="auto"/>
        </w:rPr>
        <w:tab/>
      </w:r>
      <w:r>
        <w:rPr>
          <w:rFonts w:ascii="Arial" w:cs="Arial" w:eastAsia="Arial" w:hAnsi="Arial"/>
          <w:sz w:val="16"/>
          <w:szCs w:val="16"/>
          <w:color w:val="auto"/>
        </w:rPr>
        <w:t>—</w:t>
      </w:r>
    </w:p>
    <w:p>
      <w:pPr>
        <w:spacing w:after="0" w:line="28" w:lineRule="exact"/>
        <w:rPr>
          <w:sz w:val="20"/>
          <w:szCs w:val="20"/>
          <w:color w:val="auto"/>
        </w:rPr>
      </w:pPr>
    </w:p>
    <w:p>
      <w:pPr>
        <w:spacing w:after="0"/>
        <w:tabs>
          <w:tab w:leader="none" w:pos="1600" w:val="left"/>
        </w:tabs>
        <w:rPr>
          <w:sz w:val="20"/>
          <w:szCs w:val="20"/>
          <w:color w:val="auto"/>
        </w:rPr>
      </w:pPr>
      <w:r>
        <w:rPr>
          <w:rFonts w:ascii="Arial" w:cs="Arial" w:eastAsia="Arial" w:hAnsi="Arial"/>
          <w:sz w:val="16"/>
          <w:szCs w:val="16"/>
          <w:color w:val="auto"/>
        </w:rPr>
        <w:t>3/28/2025</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18415</wp:posOffset>
            </wp:positionV>
            <wp:extent cx="183197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8319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5"/>
        </w:trPr>
        <w:tc>
          <w:tcPr>
            <w:tcW w:w="300" w:type="dxa"/>
            <w:vAlign w:val="bottom"/>
            <w:shd w:val="clear" w:color="auto" w:fill="E6E7E7"/>
          </w:tcPr>
          <w:p>
            <w:pPr>
              <w:ind w:left="20"/>
              <w:spacing w:after="0"/>
              <w:rPr>
                <w:sz w:val="20"/>
                <w:szCs w:val="20"/>
                <w:color w:val="auto"/>
              </w:rPr>
            </w:pPr>
            <w:r>
              <w:rPr>
                <w:rFonts w:ascii="Arial" w:cs="Arial" w:eastAsia="Arial" w:hAnsi="Arial"/>
                <w:sz w:val="10"/>
                <w:szCs w:val="10"/>
                <w:color w:val="auto"/>
              </w:rPr>
              <w:t>(d)</w:t>
            </w:r>
          </w:p>
        </w:tc>
        <w:tc>
          <w:tcPr>
            <w:tcW w:w="80" w:type="dxa"/>
            <w:vAlign w:val="bottom"/>
          </w:tcPr>
          <w:p>
            <w:pPr>
              <w:spacing w:after="0"/>
              <w:rPr>
                <w:sz w:val="11"/>
                <w:szCs w:val="11"/>
                <w:color w:val="auto"/>
              </w:rPr>
            </w:pPr>
          </w:p>
        </w:tc>
        <w:tc>
          <w:tcPr>
            <w:tcW w:w="144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8"/>
              </w:rPr>
              <w:t>6,522,880</w:t>
            </w:r>
          </w:p>
        </w:tc>
        <w:tc>
          <w:tcPr>
            <w:tcW w:w="300" w:type="dxa"/>
            <w:vAlign w:val="bottom"/>
            <w:shd w:val="clear" w:color="auto" w:fill="E6E7E7"/>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E6E7E7"/>
          </w:tcPr>
          <w:p>
            <w:pPr>
              <w:spacing w:after="0"/>
              <w:rPr>
                <w:sz w:val="11"/>
                <w:szCs w:val="11"/>
                <w:color w:val="auto"/>
              </w:rPr>
            </w:pPr>
          </w:p>
        </w:tc>
        <w:tc>
          <w:tcPr>
            <w:tcW w:w="340" w:type="dxa"/>
            <w:vAlign w:val="bottom"/>
            <w:shd w:val="clear" w:color="auto" w:fill="E6E7E7"/>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80"/>
        </w:trPr>
        <w:tc>
          <w:tcPr>
            <w:tcW w:w="300" w:type="dxa"/>
            <w:vAlign w:val="bottom"/>
            <w:vMerge w:val="restart"/>
            <w:shd w:val="clear" w:color="auto" w:fill="E6E7E7"/>
          </w:tcPr>
          <w:p>
            <w:pPr>
              <w:ind w:left="20"/>
              <w:spacing w:after="0"/>
              <w:rPr>
                <w:sz w:val="20"/>
                <w:szCs w:val="20"/>
                <w:color w:val="auto"/>
              </w:rPr>
            </w:pPr>
            <w:r>
              <w:rPr>
                <w:rFonts w:ascii="Arial" w:cs="Arial" w:eastAsia="Arial" w:hAnsi="Arial"/>
                <w:sz w:val="10"/>
                <w:szCs w:val="10"/>
                <w:color w:val="auto"/>
              </w:rPr>
              <w:t>(e)</w:t>
            </w:r>
          </w:p>
        </w:tc>
        <w:tc>
          <w:tcPr>
            <w:tcW w:w="80" w:type="dxa"/>
            <w:vAlign w:val="bottom"/>
          </w:tcPr>
          <w:p>
            <w:pPr>
              <w:spacing w:after="0"/>
              <w:rPr>
                <w:sz w:val="6"/>
                <w:szCs w:val="6"/>
                <w:color w:val="auto"/>
              </w:rPr>
            </w:pPr>
          </w:p>
        </w:tc>
        <w:tc>
          <w:tcPr>
            <w:tcW w:w="1440" w:type="dxa"/>
            <w:vAlign w:val="bottom"/>
            <w:vMerge w:val="continue"/>
            <w:shd w:val="clear" w:color="auto" w:fill="E6E7E7"/>
          </w:tcPr>
          <w:p>
            <w:pPr>
              <w:spacing w:after="0"/>
              <w:rPr>
                <w:sz w:val="6"/>
                <w:szCs w:val="6"/>
                <w:color w:val="auto"/>
              </w:rPr>
            </w:pPr>
          </w:p>
        </w:tc>
        <w:tc>
          <w:tcPr>
            <w:tcW w:w="300" w:type="dxa"/>
            <w:vAlign w:val="bottom"/>
            <w:shd w:val="clear" w:color="auto" w:fill="E6E7E7"/>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vMerge w:val="continue"/>
            <w:shd w:val="clear" w:color="auto" w:fill="E6E7E7"/>
          </w:tcPr>
          <w:p>
            <w:pPr>
              <w:spacing w:after="0"/>
              <w:rPr>
                <w:sz w:val="6"/>
                <w:szCs w:val="6"/>
                <w:color w:val="auto"/>
              </w:rPr>
            </w:pPr>
          </w:p>
        </w:tc>
        <w:tc>
          <w:tcPr>
            <w:tcW w:w="100" w:type="dxa"/>
            <w:vAlign w:val="bottom"/>
            <w:shd w:val="clear" w:color="auto" w:fill="E6E7E7"/>
          </w:tcPr>
          <w:p>
            <w:pPr>
              <w:spacing w:after="0"/>
              <w:rPr>
                <w:sz w:val="6"/>
                <w:szCs w:val="6"/>
                <w:color w:val="auto"/>
              </w:rPr>
            </w:pPr>
          </w:p>
        </w:tc>
        <w:tc>
          <w:tcPr>
            <w:tcW w:w="340" w:type="dxa"/>
            <w:vAlign w:val="bottom"/>
            <w:shd w:val="clear" w:color="auto" w:fill="E6E7E7"/>
          </w:tcPr>
          <w:p>
            <w:pPr>
              <w:spacing w:after="0"/>
              <w:rPr>
                <w:sz w:val="6"/>
                <w:szCs w:val="6"/>
                <w:color w:val="auto"/>
              </w:rPr>
            </w:pPr>
          </w:p>
        </w:tc>
        <w:tc>
          <w:tcPr>
            <w:tcW w:w="100" w:type="dxa"/>
            <w:vAlign w:val="bottom"/>
          </w:tcPr>
          <w:p>
            <w:pPr>
              <w:spacing w:after="0"/>
              <w:rPr>
                <w:sz w:val="6"/>
                <w:szCs w:val="6"/>
                <w:color w:val="auto"/>
              </w:rPr>
            </w:pPr>
          </w:p>
        </w:tc>
        <w:tc>
          <w:tcPr>
            <w:tcW w:w="1720" w:type="dxa"/>
            <w:vAlign w:val="bottom"/>
            <w:vMerge w:val="continue"/>
            <w:shd w:val="clear" w:color="auto" w:fill="E6E7E7"/>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300" w:type="dxa"/>
            <w:vAlign w:val="bottom"/>
            <w:vMerge w:val="continue"/>
            <w:shd w:val="clear" w:color="auto" w:fill="E6E7E7"/>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8"/>
              </w:rPr>
              <w:t>1,956,917</w:t>
            </w:r>
          </w:p>
        </w:tc>
        <w:tc>
          <w:tcPr>
            <w:tcW w:w="300" w:type="dxa"/>
            <w:vAlign w:val="bottom"/>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E6E7E7"/>
          </w:tcPr>
          <w:p>
            <w:pPr>
              <w:spacing w:after="0"/>
              <w:rPr>
                <w:sz w:val="9"/>
                <w:szCs w:val="9"/>
                <w:color w:val="auto"/>
              </w:rPr>
            </w:pPr>
          </w:p>
        </w:tc>
        <w:tc>
          <w:tcPr>
            <w:tcW w:w="340" w:type="dxa"/>
            <w:vAlign w:val="bottom"/>
            <w:vMerge w:val="restart"/>
            <w:shd w:val="clear" w:color="auto" w:fill="E6E7E7"/>
          </w:tcPr>
          <w:p>
            <w:pPr>
              <w:ind w:left="20"/>
              <w:spacing w:after="0"/>
              <w:rPr>
                <w:sz w:val="20"/>
                <w:szCs w:val="20"/>
                <w:color w:val="auto"/>
              </w:rPr>
            </w:pPr>
            <w:r>
              <w:rPr>
                <w:rFonts w:ascii="Arial" w:cs="Arial" w:eastAsia="Arial" w:hAnsi="Arial"/>
                <w:sz w:val="10"/>
                <w:szCs w:val="10"/>
                <w:color w:val="auto"/>
              </w:rPr>
              <w:t>(m)</w:t>
            </w:r>
          </w:p>
        </w:tc>
        <w:tc>
          <w:tcPr>
            <w:tcW w:w="100" w:type="dxa"/>
            <w:vAlign w:val="bottom"/>
          </w:tcPr>
          <w:p>
            <w:pPr>
              <w:spacing w:after="0"/>
              <w:rPr>
                <w:sz w:val="9"/>
                <w:szCs w:val="9"/>
                <w:color w:val="auto"/>
              </w:rPr>
            </w:pPr>
          </w:p>
        </w:tc>
        <w:tc>
          <w:tcPr>
            <w:tcW w:w="172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97"/>
        </w:trPr>
        <w:tc>
          <w:tcPr>
            <w:tcW w:w="300" w:type="dxa"/>
            <w:vAlign w:val="bottom"/>
            <w:shd w:val="clear" w:color="auto" w:fill="E6E7E7"/>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vMerge w:val="continue"/>
            <w:shd w:val="clear" w:color="auto" w:fill="E6E7E7"/>
          </w:tcPr>
          <w:p>
            <w:pPr>
              <w:spacing w:after="0"/>
              <w:rPr>
                <w:sz w:val="8"/>
                <w:szCs w:val="8"/>
                <w:color w:val="auto"/>
              </w:rPr>
            </w:pPr>
          </w:p>
        </w:tc>
        <w:tc>
          <w:tcPr>
            <w:tcW w:w="30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vMerge w:val="continue"/>
            <w:shd w:val="clear" w:color="auto" w:fill="E6E7E7"/>
          </w:tcPr>
          <w:p>
            <w:pPr>
              <w:spacing w:after="0"/>
              <w:rPr>
                <w:sz w:val="8"/>
                <w:szCs w:val="8"/>
                <w:color w:val="auto"/>
              </w:rPr>
            </w:pPr>
          </w:p>
        </w:tc>
        <w:tc>
          <w:tcPr>
            <w:tcW w:w="100" w:type="dxa"/>
            <w:vAlign w:val="bottom"/>
            <w:shd w:val="clear" w:color="auto" w:fill="E6E7E7"/>
          </w:tcPr>
          <w:p>
            <w:pPr>
              <w:spacing w:after="0"/>
              <w:rPr>
                <w:sz w:val="8"/>
                <w:szCs w:val="8"/>
                <w:color w:val="auto"/>
              </w:rPr>
            </w:pPr>
          </w:p>
        </w:tc>
        <w:tc>
          <w:tcPr>
            <w:tcW w:w="340" w:type="dxa"/>
            <w:vAlign w:val="bottom"/>
            <w:vMerge w:val="continue"/>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1720" w:type="dxa"/>
            <w:vAlign w:val="bottom"/>
            <w:vMerge w:val="continue"/>
            <w:shd w:val="clear" w:color="auto" w:fill="E6E7E7"/>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300" w:type="dxa"/>
            <w:vAlign w:val="bottom"/>
            <w:shd w:val="clear" w:color="auto" w:fill="E6E7E7"/>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300" w:type="dxa"/>
            <w:vAlign w:val="bottom"/>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rPr>
              <w:t>16,515</w:t>
            </w:r>
          </w:p>
        </w:tc>
        <w:tc>
          <w:tcPr>
            <w:tcW w:w="100" w:type="dxa"/>
            <w:vAlign w:val="bottom"/>
            <w:shd w:val="clear" w:color="auto" w:fill="E6E7E7"/>
          </w:tcPr>
          <w:p>
            <w:pPr>
              <w:spacing w:after="0"/>
              <w:rPr>
                <w:sz w:val="9"/>
                <w:szCs w:val="9"/>
                <w:color w:val="auto"/>
              </w:rPr>
            </w:pPr>
          </w:p>
        </w:tc>
        <w:tc>
          <w:tcPr>
            <w:tcW w:w="340" w:type="dxa"/>
            <w:vAlign w:val="bottom"/>
            <w:vMerge w:val="continue"/>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rPr>
              <w:t>1,467,688</w:t>
            </w:r>
          </w:p>
        </w:tc>
        <w:tc>
          <w:tcPr>
            <w:tcW w:w="0" w:type="dxa"/>
            <w:vAlign w:val="bottom"/>
          </w:tcPr>
          <w:p>
            <w:pPr>
              <w:spacing w:after="0"/>
              <w:rPr>
                <w:sz w:val="1"/>
                <w:szCs w:val="1"/>
                <w:color w:val="auto"/>
              </w:rPr>
            </w:pPr>
          </w:p>
        </w:tc>
      </w:tr>
      <w:tr>
        <w:trPr>
          <w:trHeight w:val="97"/>
        </w:trPr>
        <w:tc>
          <w:tcPr>
            <w:tcW w:w="300" w:type="dxa"/>
            <w:vAlign w:val="bottom"/>
            <w:shd w:val="clear" w:color="auto" w:fill="E6E7E7"/>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vMerge w:val="continue"/>
            <w:shd w:val="clear" w:color="auto" w:fill="E6E7E7"/>
          </w:tcPr>
          <w:p>
            <w:pPr>
              <w:spacing w:after="0"/>
              <w:rPr>
                <w:sz w:val="8"/>
                <w:szCs w:val="8"/>
                <w:color w:val="auto"/>
              </w:rPr>
            </w:pPr>
          </w:p>
        </w:tc>
        <w:tc>
          <w:tcPr>
            <w:tcW w:w="30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vMerge w:val="continue"/>
            <w:shd w:val="clear" w:color="auto" w:fill="E6E7E7"/>
          </w:tcPr>
          <w:p>
            <w:pPr>
              <w:spacing w:after="0"/>
              <w:rPr>
                <w:sz w:val="8"/>
                <w:szCs w:val="8"/>
                <w:color w:val="auto"/>
              </w:rPr>
            </w:pPr>
          </w:p>
        </w:tc>
        <w:tc>
          <w:tcPr>
            <w:tcW w:w="100" w:type="dxa"/>
            <w:vAlign w:val="bottom"/>
            <w:shd w:val="clear" w:color="auto" w:fill="E6E7E7"/>
          </w:tcPr>
          <w:p>
            <w:pPr>
              <w:spacing w:after="0"/>
              <w:rPr>
                <w:sz w:val="8"/>
                <w:szCs w:val="8"/>
                <w:color w:val="auto"/>
              </w:rPr>
            </w:pPr>
          </w:p>
        </w:tc>
        <w:tc>
          <w:tcPr>
            <w:tcW w:w="340" w:type="dxa"/>
            <w:vAlign w:val="bottom"/>
            <w:vMerge w:val="restart"/>
            <w:shd w:val="clear" w:color="auto" w:fill="E6E7E7"/>
          </w:tcPr>
          <w:p>
            <w:pPr>
              <w:ind w:left="20"/>
              <w:spacing w:after="0"/>
              <w:rPr>
                <w:sz w:val="20"/>
                <w:szCs w:val="20"/>
                <w:color w:val="auto"/>
              </w:rPr>
            </w:pPr>
            <w:r>
              <w:rPr>
                <w:rFonts w:ascii="Arial" w:cs="Arial" w:eastAsia="Arial" w:hAnsi="Arial"/>
                <w:sz w:val="10"/>
                <w:szCs w:val="10"/>
                <w:color w:val="auto"/>
              </w:rPr>
              <w:t>(n)</w:t>
            </w:r>
          </w:p>
        </w:tc>
        <w:tc>
          <w:tcPr>
            <w:tcW w:w="100" w:type="dxa"/>
            <w:vAlign w:val="bottom"/>
          </w:tcPr>
          <w:p>
            <w:pPr>
              <w:spacing w:after="0"/>
              <w:rPr>
                <w:sz w:val="8"/>
                <w:szCs w:val="8"/>
                <w:color w:val="auto"/>
              </w:rPr>
            </w:pPr>
          </w:p>
        </w:tc>
        <w:tc>
          <w:tcPr>
            <w:tcW w:w="1720" w:type="dxa"/>
            <w:vAlign w:val="bottom"/>
            <w:vMerge w:val="continue"/>
            <w:shd w:val="clear" w:color="auto" w:fill="E6E7E7"/>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300" w:type="dxa"/>
            <w:vAlign w:val="bottom"/>
            <w:shd w:val="clear" w:color="auto" w:fill="E6E7E7"/>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300" w:type="dxa"/>
            <w:vAlign w:val="bottom"/>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rPr>
              <w:t>16,515</w:t>
            </w:r>
          </w:p>
        </w:tc>
        <w:tc>
          <w:tcPr>
            <w:tcW w:w="100" w:type="dxa"/>
            <w:vAlign w:val="bottom"/>
            <w:shd w:val="clear" w:color="auto" w:fill="E6E7E7"/>
          </w:tcPr>
          <w:p>
            <w:pPr>
              <w:spacing w:after="0"/>
              <w:rPr>
                <w:sz w:val="9"/>
                <w:szCs w:val="9"/>
                <w:color w:val="auto"/>
              </w:rPr>
            </w:pPr>
          </w:p>
        </w:tc>
        <w:tc>
          <w:tcPr>
            <w:tcW w:w="340" w:type="dxa"/>
            <w:vAlign w:val="bottom"/>
            <w:vMerge w:val="continue"/>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rPr>
              <w:t>1,467,688</w:t>
            </w:r>
          </w:p>
        </w:tc>
        <w:tc>
          <w:tcPr>
            <w:tcW w:w="0" w:type="dxa"/>
            <w:vAlign w:val="bottom"/>
          </w:tcPr>
          <w:p>
            <w:pPr>
              <w:spacing w:after="0"/>
              <w:rPr>
                <w:sz w:val="1"/>
                <w:szCs w:val="1"/>
                <w:color w:val="auto"/>
              </w:rPr>
            </w:pPr>
          </w:p>
        </w:tc>
      </w:tr>
      <w:tr>
        <w:trPr>
          <w:trHeight w:val="100"/>
        </w:trPr>
        <w:tc>
          <w:tcPr>
            <w:tcW w:w="300" w:type="dxa"/>
            <w:vAlign w:val="bottom"/>
            <w:shd w:val="clear" w:color="auto" w:fill="E6E7E7"/>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vMerge w:val="continue"/>
            <w:shd w:val="clear" w:color="auto" w:fill="E6E7E7"/>
          </w:tcPr>
          <w:p>
            <w:pPr>
              <w:spacing w:after="0"/>
              <w:rPr>
                <w:sz w:val="8"/>
                <w:szCs w:val="8"/>
                <w:color w:val="auto"/>
              </w:rPr>
            </w:pPr>
          </w:p>
        </w:tc>
        <w:tc>
          <w:tcPr>
            <w:tcW w:w="30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vMerge w:val="continue"/>
            <w:shd w:val="clear" w:color="auto" w:fill="E6E7E7"/>
          </w:tcPr>
          <w:p>
            <w:pPr>
              <w:spacing w:after="0"/>
              <w:rPr>
                <w:sz w:val="8"/>
                <w:szCs w:val="8"/>
                <w:color w:val="auto"/>
              </w:rPr>
            </w:pPr>
          </w:p>
        </w:tc>
        <w:tc>
          <w:tcPr>
            <w:tcW w:w="100" w:type="dxa"/>
            <w:vAlign w:val="bottom"/>
            <w:shd w:val="clear" w:color="auto" w:fill="E6E7E7"/>
          </w:tcPr>
          <w:p>
            <w:pPr>
              <w:spacing w:after="0"/>
              <w:rPr>
                <w:sz w:val="8"/>
                <w:szCs w:val="8"/>
                <w:color w:val="auto"/>
              </w:rPr>
            </w:pPr>
          </w:p>
        </w:tc>
        <w:tc>
          <w:tcPr>
            <w:tcW w:w="34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1720" w:type="dxa"/>
            <w:vAlign w:val="bottom"/>
            <w:vMerge w:val="continue"/>
            <w:shd w:val="clear" w:color="auto" w:fill="E6E7E7"/>
          </w:tcPr>
          <w:p>
            <w:pPr>
              <w:spacing w:after="0"/>
              <w:rPr>
                <w:sz w:val="8"/>
                <w:szCs w:val="8"/>
                <w:color w:val="auto"/>
              </w:rPr>
            </w:pPr>
          </w:p>
        </w:tc>
        <w:tc>
          <w:tcPr>
            <w:tcW w:w="0" w:type="dxa"/>
            <w:vAlign w:val="bottom"/>
          </w:tcPr>
          <w:p>
            <w:pPr>
              <w:spacing w:after="0"/>
              <w:rPr>
                <w:sz w:val="1"/>
                <w:szCs w:val="1"/>
                <w:color w:val="auto"/>
              </w:rPr>
            </w:pPr>
          </w:p>
        </w:tc>
      </w:tr>
      <w:tr>
        <w:trPr>
          <w:trHeight w:val="336"/>
        </w:trPr>
        <w:tc>
          <w:tcPr>
            <w:tcW w:w="300" w:type="dxa"/>
            <w:vAlign w:val="bottom"/>
          </w:tcPr>
          <w:p>
            <w:pPr>
              <w:ind w:left="20"/>
              <w:spacing w:after="0"/>
              <w:rPr>
                <w:sz w:val="20"/>
                <w:szCs w:val="20"/>
                <w:color w:val="auto"/>
              </w:rPr>
            </w:pPr>
            <w:r>
              <w:rPr>
                <w:rFonts w:ascii="Arial" w:cs="Arial" w:eastAsia="Arial" w:hAnsi="Arial"/>
                <w:sz w:val="10"/>
                <w:szCs w:val="10"/>
                <w:color w:val="auto"/>
              </w:rPr>
              <w:t>(e)</w:t>
            </w:r>
          </w:p>
        </w:tc>
        <w:tc>
          <w:tcPr>
            <w:tcW w:w="1520" w:type="dxa"/>
            <w:vAlign w:val="bottom"/>
            <w:gridSpan w:val="2"/>
            <w:vMerge w:val="restart"/>
          </w:tcPr>
          <w:p>
            <w:pPr>
              <w:jc w:val="center"/>
              <w:ind w:left="21"/>
              <w:spacing w:after="0"/>
              <w:rPr>
                <w:sz w:val="20"/>
                <w:szCs w:val="20"/>
                <w:color w:val="auto"/>
              </w:rPr>
            </w:pPr>
            <w:r>
              <w:rPr>
                <w:rFonts w:ascii="Arial" w:cs="Arial" w:eastAsia="Arial" w:hAnsi="Arial"/>
                <w:sz w:val="16"/>
                <w:szCs w:val="16"/>
                <w:color w:val="auto"/>
                <w:w w:val="98"/>
              </w:rPr>
              <w:t>2,572,964</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11"/>
        </w:trPr>
        <w:tc>
          <w:tcPr>
            <w:tcW w:w="300" w:type="dxa"/>
            <w:vAlign w:val="bottom"/>
            <w:vMerge w:val="restart"/>
          </w:tcPr>
          <w:p>
            <w:pPr>
              <w:ind w:left="20"/>
              <w:spacing w:after="0"/>
              <w:rPr>
                <w:sz w:val="20"/>
                <w:szCs w:val="20"/>
                <w:color w:val="auto"/>
              </w:rPr>
            </w:pPr>
            <w:r>
              <w:rPr>
                <w:rFonts w:ascii="Arial" w:cs="Arial" w:eastAsia="Arial" w:hAnsi="Arial"/>
                <w:sz w:val="10"/>
                <w:szCs w:val="10"/>
                <w:color w:val="auto"/>
              </w:rPr>
              <w:t>(f)</w:t>
            </w:r>
          </w:p>
        </w:tc>
        <w:tc>
          <w:tcPr>
            <w:tcW w:w="152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300" w:type="dxa"/>
            <w:vAlign w:val="bottom"/>
            <w:vMerge w:val="continue"/>
          </w:tcPr>
          <w:p>
            <w:pPr>
              <w:spacing w:after="0"/>
              <w:rPr>
                <w:sz w:val="8"/>
                <w:szCs w:val="8"/>
                <w:color w:val="auto"/>
              </w:rPr>
            </w:pPr>
          </w:p>
        </w:tc>
        <w:tc>
          <w:tcPr>
            <w:tcW w:w="1520" w:type="dxa"/>
            <w:vAlign w:val="bottom"/>
            <w:gridSpan w:val="2"/>
            <w:vMerge w:val="restart"/>
          </w:tcPr>
          <w:p>
            <w:pPr>
              <w:jc w:val="center"/>
              <w:ind w:left="21"/>
              <w:spacing w:after="0"/>
              <w:rPr>
                <w:sz w:val="20"/>
                <w:szCs w:val="20"/>
                <w:color w:val="auto"/>
              </w:rPr>
            </w:pPr>
            <w:r>
              <w:rPr>
                <w:rFonts w:ascii="Arial" w:cs="Arial" w:eastAsia="Arial" w:hAnsi="Arial"/>
                <w:sz w:val="16"/>
                <w:szCs w:val="16"/>
                <w:color w:val="auto"/>
                <w:w w:val="98"/>
              </w:rPr>
              <w:t>1,526,609</w:t>
            </w: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2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11"/>
        </w:trPr>
        <w:tc>
          <w:tcPr>
            <w:tcW w:w="3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vMerge w:val="restart"/>
          </w:tcPr>
          <w:p>
            <w:pPr>
              <w:ind w:left="20"/>
              <w:spacing w:after="0"/>
              <w:rPr>
                <w:sz w:val="20"/>
                <w:szCs w:val="20"/>
                <w:color w:val="auto"/>
              </w:rPr>
            </w:pPr>
            <w:r>
              <w:rPr>
                <w:rFonts w:ascii="Arial" w:cs="Arial" w:eastAsia="Arial" w:hAnsi="Arial"/>
                <w:sz w:val="10"/>
                <w:szCs w:val="10"/>
                <w:color w:val="auto"/>
              </w:rPr>
              <w:t>(m)</w:t>
            </w:r>
          </w:p>
        </w:tc>
        <w:tc>
          <w:tcPr>
            <w:tcW w:w="100" w:type="dxa"/>
            <w:vAlign w:val="bottom"/>
          </w:tcPr>
          <w:p>
            <w:pPr>
              <w:spacing w:after="0"/>
              <w:rPr>
                <w:sz w:val="9"/>
                <w:szCs w:val="9"/>
                <w:color w:val="auto"/>
              </w:rPr>
            </w:pPr>
          </w:p>
        </w:tc>
        <w:tc>
          <w:tcPr>
            <w:tcW w:w="1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1700" w:type="dxa"/>
            <w:vAlign w:val="bottom"/>
            <w:gridSpan w:val="3"/>
            <w:vMerge w:val="restart"/>
          </w:tcPr>
          <w:p>
            <w:pPr>
              <w:jc w:val="center"/>
              <w:ind w:left="321"/>
              <w:spacing w:after="0"/>
              <w:rPr>
                <w:sz w:val="20"/>
                <w:szCs w:val="20"/>
                <w:color w:val="auto"/>
              </w:rPr>
            </w:pPr>
            <w:r>
              <w:rPr>
                <w:rFonts w:ascii="Arial" w:cs="Arial" w:eastAsia="Arial" w:hAnsi="Arial"/>
                <w:sz w:val="16"/>
                <w:szCs w:val="16"/>
                <w:color w:val="auto"/>
              </w:rPr>
              <w:t>12,884</w:t>
            </w:r>
          </w:p>
        </w:tc>
        <w:tc>
          <w:tcPr>
            <w:tcW w:w="10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1820" w:type="dxa"/>
            <w:vAlign w:val="bottom"/>
            <w:gridSpan w:val="2"/>
            <w:vMerge w:val="restart"/>
          </w:tcPr>
          <w:p>
            <w:pPr>
              <w:jc w:val="center"/>
              <w:ind w:left="21"/>
              <w:spacing w:after="0"/>
              <w:rPr>
                <w:sz w:val="20"/>
                <w:szCs w:val="20"/>
                <w:color w:val="auto"/>
              </w:rPr>
            </w:pPr>
            <w:r>
              <w:rPr>
                <w:rFonts w:ascii="Arial" w:cs="Arial" w:eastAsia="Arial" w:hAnsi="Arial"/>
                <w:sz w:val="16"/>
                <w:szCs w:val="16"/>
                <w:color w:val="auto"/>
              </w:rPr>
              <w:t>1,145,001</w:t>
            </w:r>
          </w:p>
        </w:tc>
        <w:tc>
          <w:tcPr>
            <w:tcW w:w="0" w:type="dxa"/>
            <w:vAlign w:val="bottom"/>
          </w:tcPr>
          <w:p>
            <w:pPr>
              <w:spacing w:after="0"/>
              <w:rPr>
                <w:sz w:val="1"/>
                <w:szCs w:val="1"/>
                <w:color w:val="auto"/>
              </w:rPr>
            </w:pPr>
          </w:p>
        </w:tc>
      </w:tr>
      <w:tr>
        <w:trPr>
          <w:trHeight w:val="97"/>
        </w:trPr>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170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vMerge w:val="restart"/>
          </w:tcPr>
          <w:p>
            <w:pPr>
              <w:ind w:left="20"/>
              <w:spacing w:after="0"/>
              <w:rPr>
                <w:sz w:val="20"/>
                <w:szCs w:val="20"/>
                <w:color w:val="auto"/>
              </w:rPr>
            </w:pPr>
            <w:r>
              <w:rPr>
                <w:rFonts w:ascii="Arial" w:cs="Arial" w:eastAsia="Arial" w:hAnsi="Arial"/>
                <w:sz w:val="10"/>
                <w:szCs w:val="10"/>
                <w:color w:val="auto"/>
              </w:rPr>
              <w:t>(n)</w:t>
            </w:r>
          </w:p>
        </w:tc>
        <w:tc>
          <w:tcPr>
            <w:tcW w:w="18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1700" w:type="dxa"/>
            <w:vAlign w:val="bottom"/>
            <w:gridSpan w:val="3"/>
            <w:vMerge w:val="restart"/>
          </w:tcPr>
          <w:p>
            <w:pPr>
              <w:jc w:val="center"/>
              <w:ind w:left="321"/>
              <w:spacing w:after="0"/>
              <w:rPr>
                <w:sz w:val="20"/>
                <w:szCs w:val="20"/>
                <w:color w:val="auto"/>
              </w:rPr>
            </w:pPr>
            <w:r>
              <w:rPr>
                <w:rFonts w:ascii="Arial" w:cs="Arial" w:eastAsia="Arial" w:hAnsi="Arial"/>
                <w:sz w:val="16"/>
                <w:szCs w:val="16"/>
                <w:color w:val="auto"/>
              </w:rPr>
              <w:t>12,884</w:t>
            </w:r>
          </w:p>
        </w:tc>
        <w:tc>
          <w:tcPr>
            <w:tcW w:w="10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1820" w:type="dxa"/>
            <w:vAlign w:val="bottom"/>
            <w:gridSpan w:val="2"/>
            <w:vMerge w:val="restart"/>
          </w:tcPr>
          <w:p>
            <w:pPr>
              <w:jc w:val="center"/>
              <w:ind w:left="21"/>
              <w:spacing w:after="0"/>
              <w:rPr>
                <w:sz w:val="20"/>
                <w:szCs w:val="20"/>
                <w:color w:val="auto"/>
              </w:rPr>
            </w:pPr>
            <w:r>
              <w:rPr>
                <w:rFonts w:ascii="Arial" w:cs="Arial" w:eastAsia="Arial" w:hAnsi="Arial"/>
                <w:sz w:val="16"/>
                <w:szCs w:val="16"/>
                <w:color w:val="auto"/>
              </w:rPr>
              <w:t>1,145,001</w:t>
            </w:r>
          </w:p>
        </w:tc>
        <w:tc>
          <w:tcPr>
            <w:tcW w:w="0" w:type="dxa"/>
            <w:vAlign w:val="bottom"/>
          </w:tcPr>
          <w:p>
            <w:pPr>
              <w:spacing w:after="0"/>
              <w:rPr>
                <w:sz w:val="1"/>
                <w:szCs w:val="1"/>
                <w:color w:val="auto"/>
              </w:rPr>
            </w:pPr>
          </w:p>
        </w:tc>
      </w:tr>
      <w:tr>
        <w:trPr>
          <w:trHeight w:val="99"/>
        </w:trPr>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170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shd w:val="clear" w:color="auto" w:fill="E6E7E7"/>
          </w:tcPr>
          <w:p>
            <w:pPr>
              <w:spacing w:after="0"/>
              <w:rPr>
                <w:sz w:val="18"/>
                <w:szCs w:val="18"/>
                <w:color w:val="auto"/>
              </w:rPr>
            </w:pPr>
          </w:p>
        </w:tc>
        <w:tc>
          <w:tcPr>
            <w:tcW w:w="300" w:type="dxa"/>
            <w:vAlign w:val="bottom"/>
            <w:shd w:val="clear" w:color="auto" w:fill="E6E7E7"/>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shd w:val="clear" w:color="auto" w:fill="E6E7E7"/>
          </w:tcPr>
          <w:p>
            <w:pPr>
              <w:spacing w:after="0"/>
              <w:rPr>
                <w:sz w:val="18"/>
                <w:szCs w:val="18"/>
                <w:color w:val="auto"/>
              </w:rPr>
            </w:pPr>
          </w:p>
        </w:tc>
        <w:tc>
          <w:tcPr>
            <w:tcW w:w="100" w:type="dxa"/>
            <w:vAlign w:val="bottom"/>
            <w:shd w:val="clear" w:color="auto" w:fill="E6E7E7"/>
          </w:tcPr>
          <w:p>
            <w:pPr>
              <w:spacing w:after="0"/>
              <w:rPr>
                <w:sz w:val="18"/>
                <w:szCs w:val="18"/>
                <w:color w:val="auto"/>
              </w:rPr>
            </w:pPr>
          </w:p>
        </w:tc>
        <w:tc>
          <w:tcPr>
            <w:tcW w:w="340" w:type="dxa"/>
            <w:vAlign w:val="bottom"/>
            <w:shd w:val="clear" w:color="auto" w:fill="E6E7E7"/>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shd w:val="clear" w:color="auto" w:fill="E6E7E7"/>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300" w:type="dxa"/>
            <w:vAlign w:val="bottom"/>
            <w:shd w:val="clear" w:color="auto" w:fill="E6E7E7"/>
          </w:tcPr>
          <w:p>
            <w:pPr>
              <w:ind w:left="20"/>
              <w:spacing w:after="0"/>
              <w:rPr>
                <w:sz w:val="20"/>
                <w:szCs w:val="20"/>
                <w:color w:val="auto"/>
              </w:rPr>
            </w:pPr>
            <w:r>
              <w:rPr>
                <w:rFonts w:ascii="Arial" w:cs="Arial" w:eastAsia="Arial" w:hAnsi="Arial"/>
                <w:sz w:val="10"/>
                <w:szCs w:val="10"/>
                <w:color w:val="auto"/>
              </w:rPr>
              <w:t>(e)</w:t>
            </w:r>
          </w:p>
        </w:tc>
        <w:tc>
          <w:tcPr>
            <w:tcW w:w="80" w:type="dxa"/>
            <w:vAlign w:val="bottom"/>
          </w:tcPr>
          <w:p>
            <w:pPr>
              <w:spacing w:after="0"/>
              <w:rPr>
                <w:sz w:val="11"/>
                <w:szCs w:val="11"/>
                <w:color w:val="auto"/>
              </w:rPr>
            </w:pPr>
          </w:p>
        </w:tc>
        <w:tc>
          <w:tcPr>
            <w:tcW w:w="144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rPr>
              <w:t>318,688</w:t>
            </w:r>
          </w:p>
        </w:tc>
        <w:tc>
          <w:tcPr>
            <w:tcW w:w="300" w:type="dxa"/>
            <w:vAlign w:val="bottom"/>
            <w:shd w:val="clear" w:color="auto" w:fill="E6E7E7"/>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E6E7E7"/>
          </w:tcPr>
          <w:p>
            <w:pPr>
              <w:spacing w:after="0"/>
              <w:rPr>
                <w:sz w:val="11"/>
                <w:szCs w:val="11"/>
                <w:color w:val="auto"/>
              </w:rPr>
            </w:pPr>
          </w:p>
        </w:tc>
        <w:tc>
          <w:tcPr>
            <w:tcW w:w="340" w:type="dxa"/>
            <w:vAlign w:val="bottom"/>
            <w:shd w:val="clear" w:color="auto" w:fill="E6E7E7"/>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00"/>
        </w:trPr>
        <w:tc>
          <w:tcPr>
            <w:tcW w:w="300" w:type="dxa"/>
            <w:vAlign w:val="bottom"/>
            <w:vMerge w:val="restart"/>
            <w:shd w:val="clear" w:color="auto" w:fill="E6E7E7"/>
          </w:tcPr>
          <w:p>
            <w:pPr>
              <w:ind w:left="20"/>
              <w:spacing w:after="0"/>
              <w:rPr>
                <w:sz w:val="20"/>
                <w:szCs w:val="20"/>
                <w:color w:val="auto"/>
              </w:rPr>
            </w:pPr>
            <w:r>
              <w:rPr>
                <w:rFonts w:ascii="Arial" w:cs="Arial" w:eastAsia="Arial" w:hAnsi="Arial"/>
                <w:sz w:val="10"/>
                <w:szCs w:val="10"/>
                <w:color w:val="auto"/>
              </w:rPr>
              <w:t>(g)</w:t>
            </w:r>
          </w:p>
        </w:tc>
        <w:tc>
          <w:tcPr>
            <w:tcW w:w="80" w:type="dxa"/>
            <w:vAlign w:val="bottom"/>
          </w:tcPr>
          <w:p>
            <w:pPr>
              <w:spacing w:after="0"/>
              <w:rPr>
                <w:sz w:val="8"/>
                <w:szCs w:val="8"/>
                <w:color w:val="auto"/>
              </w:rPr>
            </w:pPr>
          </w:p>
        </w:tc>
        <w:tc>
          <w:tcPr>
            <w:tcW w:w="1440" w:type="dxa"/>
            <w:vAlign w:val="bottom"/>
            <w:vMerge w:val="continue"/>
            <w:shd w:val="clear" w:color="auto" w:fill="E6E7E7"/>
          </w:tcPr>
          <w:p>
            <w:pPr>
              <w:spacing w:after="0"/>
              <w:rPr>
                <w:sz w:val="8"/>
                <w:szCs w:val="8"/>
                <w:color w:val="auto"/>
              </w:rPr>
            </w:pPr>
          </w:p>
        </w:tc>
        <w:tc>
          <w:tcPr>
            <w:tcW w:w="30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vMerge w:val="continue"/>
            <w:shd w:val="clear" w:color="auto" w:fill="E6E7E7"/>
          </w:tcPr>
          <w:p>
            <w:pPr>
              <w:spacing w:after="0"/>
              <w:rPr>
                <w:sz w:val="8"/>
                <w:szCs w:val="8"/>
                <w:color w:val="auto"/>
              </w:rPr>
            </w:pPr>
          </w:p>
        </w:tc>
        <w:tc>
          <w:tcPr>
            <w:tcW w:w="100" w:type="dxa"/>
            <w:vAlign w:val="bottom"/>
            <w:shd w:val="clear" w:color="auto" w:fill="E6E7E7"/>
          </w:tcPr>
          <w:p>
            <w:pPr>
              <w:spacing w:after="0"/>
              <w:rPr>
                <w:sz w:val="8"/>
                <w:szCs w:val="8"/>
                <w:color w:val="auto"/>
              </w:rPr>
            </w:pPr>
          </w:p>
        </w:tc>
        <w:tc>
          <w:tcPr>
            <w:tcW w:w="34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1720" w:type="dxa"/>
            <w:vAlign w:val="bottom"/>
            <w:vMerge w:val="continue"/>
            <w:shd w:val="clear" w:color="auto" w:fill="E6E7E7"/>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300" w:type="dxa"/>
            <w:vAlign w:val="bottom"/>
            <w:vMerge w:val="continue"/>
            <w:shd w:val="clear" w:color="auto" w:fill="E6E7E7"/>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89"/>
              </w:rPr>
              <w:t>0</w:t>
            </w:r>
          </w:p>
        </w:tc>
        <w:tc>
          <w:tcPr>
            <w:tcW w:w="30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E6E7E7"/>
          </w:tcPr>
          <w:p>
            <w:pPr>
              <w:spacing w:after="0"/>
              <w:rPr>
                <w:sz w:val="8"/>
                <w:szCs w:val="8"/>
                <w:color w:val="auto"/>
              </w:rPr>
            </w:pPr>
          </w:p>
        </w:tc>
        <w:tc>
          <w:tcPr>
            <w:tcW w:w="34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172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11"/>
        </w:trPr>
        <w:tc>
          <w:tcPr>
            <w:tcW w:w="300" w:type="dxa"/>
            <w:vAlign w:val="bottom"/>
            <w:vMerge w:val="restart"/>
            <w:shd w:val="clear" w:color="auto" w:fill="E6E7E7"/>
          </w:tcPr>
          <w:p>
            <w:pPr>
              <w:ind w:left="20"/>
              <w:spacing w:after="0"/>
              <w:rPr>
                <w:sz w:val="20"/>
                <w:szCs w:val="20"/>
                <w:color w:val="auto"/>
              </w:rPr>
            </w:pPr>
            <w:r>
              <w:rPr>
                <w:rFonts w:ascii="Arial" w:cs="Arial" w:eastAsia="Arial" w:hAnsi="Arial"/>
                <w:sz w:val="10"/>
                <w:szCs w:val="10"/>
                <w:color w:val="auto"/>
              </w:rPr>
              <w:t>(h)</w:t>
            </w:r>
          </w:p>
        </w:tc>
        <w:tc>
          <w:tcPr>
            <w:tcW w:w="80" w:type="dxa"/>
            <w:vAlign w:val="bottom"/>
          </w:tcPr>
          <w:p>
            <w:pPr>
              <w:spacing w:after="0"/>
              <w:rPr>
                <w:sz w:val="9"/>
                <w:szCs w:val="9"/>
                <w:color w:val="auto"/>
              </w:rPr>
            </w:pPr>
          </w:p>
        </w:tc>
        <w:tc>
          <w:tcPr>
            <w:tcW w:w="1440" w:type="dxa"/>
            <w:vAlign w:val="bottom"/>
            <w:vMerge w:val="continue"/>
            <w:shd w:val="clear" w:color="auto" w:fill="E6E7E7"/>
          </w:tcPr>
          <w:p>
            <w:pPr>
              <w:spacing w:after="0"/>
              <w:rPr>
                <w:sz w:val="9"/>
                <w:szCs w:val="9"/>
                <w:color w:val="auto"/>
              </w:rPr>
            </w:pPr>
          </w:p>
        </w:tc>
        <w:tc>
          <w:tcPr>
            <w:tcW w:w="300" w:type="dxa"/>
            <w:vAlign w:val="bottom"/>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vMerge w:val="continue"/>
            <w:shd w:val="clear" w:color="auto" w:fill="E6E7E7"/>
          </w:tcPr>
          <w:p>
            <w:pPr>
              <w:spacing w:after="0"/>
              <w:rPr>
                <w:sz w:val="9"/>
                <w:szCs w:val="9"/>
                <w:color w:val="auto"/>
              </w:rPr>
            </w:pPr>
          </w:p>
        </w:tc>
        <w:tc>
          <w:tcPr>
            <w:tcW w:w="100" w:type="dxa"/>
            <w:vAlign w:val="bottom"/>
            <w:shd w:val="clear" w:color="auto" w:fill="E6E7E7"/>
          </w:tcPr>
          <w:p>
            <w:pPr>
              <w:spacing w:after="0"/>
              <w:rPr>
                <w:sz w:val="9"/>
                <w:szCs w:val="9"/>
                <w:color w:val="auto"/>
              </w:rPr>
            </w:pPr>
          </w:p>
        </w:tc>
        <w:tc>
          <w:tcPr>
            <w:tcW w:w="340" w:type="dxa"/>
            <w:vAlign w:val="bottom"/>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vMerge w:val="continue"/>
            <w:shd w:val="clear" w:color="auto" w:fill="E6E7E7"/>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300" w:type="dxa"/>
            <w:vAlign w:val="bottom"/>
            <w:vMerge w:val="continue"/>
            <w:shd w:val="clear" w:color="auto" w:fill="E6E7E7"/>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89"/>
              </w:rPr>
              <w:t>0</w:t>
            </w:r>
          </w:p>
        </w:tc>
        <w:tc>
          <w:tcPr>
            <w:tcW w:w="30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E6E7E7"/>
          </w:tcPr>
          <w:p>
            <w:pPr>
              <w:spacing w:after="0"/>
              <w:rPr>
                <w:sz w:val="8"/>
                <w:szCs w:val="8"/>
                <w:color w:val="auto"/>
              </w:rPr>
            </w:pPr>
          </w:p>
        </w:tc>
        <w:tc>
          <w:tcPr>
            <w:tcW w:w="34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172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11"/>
        </w:trPr>
        <w:tc>
          <w:tcPr>
            <w:tcW w:w="300" w:type="dxa"/>
            <w:vAlign w:val="bottom"/>
            <w:vMerge w:val="restart"/>
            <w:shd w:val="clear" w:color="auto" w:fill="E6E7E7"/>
          </w:tcPr>
          <w:p>
            <w:pPr>
              <w:ind w:left="20"/>
              <w:spacing w:after="0"/>
              <w:rPr>
                <w:sz w:val="20"/>
                <w:szCs w:val="20"/>
                <w:color w:val="auto"/>
              </w:rPr>
            </w:pPr>
            <w:r>
              <w:rPr>
                <w:rFonts w:ascii="Arial" w:cs="Arial" w:eastAsia="Arial" w:hAnsi="Arial"/>
                <w:sz w:val="10"/>
                <w:szCs w:val="10"/>
                <w:color w:val="auto"/>
              </w:rPr>
              <w:t>(e)</w:t>
            </w:r>
          </w:p>
        </w:tc>
        <w:tc>
          <w:tcPr>
            <w:tcW w:w="80" w:type="dxa"/>
            <w:vAlign w:val="bottom"/>
          </w:tcPr>
          <w:p>
            <w:pPr>
              <w:spacing w:after="0"/>
              <w:rPr>
                <w:sz w:val="9"/>
                <w:szCs w:val="9"/>
                <w:color w:val="auto"/>
              </w:rPr>
            </w:pPr>
          </w:p>
        </w:tc>
        <w:tc>
          <w:tcPr>
            <w:tcW w:w="1440" w:type="dxa"/>
            <w:vAlign w:val="bottom"/>
            <w:vMerge w:val="continue"/>
            <w:shd w:val="clear" w:color="auto" w:fill="E6E7E7"/>
          </w:tcPr>
          <w:p>
            <w:pPr>
              <w:spacing w:after="0"/>
              <w:rPr>
                <w:sz w:val="9"/>
                <w:szCs w:val="9"/>
                <w:color w:val="auto"/>
              </w:rPr>
            </w:pPr>
          </w:p>
        </w:tc>
        <w:tc>
          <w:tcPr>
            <w:tcW w:w="300" w:type="dxa"/>
            <w:vAlign w:val="bottom"/>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vMerge w:val="continue"/>
            <w:shd w:val="clear" w:color="auto" w:fill="E6E7E7"/>
          </w:tcPr>
          <w:p>
            <w:pPr>
              <w:spacing w:after="0"/>
              <w:rPr>
                <w:sz w:val="9"/>
                <w:szCs w:val="9"/>
                <w:color w:val="auto"/>
              </w:rPr>
            </w:pPr>
          </w:p>
        </w:tc>
        <w:tc>
          <w:tcPr>
            <w:tcW w:w="100" w:type="dxa"/>
            <w:vAlign w:val="bottom"/>
            <w:shd w:val="clear" w:color="auto" w:fill="E6E7E7"/>
          </w:tcPr>
          <w:p>
            <w:pPr>
              <w:spacing w:after="0"/>
              <w:rPr>
                <w:sz w:val="9"/>
                <w:szCs w:val="9"/>
                <w:color w:val="auto"/>
              </w:rPr>
            </w:pPr>
          </w:p>
        </w:tc>
        <w:tc>
          <w:tcPr>
            <w:tcW w:w="340" w:type="dxa"/>
            <w:vAlign w:val="bottom"/>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vMerge w:val="continue"/>
            <w:shd w:val="clear" w:color="auto" w:fill="E6E7E7"/>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300" w:type="dxa"/>
            <w:vAlign w:val="bottom"/>
            <w:vMerge w:val="continue"/>
            <w:shd w:val="clear" w:color="auto" w:fill="E6E7E7"/>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rPr>
              <w:t>909,584</w:t>
            </w:r>
          </w:p>
        </w:tc>
        <w:tc>
          <w:tcPr>
            <w:tcW w:w="30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E6E7E7"/>
          </w:tcPr>
          <w:p>
            <w:pPr>
              <w:spacing w:after="0"/>
              <w:rPr>
                <w:sz w:val="8"/>
                <w:szCs w:val="8"/>
                <w:color w:val="auto"/>
              </w:rPr>
            </w:pPr>
          </w:p>
        </w:tc>
        <w:tc>
          <w:tcPr>
            <w:tcW w:w="34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172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11"/>
        </w:trPr>
        <w:tc>
          <w:tcPr>
            <w:tcW w:w="300" w:type="dxa"/>
            <w:vAlign w:val="bottom"/>
            <w:shd w:val="clear" w:color="auto" w:fill="E6E7E7"/>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vMerge w:val="continue"/>
            <w:shd w:val="clear" w:color="auto" w:fill="E6E7E7"/>
          </w:tcPr>
          <w:p>
            <w:pPr>
              <w:spacing w:after="0"/>
              <w:rPr>
                <w:sz w:val="9"/>
                <w:szCs w:val="9"/>
                <w:color w:val="auto"/>
              </w:rPr>
            </w:pPr>
          </w:p>
        </w:tc>
        <w:tc>
          <w:tcPr>
            <w:tcW w:w="300" w:type="dxa"/>
            <w:vAlign w:val="bottom"/>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vMerge w:val="continue"/>
            <w:shd w:val="clear" w:color="auto" w:fill="E6E7E7"/>
          </w:tcPr>
          <w:p>
            <w:pPr>
              <w:spacing w:after="0"/>
              <w:rPr>
                <w:sz w:val="9"/>
                <w:szCs w:val="9"/>
                <w:color w:val="auto"/>
              </w:rPr>
            </w:pPr>
          </w:p>
        </w:tc>
        <w:tc>
          <w:tcPr>
            <w:tcW w:w="100" w:type="dxa"/>
            <w:vAlign w:val="bottom"/>
            <w:shd w:val="clear" w:color="auto" w:fill="E6E7E7"/>
          </w:tcPr>
          <w:p>
            <w:pPr>
              <w:spacing w:after="0"/>
              <w:rPr>
                <w:sz w:val="9"/>
                <w:szCs w:val="9"/>
                <w:color w:val="auto"/>
              </w:rPr>
            </w:pPr>
          </w:p>
        </w:tc>
        <w:tc>
          <w:tcPr>
            <w:tcW w:w="340" w:type="dxa"/>
            <w:vAlign w:val="bottom"/>
            <w:vMerge w:val="restart"/>
            <w:shd w:val="clear" w:color="auto" w:fill="E6E7E7"/>
          </w:tcPr>
          <w:p>
            <w:pPr>
              <w:ind w:left="20"/>
              <w:spacing w:after="0"/>
              <w:rPr>
                <w:sz w:val="20"/>
                <w:szCs w:val="20"/>
                <w:color w:val="auto"/>
              </w:rPr>
            </w:pPr>
            <w:r>
              <w:rPr>
                <w:rFonts w:ascii="Arial" w:cs="Arial" w:eastAsia="Arial" w:hAnsi="Arial"/>
                <w:sz w:val="10"/>
                <w:szCs w:val="10"/>
                <w:color w:val="auto"/>
              </w:rPr>
              <w:t>(m)</w:t>
            </w:r>
          </w:p>
        </w:tc>
        <w:tc>
          <w:tcPr>
            <w:tcW w:w="100" w:type="dxa"/>
            <w:vAlign w:val="bottom"/>
          </w:tcPr>
          <w:p>
            <w:pPr>
              <w:spacing w:after="0"/>
              <w:rPr>
                <w:sz w:val="9"/>
                <w:szCs w:val="9"/>
                <w:color w:val="auto"/>
              </w:rPr>
            </w:pPr>
          </w:p>
        </w:tc>
        <w:tc>
          <w:tcPr>
            <w:tcW w:w="1720" w:type="dxa"/>
            <w:vAlign w:val="bottom"/>
            <w:vMerge w:val="continue"/>
            <w:shd w:val="clear" w:color="auto" w:fill="E6E7E7"/>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00" w:type="dxa"/>
            <w:vAlign w:val="bottom"/>
            <w:shd w:val="clear" w:color="auto" w:fill="E6E7E7"/>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300" w:type="dxa"/>
            <w:vAlign w:val="bottom"/>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3"/>
              </w:rPr>
              <w:t>11,514</w:t>
            </w:r>
          </w:p>
        </w:tc>
        <w:tc>
          <w:tcPr>
            <w:tcW w:w="100" w:type="dxa"/>
            <w:vAlign w:val="bottom"/>
            <w:shd w:val="clear" w:color="auto" w:fill="E6E7E7"/>
          </w:tcPr>
          <w:p>
            <w:pPr>
              <w:spacing w:after="0"/>
              <w:rPr>
                <w:sz w:val="9"/>
                <w:szCs w:val="9"/>
                <w:color w:val="auto"/>
              </w:rPr>
            </w:pPr>
          </w:p>
        </w:tc>
        <w:tc>
          <w:tcPr>
            <w:tcW w:w="340" w:type="dxa"/>
            <w:vAlign w:val="bottom"/>
            <w:vMerge w:val="continue"/>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rPr>
              <w:t>1,023,249</w:t>
            </w:r>
          </w:p>
        </w:tc>
        <w:tc>
          <w:tcPr>
            <w:tcW w:w="0" w:type="dxa"/>
            <w:vAlign w:val="bottom"/>
          </w:tcPr>
          <w:p>
            <w:pPr>
              <w:spacing w:after="0"/>
              <w:rPr>
                <w:sz w:val="1"/>
                <w:szCs w:val="1"/>
                <w:color w:val="auto"/>
              </w:rPr>
            </w:pPr>
          </w:p>
        </w:tc>
      </w:tr>
      <w:tr>
        <w:trPr>
          <w:trHeight w:val="97"/>
        </w:trPr>
        <w:tc>
          <w:tcPr>
            <w:tcW w:w="300" w:type="dxa"/>
            <w:vAlign w:val="bottom"/>
            <w:shd w:val="clear" w:color="auto" w:fill="E6E7E7"/>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vMerge w:val="continue"/>
            <w:shd w:val="clear" w:color="auto" w:fill="E6E7E7"/>
          </w:tcPr>
          <w:p>
            <w:pPr>
              <w:spacing w:after="0"/>
              <w:rPr>
                <w:sz w:val="8"/>
                <w:szCs w:val="8"/>
                <w:color w:val="auto"/>
              </w:rPr>
            </w:pPr>
          </w:p>
        </w:tc>
        <w:tc>
          <w:tcPr>
            <w:tcW w:w="30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vMerge w:val="continue"/>
            <w:shd w:val="clear" w:color="auto" w:fill="E6E7E7"/>
          </w:tcPr>
          <w:p>
            <w:pPr>
              <w:spacing w:after="0"/>
              <w:rPr>
                <w:sz w:val="8"/>
                <w:szCs w:val="8"/>
                <w:color w:val="auto"/>
              </w:rPr>
            </w:pPr>
          </w:p>
        </w:tc>
        <w:tc>
          <w:tcPr>
            <w:tcW w:w="100" w:type="dxa"/>
            <w:vAlign w:val="bottom"/>
            <w:shd w:val="clear" w:color="auto" w:fill="E6E7E7"/>
          </w:tcPr>
          <w:p>
            <w:pPr>
              <w:spacing w:after="0"/>
              <w:rPr>
                <w:sz w:val="8"/>
                <w:szCs w:val="8"/>
                <w:color w:val="auto"/>
              </w:rPr>
            </w:pPr>
          </w:p>
        </w:tc>
        <w:tc>
          <w:tcPr>
            <w:tcW w:w="340" w:type="dxa"/>
            <w:vAlign w:val="bottom"/>
            <w:vMerge w:val="restart"/>
            <w:shd w:val="clear" w:color="auto" w:fill="E6E7E7"/>
          </w:tcPr>
          <w:p>
            <w:pPr>
              <w:ind w:left="20"/>
              <w:spacing w:after="0"/>
              <w:rPr>
                <w:sz w:val="20"/>
                <w:szCs w:val="20"/>
                <w:color w:val="auto"/>
              </w:rPr>
            </w:pPr>
            <w:r>
              <w:rPr>
                <w:rFonts w:ascii="Arial" w:cs="Arial" w:eastAsia="Arial" w:hAnsi="Arial"/>
                <w:sz w:val="10"/>
                <w:szCs w:val="10"/>
                <w:color w:val="auto"/>
              </w:rPr>
              <w:t>(o)</w:t>
            </w:r>
          </w:p>
        </w:tc>
        <w:tc>
          <w:tcPr>
            <w:tcW w:w="100" w:type="dxa"/>
            <w:vAlign w:val="bottom"/>
          </w:tcPr>
          <w:p>
            <w:pPr>
              <w:spacing w:after="0"/>
              <w:rPr>
                <w:sz w:val="8"/>
                <w:szCs w:val="8"/>
                <w:color w:val="auto"/>
              </w:rPr>
            </w:pPr>
          </w:p>
        </w:tc>
        <w:tc>
          <w:tcPr>
            <w:tcW w:w="1720" w:type="dxa"/>
            <w:vAlign w:val="bottom"/>
            <w:vMerge w:val="continue"/>
            <w:shd w:val="clear" w:color="auto" w:fill="E6E7E7"/>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300" w:type="dxa"/>
            <w:vAlign w:val="bottom"/>
            <w:shd w:val="clear" w:color="auto" w:fill="E6E7E7"/>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300" w:type="dxa"/>
            <w:vAlign w:val="bottom"/>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3"/>
              </w:rPr>
              <w:t>11,514</w:t>
            </w:r>
          </w:p>
        </w:tc>
        <w:tc>
          <w:tcPr>
            <w:tcW w:w="100" w:type="dxa"/>
            <w:vAlign w:val="bottom"/>
            <w:shd w:val="clear" w:color="auto" w:fill="E6E7E7"/>
          </w:tcPr>
          <w:p>
            <w:pPr>
              <w:spacing w:after="0"/>
              <w:rPr>
                <w:sz w:val="9"/>
                <w:szCs w:val="9"/>
                <w:color w:val="auto"/>
              </w:rPr>
            </w:pPr>
          </w:p>
        </w:tc>
        <w:tc>
          <w:tcPr>
            <w:tcW w:w="340" w:type="dxa"/>
            <w:vAlign w:val="bottom"/>
            <w:vMerge w:val="continue"/>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rPr>
              <w:t>1,023,249</w:t>
            </w:r>
          </w:p>
        </w:tc>
        <w:tc>
          <w:tcPr>
            <w:tcW w:w="0" w:type="dxa"/>
            <w:vAlign w:val="bottom"/>
          </w:tcPr>
          <w:p>
            <w:pPr>
              <w:spacing w:after="0"/>
              <w:rPr>
                <w:sz w:val="1"/>
                <w:szCs w:val="1"/>
                <w:color w:val="auto"/>
              </w:rPr>
            </w:pPr>
          </w:p>
        </w:tc>
      </w:tr>
      <w:tr>
        <w:trPr>
          <w:trHeight w:val="97"/>
        </w:trPr>
        <w:tc>
          <w:tcPr>
            <w:tcW w:w="300" w:type="dxa"/>
            <w:vAlign w:val="bottom"/>
            <w:vMerge w:val="restart"/>
            <w:shd w:val="clear" w:color="auto" w:fill="E6E7E7"/>
          </w:tcPr>
          <w:p>
            <w:pPr>
              <w:ind w:left="20"/>
              <w:spacing w:after="0"/>
              <w:rPr>
                <w:sz w:val="20"/>
                <w:szCs w:val="20"/>
                <w:color w:val="auto"/>
              </w:rPr>
            </w:pPr>
            <w:r>
              <w:rPr>
                <w:rFonts w:ascii="Arial" w:cs="Arial" w:eastAsia="Arial" w:hAnsi="Arial"/>
                <w:sz w:val="10"/>
                <w:szCs w:val="10"/>
                <w:color w:val="auto"/>
              </w:rPr>
              <w:t>(i)</w:t>
            </w:r>
          </w:p>
        </w:tc>
        <w:tc>
          <w:tcPr>
            <w:tcW w:w="80" w:type="dxa"/>
            <w:vAlign w:val="bottom"/>
          </w:tcPr>
          <w:p>
            <w:pPr>
              <w:spacing w:after="0"/>
              <w:rPr>
                <w:sz w:val="8"/>
                <w:szCs w:val="8"/>
                <w:color w:val="auto"/>
              </w:rPr>
            </w:pPr>
          </w:p>
        </w:tc>
        <w:tc>
          <w:tcPr>
            <w:tcW w:w="1440" w:type="dxa"/>
            <w:vAlign w:val="bottom"/>
            <w:vMerge w:val="continue"/>
            <w:shd w:val="clear" w:color="auto" w:fill="E6E7E7"/>
          </w:tcPr>
          <w:p>
            <w:pPr>
              <w:spacing w:after="0"/>
              <w:rPr>
                <w:sz w:val="8"/>
                <w:szCs w:val="8"/>
                <w:color w:val="auto"/>
              </w:rPr>
            </w:pPr>
          </w:p>
        </w:tc>
        <w:tc>
          <w:tcPr>
            <w:tcW w:w="30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vMerge w:val="continue"/>
            <w:shd w:val="clear" w:color="auto" w:fill="E6E7E7"/>
          </w:tcPr>
          <w:p>
            <w:pPr>
              <w:spacing w:after="0"/>
              <w:rPr>
                <w:sz w:val="8"/>
                <w:szCs w:val="8"/>
                <w:color w:val="auto"/>
              </w:rPr>
            </w:pPr>
          </w:p>
        </w:tc>
        <w:tc>
          <w:tcPr>
            <w:tcW w:w="100" w:type="dxa"/>
            <w:vAlign w:val="bottom"/>
            <w:shd w:val="clear" w:color="auto" w:fill="E6E7E7"/>
          </w:tcPr>
          <w:p>
            <w:pPr>
              <w:spacing w:after="0"/>
              <w:rPr>
                <w:sz w:val="8"/>
                <w:szCs w:val="8"/>
                <w:color w:val="auto"/>
              </w:rPr>
            </w:pPr>
          </w:p>
        </w:tc>
        <w:tc>
          <w:tcPr>
            <w:tcW w:w="34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1720" w:type="dxa"/>
            <w:vAlign w:val="bottom"/>
            <w:vMerge w:val="continue"/>
            <w:shd w:val="clear" w:color="auto" w:fill="E6E7E7"/>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300" w:type="dxa"/>
            <w:vAlign w:val="bottom"/>
            <w:vMerge w:val="continue"/>
            <w:shd w:val="clear" w:color="auto" w:fill="E6E7E7"/>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8"/>
              </w:rPr>
              <w:t>3,597,280</w:t>
            </w:r>
          </w:p>
        </w:tc>
        <w:tc>
          <w:tcPr>
            <w:tcW w:w="30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E6E7E7"/>
          </w:tcPr>
          <w:p>
            <w:pPr>
              <w:spacing w:after="0"/>
              <w:rPr>
                <w:sz w:val="8"/>
                <w:szCs w:val="8"/>
                <w:color w:val="auto"/>
              </w:rPr>
            </w:pPr>
          </w:p>
        </w:tc>
        <w:tc>
          <w:tcPr>
            <w:tcW w:w="34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172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11"/>
        </w:trPr>
        <w:tc>
          <w:tcPr>
            <w:tcW w:w="300" w:type="dxa"/>
            <w:vAlign w:val="bottom"/>
            <w:shd w:val="clear" w:color="auto" w:fill="E6E7E7"/>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vMerge w:val="continue"/>
            <w:shd w:val="clear" w:color="auto" w:fill="E6E7E7"/>
          </w:tcPr>
          <w:p>
            <w:pPr>
              <w:spacing w:after="0"/>
              <w:rPr>
                <w:sz w:val="9"/>
                <w:szCs w:val="9"/>
                <w:color w:val="auto"/>
              </w:rPr>
            </w:pPr>
          </w:p>
        </w:tc>
        <w:tc>
          <w:tcPr>
            <w:tcW w:w="300" w:type="dxa"/>
            <w:vAlign w:val="bottom"/>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vMerge w:val="continue"/>
            <w:shd w:val="clear" w:color="auto" w:fill="E6E7E7"/>
          </w:tcPr>
          <w:p>
            <w:pPr>
              <w:spacing w:after="0"/>
              <w:rPr>
                <w:sz w:val="9"/>
                <w:szCs w:val="9"/>
                <w:color w:val="auto"/>
              </w:rPr>
            </w:pPr>
          </w:p>
        </w:tc>
        <w:tc>
          <w:tcPr>
            <w:tcW w:w="100" w:type="dxa"/>
            <w:vAlign w:val="bottom"/>
            <w:shd w:val="clear" w:color="auto" w:fill="E6E7E7"/>
          </w:tcPr>
          <w:p>
            <w:pPr>
              <w:spacing w:after="0"/>
              <w:rPr>
                <w:sz w:val="9"/>
                <w:szCs w:val="9"/>
                <w:color w:val="auto"/>
              </w:rPr>
            </w:pPr>
          </w:p>
        </w:tc>
        <w:tc>
          <w:tcPr>
            <w:tcW w:w="340" w:type="dxa"/>
            <w:vAlign w:val="bottom"/>
            <w:vMerge w:val="restart"/>
            <w:shd w:val="clear" w:color="auto" w:fill="E6E7E7"/>
          </w:tcPr>
          <w:p>
            <w:pPr>
              <w:ind w:left="20"/>
              <w:spacing w:after="0"/>
              <w:rPr>
                <w:sz w:val="20"/>
                <w:szCs w:val="20"/>
                <w:color w:val="auto"/>
              </w:rPr>
            </w:pPr>
            <w:r>
              <w:rPr>
                <w:rFonts w:ascii="Arial" w:cs="Arial" w:eastAsia="Arial" w:hAnsi="Arial"/>
                <w:sz w:val="10"/>
                <w:szCs w:val="10"/>
                <w:color w:val="auto"/>
              </w:rPr>
              <w:t>(p)</w:t>
            </w:r>
          </w:p>
        </w:tc>
        <w:tc>
          <w:tcPr>
            <w:tcW w:w="100" w:type="dxa"/>
            <w:vAlign w:val="bottom"/>
          </w:tcPr>
          <w:p>
            <w:pPr>
              <w:spacing w:after="0"/>
              <w:rPr>
                <w:sz w:val="9"/>
                <w:szCs w:val="9"/>
                <w:color w:val="auto"/>
              </w:rPr>
            </w:pPr>
          </w:p>
        </w:tc>
        <w:tc>
          <w:tcPr>
            <w:tcW w:w="1720" w:type="dxa"/>
            <w:vAlign w:val="bottom"/>
            <w:vMerge w:val="continue"/>
            <w:shd w:val="clear" w:color="auto" w:fill="E6E7E7"/>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00" w:type="dxa"/>
            <w:vAlign w:val="bottom"/>
            <w:shd w:val="clear" w:color="auto" w:fill="E6E7E7"/>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300" w:type="dxa"/>
            <w:vAlign w:val="bottom"/>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4"/>
              </w:rPr>
              <w:t>9,873</w:t>
            </w:r>
          </w:p>
        </w:tc>
        <w:tc>
          <w:tcPr>
            <w:tcW w:w="100" w:type="dxa"/>
            <w:vAlign w:val="bottom"/>
            <w:shd w:val="clear" w:color="auto" w:fill="E6E7E7"/>
          </w:tcPr>
          <w:p>
            <w:pPr>
              <w:spacing w:after="0"/>
              <w:rPr>
                <w:sz w:val="9"/>
                <w:szCs w:val="9"/>
                <w:color w:val="auto"/>
              </w:rPr>
            </w:pPr>
          </w:p>
        </w:tc>
        <w:tc>
          <w:tcPr>
            <w:tcW w:w="340" w:type="dxa"/>
            <w:vAlign w:val="bottom"/>
            <w:vMerge w:val="continue"/>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6"/>
              </w:rPr>
              <w:t>877,414</w:t>
            </w:r>
          </w:p>
        </w:tc>
        <w:tc>
          <w:tcPr>
            <w:tcW w:w="0" w:type="dxa"/>
            <w:vAlign w:val="bottom"/>
          </w:tcPr>
          <w:p>
            <w:pPr>
              <w:spacing w:after="0"/>
              <w:rPr>
                <w:sz w:val="1"/>
                <w:szCs w:val="1"/>
                <w:color w:val="auto"/>
              </w:rPr>
            </w:pPr>
          </w:p>
        </w:tc>
      </w:tr>
      <w:tr>
        <w:trPr>
          <w:trHeight w:val="97"/>
        </w:trPr>
        <w:tc>
          <w:tcPr>
            <w:tcW w:w="300" w:type="dxa"/>
            <w:vAlign w:val="bottom"/>
            <w:vMerge w:val="restart"/>
            <w:shd w:val="clear" w:color="auto" w:fill="E6E7E7"/>
          </w:tcPr>
          <w:p>
            <w:pPr>
              <w:ind w:left="20"/>
              <w:spacing w:after="0"/>
              <w:rPr>
                <w:sz w:val="20"/>
                <w:szCs w:val="20"/>
                <w:color w:val="auto"/>
              </w:rPr>
            </w:pPr>
            <w:r>
              <w:rPr>
                <w:rFonts w:ascii="Arial" w:cs="Arial" w:eastAsia="Arial" w:hAnsi="Arial"/>
                <w:sz w:val="10"/>
                <w:szCs w:val="10"/>
                <w:color w:val="auto"/>
              </w:rPr>
              <w:t>(e)</w:t>
            </w:r>
          </w:p>
        </w:tc>
        <w:tc>
          <w:tcPr>
            <w:tcW w:w="80" w:type="dxa"/>
            <w:vAlign w:val="bottom"/>
          </w:tcPr>
          <w:p>
            <w:pPr>
              <w:spacing w:after="0"/>
              <w:rPr>
                <w:sz w:val="8"/>
                <w:szCs w:val="8"/>
                <w:color w:val="auto"/>
              </w:rPr>
            </w:pPr>
          </w:p>
        </w:tc>
        <w:tc>
          <w:tcPr>
            <w:tcW w:w="1440" w:type="dxa"/>
            <w:vAlign w:val="bottom"/>
            <w:vMerge w:val="continue"/>
            <w:shd w:val="clear" w:color="auto" w:fill="E6E7E7"/>
          </w:tcPr>
          <w:p>
            <w:pPr>
              <w:spacing w:after="0"/>
              <w:rPr>
                <w:sz w:val="8"/>
                <w:szCs w:val="8"/>
                <w:color w:val="auto"/>
              </w:rPr>
            </w:pPr>
          </w:p>
        </w:tc>
        <w:tc>
          <w:tcPr>
            <w:tcW w:w="30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vMerge w:val="continue"/>
            <w:shd w:val="clear" w:color="auto" w:fill="E6E7E7"/>
          </w:tcPr>
          <w:p>
            <w:pPr>
              <w:spacing w:after="0"/>
              <w:rPr>
                <w:sz w:val="8"/>
                <w:szCs w:val="8"/>
                <w:color w:val="auto"/>
              </w:rPr>
            </w:pPr>
          </w:p>
        </w:tc>
        <w:tc>
          <w:tcPr>
            <w:tcW w:w="100" w:type="dxa"/>
            <w:vAlign w:val="bottom"/>
            <w:shd w:val="clear" w:color="auto" w:fill="E6E7E7"/>
          </w:tcPr>
          <w:p>
            <w:pPr>
              <w:spacing w:after="0"/>
              <w:rPr>
                <w:sz w:val="8"/>
                <w:szCs w:val="8"/>
                <w:color w:val="auto"/>
              </w:rPr>
            </w:pPr>
          </w:p>
        </w:tc>
        <w:tc>
          <w:tcPr>
            <w:tcW w:w="34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1720" w:type="dxa"/>
            <w:vAlign w:val="bottom"/>
            <w:vMerge w:val="continue"/>
            <w:shd w:val="clear" w:color="auto" w:fill="E6E7E7"/>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300" w:type="dxa"/>
            <w:vAlign w:val="bottom"/>
            <w:vMerge w:val="continue"/>
            <w:shd w:val="clear" w:color="auto" w:fill="E6E7E7"/>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8"/>
              </w:rPr>
              <w:t>1,447,692</w:t>
            </w:r>
          </w:p>
        </w:tc>
        <w:tc>
          <w:tcPr>
            <w:tcW w:w="30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E6E7E7"/>
          </w:tcPr>
          <w:p>
            <w:pPr>
              <w:spacing w:after="0"/>
              <w:rPr>
                <w:sz w:val="8"/>
                <w:szCs w:val="8"/>
                <w:color w:val="auto"/>
              </w:rPr>
            </w:pPr>
          </w:p>
        </w:tc>
        <w:tc>
          <w:tcPr>
            <w:tcW w:w="34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172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11"/>
        </w:trPr>
        <w:tc>
          <w:tcPr>
            <w:tcW w:w="300" w:type="dxa"/>
            <w:vAlign w:val="bottom"/>
            <w:shd w:val="clear" w:color="auto" w:fill="E6E7E7"/>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vMerge w:val="continue"/>
            <w:shd w:val="clear" w:color="auto" w:fill="E6E7E7"/>
          </w:tcPr>
          <w:p>
            <w:pPr>
              <w:spacing w:after="0"/>
              <w:rPr>
                <w:sz w:val="9"/>
                <w:szCs w:val="9"/>
                <w:color w:val="auto"/>
              </w:rPr>
            </w:pPr>
          </w:p>
        </w:tc>
        <w:tc>
          <w:tcPr>
            <w:tcW w:w="300" w:type="dxa"/>
            <w:vAlign w:val="bottom"/>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vMerge w:val="continue"/>
            <w:shd w:val="clear" w:color="auto" w:fill="E6E7E7"/>
          </w:tcPr>
          <w:p>
            <w:pPr>
              <w:spacing w:after="0"/>
              <w:rPr>
                <w:sz w:val="9"/>
                <w:szCs w:val="9"/>
                <w:color w:val="auto"/>
              </w:rPr>
            </w:pPr>
          </w:p>
        </w:tc>
        <w:tc>
          <w:tcPr>
            <w:tcW w:w="100" w:type="dxa"/>
            <w:vAlign w:val="bottom"/>
            <w:shd w:val="clear" w:color="auto" w:fill="E6E7E7"/>
          </w:tcPr>
          <w:p>
            <w:pPr>
              <w:spacing w:after="0"/>
              <w:rPr>
                <w:sz w:val="9"/>
                <w:szCs w:val="9"/>
                <w:color w:val="auto"/>
              </w:rPr>
            </w:pPr>
          </w:p>
        </w:tc>
        <w:tc>
          <w:tcPr>
            <w:tcW w:w="340" w:type="dxa"/>
            <w:vAlign w:val="bottom"/>
            <w:vMerge w:val="restart"/>
            <w:shd w:val="clear" w:color="auto" w:fill="E6E7E7"/>
          </w:tcPr>
          <w:p>
            <w:pPr>
              <w:ind w:left="20"/>
              <w:spacing w:after="0"/>
              <w:rPr>
                <w:sz w:val="20"/>
                <w:szCs w:val="20"/>
                <w:color w:val="auto"/>
              </w:rPr>
            </w:pPr>
            <w:r>
              <w:rPr>
                <w:rFonts w:ascii="Arial" w:cs="Arial" w:eastAsia="Arial" w:hAnsi="Arial"/>
                <w:sz w:val="10"/>
                <w:szCs w:val="10"/>
                <w:color w:val="auto"/>
              </w:rPr>
              <w:t>(m)</w:t>
            </w:r>
          </w:p>
        </w:tc>
        <w:tc>
          <w:tcPr>
            <w:tcW w:w="100" w:type="dxa"/>
            <w:vAlign w:val="bottom"/>
          </w:tcPr>
          <w:p>
            <w:pPr>
              <w:spacing w:after="0"/>
              <w:rPr>
                <w:sz w:val="9"/>
                <w:szCs w:val="9"/>
                <w:color w:val="auto"/>
              </w:rPr>
            </w:pPr>
          </w:p>
        </w:tc>
        <w:tc>
          <w:tcPr>
            <w:tcW w:w="1720" w:type="dxa"/>
            <w:vAlign w:val="bottom"/>
            <w:vMerge w:val="continue"/>
            <w:shd w:val="clear" w:color="auto" w:fill="E6E7E7"/>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00" w:type="dxa"/>
            <w:vAlign w:val="bottom"/>
            <w:shd w:val="clear" w:color="auto" w:fill="E6E7E7"/>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300" w:type="dxa"/>
            <w:vAlign w:val="bottom"/>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rPr>
              <w:t>12,217</w:t>
            </w:r>
          </w:p>
        </w:tc>
        <w:tc>
          <w:tcPr>
            <w:tcW w:w="100" w:type="dxa"/>
            <w:vAlign w:val="bottom"/>
            <w:shd w:val="clear" w:color="auto" w:fill="E6E7E7"/>
          </w:tcPr>
          <w:p>
            <w:pPr>
              <w:spacing w:after="0"/>
              <w:rPr>
                <w:sz w:val="9"/>
                <w:szCs w:val="9"/>
                <w:color w:val="auto"/>
              </w:rPr>
            </w:pPr>
          </w:p>
        </w:tc>
        <w:tc>
          <w:tcPr>
            <w:tcW w:w="340" w:type="dxa"/>
            <w:vAlign w:val="bottom"/>
            <w:vMerge w:val="continue"/>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rPr>
              <w:t>1,085,725</w:t>
            </w:r>
          </w:p>
        </w:tc>
        <w:tc>
          <w:tcPr>
            <w:tcW w:w="0" w:type="dxa"/>
            <w:vAlign w:val="bottom"/>
          </w:tcPr>
          <w:p>
            <w:pPr>
              <w:spacing w:after="0"/>
              <w:rPr>
                <w:sz w:val="1"/>
                <w:szCs w:val="1"/>
                <w:color w:val="auto"/>
              </w:rPr>
            </w:pPr>
          </w:p>
        </w:tc>
      </w:tr>
      <w:tr>
        <w:trPr>
          <w:trHeight w:val="97"/>
        </w:trPr>
        <w:tc>
          <w:tcPr>
            <w:tcW w:w="300" w:type="dxa"/>
            <w:vAlign w:val="bottom"/>
            <w:shd w:val="clear" w:color="auto" w:fill="E6E7E7"/>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vMerge w:val="continue"/>
            <w:shd w:val="clear" w:color="auto" w:fill="E6E7E7"/>
          </w:tcPr>
          <w:p>
            <w:pPr>
              <w:spacing w:after="0"/>
              <w:rPr>
                <w:sz w:val="8"/>
                <w:szCs w:val="8"/>
                <w:color w:val="auto"/>
              </w:rPr>
            </w:pPr>
          </w:p>
        </w:tc>
        <w:tc>
          <w:tcPr>
            <w:tcW w:w="30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vMerge w:val="continue"/>
            <w:shd w:val="clear" w:color="auto" w:fill="E6E7E7"/>
          </w:tcPr>
          <w:p>
            <w:pPr>
              <w:spacing w:after="0"/>
              <w:rPr>
                <w:sz w:val="8"/>
                <w:szCs w:val="8"/>
                <w:color w:val="auto"/>
              </w:rPr>
            </w:pPr>
          </w:p>
        </w:tc>
        <w:tc>
          <w:tcPr>
            <w:tcW w:w="100" w:type="dxa"/>
            <w:vAlign w:val="bottom"/>
            <w:shd w:val="clear" w:color="auto" w:fill="E6E7E7"/>
          </w:tcPr>
          <w:p>
            <w:pPr>
              <w:spacing w:after="0"/>
              <w:rPr>
                <w:sz w:val="8"/>
                <w:szCs w:val="8"/>
                <w:color w:val="auto"/>
              </w:rPr>
            </w:pPr>
          </w:p>
        </w:tc>
        <w:tc>
          <w:tcPr>
            <w:tcW w:w="340" w:type="dxa"/>
            <w:vAlign w:val="bottom"/>
            <w:vMerge w:val="restart"/>
            <w:shd w:val="clear" w:color="auto" w:fill="E6E7E7"/>
          </w:tcPr>
          <w:p>
            <w:pPr>
              <w:ind w:left="20"/>
              <w:spacing w:after="0"/>
              <w:rPr>
                <w:sz w:val="20"/>
                <w:szCs w:val="20"/>
                <w:color w:val="auto"/>
              </w:rPr>
            </w:pPr>
            <w:r>
              <w:rPr>
                <w:rFonts w:ascii="Arial" w:cs="Arial" w:eastAsia="Arial" w:hAnsi="Arial"/>
                <w:sz w:val="10"/>
                <w:szCs w:val="10"/>
                <w:color w:val="auto"/>
              </w:rPr>
              <w:t>(n)</w:t>
            </w:r>
          </w:p>
        </w:tc>
        <w:tc>
          <w:tcPr>
            <w:tcW w:w="100" w:type="dxa"/>
            <w:vAlign w:val="bottom"/>
          </w:tcPr>
          <w:p>
            <w:pPr>
              <w:spacing w:after="0"/>
              <w:rPr>
                <w:sz w:val="8"/>
                <w:szCs w:val="8"/>
                <w:color w:val="auto"/>
              </w:rPr>
            </w:pPr>
          </w:p>
        </w:tc>
        <w:tc>
          <w:tcPr>
            <w:tcW w:w="1720" w:type="dxa"/>
            <w:vAlign w:val="bottom"/>
            <w:vMerge w:val="continue"/>
            <w:shd w:val="clear" w:color="auto" w:fill="E6E7E7"/>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300" w:type="dxa"/>
            <w:vAlign w:val="bottom"/>
            <w:shd w:val="clear" w:color="auto" w:fill="E6E7E7"/>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300" w:type="dxa"/>
            <w:vAlign w:val="bottom"/>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rPr>
              <w:t>12,217</w:t>
            </w:r>
          </w:p>
        </w:tc>
        <w:tc>
          <w:tcPr>
            <w:tcW w:w="100" w:type="dxa"/>
            <w:vAlign w:val="bottom"/>
            <w:shd w:val="clear" w:color="auto" w:fill="E6E7E7"/>
          </w:tcPr>
          <w:p>
            <w:pPr>
              <w:spacing w:after="0"/>
              <w:rPr>
                <w:sz w:val="9"/>
                <w:szCs w:val="9"/>
                <w:color w:val="auto"/>
              </w:rPr>
            </w:pPr>
          </w:p>
        </w:tc>
        <w:tc>
          <w:tcPr>
            <w:tcW w:w="340" w:type="dxa"/>
            <w:vAlign w:val="bottom"/>
            <w:vMerge w:val="continue"/>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rPr>
              <w:t>1,085,725</w:t>
            </w:r>
          </w:p>
        </w:tc>
        <w:tc>
          <w:tcPr>
            <w:tcW w:w="0" w:type="dxa"/>
            <w:vAlign w:val="bottom"/>
          </w:tcPr>
          <w:p>
            <w:pPr>
              <w:spacing w:after="0"/>
              <w:rPr>
                <w:sz w:val="1"/>
                <w:szCs w:val="1"/>
                <w:color w:val="auto"/>
              </w:rPr>
            </w:pPr>
          </w:p>
        </w:tc>
      </w:tr>
      <w:tr>
        <w:trPr>
          <w:trHeight w:val="100"/>
        </w:trPr>
        <w:tc>
          <w:tcPr>
            <w:tcW w:w="300" w:type="dxa"/>
            <w:vAlign w:val="bottom"/>
            <w:shd w:val="clear" w:color="auto" w:fill="E6E7E7"/>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vMerge w:val="continue"/>
            <w:shd w:val="clear" w:color="auto" w:fill="E6E7E7"/>
          </w:tcPr>
          <w:p>
            <w:pPr>
              <w:spacing w:after="0"/>
              <w:rPr>
                <w:sz w:val="8"/>
                <w:szCs w:val="8"/>
                <w:color w:val="auto"/>
              </w:rPr>
            </w:pPr>
          </w:p>
        </w:tc>
        <w:tc>
          <w:tcPr>
            <w:tcW w:w="30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vMerge w:val="continue"/>
            <w:shd w:val="clear" w:color="auto" w:fill="E6E7E7"/>
          </w:tcPr>
          <w:p>
            <w:pPr>
              <w:spacing w:after="0"/>
              <w:rPr>
                <w:sz w:val="8"/>
                <w:szCs w:val="8"/>
                <w:color w:val="auto"/>
              </w:rPr>
            </w:pPr>
          </w:p>
        </w:tc>
        <w:tc>
          <w:tcPr>
            <w:tcW w:w="100" w:type="dxa"/>
            <w:vAlign w:val="bottom"/>
            <w:shd w:val="clear" w:color="auto" w:fill="E6E7E7"/>
          </w:tcPr>
          <w:p>
            <w:pPr>
              <w:spacing w:after="0"/>
              <w:rPr>
                <w:sz w:val="8"/>
                <w:szCs w:val="8"/>
                <w:color w:val="auto"/>
              </w:rPr>
            </w:pPr>
          </w:p>
        </w:tc>
        <w:tc>
          <w:tcPr>
            <w:tcW w:w="34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1720" w:type="dxa"/>
            <w:vAlign w:val="bottom"/>
            <w:vMerge w:val="continue"/>
            <w:shd w:val="clear" w:color="auto" w:fill="E6E7E7"/>
          </w:tcPr>
          <w:p>
            <w:pPr>
              <w:spacing w:after="0"/>
              <w:rPr>
                <w:sz w:val="8"/>
                <w:szCs w:val="8"/>
                <w:color w:val="auto"/>
              </w:rPr>
            </w:pPr>
          </w:p>
        </w:tc>
        <w:tc>
          <w:tcPr>
            <w:tcW w:w="0" w:type="dxa"/>
            <w:vAlign w:val="bottom"/>
          </w:tcPr>
          <w:p>
            <w:pPr>
              <w:spacing w:after="0"/>
              <w:rPr>
                <w:sz w:val="1"/>
                <w:szCs w:val="1"/>
                <w:color w:val="auto"/>
              </w:rPr>
            </w:pPr>
          </w:p>
        </w:tc>
      </w:tr>
      <w:tr>
        <w:trPr>
          <w:trHeight w:val="350"/>
        </w:trPr>
        <w:tc>
          <w:tcPr>
            <w:tcW w:w="300" w:type="dxa"/>
            <w:vAlign w:val="bottom"/>
          </w:tcPr>
          <w:p>
            <w:pPr>
              <w:ind w:left="20"/>
              <w:spacing w:after="0"/>
              <w:rPr>
                <w:sz w:val="20"/>
                <w:szCs w:val="20"/>
                <w:color w:val="auto"/>
              </w:rPr>
            </w:pPr>
            <w:r>
              <w:rPr>
                <w:rFonts w:ascii="Arial" w:cs="Arial" w:eastAsia="Arial" w:hAnsi="Arial"/>
                <w:sz w:val="10"/>
                <w:szCs w:val="10"/>
                <w:color w:val="auto"/>
              </w:rPr>
              <w:t>(e)</w:t>
            </w:r>
          </w:p>
        </w:tc>
        <w:tc>
          <w:tcPr>
            <w:tcW w:w="1520" w:type="dxa"/>
            <w:vAlign w:val="bottom"/>
            <w:gridSpan w:val="2"/>
            <w:vMerge w:val="restart"/>
          </w:tcPr>
          <w:p>
            <w:pPr>
              <w:jc w:val="center"/>
              <w:ind w:left="21"/>
              <w:spacing w:after="0"/>
              <w:rPr>
                <w:sz w:val="20"/>
                <w:szCs w:val="20"/>
                <w:color w:val="auto"/>
              </w:rPr>
            </w:pPr>
            <w:r>
              <w:rPr>
                <w:rFonts w:ascii="Arial" w:cs="Arial" w:eastAsia="Arial" w:hAnsi="Arial"/>
                <w:sz w:val="16"/>
                <w:szCs w:val="16"/>
                <w:color w:val="auto"/>
              </w:rPr>
              <w:t>347,659</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97"/>
        </w:trPr>
        <w:tc>
          <w:tcPr>
            <w:tcW w:w="300" w:type="dxa"/>
            <w:vAlign w:val="bottom"/>
            <w:vMerge w:val="restart"/>
          </w:tcPr>
          <w:p>
            <w:pPr>
              <w:ind w:left="20"/>
              <w:spacing w:after="0"/>
              <w:rPr>
                <w:sz w:val="20"/>
                <w:szCs w:val="20"/>
                <w:color w:val="auto"/>
              </w:rPr>
            </w:pPr>
            <w:r>
              <w:rPr>
                <w:rFonts w:ascii="Arial" w:cs="Arial" w:eastAsia="Arial" w:hAnsi="Arial"/>
                <w:sz w:val="10"/>
                <w:szCs w:val="10"/>
                <w:color w:val="auto"/>
              </w:rPr>
              <w:t>(g)</w:t>
            </w:r>
          </w:p>
        </w:tc>
        <w:tc>
          <w:tcPr>
            <w:tcW w:w="152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300" w:type="dxa"/>
            <w:vAlign w:val="bottom"/>
            <w:vMerge w:val="continue"/>
          </w:tcPr>
          <w:p>
            <w:pPr>
              <w:spacing w:after="0"/>
              <w:rPr>
                <w:sz w:val="9"/>
                <w:szCs w:val="9"/>
                <w:color w:val="auto"/>
              </w:rPr>
            </w:pPr>
          </w:p>
        </w:tc>
        <w:tc>
          <w:tcPr>
            <w:tcW w:w="1520" w:type="dxa"/>
            <w:vAlign w:val="bottom"/>
            <w:gridSpan w:val="2"/>
            <w:vMerge w:val="restart"/>
          </w:tcPr>
          <w:p>
            <w:pPr>
              <w:jc w:val="center"/>
              <w:ind w:left="1"/>
              <w:spacing w:after="0"/>
              <w:rPr>
                <w:sz w:val="20"/>
                <w:szCs w:val="20"/>
                <w:color w:val="auto"/>
              </w:rPr>
            </w:pPr>
            <w:r>
              <w:rPr>
                <w:rFonts w:ascii="Arial" w:cs="Arial" w:eastAsia="Arial" w:hAnsi="Arial"/>
                <w:sz w:val="16"/>
                <w:szCs w:val="16"/>
                <w:color w:val="auto"/>
                <w:w w:val="89"/>
              </w:rPr>
              <w:t>0</w:t>
            </w: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97"/>
        </w:trPr>
        <w:tc>
          <w:tcPr>
            <w:tcW w:w="300" w:type="dxa"/>
            <w:vAlign w:val="bottom"/>
            <w:vMerge w:val="restart"/>
          </w:tcPr>
          <w:p>
            <w:pPr>
              <w:ind w:left="20"/>
              <w:spacing w:after="0"/>
              <w:rPr>
                <w:sz w:val="20"/>
                <w:szCs w:val="20"/>
                <w:color w:val="auto"/>
              </w:rPr>
            </w:pPr>
            <w:r>
              <w:rPr>
                <w:rFonts w:ascii="Arial" w:cs="Arial" w:eastAsia="Arial" w:hAnsi="Arial"/>
                <w:sz w:val="10"/>
                <w:szCs w:val="10"/>
                <w:color w:val="auto"/>
              </w:rPr>
              <w:t>(h)</w:t>
            </w:r>
          </w:p>
        </w:tc>
        <w:tc>
          <w:tcPr>
            <w:tcW w:w="152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300" w:type="dxa"/>
            <w:vAlign w:val="bottom"/>
            <w:vMerge w:val="continue"/>
          </w:tcPr>
          <w:p>
            <w:pPr>
              <w:spacing w:after="0"/>
              <w:rPr>
                <w:sz w:val="9"/>
                <w:szCs w:val="9"/>
                <w:color w:val="auto"/>
              </w:rPr>
            </w:pPr>
          </w:p>
        </w:tc>
        <w:tc>
          <w:tcPr>
            <w:tcW w:w="1520" w:type="dxa"/>
            <w:vAlign w:val="bottom"/>
            <w:gridSpan w:val="2"/>
            <w:vMerge w:val="restart"/>
          </w:tcPr>
          <w:p>
            <w:pPr>
              <w:jc w:val="center"/>
              <w:ind w:left="1"/>
              <w:spacing w:after="0"/>
              <w:rPr>
                <w:sz w:val="20"/>
                <w:szCs w:val="20"/>
                <w:color w:val="auto"/>
              </w:rPr>
            </w:pPr>
            <w:r>
              <w:rPr>
                <w:rFonts w:ascii="Arial" w:cs="Arial" w:eastAsia="Arial" w:hAnsi="Arial"/>
                <w:sz w:val="16"/>
                <w:szCs w:val="16"/>
                <w:color w:val="auto"/>
                <w:w w:val="89"/>
              </w:rPr>
              <w:t>0</w:t>
            </w: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97"/>
        </w:trPr>
        <w:tc>
          <w:tcPr>
            <w:tcW w:w="300" w:type="dxa"/>
            <w:vAlign w:val="bottom"/>
            <w:vMerge w:val="restart"/>
          </w:tcPr>
          <w:p>
            <w:pPr>
              <w:ind w:left="20"/>
              <w:spacing w:after="0"/>
              <w:rPr>
                <w:sz w:val="20"/>
                <w:szCs w:val="20"/>
                <w:color w:val="auto"/>
              </w:rPr>
            </w:pPr>
            <w:r>
              <w:rPr>
                <w:rFonts w:ascii="Arial" w:cs="Arial" w:eastAsia="Arial" w:hAnsi="Arial"/>
                <w:sz w:val="10"/>
                <w:szCs w:val="10"/>
                <w:color w:val="auto"/>
              </w:rPr>
              <w:t>(e)</w:t>
            </w:r>
          </w:p>
        </w:tc>
        <w:tc>
          <w:tcPr>
            <w:tcW w:w="152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300" w:type="dxa"/>
            <w:vAlign w:val="bottom"/>
            <w:vMerge w:val="continue"/>
          </w:tcPr>
          <w:p>
            <w:pPr>
              <w:spacing w:after="0"/>
              <w:rPr>
                <w:sz w:val="9"/>
                <w:szCs w:val="9"/>
                <w:color w:val="auto"/>
              </w:rPr>
            </w:pPr>
          </w:p>
        </w:tc>
        <w:tc>
          <w:tcPr>
            <w:tcW w:w="1520" w:type="dxa"/>
            <w:vAlign w:val="bottom"/>
            <w:gridSpan w:val="2"/>
            <w:vMerge w:val="restart"/>
          </w:tcPr>
          <w:p>
            <w:pPr>
              <w:jc w:val="center"/>
              <w:ind w:left="21"/>
              <w:spacing w:after="0"/>
              <w:rPr>
                <w:sz w:val="20"/>
                <w:szCs w:val="20"/>
                <w:color w:val="auto"/>
              </w:rPr>
            </w:pPr>
            <w:r>
              <w:rPr>
                <w:rFonts w:ascii="Arial" w:cs="Arial" w:eastAsia="Arial" w:hAnsi="Arial"/>
                <w:sz w:val="16"/>
                <w:szCs w:val="16"/>
                <w:color w:val="auto"/>
              </w:rPr>
              <w:t>959,174</w:t>
            </w: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97"/>
        </w:trPr>
        <w:tc>
          <w:tcPr>
            <w:tcW w:w="30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vMerge w:val="restart"/>
          </w:tcPr>
          <w:p>
            <w:pPr>
              <w:ind w:left="20"/>
              <w:spacing w:after="0"/>
              <w:rPr>
                <w:sz w:val="20"/>
                <w:szCs w:val="20"/>
                <w:color w:val="auto"/>
              </w:rPr>
            </w:pPr>
            <w:r>
              <w:rPr>
                <w:rFonts w:ascii="Arial" w:cs="Arial" w:eastAsia="Arial" w:hAnsi="Arial"/>
                <w:sz w:val="10"/>
                <w:szCs w:val="10"/>
                <w:color w:val="auto"/>
              </w:rPr>
              <w:t>(m)</w:t>
            </w:r>
          </w:p>
        </w:tc>
        <w:tc>
          <w:tcPr>
            <w:tcW w:w="100" w:type="dxa"/>
            <w:vAlign w:val="bottom"/>
          </w:tcPr>
          <w:p>
            <w:pPr>
              <w:spacing w:after="0"/>
              <w:rPr>
                <w:sz w:val="8"/>
                <w:szCs w:val="8"/>
                <w:color w:val="auto"/>
              </w:rPr>
            </w:pPr>
          </w:p>
        </w:tc>
        <w:tc>
          <w:tcPr>
            <w:tcW w:w="1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1700" w:type="dxa"/>
            <w:vAlign w:val="bottom"/>
            <w:gridSpan w:val="3"/>
            <w:vMerge w:val="restart"/>
          </w:tcPr>
          <w:p>
            <w:pPr>
              <w:jc w:val="center"/>
              <w:ind w:left="321"/>
              <w:spacing w:after="0"/>
              <w:rPr>
                <w:sz w:val="20"/>
                <w:szCs w:val="20"/>
                <w:color w:val="auto"/>
              </w:rPr>
            </w:pPr>
            <w:r>
              <w:rPr>
                <w:rFonts w:ascii="Arial" w:cs="Arial" w:eastAsia="Arial" w:hAnsi="Arial"/>
                <w:sz w:val="16"/>
                <w:szCs w:val="16"/>
                <w:color w:val="auto"/>
              </w:rPr>
              <w:t>12,142</w:t>
            </w:r>
          </w:p>
        </w:tc>
        <w:tc>
          <w:tcPr>
            <w:tcW w:w="10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1820" w:type="dxa"/>
            <w:vAlign w:val="bottom"/>
            <w:gridSpan w:val="2"/>
            <w:vMerge w:val="restart"/>
          </w:tcPr>
          <w:p>
            <w:pPr>
              <w:jc w:val="center"/>
              <w:ind w:left="21"/>
              <w:spacing w:after="0"/>
              <w:rPr>
                <w:sz w:val="20"/>
                <w:szCs w:val="20"/>
                <w:color w:val="auto"/>
              </w:rPr>
            </w:pPr>
            <w:r>
              <w:rPr>
                <w:rFonts w:ascii="Arial" w:cs="Arial" w:eastAsia="Arial" w:hAnsi="Arial"/>
                <w:sz w:val="16"/>
                <w:szCs w:val="16"/>
                <w:color w:val="auto"/>
              </w:rPr>
              <w:t>1,079,060</w:t>
            </w:r>
          </w:p>
        </w:tc>
        <w:tc>
          <w:tcPr>
            <w:tcW w:w="0" w:type="dxa"/>
            <w:vAlign w:val="bottom"/>
          </w:tcPr>
          <w:p>
            <w:pPr>
              <w:spacing w:after="0"/>
              <w:rPr>
                <w:sz w:val="1"/>
                <w:szCs w:val="1"/>
                <w:color w:val="auto"/>
              </w:rPr>
            </w:pPr>
          </w:p>
        </w:tc>
      </w:tr>
      <w:tr>
        <w:trPr>
          <w:trHeight w:val="97"/>
        </w:trPr>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170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vMerge w:val="restart"/>
          </w:tcPr>
          <w:p>
            <w:pPr>
              <w:ind w:left="20"/>
              <w:spacing w:after="0"/>
              <w:rPr>
                <w:sz w:val="20"/>
                <w:szCs w:val="20"/>
                <w:color w:val="auto"/>
              </w:rPr>
            </w:pPr>
            <w:r>
              <w:rPr>
                <w:rFonts w:ascii="Arial" w:cs="Arial" w:eastAsia="Arial" w:hAnsi="Arial"/>
                <w:sz w:val="10"/>
                <w:szCs w:val="10"/>
                <w:color w:val="auto"/>
              </w:rPr>
              <w:t>(o)</w:t>
            </w:r>
          </w:p>
        </w:tc>
        <w:tc>
          <w:tcPr>
            <w:tcW w:w="18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1700" w:type="dxa"/>
            <w:vAlign w:val="bottom"/>
            <w:gridSpan w:val="3"/>
            <w:vMerge w:val="restart"/>
          </w:tcPr>
          <w:p>
            <w:pPr>
              <w:jc w:val="center"/>
              <w:ind w:left="321"/>
              <w:spacing w:after="0"/>
              <w:rPr>
                <w:sz w:val="20"/>
                <w:szCs w:val="20"/>
                <w:color w:val="auto"/>
              </w:rPr>
            </w:pPr>
            <w:r>
              <w:rPr>
                <w:rFonts w:ascii="Arial" w:cs="Arial" w:eastAsia="Arial" w:hAnsi="Arial"/>
                <w:sz w:val="16"/>
                <w:szCs w:val="16"/>
                <w:color w:val="auto"/>
              </w:rPr>
              <w:t>12,142</w:t>
            </w:r>
          </w:p>
        </w:tc>
        <w:tc>
          <w:tcPr>
            <w:tcW w:w="10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1820" w:type="dxa"/>
            <w:vAlign w:val="bottom"/>
            <w:gridSpan w:val="2"/>
            <w:vMerge w:val="restart"/>
          </w:tcPr>
          <w:p>
            <w:pPr>
              <w:jc w:val="center"/>
              <w:ind w:left="21"/>
              <w:spacing w:after="0"/>
              <w:rPr>
                <w:sz w:val="20"/>
                <w:szCs w:val="20"/>
                <w:color w:val="auto"/>
              </w:rPr>
            </w:pPr>
            <w:r>
              <w:rPr>
                <w:rFonts w:ascii="Arial" w:cs="Arial" w:eastAsia="Arial" w:hAnsi="Arial"/>
                <w:sz w:val="16"/>
                <w:szCs w:val="16"/>
                <w:color w:val="auto"/>
              </w:rPr>
              <w:t>1,079,060</w:t>
            </w:r>
          </w:p>
        </w:tc>
        <w:tc>
          <w:tcPr>
            <w:tcW w:w="0" w:type="dxa"/>
            <w:vAlign w:val="bottom"/>
          </w:tcPr>
          <w:p>
            <w:pPr>
              <w:spacing w:after="0"/>
              <w:rPr>
                <w:sz w:val="1"/>
                <w:szCs w:val="1"/>
                <w:color w:val="auto"/>
              </w:rPr>
            </w:pPr>
          </w:p>
        </w:tc>
      </w:tr>
      <w:tr>
        <w:trPr>
          <w:trHeight w:val="97"/>
        </w:trPr>
        <w:tc>
          <w:tcPr>
            <w:tcW w:w="300" w:type="dxa"/>
            <w:vAlign w:val="bottom"/>
            <w:vMerge w:val="restart"/>
          </w:tcPr>
          <w:p>
            <w:pPr>
              <w:ind w:left="20"/>
              <w:spacing w:after="0"/>
              <w:rPr>
                <w:sz w:val="20"/>
                <w:szCs w:val="20"/>
                <w:color w:val="auto"/>
              </w:rPr>
            </w:pPr>
            <w:r>
              <w:rPr>
                <w:rFonts w:ascii="Arial" w:cs="Arial" w:eastAsia="Arial" w:hAnsi="Arial"/>
                <w:sz w:val="10"/>
                <w:szCs w:val="10"/>
                <w:color w:val="auto"/>
              </w:rPr>
              <w:t>(e)</w:t>
            </w:r>
          </w:p>
        </w:tc>
        <w:tc>
          <w:tcPr>
            <w:tcW w:w="8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170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300" w:type="dxa"/>
            <w:vAlign w:val="bottom"/>
            <w:vMerge w:val="continue"/>
          </w:tcPr>
          <w:p>
            <w:pPr>
              <w:spacing w:after="0"/>
              <w:rPr>
                <w:sz w:val="9"/>
                <w:szCs w:val="9"/>
                <w:color w:val="auto"/>
              </w:rPr>
            </w:pPr>
          </w:p>
        </w:tc>
        <w:tc>
          <w:tcPr>
            <w:tcW w:w="1520" w:type="dxa"/>
            <w:vAlign w:val="bottom"/>
            <w:gridSpan w:val="2"/>
            <w:vMerge w:val="restart"/>
          </w:tcPr>
          <w:p>
            <w:pPr>
              <w:jc w:val="center"/>
              <w:ind w:left="21"/>
              <w:spacing w:after="0"/>
              <w:rPr>
                <w:sz w:val="20"/>
                <w:szCs w:val="20"/>
                <w:color w:val="auto"/>
              </w:rPr>
            </w:pPr>
            <w:r>
              <w:rPr>
                <w:rFonts w:ascii="Arial" w:cs="Arial" w:eastAsia="Arial" w:hAnsi="Arial"/>
                <w:sz w:val="16"/>
                <w:szCs w:val="16"/>
                <w:color w:val="auto"/>
                <w:w w:val="98"/>
              </w:rPr>
              <w:t>1,704,704</w:t>
            </w: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97"/>
        </w:trPr>
        <w:tc>
          <w:tcPr>
            <w:tcW w:w="30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vMerge w:val="restart"/>
          </w:tcPr>
          <w:p>
            <w:pPr>
              <w:ind w:left="20"/>
              <w:spacing w:after="0"/>
              <w:rPr>
                <w:sz w:val="20"/>
                <w:szCs w:val="20"/>
                <w:color w:val="auto"/>
              </w:rPr>
            </w:pPr>
            <w:r>
              <w:rPr>
                <w:rFonts w:ascii="Arial" w:cs="Arial" w:eastAsia="Arial" w:hAnsi="Arial"/>
                <w:sz w:val="10"/>
                <w:szCs w:val="10"/>
                <w:color w:val="auto"/>
              </w:rPr>
              <w:t>(m)</w:t>
            </w:r>
          </w:p>
        </w:tc>
        <w:tc>
          <w:tcPr>
            <w:tcW w:w="100" w:type="dxa"/>
            <w:vAlign w:val="bottom"/>
          </w:tcPr>
          <w:p>
            <w:pPr>
              <w:spacing w:after="0"/>
              <w:rPr>
                <w:sz w:val="8"/>
                <w:szCs w:val="8"/>
                <w:color w:val="auto"/>
              </w:rPr>
            </w:pPr>
          </w:p>
        </w:tc>
        <w:tc>
          <w:tcPr>
            <w:tcW w:w="1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1700" w:type="dxa"/>
            <w:vAlign w:val="bottom"/>
            <w:gridSpan w:val="3"/>
            <w:vMerge w:val="restart"/>
          </w:tcPr>
          <w:p>
            <w:pPr>
              <w:jc w:val="center"/>
              <w:ind w:left="321"/>
              <w:spacing w:after="0"/>
              <w:rPr>
                <w:sz w:val="20"/>
                <w:szCs w:val="20"/>
                <w:color w:val="auto"/>
              </w:rPr>
            </w:pPr>
            <w:r>
              <w:rPr>
                <w:rFonts w:ascii="Arial" w:cs="Arial" w:eastAsia="Arial" w:hAnsi="Arial"/>
                <w:sz w:val="16"/>
                <w:szCs w:val="16"/>
                <w:color w:val="auto"/>
              </w:rPr>
              <w:t>14,387</w:t>
            </w:r>
          </w:p>
        </w:tc>
        <w:tc>
          <w:tcPr>
            <w:tcW w:w="10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1820" w:type="dxa"/>
            <w:vAlign w:val="bottom"/>
            <w:gridSpan w:val="2"/>
            <w:vMerge w:val="restart"/>
          </w:tcPr>
          <w:p>
            <w:pPr>
              <w:jc w:val="center"/>
              <w:ind w:left="21"/>
              <w:spacing w:after="0"/>
              <w:rPr>
                <w:sz w:val="20"/>
                <w:szCs w:val="20"/>
                <w:color w:val="auto"/>
              </w:rPr>
            </w:pPr>
            <w:r>
              <w:rPr>
                <w:rFonts w:ascii="Arial" w:cs="Arial" w:eastAsia="Arial" w:hAnsi="Arial"/>
                <w:sz w:val="16"/>
                <w:szCs w:val="16"/>
                <w:color w:val="auto"/>
              </w:rPr>
              <w:t>1,278,573</w:t>
            </w:r>
          </w:p>
        </w:tc>
        <w:tc>
          <w:tcPr>
            <w:tcW w:w="0" w:type="dxa"/>
            <w:vAlign w:val="bottom"/>
          </w:tcPr>
          <w:p>
            <w:pPr>
              <w:spacing w:after="0"/>
              <w:rPr>
                <w:sz w:val="1"/>
                <w:szCs w:val="1"/>
                <w:color w:val="auto"/>
              </w:rPr>
            </w:pPr>
          </w:p>
        </w:tc>
      </w:tr>
      <w:tr>
        <w:trPr>
          <w:trHeight w:val="97"/>
        </w:trPr>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170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vMerge w:val="restart"/>
          </w:tcPr>
          <w:p>
            <w:pPr>
              <w:ind w:left="20"/>
              <w:spacing w:after="0"/>
              <w:rPr>
                <w:sz w:val="20"/>
                <w:szCs w:val="20"/>
                <w:color w:val="auto"/>
              </w:rPr>
            </w:pPr>
            <w:r>
              <w:rPr>
                <w:rFonts w:ascii="Arial" w:cs="Arial" w:eastAsia="Arial" w:hAnsi="Arial"/>
                <w:sz w:val="10"/>
                <w:szCs w:val="10"/>
                <w:color w:val="auto"/>
              </w:rPr>
              <w:t>(n)</w:t>
            </w:r>
          </w:p>
        </w:tc>
        <w:tc>
          <w:tcPr>
            <w:tcW w:w="18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1700" w:type="dxa"/>
            <w:vAlign w:val="bottom"/>
            <w:gridSpan w:val="3"/>
            <w:vMerge w:val="restart"/>
          </w:tcPr>
          <w:p>
            <w:pPr>
              <w:jc w:val="center"/>
              <w:ind w:left="321"/>
              <w:spacing w:after="0"/>
              <w:rPr>
                <w:sz w:val="20"/>
                <w:szCs w:val="20"/>
                <w:color w:val="auto"/>
              </w:rPr>
            </w:pPr>
            <w:r>
              <w:rPr>
                <w:rFonts w:ascii="Arial" w:cs="Arial" w:eastAsia="Arial" w:hAnsi="Arial"/>
                <w:sz w:val="16"/>
                <w:szCs w:val="16"/>
                <w:color w:val="auto"/>
              </w:rPr>
              <w:t>14,387</w:t>
            </w:r>
          </w:p>
        </w:tc>
        <w:tc>
          <w:tcPr>
            <w:tcW w:w="10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1820" w:type="dxa"/>
            <w:vAlign w:val="bottom"/>
            <w:gridSpan w:val="2"/>
            <w:vMerge w:val="restart"/>
          </w:tcPr>
          <w:p>
            <w:pPr>
              <w:jc w:val="center"/>
              <w:ind w:left="21"/>
              <w:spacing w:after="0"/>
              <w:rPr>
                <w:sz w:val="20"/>
                <w:szCs w:val="20"/>
                <w:color w:val="auto"/>
              </w:rPr>
            </w:pPr>
            <w:r>
              <w:rPr>
                <w:rFonts w:ascii="Arial" w:cs="Arial" w:eastAsia="Arial" w:hAnsi="Arial"/>
                <w:sz w:val="16"/>
                <w:szCs w:val="16"/>
                <w:color w:val="auto"/>
              </w:rPr>
              <w:t>1,278,573</w:t>
            </w:r>
          </w:p>
        </w:tc>
        <w:tc>
          <w:tcPr>
            <w:tcW w:w="0" w:type="dxa"/>
            <w:vAlign w:val="bottom"/>
          </w:tcPr>
          <w:p>
            <w:pPr>
              <w:spacing w:after="0"/>
              <w:rPr>
                <w:sz w:val="1"/>
                <w:szCs w:val="1"/>
                <w:color w:val="auto"/>
              </w:rPr>
            </w:pPr>
          </w:p>
        </w:tc>
      </w:tr>
      <w:tr>
        <w:trPr>
          <w:trHeight w:val="97"/>
        </w:trPr>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170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vMerge w:val="restart"/>
          </w:tcPr>
          <w:p>
            <w:pPr>
              <w:ind w:left="20"/>
              <w:spacing w:after="0"/>
              <w:rPr>
                <w:sz w:val="20"/>
                <w:szCs w:val="20"/>
                <w:color w:val="auto"/>
              </w:rPr>
            </w:pPr>
            <w:r>
              <w:rPr>
                <w:rFonts w:ascii="Arial" w:cs="Arial" w:eastAsia="Arial" w:hAnsi="Arial"/>
                <w:sz w:val="10"/>
                <w:szCs w:val="10"/>
                <w:color w:val="auto"/>
              </w:rPr>
              <w:t>(p)</w:t>
            </w:r>
          </w:p>
        </w:tc>
        <w:tc>
          <w:tcPr>
            <w:tcW w:w="18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300" w:type="dxa"/>
            <w:vAlign w:val="bottom"/>
            <w:vMerge w:val="restart"/>
          </w:tcPr>
          <w:p>
            <w:pPr>
              <w:spacing w:after="0"/>
              <w:rPr>
                <w:sz w:val="9"/>
                <w:szCs w:val="9"/>
                <w:color w:val="auto"/>
              </w:rPr>
            </w:pPr>
          </w:p>
        </w:tc>
        <w:tc>
          <w:tcPr>
            <w:tcW w:w="100" w:type="dxa"/>
            <w:vAlign w:val="bottom"/>
            <w:vMerge w:val="restart"/>
          </w:tcPr>
          <w:p>
            <w:pPr>
              <w:spacing w:after="0"/>
              <w:rPr>
                <w:sz w:val="9"/>
                <w:szCs w:val="9"/>
                <w:color w:val="auto"/>
              </w:rPr>
            </w:pP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w w:val="94"/>
              </w:rPr>
              <w:t>9,660</w:t>
            </w:r>
          </w:p>
        </w:tc>
        <w:tc>
          <w:tcPr>
            <w:tcW w:w="10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100" w:type="dxa"/>
            <w:vAlign w:val="bottom"/>
            <w:vMerge w:val="restart"/>
          </w:tcPr>
          <w:p>
            <w:pPr>
              <w:spacing w:after="0"/>
              <w:rPr>
                <w:sz w:val="9"/>
                <w:szCs w:val="9"/>
                <w:color w:val="auto"/>
              </w:rPr>
            </w:pPr>
          </w:p>
        </w:tc>
        <w:tc>
          <w:tcPr>
            <w:tcW w:w="1720" w:type="dxa"/>
            <w:vAlign w:val="bottom"/>
            <w:vMerge w:val="restart"/>
          </w:tcPr>
          <w:p>
            <w:pPr>
              <w:jc w:val="center"/>
              <w:spacing w:after="0"/>
              <w:rPr>
                <w:sz w:val="20"/>
                <w:szCs w:val="20"/>
                <w:color w:val="auto"/>
              </w:rPr>
            </w:pPr>
            <w:r>
              <w:rPr>
                <w:rFonts w:ascii="Arial" w:cs="Arial" w:eastAsia="Arial" w:hAnsi="Arial"/>
                <w:sz w:val="16"/>
                <w:szCs w:val="16"/>
                <w:color w:val="auto"/>
                <w:w w:val="96"/>
              </w:rPr>
              <w:t>858,484</w:t>
            </w:r>
          </w:p>
        </w:tc>
        <w:tc>
          <w:tcPr>
            <w:tcW w:w="0" w:type="dxa"/>
            <w:vAlign w:val="bottom"/>
          </w:tcPr>
          <w:p>
            <w:pPr>
              <w:spacing w:after="0"/>
              <w:rPr>
                <w:sz w:val="1"/>
                <w:szCs w:val="1"/>
                <w:color w:val="auto"/>
              </w:rPr>
            </w:pPr>
          </w:p>
        </w:tc>
      </w:tr>
      <w:tr>
        <w:trPr>
          <w:trHeight w:val="99"/>
        </w:trPr>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tcBorders>
              <w:bottom w:val="single" w:sz="8" w:color="520B90"/>
            </w:tcBorders>
            <w:vMerge w:val="continue"/>
          </w:tcPr>
          <w:p>
            <w:pPr>
              <w:spacing w:after="0"/>
              <w:rPr>
                <w:sz w:val="8"/>
                <w:szCs w:val="8"/>
                <w:color w:val="auto"/>
              </w:rPr>
            </w:pPr>
          </w:p>
        </w:tc>
        <w:tc>
          <w:tcPr>
            <w:tcW w:w="300" w:type="dxa"/>
            <w:vAlign w:val="bottom"/>
            <w:tcBorders>
              <w:bottom w:val="single" w:sz="8" w:color="520B90"/>
            </w:tcBorders>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300" w:type="dxa"/>
            <w:vAlign w:val="bottom"/>
            <w:tcBorders>
              <w:bottom w:val="single" w:sz="8" w:color="520B90"/>
            </w:tcBorders>
            <w:vMerge w:val="continue"/>
          </w:tcPr>
          <w:p>
            <w:pPr>
              <w:spacing w:after="0"/>
              <w:rPr>
                <w:sz w:val="8"/>
                <w:szCs w:val="8"/>
                <w:color w:val="auto"/>
              </w:rPr>
            </w:pPr>
          </w:p>
        </w:tc>
        <w:tc>
          <w:tcPr>
            <w:tcW w:w="100" w:type="dxa"/>
            <w:vAlign w:val="bottom"/>
            <w:tcBorders>
              <w:bottom w:val="single" w:sz="8" w:color="520B90"/>
            </w:tcBorders>
          </w:tcPr>
          <w:p>
            <w:pPr>
              <w:spacing w:after="0"/>
              <w:rPr>
                <w:sz w:val="8"/>
                <w:szCs w:val="8"/>
                <w:color w:val="auto"/>
              </w:rPr>
            </w:pPr>
          </w:p>
        </w:tc>
        <w:tc>
          <w:tcPr>
            <w:tcW w:w="340" w:type="dxa"/>
            <w:vAlign w:val="bottom"/>
            <w:tcBorders>
              <w:bottom w:val="single" w:sz="8" w:color="520B90"/>
            </w:tcBorders>
          </w:tcPr>
          <w:p>
            <w:pPr>
              <w:spacing w:after="0"/>
              <w:rPr>
                <w:sz w:val="8"/>
                <w:szCs w:val="8"/>
                <w:color w:val="auto"/>
              </w:rPr>
            </w:pPr>
          </w:p>
        </w:tc>
        <w:tc>
          <w:tcPr>
            <w:tcW w:w="100" w:type="dxa"/>
            <w:vAlign w:val="bottom"/>
            <w:vMerge w:val="continue"/>
          </w:tcPr>
          <w:p>
            <w:pPr>
              <w:spacing w:after="0"/>
              <w:rPr>
                <w:sz w:val="8"/>
                <w:szCs w:val="8"/>
                <w:color w:val="auto"/>
              </w:rPr>
            </w:pPr>
          </w:p>
        </w:tc>
        <w:tc>
          <w:tcPr>
            <w:tcW w:w="1720" w:type="dxa"/>
            <w:vAlign w:val="bottom"/>
            <w:tcBorders>
              <w:bottom w:val="single" w:sz="8" w:color="520B90"/>
            </w:tcBorders>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3">
            <w:col w:w="2280" w:space="720"/>
            <w:col w:w="1940" w:space="420"/>
            <w:col w:w="5780"/>
          </w:cols>
          <w:pgMar w:left="320" w:top="1391" w:right="439" w:bottom="1440" w:gutter="0" w:footer="0" w:header="0"/>
          <w:type w:val="continuous"/>
        </w:sectPr>
      </w:pPr>
    </w:p>
    <w:p>
      <w:pPr>
        <w:spacing w:after="0" w:line="263"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40"/>
          </w:cols>
          <w:pgMar w:left="320" w:top="1391" w:right="439" w:bottom="1440" w:gutter="0" w:footer="0" w:header="0"/>
          <w:type w:val="continuous"/>
        </w:sectPr>
      </w:pPr>
    </w:p>
    <w:bookmarkStart w:id="66" w:name="page67"/>
    <w:bookmarkEnd w:id="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4"/>
        <w:spacing w:after="0"/>
        <w:rPr>
          <w:sz w:val="20"/>
          <w:szCs w:val="20"/>
          <w:color w:val="auto"/>
        </w:rPr>
      </w:pPr>
      <w:r>
        <w:rPr>
          <w:rFonts w:ascii="Arial" w:cs="Arial" w:eastAsia="Arial" w:hAnsi="Arial"/>
          <w:sz w:val="13"/>
          <w:szCs w:val="13"/>
          <w:b w:val="1"/>
          <w:bCs w:val="1"/>
          <w:color w:val="520B90"/>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1706245" cy="163068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706245" cy="1630680"/>
                    </a:xfrm>
                    <a:prstGeom prst="rect">
                      <a:avLst/>
                    </a:prstGeom>
                    <a:noFill/>
                  </pic:spPr>
                </pic:pic>
              </a:graphicData>
            </a:graphic>
          </wp:anchor>
        </w:drawing>
      </w:r>
    </w:p>
    <w:p>
      <w:pPr>
        <w:spacing w:after="0" w:line="253" w:lineRule="exact"/>
        <w:rPr>
          <w:sz w:val="20"/>
          <w:szCs w:val="20"/>
          <w:color w:val="auto"/>
        </w:rPr>
      </w:pPr>
    </w:p>
    <w:p>
      <w:pPr>
        <w:ind w:left="94"/>
        <w:spacing w:after="0"/>
        <w:rPr>
          <w:sz w:val="20"/>
          <w:szCs w:val="20"/>
          <w:color w:val="auto"/>
        </w:rPr>
      </w:pPr>
      <w:r>
        <w:rPr>
          <w:rFonts w:ascii="Arial" w:cs="Arial" w:eastAsia="Arial" w:hAnsi="Arial"/>
          <w:sz w:val="16"/>
          <w:szCs w:val="16"/>
          <w:b w:val="1"/>
          <w:bCs w:val="1"/>
          <w:color w:val="520B90"/>
        </w:rPr>
        <w:t>Edward B. Adams,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94"/>
        <w:spacing w:after="0"/>
        <w:rPr>
          <w:sz w:val="20"/>
          <w:szCs w:val="20"/>
          <w:color w:val="auto"/>
        </w:rPr>
      </w:pPr>
      <w:r>
        <w:rPr>
          <w:rFonts w:ascii="Arial" w:cs="Arial" w:eastAsia="Arial" w:hAnsi="Arial"/>
          <w:sz w:val="16"/>
          <w:szCs w:val="16"/>
          <w:b w:val="1"/>
          <w:bCs w:val="1"/>
          <w:color w:val="520B90"/>
        </w:rPr>
        <w:t>Catherine Piche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564515</wp:posOffset>
            </wp:positionV>
            <wp:extent cx="1706245" cy="82359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706245"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94"/>
        <w:spacing w:after="0"/>
        <w:rPr>
          <w:sz w:val="20"/>
          <w:szCs w:val="20"/>
          <w:color w:val="auto"/>
        </w:rPr>
      </w:pPr>
      <w:r>
        <w:rPr>
          <w:rFonts w:ascii="Arial" w:cs="Arial" w:eastAsia="Arial" w:hAnsi="Arial"/>
          <w:sz w:val="15"/>
          <w:szCs w:val="15"/>
          <w:b w:val="1"/>
          <w:bCs w:val="1"/>
          <w:color w:val="520B90"/>
        </w:rPr>
        <w:t xml:space="preserve">Steven J. Moskowitz </w:t>
      </w:r>
      <w:r>
        <w:rPr>
          <w:rFonts w:ascii="Arial" w:cs="Arial" w:eastAsia="Arial" w:hAnsi="Arial"/>
          <w:sz w:val="19"/>
          <w:szCs w:val="19"/>
          <w:b w:val="1"/>
          <w:bCs w:val="1"/>
          <w:color w:val="520B90"/>
          <w:vertAlign w:val="superscript"/>
        </w:rPr>
        <w:t>(q)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651510</wp:posOffset>
            </wp:positionV>
            <wp:extent cx="70612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061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bottom w:val="single" w:sz="8" w:color="520B90"/>
            </w:tcBorders>
          </w:tcPr>
          <w:p>
            <w:pPr>
              <w:spacing w:after="0"/>
              <w:rPr>
                <w:sz w:val="15"/>
                <w:szCs w:val="15"/>
                <w:color w:val="auto"/>
              </w:rPr>
            </w:pPr>
          </w:p>
        </w:tc>
        <w:tc>
          <w:tcPr>
            <w:tcW w:w="320" w:type="dxa"/>
            <w:vAlign w:val="bottom"/>
            <w:tcBorders>
              <w:bottom w:val="single" w:sz="8" w:color="520B90"/>
            </w:tcBorders>
          </w:tcPr>
          <w:p>
            <w:pPr>
              <w:spacing w:after="0"/>
              <w:rPr>
                <w:sz w:val="15"/>
                <w:szCs w:val="15"/>
                <w:color w:val="auto"/>
              </w:rPr>
            </w:pPr>
          </w:p>
        </w:tc>
        <w:tc>
          <w:tcPr>
            <w:tcW w:w="80" w:type="dxa"/>
            <w:vAlign w:val="bottom"/>
            <w:tcBorders>
              <w:bottom w:val="single" w:sz="8" w:color="520B90"/>
            </w:tcBorders>
          </w:tcPr>
          <w:p>
            <w:pPr>
              <w:spacing w:after="0"/>
              <w:rPr>
                <w:sz w:val="15"/>
                <w:szCs w:val="15"/>
                <w:color w:val="auto"/>
              </w:rPr>
            </w:pPr>
          </w:p>
        </w:tc>
        <w:tc>
          <w:tcPr>
            <w:tcW w:w="1400" w:type="dxa"/>
            <w:vAlign w:val="bottom"/>
            <w:tcBorders>
              <w:bottom w:val="single" w:sz="8" w:color="520B90"/>
            </w:tcBorders>
          </w:tcPr>
          <w:p>
            <w:pPr>
              <w:spacing w:after="0"/>
              <w:rPr>
                <w:sz w:val="15"/>
                <w:szCs w:val="15"/>
                <w:color w:val="auto"/>
              </w:rPr>
            </w:pPr>
          </w:p>
        </w:tc>
        <w:tc>
          <w:tcPr>
            <w:tcW w:w="1820" w:type="dxa"/>
            <w:vAlign w:val="bottom"/>
            <w:tcBorders>
              <w:bottom w:val="single" w:sz="8" w:color="520B90"/>
            </w:tcBorders>
            <w:gridSpan w:val="4"/>
          </w:tcPr>
          <w:p>
            <w:pPr>
              <w:spacing w:after="0"/>
              <w:rPr>
                <w:sz w:val="20"/>
                <w:szCs w:val="20"/>
                <w:color w:val="auto"/>
              </w:rPr>
            </w:pPr>
            <w:r>
              <w:rPr>
                <w:rFonts w:ascii="Arial" w:cs="Arial" w:eastAsia="Arial" w:hAnsi="Arial"/>
                <w:sz w:val="13"/>
                <w:szCs w:val="13"/>
                <w:b w:val="1"/>
                <w:bCs w:val="1"/>
                <w:color w:val="520B90"/>
              </w:rPr>
              <w:t>Stock Awards</w:t>
            </w:r>
          </w:p>
        </w:tc>
        <w:tc>
          <w:tcPr>
            <w:tcW w:w="340" w:type="dxa"/>
            <w:vAlign w:val="bottom"/>
            <w:tcBorders>
              <w:bottom w:val="single" w:sz="8" w:color="520B90"/>
            </w:tcBorders>
          </w:tcPr>
          <w:p>
            <w:pPr>
              <w:spacing w:after="0"/>
              <w:rPr>
                <w:sz w:val="15"/>
                <w:szCs w:val="15"/>
                <w:color w:val="auto"/>
              </w:rPr>
            </w:pPr>
          </w:p>
        </w:tc>
        <w:tc>
          <w:tcPr>
            <w:tcW w:w="100" w:type="dxa"/>
            <w:vAlign w:val="bottom"/>
            <w:tcBorders>
              <w:bottom w:val="single" w:sz="8" w:color="520B90"/>
            </w:tcBorders>
          </w:tcPr>
          <w:p>
            <w:pPr>
              <w:spacing w:after="0"/>
              <w:rPr>
                <w:sz w:val="15"/>
                <w:szCs w:val="15"/>
                <w:color w:val="auto"/>
              </w:rPr>
            </w:pPr>
          </w:p>
        </w:tc>
        <w:tc>
          <w:tcPr>
            <w:tcW w:w="1720" w:type="dxa"/>
            <w:vAlign w:val="bottom"/>
            <w:tcBorders>
              <w:bottom w:val="single" w:sz="8" w:color="520B90"/>
            </w:tcBorders>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520B90"/>
            </w:tcBorders>
          </w:tcPr>
          <w:p>
            <w:pPr>
              <w:spacing w:after="0" w:line="20" w:lineRule="exact"/>
              <w:rPr>
                <w:sz w:val="1"/>
                <w:szCs w:val="1"/>
                <w:color w:val="auto"/>
              </w:rPr>
            </w:pPr>
          </w:p>
        </w:tc>
        <w:tc>
          <w:tcPr>
            <w:tcW w:w="320" w:type="dxa"/>
            <w:vAlign w:val="bottom"/>
            <w:tcBorders>
              <w:bottom w:val="single" w:sz="8" w:color="520B90"/>
            </w:tcBorders>
          </w:tcPr>
          <w:p>
            <w:pPr>
              <w:spacing w:after="0" w:line="20" w:lineRule="exact"/>
              <w:rPr>
                <w:sz w:val="1"/>
                <w:szCs w:val="1"/>
                <w:color w:val="auto"/>
              </w:rPr>
            </w:pPr>
          </w:p>
        </w:tc>
        <w:tc>
          <w:tcPr>
            <w:tcW w:w="80" w:type="dxa"/>
            <w:vAlign w:val="bottom"/>
            <w:tcBorders>
              <w:bottom w:val="single" w:sz="8" w:color="520B90"/>
            </w:tcBorders>
          </w:tcPr>
          <w:p>
            <w:pPr>
              <w:spacing w:after="0" w:line="20" w:lineRule="exact"/>
              <w:rPr>
                <w:sz w:val="1"/>
                <w:szCs w:val="1"/>
                <w:color w:val="auto"/>
              </w:rPr>
            </w:pPr>
          </w:p>
        </w:tc>
        <w:tc>
          <w:tcPr>
            <w:tcW w:w="1400" w:type="dxa"/>
            <w:vAlign w:val="bottom"/>
            <w:tcBorders>
              <w:bottom w:val="single" w:sz="8" w:color="520B90"/>
            </w:tcBorders>
          </w:tcPr>
          <w:p>
            <w:pPr>
              <w:spacing w:after="0" w:line="20" w:lineRule="exact"/>
              <w:rPr>
                <w:sz w:val="1"/>
                <w:szCs w:val="1"/>
                <w:color w:val="auto"/>
              </w:rPr>
            </w:pPr>
          </w:p>
        </w:tc>
        <w:tc>
          <w:tcPr>
            <w:tcW w:w="320" w:type="dxa"/>
            <w:vAlign w:val="bottom"/>
            <w:tcBorders>
              <w:bottom w:val="single" w:sz="8" w:color="520B90"/>
            </w:tcBorders>
          </w:tcPr>
          <w:p>
            <w:pPr>
              <w:spacing w:after="0" w:line="20" w:lineRule="exact"/>
              <w:rPr>
                <w:sz w:val="1"/>
                <w:szCs w:val="1"/>
                <w:color w:val="auto"/>
              </w:rPr>
            </w:pPr>
          </w:p>
        </w:tc>
        <w:tc>
          <w:tcPr>
            <w:tcW w:w="100" w:type="dxa"/>
            <w:vAlign w:val="bottom"/>
            <w:tcBorders>
              <w:bottom w:val="single" w:sz="8" w:color="520B90"/>
            </w:tcBorders>
          </w:tcPr>
          <w:p>
            <w:pPr>
              <w:spacing w:after="0" w:line="20" w:lineRule="exact"/>
              <w:rPr>
                <w:sz w:val="1"/>
                <w:szCs w:val="1"/>
                <w:color w:val="auto"/>
              </w:rPr>
            </w:pPr>
          </w:p>
        </w:tc>
        <w:tc>
          <w:tcPr>
            <w:tcW w:w="1300" w:type="dxa"/>
            <w:vAlign w:val="bottom"/>
            <w:tcBorders>
              <w:bottom w:val="single" w:sz="8" w:color="520B90"/>
            </w:tcBorders>
          </w:tcPr>
          <w:p>
            <w:pPr>
              <w:spacing w:after="0" w:line="20" w:lineRule="exact"/>
              <w:rPr>
                <w:sz w:val="1"/>
                <w:szCs w:val="1"/>
                <w:color w:val="auto"/>
              </w:rPr>
            </w:pPr>
          </w:p>
        </w:tc>
        <w:tc>
          <w:tcPr>
            <w:tcW w:w="100" w:type="dxa"/>
            <w:vAlign w:val="bottom"/>
            <w:tcBorders>
              <w:bottom w:val="single" w:sz="8" w:color="520B90"/>
            </w:tcBorders>
          </w:tcPr>
          <w:p>
            <w:pPr>
              <w:spacing w:after="0" w:line="20" w:lineRule="exact"/>
              <w:rPr>
                <w:sz w:val="1"/>
                <w:szCs w:val="1"/>
                <w:color w:val="auto"/>
              </w:rPr>
            </w:pPr>
          </w:p>
        </w:tc>
        <w:tc>
          <w:tcPr>
            <w:tcW w:w="340" w:type="dxa"/>
            <w:vAlign w:val="bottom"/>
            <w:tcBorders>
              <w:bottom w:val="single" w:sz="8" w:color="520B90"/>
            </w:tcBorders>
          </w:tcPr>
          <w:p>
            <w:pPr>
              <w:spacing w:after="0" w:line="20" w:lineRule="exact"/>
              <w:rPr>
                <w:sz w:val="1"/>
                <w:szCs w:val="1"/>
                <w:color w:val="auto"/>
              </w:rPr>
            </w:pPr>
          </w:p>
        </w:tc>
        <w:tc>
          <w:tcPr>
            <w:tcW w:w="100" w:type="dxa"/>
            <w:vAlign w:val="bottom"/>
            <w:tcBorders>
              <w:bottom w:val="single" w:sz="8" w:color="520B90"/>
            </w:tcBorders>
          </w:tcPr>
          <w:p>
            <w:pPr>
              <w:spacing w:after="0" w:line="20" w:lineRule="exact"/>
              <w:rPr>
                <w:sz w:val="1"/>
                <w:szCs w:val="1"/>
                <w:color w:val="auto"/>
              </w:rPr>
            </w:pPr>
          </w:p>
        </w:tc>
        <w:tc>
          <w:tcPr>
            <w:tcW w:w="1720" w:type="dxa"/>
            <w:vAlign w:val="bottom"/>
            <w:tcBorders>
              <w:bottom w:val="single" w:sz="8" w:color="520B9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6"/>
        </w:trPr>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20" w:type="dxa"/>
            <w:vAlign w:val="bottom"/>
          </w:tcPr>
          <w:p>
            <w:pPr>
              <w:jc w:val="center"/>
              <w:spacing w:after="0" w:line="126" w:lineRule="exact"/>
              <w:rPr>
                <w:sz w:val="20"/>
                <w:szCs w:val="20"/>
                <w:color w:val="auto"/>
              </w:rPr>
            </w:pPr>
            <w:r>
              <w:rPr>
                <w:rFonts w:ascii="Arial" w:cs="Arial" w:eastAsia="Arial" w:hAnsi="Arial"/>
                <w:sz w:val="13"/>
                <w:szCs w:val="13"/>
                <w:b w:val="1"/>
                <w:bCs w:val="1"/>
                <w:color w:val="520B90"/>
              </w:rPr>
              <w:t>Equity Incentive</w:t>
            </w:r>
          </w:p>
        </w:tc>
        <w:tc>
          <w:tcPr>
            <w:tcW w:w="0" w:type="dxa"/>
            <w:vAlign w:val="bottom"/>
          </w:tcPr>
          <w:p>
            <w:pPr>
              <w:spacing w:after="0"/>
              <w:rPr>
                <w:sz w:val="1"/>
                <w:szCs w:val="1"/>
                <w:color w:val="auto"/>
              </w:rPr>
            </w:pPr>
          </w:p>
        </w:tc>
      </w:tr>
      <w:tr>
        <w:trPr>
          <w:trHeight w:val="159"/>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520B90"/>
              </w:rPr>
              <w:t>Equity Incentive Plan</w:t>
            </w:r>
          </w:p>
        </w:tc>
        <w:tc>
          <w:tcPr>
            <w:tcW w:w="10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b w:val="1"/>
                <w:bCs w:val="1"/>
                <w:color w:val="520B90"/>
              </w:rPr>
              <w:t>Awards:</w:t>
            </w: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vMerge w:val="restart"/>
          </w:tcPr>
          <w:p>
            <w:pPr>
              <w:jc w:val="center"/>
              <w:spacing w:after="0"/>
              <w:rPr>
                <w:sz w:val="20"/>
                <w:szCs w:val="20"/>
                <w:color w:val="auto"/>
              </w:rPr>
            </w:pPr>
            <w:r>
              <w:rPr>
                <w:rFonts w:ascii="Arial" w:cs="Arial" w:eastAsia="Arial" w:hAnsi="Arial"/>
                <w:sz w:val="13"/>
                <w:szCs w:val="13"/>
                <w:b w:val="1"/>
                <w:bCs w:val="1"/>
                <w:color w:val="520B90"/>
              </w:rPr>
              <w:t>Market or Payout Plan</w:t>
            </w:r>
          </w:p>
        </w:tc>
        <w:tc>
          <w:tcPr>
            <w:tcW w:w="0" w:type="dxa"/>
            <w:vAlign w:val="bottom"/>
          </w:tcPr>
          <w:p>
            <w:pPr>
              <w:spacing w:after="0" w:line="20" w:lineRule="exact"/>
              <w:rPr>
                <w:sz w:val="1"/>
                <w:szCs w:val="1"/>
                <w:color w:val="auto"/>
              </w:rPr>
            </w:pPr>
          </w:p>
        </w:tc>
      </w:tr>
      <w:tr>
        <w:trPr>
          <w:trHeight w:val="132"/>
        </w:trPr>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vMerge w:val="restart"/>
          </w:tcPr>
          <w:p>
            <w:pPr>
              <w:jc w:val="center"/>
              <w:ind w:left="243"/>
              <w:spacing w:after="0"/>
              <w:rPr>
                <w:sz w:val="20"/>
                <w:szCs w:val="20"/>
                <w:color w:val="auto"/>
              </w:rPr>
            </w:pPr>
            <w:r>
              <w:rPr>
                <w:rFonts w:ascii="Arial" w:cs="Arial" w:eastAsia="Arial" w:hAnsi="Arial"/>
                <w:sz w:val="13"/>
                <w:szCs w:val="13"/>
                <w:b w:val="1"/>
                <w:bCs w:val="1"/>
                <w:color w:val="520B90"/>
                <w:w w:val="99"/>
              </w:rPr>
              <w:t>Market Value of</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3"/>
          </w:tcPr>
          <w:p>
            <w:pPr>
              <w:jc w:val="center"/>
              <w:spacing w:after="0" w:line="132" w:lineRule="exact"/>
              <w:rPr>
                <w:sz w:val="20"/>
                <w:szCs w:val="20"/>
                <w:color w:val="auto"/>
              </w:rPr>
            </w:pPr>
            <w:r>
              <w:rPr>
                <w:rFonts w:ascii="Arial" w:cs="Arial" w:eastAsia="Arial" w:hAnsi="Arial"/>
                <w:sz w:val="13"/>
                <w:szCs w:val="13"/>
                <w:b w:val="1"/>
                <w:bCs w:val="1"/>
                <w:color w:val="520B90"/>
              </w:rPr>
              <w:t>Awards: Number of</w:t>
            </w:r>
          </w:p>
        </w:tc>
        <w:tc>
          <w:tcPr>
            <w:tcW w:w="100" w:type="dxa"/>
            <w:vAlign w:val="bottom"/>
          </w:tcPr>
          <w:p>
            <w:pPr>
              <w:spacing w:after="0"/>
              <w:rPr>
                <w:sz w:val="11"/>
                <w:szCs w:val="11"/>
                <w:color w:val="auto"/>
              </w:rPr>
            </w:pPr>
          </w:p>
        </w:tc>
        <w:tc>
          <w:tcPr>
            <w:tcW w:w="1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520B90"/>
              </w:rPr>
              <w:t>Number of Shares or</w:t>
            </w:r>
          </w:p>
        </w:tc>
        <w:tc>
          <w:tcPr>
            <w:tcW w:w="8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center"/>
              <w:ind w:left="264"/>
              <w:spacing w:after="0" w:line="133" w:lineRule="exact"/>
              <w:rPr>
                <w:sz w:val="20"/>
                <w:szCs w:val="20"/>
                <w:color w:val="auto"/>
              </w:rPr>
            </w:pPr>
            <w:r>
              <w:rPr>
                <w:rFonts w:ascii="Arial" w:cs="Arial" w:eastAsia="Arial" w:hAnsi="Arial"/>
                <w:sz w:val="13"/>
                <w:szCs w:val="13"/>
                <w:b w:val="1"/>
                <w:bCs w:val="1"/>
                <w:color w:val="520B90"/>
              </w:rPr>
              <w:t>Unearned</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Pr>
          <w:p>
            <w:pPr>
              <w:jc w:val="center"/>
              <w:spacing w:after="0" w:line="133" w:lineRule="exact"/>
              <w:rPr>
                <w:sz w:val="20"/>
                <w:szCs w:val="20"/>
                <w:color w:val="auto"/>
              </w:rPr>
            </w:pPr>
            <w:r>
              <w:rPr>
                <w:rFonts w:ascii="Arial" w:cs="Arial" w:eastAsia="Arial" w:hAnsi="Arial"/>
                <w:sz w:val="13"/>
                <w:szCs w:val="13"/>
                <w:b w:val="1"/>
                <w:bCs w:val="1"/>
                <w:color w:val="520B90"/>
              </w:rPr>
              <w:t>Value of Unearned</w:t>
            </w:r>
          </w:p>
        </w:tc>
        <w:tc>
          <w:tcPr>
            <w:tcW w:w="0" w:type="dxa"/>
            <w:vAlign w:val="bottom"/>
          </w:tcPr>
          <w:p>
            <w:pPr>
              <w:spacing w:after="0"/>
              <w:rPr>
                <w:sz w:val="1"/>
                <w:szCs w:val="1"/>
                <w:color w:val="auto"/>
              </w:rPr>
            </w:pPr>
          </w:p>
        </w:tc>
      </w:tr>
      <w:tr>
        <w:trPr>
          <w:trHeight w:val="132"/>
        </w:trPr>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Pr>
          <w:p>
            <w:pPr>
              <w:jc w:val="center"/>
              <w:ind w:left="263"/>
              <w:spacing w:after="0" w:line="133" w:lineRule="exact"/>
              <w:rPr>
                <w:sz w:val="20"/>
                <w:szCs w:val="20"/>
                <w:color w:val="auto"/>
              </w:rPr>
            </w:pPr>
            <w:r>
              <w:rPr>
                <w:rFonts w:ascii="Arial" w:cs="Arial" w:eastAsia="Arial" w:hAnsi="Arial"/>
                <w:sz w:val="13"/>
                <w:szCs w:val="13"/>
                <w:b w:val="1"/>
                <w:bCs w:val="1"/>
                <w:color w:val="520B90"/>
              </w:rPr>
              <w:t>Shares or Units</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3"/>
          </w:tcPr>
          <w:p>
            <w:pPr>
              <w:jc w:val="center"/>
              <w:spacing w:after="0" w:line="133" w:lineRule="exact"/>
              <w:rPr>
                <w:sz w:val="20"/>
                <w:szCs w:val="20"/>
                <w:color w:val="auto"/>
              </w:rPr>
            </w:pPr>
            <w:r>
              <w:rPr>
                <w:rFonts w:ascii="Arial" w:cs="Arial" w:eastAsia="Arial" w:hAnsi="Arial"/>
                <w:sz w:val="13"/>
                <w:szCs w:val="13"/>
                <w:b w:val="1"/>
                <w:bCs w:val="1"/>
                <w:color w:val="520B90"/>
              </w:rPr>
              <w:t>Shares, Units or Other</w:t>
            </w:r>
          </w:p>
        </w:tc>
        <w:tc>
          <w:tcPr>
            <w:tcW w:w="100" w:type="dxa"/>
            <w:vAlign w:val="bottom"/>
          </w:tcPr>
          <w:p>
            <w:pPr>
              <w:spacing w:after="0"/>
              <w:rPr>
                <w:sz w:val="11"/>
                <w:szCs w:val="11"/>
                <w:color w:val="auto"/>
              </w:rPr>
            </w:pPr>
          </w:p>
        </w:tc>
        <w:tc>
          <w:tcPr>
            <w:tcW w:w="1720" w:type="dxa"/>
            <w:vAlign w:val="bottom"/>
          </w:tcPr>
          <w:p>
            <w:pPr>
              <w:jc w:val="center"/>
              <w:spacing w:after="0" w:line="133" w:lineRule="exact"/>
              <w:rPr>
                <w:sz w:val="20"/>
                <w:szCs w:val="20"/>
                <w:color w:val="auto"/>
              </w:rPr>
            </w:pPr>
            <w:r>
              <w:rPr>
                <w:rFonts w:ascii="Arial" w:cs="Arial" w:eastAsia="Arial" w:hAnsi="Arial"/>
                <w:sz w:val="13"/>
                <w:szCs w:val="13"/>
                <w:b w:val="1"/>
                <w:bCs w:val="1"/>
                <w:color w:val="520B90"/>
              </w:rPr>
              <w:t>Shares, Units or Other</w:t>
            </w:r>
          </w:p>
        </w:tc>
        <w:tc>
          <w:tcPr>
            <w:tcW w:w="0" w:type="dxa"/>
            <w:vAlign w:val="bottom"/>
          </w:tcPr>
          <w:p>
            <w:pPr>
              <w:spacing w:after="0"/>
              <w:rPr>
                <w:sz w:val="1"/>
                <w:szCs w:val="1"/>
                <w:color w:val="auto"/>
              </w:rPr>
            </w:pPr>
          </w:p>
        </w:tc>
      </w:tr>
      <w:tr>
        <w:trPr>
          <w:trHeight w:val="132"/>
        </w:trPr>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tcPr>
          <w:p>
            <w:pPr>
              <w:jc w:val="center"/>
              <w:spacing w:after="0" w:line="133" w:lineRule="exact"/>
              <w:rPr>
                <w:sz w:val="20"/>
                <w:szCs w:val="20"/>
                <w:color w:val="auto"/>
              </w:rPr>
            </w:pPr>
            <w:r>
              <w:rPr>
                <w:rFonts w:ascii="Arial" w:cs="Arial" w:eastAsia="Arial" w:hAnsi="Arial"/>
                <w:sz w:val="13"/>
                <w:szCs w:val="13"/>
                <w:b w:val="1"/>
                <w:bCs w:val="1"/>
                <w:color w:val="520B90"/>
              </w:rPr>
              <w:t>Units of Stock That Have</w:t>
            </w:r>
          </w:p>
        </w:tc>
        <w:tc>
          <w:tcPr>
            <w:tcW w:w="80" w:type="dxa"/>
            <w:vAlign w:val="bottom"/>
          </w:tcPr>
          <w:p>
            <w:pPr>
              <w:spacing w:after="0"/>
              <w:rPr>
                <w:sz w:val="11"/>
                <w:szCs w:val="11"/>
                <w:color w:val="auto"/>
              </w:rPr>
            </w:pPr>
          </w:p>
        </w:tc>
        <w:tc>
          <w:tcPr>
            <w:tcW w:w="1400" w:type="dxa"/>
            <w:vAlign w:val="bottom"/>
          </w:tcPr>
          <w:p>
            <w:pPr>
              <w:jc w:val="center"/>
              <w:ind w:left="243"/>
              <w:spacing w:after="0" w:line="133" w:lineRule="exact"/>
              <w:rPr>
                <w:sz w:val="20"/>
                <w:szCs w:val="20"/>
                <w:color w:val="auto"/>
              </w:rPr>
            </w:pPr>
            <w:r>
              <w:rPr>
                <w:rFonts w:ascii="Arial" w:cs="Arial" w:eastAsia="Arial" w:hAnsi="Arial"/>
                <w:sz w:val="13"/>
                <w:szCs w:val="13"/>
                <w:b w:val="1"/>
                <w:bCs w:val="1"/>
                <w:color w:val="520B90"/>
              </w:rPr>
              <w:t>of Stock That</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center"/>
              <w:ind w:left="264"/>
              <w:spacing w:after="0" w:line="133" w:lineRule="exact"/>
              <w:rPr>
                <w:sz w:val="20"/>
                <w:szCs w:val="20"/>
                <w:color w:val="auto"/>
              </w:rPr>
            </w:pPr>
            <w:r>
              <w:rPr>
                <w:rFonts w:ascii="Arial" w:cs="Arial" w:eastAsia="Arial" w:hAnsi="Arial"/>
                <w:sz w:val="13"/>
                <w:szCs w:val="13"/>
                <w:b w:val="1"/>
                <w:bCs w:val="1"/>
                <w:color w:val="520B90"/>
              </w:rPr>
              <w:t>Rights that</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Pr>
          <w:p>
            <w:pPr>
              <w:jc w:val="center"/>
              <w:spacing w:after="0" w:line="133" w:lineRule="exact"/>
              <w:rPr>
                <w:sz w:val="20"/>
                <w:szCs w:val="20"/>
                <w:color w:val="auto"/>
              </w:rPr>
            </w:pPr>
            <w:r>
              <w:rPr>
                <w:rFonts w:ascii="Arial" w:cs="Arial" w:eastAsia="Arial" w:hAnsi="Arial"/>
                <w:sz w:val="13"/>
                <w:szCs w:val="13"/>
                <w:b w:val="1"/>
                <w:bCs w:val="1"/>
                <w:color w:val="520B90"/>
              </w:rPr>
              <w:t>Rights that Have Not</w:t>
            </w:r>
          </w:p>
        </w:tc>
        <w:tc>
          <w:tcPr>
            <w:tcW w:w="0" w:type="dxa"/>
            <w:vAlign w:val="bottom"/>
          </w:tcPr>
          <w:p>
            <w:pPr>
              <w:spacing w:after="0"/>
              <w:rPr>
                <w:sz w:val="1"/>
                <w:szCs w:val="1"/>
                <w:color w:val="auto"/>
              </w:rPr>
            </w:pPr>
          </w:p>
        </w:tc>
      </w:tr>
      <w:tr>
        <w:trPr>
          <w:trHeight w:val="132"/>
        </w:trPr>
        <w:tc>
          <w:tcPr>
            <w:tcW w:w="1280" w:type="dxa"/>
            <w:vAlign w:val="bottom"/>
            <w:gridSpan w:val="2"/>
            <w:vMerge w:val="restart"/>
          </w:tcPr>
          <w:p>
            <w:pPr>
              <w:ind w:left="260"/>
              <w:spacing w:after="0"/>
              <w:rPr>
                <w:sz w:val="20"/>
                <w:szCs w:val="20"/>
                <w:color w:val="auto"/>
              </w:rPr>
            </w:pPr>
            <w:r>
              <w:rPr>
                <w:rFonts w:ascii="Arial" w:cs="Arial" w:eastAsia="Arial" w:hAnsi="Arial"/>
                <w:sz w:val="13"/>
                <w:szCs w:val="13"/>
                <w:b w:val="1"/>
                <w:bCs w:val="1"/>
                <w:color w:val="520B90"/>
              </w:rPr>
              <w:t>Grant Date</w:t>
            </w:r>
          </w:p>
        </w:tc>
        <w:tc>
          <w:tcPr>
            <w:tcW w:w="1300" w:type="dxa"/>
            <w:vAlign w:val="bottom"/>
          </w:tcPr>
          <w:p>
            <w:pPr>
              <w:jc w:val="center"/>
              <w:ind w:left="223"/>
              <w:spacing w:after="0" w:line="133" w:lineRule="exact"/>
              <w:rPr>
                <w:sz w:val="20"/>
                <w:szCs w:val="20"/>
                <w:color w:val="auto"/>
              </w:rPr>
            </w:pPr>
            <w:r>
              <w:rPr>
                <w:rFonts w:ascii="Arial" w:cs="Arial" w:eastAsia="Arial" w:hAnsi="Arial"/>
                <w:sz w:val="13"/>
                <w:szCs w:val="13"/>
                <w:b w:val="1"/>
                <w:bCs w:val="1"/>
                <w:color w:val="520B90"/>
              </w:rPr>
              <w:t>Not Vested</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Pr>
          <w:p>
            <w:pPr>
              <w:jc w:val="center"/>
              <w:ind w:left="243"/>
              <w:spacing w:after="0" w:line="133" w:lineRule="exact"/>
              <w:rPr>
                <w:sz w:val="20"/>
                <w:szCs w:val="20"/>
                <w:color w:val="auto"/>
              </w:rPr>
            </w:pPr>
            <w:r>
              <w:rPr>
                <w:rFonts w:ascii="Arial" w:cs="Arial" w:eastAsia="Arial" w:hAnsi="Arial"/>
                <w:sz w:val="13"/>
                <w:szCs w:val="13"/>
                <w:b w:val="1"/>
                <w:bCs w:val="1"/>
                <w:color w:val="520B90"/>
              </w:rPr>
              <w:t>Have Not Vested</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center"/>
              <w:ind w:left="264"/>
              <w:spacing w:after="0" w:line="133" w:lineRule="exact"/>
              <w:rPr>
                <w:sz w:val="20"/>
                <w:szCs w:val="20"/>
                <w:color w:val="auto"/>
              </w:rPr>
            </w:pPr>
            <w:r>
              <w:rPr>
                <w:rFonts w:ascii="Arial" w:cs="Arial" w:eastAsia="Arial" w:hAnsi="Arial"/>
                <w:sz w:val="13"/>
                <w:szCs w:val="13"/>
                <w:b w:val="1"/>
                <w:bCs w:val="1"/>
                <w:color w:val="520B90"/>
                <w:w w:val="99"/>
              </w:rPr>
              <w:t>Have Not Vested</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Pr>
          <w:p>
            <w:pPr>
              <w:jc w:val="center"/>
              <w:spacing w:after="0" w:line="133" w:lineRule="exact"/>
              <w:rPr>
                <w:sz w:val="20"/>
                <w:szCs w:val="20"/>
                <w:color w:val="auto"/>
              </w:rPr>
            </w:pPr>
            <w:r>
              <w:rPr>
                <w:rFonts w:ascii="Arial" w:cs="Arial" w:eastAsia="Arial" w:hAnsi="Arial"/>
                <w:sz w:val="13"/>
                <w:szCs w:val="13"/>
                <w:b w:val="1"/>
                <w:bCs w:val="1"/>
                <w:color w:val="520B90"/>
              </w:rPr>
              <w:t>Vested</w:t>
            </w:r>
          </w:p>
        </w:tc>
        <w:tc>
          <w:tcPr>
            <w:tcW w:w="0" w:type="dxa"/>
            <w:vAlign w:val="bottom"/>
          </w:tcPr>
          <w:p>
            <w:pPr>
              <w:spacing w:after="0"/>
              <w:rPr>
                <w:sz w:val="1"/>
                <w:szCs w:val="1"/>
                <w:color w:val="auto"/>
              </w:rPr>
            </w:pPr>
          </w:p>
        </w:tc>
      </w:tr>
      <w:tr>
        <w:trPr>
          <w:trHeight w:val="183"/>
        </w:trPr>
        <w:tc>
          <w:tcPr>
            <w:tcW w:w="1280" w:type="dxa"/>
            <w:vAlign w:val="bottom"/>
            <w:gridSpan w:val="2"/>
            <w:vMerge w:val="continue"/>
          </w:tcPr>
          <w:p>
            <w:pPr>
              <w:spacing w:after="0"/>
              <w:rPr>
                <w:sz w:val="15"/>
                <w:szCs w:val="15"/>
                <w:color w:val="auto"/>
              </w:rPr>
            </w:pPr>
          </w:p>
        </w:tc>
        <w:tc>
          <w:tcPr>
            <w:tcW w:w="1300" w:type="dxa"/>
            <w:vAlign w:val="bottom"/>
          </w:tcPr>
          <w:p>
            <w:pPr>
              <w:jc w:val="center"/>
              <w:ind w:left="223"/>
              <w:spacing w:after="0"/>
              <w:rPr>
                <w:sz w:val="20"/>
                <w:szCs w:val="20"/>
                <w:color w:val="auto"/>
              </w:rPr>
            </w:pPr>
            <w:r>
              <w:rPr>
                <w:rFonts w:ascii="Arial" w:cs="Arial" w:eastAsia="Arial" w:hAnsi="Arial"/>
                <w:sz w:val="13"/>
                <w:szCs w:val="13"/>
                <w:b w:val="1"/>
                <w:bCs w:val="1"/>
                <w:color w:val="520B90"/>
              </w:rPr>
              <w:t>(#)(a)</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center"/>
              <w:ind w:left="243"/>
              <w:spacing w:after="0"/>
              <w:rPr>
                <w:sz w:val="20"/>
                <w:szCs w:val="20"/>
                <w:color w:val="auto"/>
              </w:rPr>
            </w:pPr>
            <w:r>
              <w:rPr>
                <w:rFonts w:ascii="Arial" w:cs="Arial" w:eastAsia="Arial" w:hAnsi="Arial"/>
                <w:sz w:val="13"/>
                <w:szCs w:val="13"/>
                <w:b w:val="1"/>
                <w:bCs w:val="1"/>
                <w:color w:val="520B90"/>
                <w:w w:val="98"/>
              </w:rPr>
              <w:t>($)(b)</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center"/>
              <w:ind w:left="264"/>
              <w:spacing w:after="0"/>
              <w:rPr>
                <w:sz w:val="20"/>
                <w:szCs w:val="20"/>
                <w:color w:val="auto"/>
              </w:rPr>
            </w:pPr>
            <w:r>
              <w:rPr>
                <w:rFonts w:ascii="Arial" w:cs="Arial" w:eastAsia="Arial" w:hAnsi="Arial"/>
                <w:sz w:val="13"/>
                <w:szCs w:val="13"/>
                <w:b w:val="1"/>
                <w:bCs w:val="1"/>
                <w:color w:val="520B90"/>
              </w:rPr>
              <w:t>(#)(c)</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Arial" w:cs="Arial" w:eastAsia="Arial" w:hAnsi="Arial"/>
                <w:sz w:val="13"/>
                <w:szCs w:val="13"/>
                <w:b w:val="1"/>
                <w:bCs w:val="1"/>
                <w:color w:val="520B90"/>
                <w:w w:val="98"/>
              </w:rPr>
              <w:t>($)(b)</w:t>
            </w:r>
          </w:p>
        </w:tc>
        <w:tc>
          <w:tcPr>
            <w:tcW w:w="0" w:type="dxa"/>
            <w:vAlign w:val="bottom"/>
          </w:tcPr>
          <w:p>
            <w:pPr>
              <w:spacing w:after="0"/>
              <w:rPr>
                <w:sz w:val="1"/>
                <w:szCs w:val="1"/>
                <w:color w:val="auto"/>
              </w:rPr>
            </w:pPr>
          </w:p>
        </w:tc>
      </w:tr>
      <w:tr>
        <w:trPr>
          <w:trHeight w:val="319"/>
        </w:trPr>
        <w:tc>
          <w:tcPr>
            <w:tcW w:w="1180" w:type="dxa"/>
            <w:vAlign w:val="bottom"/>
            <w:tcBorders>
              <w:top w:val="single" w:sz="8" w:color="520B90"/>
            </w:tcBorders>
            <w:vMerge w:val="restart"/>
            <w:shd w:val="clear" w:color="auto" w:fill="E6E7E7"/>
          </w:tcPr>
          <w:p>
            <w:pPr>
              <w:jc w:val="center"/>
              <w:spacing w:after="0"/>
              <w:rPr>
                <w:sz w:val="20"/>
                <w:szCs w:val="20"/>
                <w:color w:val="auto"/>
              </w:rPr>
            </w:pPr>
            <w:r>
              <w:rPr>
                <w:rFonts w:ascii="Arial" w:cs="Arial" w:eastAsia="Arial" w:hAnsi="Arial"/>
                <w:sz w:val="16"/>
                <w:szCs w:val="16"/>
                <w:color w:val="auto"/>
                <w:w w:val="98"/>
              </w:rPr>
              <w:t>2/21/2023</w:t>
            </w:r>
          </w:p>
        </w:tc>
        <w:tc>
          <w:tcPr>
            <w:tcW w:w="100" w:type="dxa"/>
            <w:vAlign w:val="bottom"/>
          </w:tcPr>
          <w:p>
            <w:pPr>
              <w:spacing w:after="0"/>
              <w:rPr>
                <w:sz w:val="24"/>
                <w:szCs w:val="24"/>
                <w:color w:val="auto"/>
              </w:rPr>
            </w:pPr>
          </w:p>
        </w:tc>
        <w:tc>
          <w:tcPr>
            <w:tcW w:w="1300" w:type="dxa"/>
            <w:vAlign w:val="bottom"/>
            <w:tcBorders>
              <w:top w:val="single" w:sz="8" w:color="520B90"/>
            </w:tcBorders>
            <w:vMerge w:val="restart"/>
            <w:shd w:val="clear" w:color="auto" w:fill="E6E7E7"/>
          </w:tcPr>
          <w:p>
            <w:pPr>
              <w:jc w:val="center"/>
              <w:spacing w:after="0"/>
              <w:rPr>
                <w:sz w:val="20"/>
                <w:szCs w:val="20"/>
                <w:color w:val="auto"/>
              </w:rPr>
            </w:pPr>
            <w:r>
              <w:rPr>
                <w:rFonts w:ascii="Arial" w:cs="Arial" w:eastAsia="Arial" w:hAnsi="Arial"/>
                <w:sz w:val="16"/>
                <w:szCs w:val="16"/>
                <w:color w:val="auto"/>
                <w:w w:val="94"/>
              </w:rPr>
              <w:t>2,440</w:t>
            </w:r>
          </w:p>
        </w:tc>
        <w:tc>
          <w:tcPr>
            <w:tcW w:w="320" w:type="dxa"/>
            <w:vAlign w:val="bottom"/>
            <w:tcBorders>
              <w:top w:val="single" w:sz="8" w:color="520B90"/>
            </w:tcBorders>
            <w:shd w:val="clear" w:color="auto" w:fill="E6E7E7"/>
          </w:tcPr>
          <w:p>
            <w:pPr>
              <w:ind w:left="20"/>
              <w:spacing w:after="0"/>
              <w:rPr>
                <w:sz w:val="20"/>
                <w:szCs w:val="20"/>
                <w:color w:val="auto"/>
              </w:rPr>
            </w:pPr>
            <w:r>
              <w:rPr>
                <w:rFonts w:ascii="Arial" w:cs="Arial" w:eastAsia="Arial" w:hAnsi="Arial"/>
                <w:sz w:val="10"/>
                <w:szCs w:val="10"/>
                <w:color w:val="auto"/>
              </w:rPr>
              <w:t>(j)</w:t>
            </w:r>
          </w:p>
        </w:tc>
        <w:tc>
          <w:tcPr>
            <w:tcW w:w="80" w:type="dxa"/>
            <w:vAlign w:val="bottom"/>
          </w:tcPr>
          <w:p>
            <w:pPr>
              <w:spacing w:after="0"/>
              <w:rPr>
                <w:sz w:val="24"/>
                <w:szCs w:val="24"/>
                <w:color w:val="auto"/>
              </w:rPr>
            </w:pPr>
          </w:p>
        </w:tc>
        <w:tc>
          <w:tcPr>
            <w:tcW w:w="1400" w:type="dxa"/>
            <w:vAlign w:val="bottom"/>
            <w:tcBorders>
              <w:top w:val="single" w:sz="8" w:color="520B90"/>
            </w:tcBorders>
            <w:vMerge w:val="restart"/>
            <w:shd w:val="clear" w:color="auto" w:fill="E6E7E7"/>
          </w:tcPr>
          <w:p>
            <w:pPr>
              <w:jc w:val="center"/>
              <w:spacing w:after="0"/>
              <w:rPr>
                <w:sz w:val="20"/>
                <w:szCs w:val="20"/>
                <w:color w:val="auto"/>
              </w:rPr>
            </w:pPr>
            <w:r>
              <w:rPr>
                <w:rFonts w:ascii="Arial" w:cs="Arial" w:eastAsia="Arial" w:hAnsi="Arial"/>
                <w:sz w:val="16"/>
                <w:szCs w:val="16"/>
                <w:color w:val="auto"/>
              </w:rPr>
              <w:t>216,843</w:t>
            </w:r>
          </w:p>
        </w:tc>
        <w:tc>
          <w:tcPr>
            <w:tcW w:w="320" w:type="dxa"/>
            <w:vAlign w:val="bottom"/>
            <w:tcBorders>
              <w:top w:val="single" w:sz="8" w:color="520B90"/>
            </w:tcBorders>
            <w:shd w:val="clear" w:color="auto" w:fill="E6E7E7"/>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Borders>
              <w:top w:val="single" w:sz="8" w:color="520B90"/>
            </w:tcBorders>
            <w:vMerge w:val="restart"/>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Borders>
              <w:top w:val="single" w:sz="8" w:color="520B90"/>
            </w:tcBorders>
            <w:shd w:val="clear" w:color="auto" w:fill="E6E7E7"/>
          </w:tcPr>
          <w:p>
            <w:pPr>
              <w:spacing w:after="0"/>
              <w:rPr>
                <w:sz w:val="24"/>
                <w:szCs w:val="24"/>
                <w:color w:val="auto"/>
              </w:rPr>
            </w:pPr>
          </w:p>
        </w:tc>
        <w:tc>
          <w:tcPr>
            <w:tcW w:w="340" w:type="dxa"/>
            <w:vAlign w:val="bottom"/>
            <w:tcBorders>
              <w:top w:val="single" w:sz="8" w:color="520B90"/>
            </w:tcBorders>
            <w:shd w:val="clear" w:color="auto" w:fill="E6E7E7"/>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Borders>
              <w:top w:val="single" w:sz="8" w:color="520B90"/>
            </w:tcBorders>
            <w:vMerge w:val="restart"/>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11"/>
        </w:trPr>
        <w:tc>
          <w:tcPr>
            <w:tcW w:w="1180" w:type="dxa"/>
            <w:vAlign w:val="bottom"/>
            <w:vMerge w:val="continue"/>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vMerge w:val="continue"/>
            <w:shd w:val="clear" w:color="auto" w:fill="E6E7E7"/>
          </w:tcPr>
          <w:p>
            <w:pPr>
              <w:spacing w:after="0"/>
              <w:rPr>
                <w:sz w:val="9"/>
                <w:szCs w:val="9"/>
                <w:color w:val="auto"/>
              </w:rPr>
            </w:pPr>
          </w:p>
        </w:tc>
        <w:tc>
          <w:tcPr>
            <w:tcW w:w="320" w:type="dxa"/>
            <w:vAlign w:val="bottom"/>
            <w:vMerge w:val="restart"/>
            <w:shd w:val="clear" w:color="auto" w:fill="E6E7E7"/>
          </w:tcPr>
          <w:p>
            <w:pPr>
              <w:ind w:left="20"/>
              <w:spacing w:after="0"/>
              <w:rPr>
                <w:sz w:val="20"/>
                <w:szCs w:val="20"/>
                <w:color w:val="auto"/>
              </w:rPr>
            </w:pPr>
            <w:r>
              <w:rPr>
                <w:rFonts w:ascii="Arial" w:cs="Arial" w:eastAsia="Arial" w:hAnsi="Arial"/>
                <w:sz w:val="10"/>
                <w:szCs w:val="10"/>
                <w:color w:val="auto"/>
              </w:rPr>
              <w:t>(e)</w:t>
            </w:r>
          </w:p>
        </w:tc>
        <w:tc>
          <w:tcPr>
            <w:tcW w:w="80" w:type="dxa"/>
            <w:vAlign w:val="bottom"/>
          </w:tcPr>
          <w:p>
            <w:pPr>
              <w:spacing w:after="0"/>
              <w:rPr>
                <w:sz w:val="9"/>
                <w:szCs w:val="9"/>
                <w:color w:val="auto"/>
              </w:rPr>
            </w:pPr>
          </w:p>
        </w:tc>
        <w:tc>
          <w:tcPr>
            <w:tcW w:w="1400" w:type="dxa"/>
            <w:vAlign w:val="bottom"/>
            <w:vMerge w:val="continue"/>
            <w:shd w:val="clear" w:color="auto" w:fill="E6E7E7"/>
          </w:tcPr>
          <w:p>
            <w:pPr>
              <w:spacing w:after="0"/>
              <w:rPr>
                <w:sz w:val="9"/>
                <w:szCs w:val="9"/>
                <w:color w:val="auto"/>
              </w:rPr>
            </w:pPr>
          </w:p>
        </w:tc>
        <w:tc>
          <w:tcPr>
            <w:tcW w:w="320" w:type="dxa"/>
            <w:vAlign w:val="bottom"/>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vMerge w:val="continue"/>
            <w:shd w:val="clear" w:color="auto" w:fill="E6E7E7"/>
          </w:tcPr>
          <w:p>
            <w:pPr>
              <w:spacing w:after="0"/>
              <w:rPr>
                <w:sz w:val="9"/>
                <w:szCs w:val="9"/>
                <w:color w:val="auto"/>
              </w:rPr>
            </w:pPr>
          </w:p>
        </w:tc>
        <w:tc>
          <w:tcPr>
            <w:tcW w:w="100" w:type="dxa"/>
            <w:vAlign w:val="bottom"/>
            <w:shd w:val="clear" w:color="auto" w:fill="E6E7E7"/>
          </w:tcPr>
          <w:p>
            <w:pPr>
              <w:spacing w:after="0"/>
              <w:rPr>
                <w:sz w:val="9"/>
                <w:szCs w:val="9"/>
                <w:color w:val="auto"/>
              </w:rPr>
            </w:pPr>
          </w:p>
        </w:tc>
        <w:tc>
          <w:tcPr>
            <w:tcW w:w="340" w:type="dxa"/>
            <w:vAlign w:val="bottom"/>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vMerge w:val="continue"/>
            <w:shd w:val="clear" w:color="auto" w:fill="E6E7E7"/>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8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8"/>
              </w:rPr>
              <w:t>2/22/2023</w:t>
            </w:r>
          </w:p>
        </w:tc>
        <w:tc>
          <w:tcPr>
            <w:tcW w:w="100" w:type="dxa"/>
            <w:vAlign w:val="bottom"/>
          </w:tcPr>
          <w:p>
            <w:pPr>
              <w:spacing w:after="0"/>
              <w:rPr>
                <w:sz w:val="8"/>
                <w:szCs w:val="8"/>
                <w:color w:val="auto"/>
              </w:rPr>
            </w:pPr>
          </w:p>
        </w:tc>
        <w:tc>
          <w:tcPr>
            <w:tcW w:w="130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4"/>
              </w:rPr>
              <w:t>2,434</w:t>
            </w:r>
          </w:p>
        </w:tc>
        <w:tc>
          <w:tcPr>
            <w:tcW w:w="320" w:type="dxa"/>
            <w:vAlign w:val="bottom"/>
            <w:vMerge w:val="continue"/>
            <w:shd w:val="clear" w:color="auto" w:fill="E6E7E7"/>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rPr>
              <w:t>216,310</w:t>
            </w:r>
          </w:p>
        </w:tc>
        <w:tc>
          <w:tcPr>
            <w:tcW w:w="32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E6E7E7"/>
          </w:tcPr>
          <w:p>
            <w:pPr>
              <w:spacing w:after="0"/>
              <w:rPr>
                <w:sz w:val="8"/>
                <w:szCs w:val="8"/>
                <w:color w:val="auto"/>
              </w:rPr>
            </w:pPr>
          </w:p>
        </w:tc>
        <w:tc>
          <w:tcPr>
            <w:tcW w:w="34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172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11"/>
        </w:trPr>
        <w:tc>
          <w:tcPr>
            <w:tcW w:w="1180" w:type="dxa"/>
            <w:vAlign w:val="bottom"/>
            <w:vMerge w:val="continue"/>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vMerge w:val="continue"/>
            <w:shd w:val="clear" w:color="auto" w:fill="E6E7E7"/>
          </w:tcPr>
          <w:p>
            <w:pPr>
              <w:spacing w:after="0"/>
              <w:rPr>
                <w:sz w:val="9"/>
                <w:szCs w:val="9"/>
                <w:color w:val="auto"/>
              </w:rPr>
            </w:pPr>
          </w:p>
        </w:tc>
        <w:tc>
          <w:tcPr>
            <w:tcW w:w="320" w:type="dxa"/>
            <w:vAlign w:val="bottom"/>
            <w:vMerge w:val="restart"/>
            <w:shd w:val="clear" w:color="auto" w:fill="E6E7E7"/>
          </w:tcPr>
          <w:p>
            <w:pPr>
              <w:ind w:left="20"/>
              <w:spacing w:after="0"/>
              <w:rPr>
                <w:sz w:val="20"/>
                <w:szCs w:val="20"/>
                <w:color w:val="auto"/>
              </w:rPr>
            </w:pPr>
            <w:r>
              <w:rPr>
                <w:rFonts w:ascii="Arial" w:cs="Arial" w:eastAsia="Arial" w:hAnsi="Arial"/>
                <w:sz w:val="10"/>
                <w:szCs w:val="10"/>
                <w:color w:val="auto"/>
              </w:rPr>
              <w:t>(g)</w:t>
            </w:r>
          </w:p>
        </w:tc>
        <w:tc>
          <w:tcPr>
            <w:tcW w:w="80" w:type="dxa"/>
            <w:vAlign w:val="bottom"/>
          </w:tcPr>
          <w:p>
            <w:pPr>
              <w:spacing w:after="0"/>
              <w:rPr>
                <w:sz w:val="9"/>
                <w:szCs w:val="9"/>
                <w:color w:val="auto"/>
              </w:rPr>
            </w:pPr>
          </w:p>
        </w:tc>
        <w:tc>
          <w:tcPr>
            <w:tcW w:w="1400" w:type="dxa"/>
            <w:vAlign w:val="bottom"/>
            <w:vMerge w:val="continue"/>
            <w:shd w:val="clear" w:color="auto" w:fill="E6E7E7"/>
          </w:tcPr>
          <w:p>
            <w:pPr>
              <w:spacing w:after="0"/>
              <w:rPr>
                <w:sz w:val="9"/>
                <w:szCs w:val="9"/>
                <w:color w:val="auto"/>
              </w:rPr>
            </w:pPr>
          </w:p>
        </w:tc>
        <w:tc>
          <w:tcPr>
            <w:tcW w:w="320" w:type="dxa"/>
            <w:vAlign w:val="bottom"/>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vMerge w:val="continue"/>
            <w:shd w:val="clear" w:color="auto" w:fill="E6E7E7"/>
          </w:tcPr>
          <w:p>
            <w:pPr>
              <w:spacing w:after="0"/>
              <w:rPr>
                <w:sz w:val="9"/>
                <w:szCs w:val="9"/>
                <w:color w:val="auto"/>
              </w:rPr>
            </w:pPr>
          </w:p>
        </w:tc>
        <w:tc>
          <w:tcPr>
            <w:tcW w:w="100" w:type="dxa"/>
            <w:vAlign w:val="bottom"/>
            <w:shd w:val="clear" w:color="auto" w:fill="E6E7E7"/>
          </w:tcPr>
          <w:p>
            <w:pPr>
              <w:spacing w:after="0"/>
              <w:rPr>
                <w:sz w:val="9"/>
                <w:szCs w:val="9"/>
                <w:color w:val="auto"/>
              </w:rPr>
            </w:pPr>
          </w:p>
        </w:tc>
        <w:tc>
          <w:tcPr>
            <w:tcW w:w="340" w:type="dxa"/>
            <w:vAlign w:val="bottom"/>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vMerge w:val="continue"/>
            <w:shd w:val="clear" w:color="auto" w:fill="E6E7E7"/>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8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8"/>
              </w:rPr>
              <w:t>2/22/2023</w:t>
            </w:r>
          </w:p>
        </w:tc>
        <w:tc>
          <w:tcPr>
            <w:tcW w:w="100" w:type="dxa"/>
            <w:vAlign w:val="bottom"/>
          </w:tcPr>
          <w:p>
            <w:pPr>
              <w:spacing w:after="0"/>
              <w:rPr>
                <w:sz w:val="8"/>
                <w:szCs w:val="8"/>
                <w:color w:val="auto"/>
              </w:rPr>
            </w:pPr>
          </w:p>
        </w:tc>
        <w:tc>
          <w:tcPr>
            <w:tcW w:w="130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rPr>
              <w:t>0</w:t>
            </w:r>
          </w:p>
        </w:tc>
        <w:tc>
          <w:tcPr>
            <w:tcW w:w="320" w:type="dxa"/>
            <w:vAlign w:val="bottom"/>
            <w:vMerge w:val="continue"/>
            <w:shd w:val="clear" w:color="auto" w:fill="E6E7E7"/>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rPr>
              <w:t>0</w:t>
            </w:r>
          </w:p>
        </w:tc>
        <w:tc>
          <w:tcPr>
            <w:tcW w:w="32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E6E7E7"/>
          </w:tcPr>
          <w:p>
            <w:pPr>
              <w:spacing w:after="0"/>
              <w:rPr>
                <w:sz w:val="8"/>
                <w:szCs w:val="8"/>
                <w:color w:val="auto"/>
              </w:rPr>
            </w:pPr>
          </w:p>
        </w:tc>
        <w:tc>
          <w:tcPr>
            <w:tcW w:w="34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172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11"/>
        </w:trPr>
        <w:tc>
          <w:tcPr>
            <w:tcW w:w="1180" w:type="dxa"/>
            <w:vAlign w:val="bottom"/>
            <w:vMerge w:val="continue"/>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vMerge w:val="continue"/>
            <w:shd w:val="clear" w:color="auto" w:fill="E6E7E7"/>
          </w:tcPr>
          <w:p>
            <w:pPr>
              <w:spacing w:after="0"/>
              <w:rPr>
                <w:sz w:val="9"/>
                <w:szCs w:val="9"/>
                <w:color w:val="auto"/>
              </w:rPr>
            </w:pPr>
          </w:p>
        </w:tc>
        <w:tc>
          <w:tcPr>
            <w:tcW w:w="320" w:type="dxa"/>
            <w:vAlign w:val="bottom"/>
            <w:vMerge w:val="restart"/>
            <w:shd w:val="clear" w:color="auto" w:fill="E6E7E7"/>
          </w:tcPr>
          <w:p>
            <w:pPr>
              <w:ind w:left="20"/>
              <w:spacing w:after="0"/>
              <w:rPr>
                <w:sz w:val="20"/>
                <w:szCs w:val="20"/>
                <w:color w:val="auto"/>
              </w:rPr>
            </w:pPr>
            <w:r>
              <w:rPr>
                <w:rFonts w:ascii="Arial" w:cs="Arial" w:eastAsia="Arial" w:hAnsi="Arial"/>
                <w:sz w:val="10"/>
                <w:szCs w:val="10"/>
                <w:color w:val="auto"/>
              </w:rPr>
              <w:t>(h)</w:t>
            </w:r>
          </w:p>
        </w:tc>
        <w:tc>
          <w:tcPr>
            <w:tcW w:w="80" w:type="dxa"/>
            <w:vAlign w:val="bottom"/>
          </w:tcPr>
          <w:p>
            <w:pPr>
              <w:spacing w:after="0"/>
              <w:rPr>
                <w:sz w:val="9"/>
                <w:szCs w:val="9"/>
                <w:color w:val="auto"/>
              </w:rPr>
            </w:pPr>
          </w:p>
        </w:tc>
        <w:tc>
          <w:tcPr>
            <w:tcW w:w="1400" w:type="dxa"/>
            <w:vAlign w:val="bottom"/>
            <w:vMerge w:val="continue"/>
            <w:shd w:val="clear" w:color="auto" w:fill="E6E7E7"/>
          </w:tcPr>
          <w:p>
            <w:pPr>
              <w:spacing w:after="0"/>
              <w:rPr>
                <w:sz w:val="9"/>
                <w:szCs w:val="9"/>
                <w:color w:val="auto"/>
              </w:rPr>
            </w:pPr>
          </w:p>
        </w:tc>
        <w:tc>
          <w:tcPr>
            <w:tcW w:w="320" w:type="dxa"/>
            <w:vAlign w:val="bottom"/>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vMerge w:val="continue"/>
            <w:shd w:val="clear" w:color="auto" w:fill="E6E7E7"/>
          </w:tcPr>
          <w:p>
            <w:pPr>
              <w:spacing w:after="0"/>
              <w:rPr>
                <w:sz w:val="9"/>
                <w:szCs w:val="9"/>
                <w:color w:val="auto"/>
              </w:rPr>
            </w:pPr>
          </w:p>
        </w:tc>
        <w:tc>
          <w:tcPr>
            <w:tcW w:w="100" w:type="dxa"/>
            <w:vAlign w:val="bottom"/>
            <w:shd w:val="clear" w:color="auto" w:fill="E6E7E7"/>
          </w:tcPr>
          <w:p>
            <w:pPr>
              <w:spacing w:after="0"/>
              <w:rPr>
                <w:sz w:val="9"/>
                <w:szCs w:val="9"/>
                <w:color w:val="auto"/>
              </w:rPr>
            </w:pPr>
          </w:p>
        </w:tc>
        <w:tc>
          <w:tcPr>
            <w:tcW w:w="340" w:type="dxa"/>
            <w:vAlign w:val="bottom"/>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vMerge w:val="continue"/>
            <w:shd w:val="clear" w:color="auto" w:fill="E6E7E7"/>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8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8"/>
              </w:rPr>
              <w:t>2/22/2023</w:t>
            </w:r>
          </w:p>
        </w:tc>
        <w:tc>
          <w:tcPr>
            <w:tcW w:w="100" w:type="dxa"/>
            <w:vAlign w:val="bottom"/>
          </w:tcPr>
          <w:p>
            <w:pPr>
              <w:spacing w:after="0"/>
              <w:rPr>
                <w:sz w:val="8"/>
                <w:szCs w:val="8"/>
                <w:color w:val="auto"/>
              </w:rPr>
            </w:pPr>
          </w:p>
        </w:tc>
        <w:tc>
          <w:tcPr>
            <w:tcW w:w="130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rPr>
              <w:t>0</w:t>
            </w:r>
          </w:p>
        </w:tc>
        <w:tc>
          <w:tcPr>
            <w:tcW w:w="320" w:type="dxa"/>
            <w:vAlign w:val="bottom"/>
            <w:vMerge w:val="continue"/>
            <w:shd w:val="clear" w:color="auto" w:fill="E6E7E7"/>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rPr>
              <w:t>0</w:t>
            </w:r>
          </w:p>
        </w:tc>
        <w:tc>
          <w:tcPr>
            <w:tcW w:w="32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E6E7E7"/>
          </w:tcPr>
          <w:p>
            <w:pPr>
              <w:spacing w:after="0"/>
              <w:rPr>
                <w:sz w:val="8"/>
                <w:szCs w:val="8"/>
                <w:color w:val="auto"/>
              </w:rPr>
            </w:pPr>
          </w:p>
        </w:tc>
        <w:tc>
          <w:tcPr>
            <w:tcW w:w="34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172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11"/>
        </w:trPr>
        <w:tc>
          <w:tcPr>
            <w:tcW w:w="1180" w:type="dxa"/>
            <w:vAlign w:val="bottom"/>
            <w:vMerge w:val="continue"/>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vMerge w:val="continue"/>
            <w:shd w:val="clear" w:color="auto" w:fill="E6E7E7"/>
          </w:tcPr>
          <w:p>
            <w:pPr>
              <w:spacing w:after="0"/>
              <w:rPr>
                <w:sz w:val="9"/>
                <w:szCs w:val="9"/>
                <w:color w:val="auto"/>
              </w:rPr>
            </w:pPr>
          </w:p>
        </w:tc>
        <w:tc>
          <w:tcPr>
            <w:tcW w:w="320" w:type="dxa"/>
            <w:vAlign w:val="bottom"/>
            <w:vMerge w:val="restart"/>
            <w:shd w:val="clear" w:color="auto" w:fill="E6E7E7"/>
          </w:tcPr>
          <w:p>
            <w:pPr>
              <w:ind w:left="20"/>
              <w:spacing w:after="0"/>
              <w:rPr>
                <w:sz w:val="20"/>
                <w:szCs w:val="20"/>
                <w:color w:val="auto"/>
              </w:rPr>
            </w:pPr>
            <w:r>
              <w:rPr>
                <w:rFonts w:ascii="Arial" w:cs="Arial" w:eastAsia="Arial" w:hAnsi="Arial"/>
                <w:sz w:val="10"/>
                <w:szCs w:val="10"/>
                <w:color w:val="auto"/>
              </w:rPr>
              <w:t>(e)</w:t>
            </w:r>
          </w:p>
        </w:tc>
        <w:tc>
          <w:tcPr>
            <w:tcW w:w="80" w:type="dxa"/>
            <w:vAlign w:val="bottom"/>
          </w:tcPr>
          <w:p>
            <w:pPr>
              <w:spacing w:after="0"/>
              <w:rPr>
                <w:sz w:val="9"/>
                <w:szCs w:val="9"/>
                <w:color w:val="auto"/>
              </w:rPr>
            </w:pPr>
          </w:p>
        </w:tc>
        <w:tc>
          <w:tcPr>
            <w:tcW w:w="1400" w:type="dxa"/>
            <w:vAlign w:val="bottom"/>
            <w:vMerge w:val="continue"/>
            <w:shd w:val="clear" w:color="auto" w:fill="E6E7E7"/>
          </w:tcPr>
          <w:p>
            <w:pPr>
              <w:spacing w:after="0"/>
              <w:rPr>
                <w:sz w:val="9"/>
                <w:szCs w:val="9"/>
                <w:color w:val="auto"/>
              </w:rPr>
            </w:pPr>
          </w:p>
        </w:tc>
        <w:tc>
          <w:tcPr>
            <w:tcW w:w="320" w:type="dxa"/>
            <w:vAlign w:val="bottom"/>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vMerge w:val="continue"/>
            <w:shd w:val="clear" w:color="auto" w:fill="E6E7E7"/>
          </w:tcPr>
          <w:p>
            <w:pPr>
              <w:spacing w:after="0"/>
              <w:rPr>
                <w:sz w:val="9"/>
                <w:szCs w:val="9"/>
                <w:color w:val="auto"/>
              </w:rPr>
            </w:pPr>
          </w:p>
        </w:tc>
        <w:tc>
          <w:tcPr>
            <w:tcW w:w="100" w:type="dxa"/>
            <w:vAlign w:val="bottom"/>
            <w:shd w:val="clear" w:color="auto" w:fill="E6E7E7"/>
          </w:tcPr>
          <w:p>
            <w:pPr>
              <w:spacing w:after="0"/>
              <w:rPr>
                <w:sz w:val="9"/>
                <w:szCs w:val="9"/>
                <w:color w:val="auto"/>
              </w:rPr>
            </w:pPr>
          </w:p>
        </w:tc>
        <w:tc>
          <w:tcPr>
            <w:tcW w:w="340" w:type="dxa"/>
            <w:vAlign w:val="bottom"/>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vMerge w:val="continue"/>
            <w:shd w:val="clear" w:color="auto" w:fill="E6E7E7"/>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8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8"/>
              </w:rPr>
              <w:t>2/21/2024</w:t>
            </w:r>
          </w:p>
        </w:tc>
        <w:tc>
          <w:tcPr>
            <w:tcW w:w="100" w:type="dxa"/>
            <w:vAlign w:val="bottom"/>
          </w:tcPr>
          <w:p>
            <w:pPr>
              <w:spacing w:after="0"/>
              <w:rPr>
                <w:sz w:val="8"/>
                <w:szCs w:val="8"/>
                <w:color w:val="auto"/>
              </w:rPr>
            </w:pPr>
          </w:p>
        </w:tc>
        <w:tc>
          <w:tcPr>
            <w:tcW w:w="130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4"/>
              </w:rPr>
              <w:t>7,196</w:t>
            </w:r>
          </w:p>
        </w:tc>
        <w:tc>
          <w:tcPr>
            <w:tcW w:w="320" w:type="dxa"/>
            <w:vAlign w:val="bottom"/>
            <w:vMerge w:val="continue"/>
            <w:shd w:val="clear" w:color="auto" w:fill="E6E7E7"/>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rPr>
              <w:t>639,509</w:t>
            </w:r>
          </w:p>
        </w:tc>
        <w:tc>
          <w:tcPr>
            <w:tcW w:w="32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E6E7E7"/>
          </w:tcPr>
          <w:p>
            <w:pPr>
              <w:spacing w:after="0"/>
              <w:rPr>
                <w:sz w:val="8"/>
                <w:szCs w:val="8"/>
                <w:color w:val="auto"/>
              </w:rPr>
            </w:pPr>
          </w:p>
        </w:tc>
        <w:tc>
          <w:tcPr>
            <w:tcW w:w="34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172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11"/>
        </w:trPr>
        <w:tc>
          <w:tcPr>
            <w:tcW w:w="1180" w:type="dxa"/>
            <w:vAlign w:val="bottom"/>
            <w:vMerge w:val="continue"/>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vMerge w:val="continue"/>
            <w:shd w:val="clear" w:color="auto" w:fill="E6E7E7"/>
          </w:tcPr>
          <w:p>
            <w:pPr>
              <w:spacing w:after="0"/>
              <w:rPr>
                <w:sz w:val="9"/>
                <w:szCs w:val="9"/>
                <w:color w:val="auto"/>
              </w:rPr>
            </w:pPr>
          </w:p>
        </w:tc>
        <w:tc>
          <w:tcPr>
            <w:tcW w:w="320" w:type="dxa"/>
            <w:vAlign w:val="bottom"/>
            <w:shd w:val="clear" w:color="auto" w:fill="E6E7E7"/>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vMerge w:val="continue"/>
            <w:shd w:val="clear" w:color="auto" w:fill="E6E7E7"/>
          </w:tcPr>
          <w:p>
            <w:pPr>
              <w:spacing w:after="0"/>
              <w:rPr>
                <w:sz w:val="9"/>
                <w:szCs w:val="9"/>
                <w:color w:val="auto"/>
              </w:rPr>
            </w:pPr>
          </w:p>
        </w:tc>
        <w:tc>
          <w:tcPr>
            <w:tcW w:w="320" w:type="dxa"/>
            <w:vAlign w:val="bottom"/>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vMerge w:val="continue"/>
            <w:shd w:val="clear" w:color="auto" w:fill="E6E7E7"/>
          </w:tcPr>
          <w:p>
            <w:pPr>
              <w:spacing w:after="0"/>
              <w:rPr>
                <w:sz w:val="9"/>
                <w:szCs w:val="9"/>
                <w:color w:val="auto"/>
              </w:rPr>
            </w:pPr>
          </w:p>
        </w:tc>
        <w:tc>
          <w:tcPr>
            <w:tcW w:w="100" w:type="dxa"/>
            <w:vAlign w:val="bottom"/>
            <w:shd w:val="clear" w:color="auto" w:fill="E6E7E7"/>
          </w:tcPr>
          <w:p>
            <w:pPr>
              <w:spacing w:after="0"/>
              <w:rPr>
                <w:sz w:val="9"/>
                <w:szCs w:val="9"/>
                <w:color w:val="auto"/>
              </w:rPr>
            </w:pPr>
          </w:p>
        </w:tc>
        <w:tc>
          <w:tcPr>
            <w:tcW w:w="340" w:type="dxa"/>
            <w:vAlign w:val="bottom"/>
            <w:vMerge w:val="restart"/>
            <w:shd w:val="clear" w:color="auto" w:fill="E6E7E7"/>
          </w:tcPr>
          <w:p>
            <w:pPr>
              <w:ind w:left="20"/>
              <w:spacing w:after="0"/>
              <w:rPr>
                <w:sz w:val="20"/>
                <w:szCs w:val="20"/>
                <w:color w:val="auto"/>
              </w:rPr>
            </w:pPr>
            <w:r>
              <w:rPr>
                <w:rFonts w:ascii="Arial" w:cs="Arial" w:eastAsia="Arial" w:hAnsi="Arial"/>
                <w:sz w:val="10"/>
                <w:szCs w:val="10"/>
                <w:color w:val="auto"/>
              </w:rPr>
              <w:t>(m)</w:t>
            </w:r>
          </w:p>
        </w:tc>
        <w:tc>
          <w:tcPr>
            <w:tcW w:w="100" w:type="dxa"/>
            <w:vAlign w:val="bottom"/>
          </w:tcPr>
          <w:p>
            <w:pPr>
              <w:spacing w:after="0"/>
              <w:rPr>
                <w:sz w:val="9"/>
                <w:szCs w:val="9"/>
                <w:color w:val="auto"/>
              </w:rPr>
            </w:pPr>
          </w:p>
        </w:tc>
        <w:tc>
          <w:tcPr>
            <w:tcW w:w="1720" w:type="dxa"/>
            <w:vAlign w:val="bottom"/>
            <w:vMerge w:val="continue"/>
            <w:shd w:val="clear" w:color="auto" w:fill="E6E7E7"/>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18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8"/>
              </w:rPr>
              <w:t>2/21/2024</w:t>
            </w:r>
          </w:p>
        </w:tc>
        <w:tc>
          <w:tcPr>
            <w:tcW w:w="100" w:type="dxa"/>
            <w:vAlign w:val="bottom"/>
          </w:tcPr>
          <w:p>
            <w:pPr>
              <w:spacing w:after="0"/>
              <w:rPr>
                <w:sz w:val="9"/>
                <w:szCs w:val="9"/>
                <w:color w:val="auto"/>
              </w:rPr>
            </w:pPr>
          </w:p>
        </w:tc>
        <w:tc>
          <w:tcPr>
            <w:tcW w:w="130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320" w:type="dxa"/>
            <w:vAlign w:val="bottom"/>
            <w:shd w:val="clear" w:color="auto" w:fill="E6E7E7"/>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320" w:type="dxa"/>
            <w:vAlign w:val="bottom"/>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4"/>
              </w:rPr>
              <w:t>8,095</w:t>
            </w:r>
          </w:p>
        </w:tc>
        <w:tc>
          <w:tcPr>
            <w:tcW w:w="100" w:type="dxa"/>
            <w:vAlign w:val="bottom"/>
            <w:shd w:val="clear" w:color="auto" w:fill="E6E7E7"/>
          </w:tcPr>
          <w:p>
            <w:pPr>
              <w:spacing w:after="0"/>
              <w:rPr>
                <w:sz w:val="9"/>
                <w:szCs w:val="9"/>
                <w:color w:val="auto"/>
              </w:rPr>
            </w:pPr>
          </w:p>
        </w:tc>
        <w:tc>
          <w:tcPr>
            <w:tcW w:w="340" w:type="dxa"/>
            <w:vAlign w:val="bottom"/>
            <w:vMerge w:val="continue"/>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6"/>
              </w:rPr>
              <w:t>719,403</w:t>
            </w:r>
          </w:p>
        </w:tc>
        <w:tc>
          <w:tcPr>
            <w:tcW w:w="0" w:type="dxa"/>
            <w:vAlign w:val="bottom"/>
          </w:tcPr>
          <w:p>
            <w:pPr>
              <w:spacing w:after="0"/>
              <w:rPr>
                <w:sz w:val="1"/>
                <w:szCs w:val="1"/>
                <w:color w:val="auto"/>
              </w:rPr>
            </w:pPr>
          </w:p>
        </w:tc>
      </w:tr>
      <w:tr>
        <w:trPr>
          <w:trHeight w:val="97"/>
        </w:trPr>
        <w:tc>
          <w:tcPr>
            <w:tcW w:w="1180" w:type="dxa"/>
            <w:vAlign w:val="bottom"/>
            <w:vMerge w:val="continue"/>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vMerge w:val="continue"/>
            <w:shd w:val="clear" w:color="auto" w:fill="E6E7E7"/>
          </w:tcPr>
          <w:p>
            <w:pPr>
              <w:spacing w:after="0"/>
              <w:rPr>
                <w:sz w:val="8"/>
                <w:szCs w:val="8"/>
                <w:color w:val="auto"/>
              </w:rPr>
            </w:pPr>
          </w:p>
        </w:tc>
        <w:tc>
          <w:tcPr>
            <w:tcW w:w="320" w:type="dxa"/>
            <w:vAlign w:val="bottom"/>
            <w:shd w:val="clear" w:color="auto" w:fill="E6E7E7"/>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vMerge w:val="continue"/>
            <w:shd w:val="clear" w:color="auto" w:fill="E6E7E7"/>
          </w:tcPr>
          <w:p>
            <w:pPr>
              <w:spacing w:after="0"/>
              <w:rPr>
                <w:sz w:val="8"/>
                <w:szCs w:val="8"/>
                <w:color w:val="auto"/>
              </w:rPr>
            </w:pPr>
          </w:p>
        </w:tc>
        <w:tc>
          <w:tcPr>
            <w:tcW w:w="32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vMerge w:val="continue"/>
            <w:shd w:val="clear" w:color="auto" w:fill="E6E7E7"/>
          </w:tcPr>
          <w:p>
            <w:pPr>
              <w:spacing w:after="0"/>
              <w:rPr>
                <w:sz w:val="8"/>
                <w:szCs w:val="8"/>
                <w:color w:val="auto"/>
              </w:rPr>
            </w:pPr>
          </w:p>
        </w:tc>
        <w:tc>
          <w:tcPr>
            <w:tcW w:w="100" w:type="dxa"/>
            <w:vAlign w:val="bottom"/>
            <w:shd w:val="clear" w:color="auto" w:fill="E6E7E7"/>
          </w:tcPr>
          <w:p>
            <w:pPr>
              <w:spacing w:after="0"/>
              <w:rPr>
                <w:sz w:val="8"/>
                <w:szCs w:val="8"/>
                <w:color w:val="auto"/>
              </w:rPr>
            </w:pPr>
          </w:p>
        </w:tc>
        <w:tc>
          <w:tcPr>
            <w:tcW w:w="340" w:type="dxa"/>
            <w:vAlign w:val="bottom"/>
            <w:vMerge w:val="restart"/>
            <w:shd w:val="clear" w:color="auto" w:fill="E6E7E7"/>
          </w:tcPr>
          <w:p>
            <w:pPr>
              <w:ind w:left="20"/>
              <w:spacing w:after="0"/>
              <w:rPr>
                <w:sz w:val="20"/>
                <w:szCs w:val="20"/>
                <w:color w:val="auto"/>
              </w:rPr>
            </w:pPr>
            <w:r>
              <w:rPr>
                <w:rFonts w:ascii="Arial" w:cs="Arial" w:eastAsia="Arial" w:hAnsi="Arial"/>
                <w:sz w:val="10"/>
                <w:szCs w:val="10"/>
                <w:color w:val="auto"/>
              </w:rPr>
              <w:t>(o)</w:t>
            </w:r>
          </w:p>
        </w:tc>
        <w:tc>
          <w:tcPr>
            <w:tcW w:w="100" w:type="dxa"/>
            <w:vAlign w:val="bottom"/>
          </w:tcPr>
          <w:p>
            <w:pPr>
              <w:spacing w:after="0"/>
              <w:rPr>
                <w:sz w:val="8"/>
                <w:szCs w:val="8"/>
                <w:color w:val="auto"/>
              </w:rPr>
            </w:pPr>
          </w:p>
        </w:tc>
        <w:tc>
          <w:tcPr>
            <w:tcW w:w="1720" w:type="dxa"/>
            <w:vAlign w:val="bottom"/>
            <w:vMerge w:val="continue"/>
            <w:shd w:val="clear" w:color="auto" w:fill="E6E7E7"/>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18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8"/>
              </w:rPr>
              <w:t>2/21/2024</w:t>
            </w:r>
          </w:p>
        </w:tc>
        <w:tc>
          <w:tcPr>
            <w:tcW w:w="100" w:type="dxa"/>
            <w:vAlign w:val="bottom"/>
          </w:tcPr>
          <w:p>
            <w:pPr>
              <w:spacing w:after="0"/>
              <w:rPr>
                <w:sz w:val="9"/>
                <w:szCs w:val="9"/>
                <w:color w:val="auto"/>
              </w:rPr>
            </w:pPr>
          </w:p>
        </w:tc>
        <w:tc>
          <w:tcPr>
            <w:tcW w:w="130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320" w:type="dxa"/>
            <w:vAlign w:val="bottom"/>
            <w:shd w:val="clear" w:color="auto" w:fill="E6E7E7"/>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320" w:type="dxa"/>
            <w:vAlign w:val="bottom"/>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4"/>
              </w:rPr>
              <w:t>8,095</w:t>
            </w:r>
          </w:p>
        </w:tc>
        <w:tc>
          <w:tcPr>
            <w:tcW w:w="100" w:type="dxa"/>
            <w:vAlign w:val="bottom"/>
            <w:shd w:val="clear" w:color="auto" w:fill="E6E7E7"/>
          </w:tcPr>
          <w:p>
            <w:pPr>
              <w:spacing w:after="0"/>
              <w:rPr>
                <w:sz w:val="9"/>
                <w:szCs w:val="9"/>
                <w:color w:val="auto"/>
              </w:rPr>
            </w:pPr>
          </w:p>
        </w:tc>
        <w:tc>
          <w:tcPr>
            <w:tcW w:w="340" w:type="dxa"/>
            <w:vAlign w:val="bottom"/>
            <w:vMerge w:val="continue"/>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6"/>
              </w:rPr>
              <w:t>719,403</w:t>
            </w:r>
          </w:p>
        </w:tc>
        <w:tc>
          <w:tcPr>
            <w:tcW w:w="0" w:type="dxa"/>
            <w:vAlign w:val="bottom"/>
          </w:tcPr>
          <w:p>
            <w:pPr>
              <w:spacing w:after="0"/>
              <w:rPr>
                <w:sz w:val="1"/>
                <w:szCs w:val="1"/>
                <w:color w:val="auto"/>
              </w:rPr>
            </w:pPr>
          </w:p>
        </w:tc>
      </w:tr>
      <w:tr>
        <w:trPr>
          <w:trHeight w:val="97"/>
        </w:trPr>
        <w:tc>
          <w:tcPr>
            <w:tcW w:w="1180" w:type="dxa"/>
            <w:vAlign w:val="bottom"/>
            <w:vMerge w:val="continue"/>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vMerge w:val="continue"/>
            <w:shd w:val="clear" w:color="auto" w:fill="E6E7E7"/>
          </w:tcPr>
          <w:p>
            <w:pPr>
              <w:spacing w:after="0"/>
              <w:rPr>
                <w:sz w:val="8"/>
                <w:szCs w:val="8"/>
                <w:color w:val="auto"/>
              </w:rPr>
            </w:pPr>
          </w:p>
        </w:tc>
        <w:tc>
          <w:tcPr>
            <w:tcW w:w="320" w:type="dxa"/>
            <w:vAlign w:val="bottom"/>
            <w:vMerge w:val="restart"/>
            <w:shd w:val="clear" w:color="auto" w:fill="E6E7E7"/>
          </w:tcPr>
          <w:p>
            <w:pPr>
              <w:ind w:left="20"/>
              <w:spacing w:after="0"/>
              <w:rPr>
                <w:sz w:val="20"/>
                <w:szCs w:val="20"/>
                <w:color w:val="auto"/>
              </w:rPr>
            </w:pPr>
            <w:r>
              <w:rPr>
                <w:rFonts w:ascii="Arial" w:cs="Arial" w:eastAsia="Arial" w:hAnsi="Arial"/>
                <w:sz w:val="10"/>
                <w:szCs w:val="10"/>
                <w:color w:val="auto"/>
              </w:rPr>
              <w:t>(e)</w:t>
            </w:r>
          </w:p>
        </w:tc>
        <w:tc>
          <w:tcPr>
            <w:tcW w:w="80" w:type="dxa"/>
            <w:vAlign w:val="bottom"/>
          </w:tcPr>
          <w:p>
            <w:pPr>
              <w:spacing w:after="0"/>
              <w:rPr>
                <w:sz w:val="8"/>
                <w:szCs w:val="8"/>
                <w:color w:val="auto"/>
              </w:rPr>
            </w:pPr>
          </w:p>
        </w:tc>
        <w:tc>
          <w:tcPr>
            <w:tcW w:w="1400" w:type="dxa"/>
            <w:vAlign w:val="bottom"/>
            <w:vMerge w:val="continue"/>
            <w:shd w:val="clear" w:color="auto" w:fill="E6E7E7"/>
          </w:tcPr>
          <w:p>
            <w:pPr>
              <w:spacing w:after="0"/>
              <w:rPr>
                <w:sz w:val="8"/>
                <w:szCs w:val="8"/>
                <w:color w:val="auto"/>
              </w:rPr>
            </w:pPr>
          </w:p>
        </w:tc>
        <w:tc>
          <w:tcPr>
            <w:tcW w:w="32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vMerge w:val="continue"/>
            <w:shd w:val="clear" w:color="auto" w:fill="E6E7E7"/>
          </w:tcPr>
          <w:p>
            <w:pPr>
              <w:spacing w:after="0"/>
              <w:rPr>
                <w:sz w:val="8"/>
                <w:szCs w:val="8"/>
                <w:color w:val="auto"/>
              </w:rPr>
            </w:pPr>
          </w:p>
        </w:tc>
        <w:tc>
          <w:tcPr>
            <w:tcW w:w="100" w:type="dxa"/>
            <w:vAlign w:val="bottom"/>
            <w:shd w:val="clear" w:color="auto" w:fill="E6E7E7"/>
          </w:tcPr>
          <w:p>
            <w:pPr>
              <w:spacing w:after="0"/>
              <w:rPr>
                <w:sz w:val="8"/>
                <w:szCs w:val="8"/>
                <w:color w:val="auto"/>
              </w:rPr>
            </w:pPr>
          </w:p>
        </w:tc>
        <w:tc>
          <w:tcPr>
            <w:tcW w:w="34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1720" w:type="dxa"/>
            <w:vAlign w:val="bottom"/>
            <w:vMerge w:val="continue"/>
            <w:shd w:val="clear" w:color="auto" w:fill="E6E7E7"/>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18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8"/>
              </w:rPr>
              <w:t>2/26/2025</w:t>
            </w:r>
          </w:p>
        </w:tc>
        <w:tc>
          <w:tcPr>
            <w:tcW w:w="100" w:type="dxa"/>
            <w:vAlign w:val="bottom"/>
          </w:tcPr>
          <w:p>
            <w:pPr>
              <w:spacing w:after="0"/>
              <w:rPr>
                <w:sz w:val="8"/>
                <w:szCs w:val="8"/>
                <w:color w:val="auto"/>
              </w:rPr>
            </w:pPr>
          </w:p>
        </w:tc>
        <w:tc>
          <w:tcPr>
            <w:tcW w:w="130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rPr>
              <w:t>12,788</w:t>
            </w:r>
          </w:p>
        </w:tc>
        <w:tc>
          <w:tcPr>
            <w:tcW w:w="320" w:type="dxa"/>
            <w:vAlign w:val="bottom"/>
            <w:vMerge w:val="continue"/>
            <w:shd w:val="clear" w:color="auto" w:fill="E6E7E7"/>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8"/>
              </w:rPr>
              <w:t>1,136,470</w:t>
            </w:r>
          </w:p>
        </w:tc>
        <w:tc>
          <w:tcPr>
            <w:tcW w:w="32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E6E7E7"/>
          </w:tcPr>
          <w:p>
            <w:pPr>
              <w:spacing w:after="0"/>
              <w:rPr>
                <w:sz w:val="8"/>
                <w:szCs w:val="8"/>
                <w:color w:val="auto"/>
              </w:rPr>
            </w:pPr>
          </w:p>
        </w:tc>
        <w:tc>
          <w:tcPr>
            <w:tcW w:w="34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172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11"/>
        </w:trPr>
        <w:tc>
          <w:tcPr>
            <w:tcW w:w="1180" w:type="dxa"/>
            <w:vAlign w:val="bottom"/>
            <w:vMerge w:val="continue"/>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vMerge w:val="continue"/>
            <w:shd w:val="clear" w:color="auto" w:fill="E6E7E7"/>
          </w:tcPr>
          <w:p>
            <w:pPr>
              <w:spacing w:after="0"/>
              <w:rPr>
                <w:sz w:val="9"/>
                <w:szCs w:val="9"/>
                <w:color w:val="auto"/>
              </w:rPr>
            </w:pPr>
          </w:p>
        </w:tc>
        <w:tc>
          <w:tcPr>
            <w:tcW w:w="320" w:type="dxa"/>
            <w:vAlign w:val="bottom"/>
            <w:shd w:val="clear" w:color="auto" w:fill="E6E7E7"/>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vMerge w:val="continue"/>
            <w:shd w:val="clear" w:color="auto" w:fill="E6E7E7"/>
          </w:tcPr>
          <w:p>
            <w:pPr>
              <w:spacing w:after="0"/>
              <w:rPr>
                <w:sz w:val="9"/>
                <w:szCs w:val="9"/>
                <w:color w:val="auto"/>
              </w:rPr>
            </w:pPr>
          </w:p>
        </w:tc>
        <w:tc>
          <w:tcPr>
            <w:tcW w:w="320" w:type="dxa"/>
            <w:vAlign w:val="bottom"/>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vMerge w:val="continue"/>
            <w:shd w:val="clear" w:color="auto" w:fill="E6E7E7"/>
          </w:tcPr>
          <w:p>
            <w:pPr>
              <w:spacing w:after="0"/>
              <w:rPr>
                <w:sz w:val="9"/>
                <w:szCs w:val="9"/>
                <w:color w:val="auto"/>
              </w:rPr>
            </w:pPr>
          </w:p>
        </w:tc>
        <w:tc>
          <w:tcPr>
            <w:tcW w:w="100" w:type="dxa"/>
            <w:vAlign w:val="bottom"/>
            <w:shd w:val="clear" w:color="auto" w:fill="E6E7E7"/>
          </w:tcPr>
          <w:p>
            <w:pPr>
              <w:spacing w:after="0"/>
              <w:rPr>
                <w:sz w:val="9"/>
                <w:szCs w:val="9"/>
                <w:color w:val="auto"/>
              </w:rPr>
            </w:pPr>
          </w:p>
        </w:tc>
        <w:tc>
          <w:tcPr>
            <w:tcW w:w="340" w:type="dxa"/>
            <w:vAlign w:val="bottom"/>
            <w:vMerge w:val="restart"/>
            <w:shd w:val="clear" w:color="auto" w:fill="E6E7E7"/>
          </w:tcPr>
          <w:p>
            <w:pPr>
              <w:ind w:left="20"/>
              <w:spacing w:after="0"/>
              <w:rPr>
                <w:sz w:val="20"/>
                <w:szCs w:val="20"/>
                <w:color w:val="auto"/>
              </w:rPr>
            </w:pPr>
            <w:r>
              <w:rPr>
                <w:rFonts w:ascii="Arial" w:cs="Arial" w:eastAsia="Arial" w:hAnsi="Arial"/>
                <w:sz w:val="10"/>
                <w:szCs w:val="10"/>
                <w:color w:val="auto"/>
              </w:rPr>
              <w:t>(m)</w:t>
            </w:r>
          </w:p>
        </w:tc>
        <w:tc>
          <w:tcPr>
            <w:tcW w:w="100" w:type="dxa"/>
            <w:vAlign w:val="bottom"/>
          </w:tcPr>
          <w:p>
            <w:pPr>
              <w:spacing w:after="0"/>
              <w:rPr>
                <w:sz w:val="9"/>
                <w:szCs w:val="9"/>
                <w:color w:val="auto"/>
              </w:rPr>
            </w:pPr>
          </w:p>
        </w:tc>
        <w:tc>
          <w:tcPr>
            <w:tcW w:w="1720" w:type="dxa"/>
            <w:vAlign w:val="bottom"/>
            <w:vMerge w:val="continue"/>
            <w:shd w:val="clear" w:color="auto" w:fill="E6E7E7"/>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18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8"/>
              </w:rPr>
              <w:t>2/26/2025</w:t>
            </w:r>
          </w:p>
        </w:tc>
        <w:tc>
          <w:tcPr>
            <w:tcW w:w="100" w:type="dxa"/>
            <w:vAlign w:val="bottom"/>
          </w:tcPr>
          <w:p>
            <w:pPr>
              <w:spacing w:after="0"/>
              <w:rPr>
                <w:sz w:val="9"/>
                <w:szCs w:val="9"/>
                <w:color w:val="auto"/>
              </w:rPr>
            </w:pPr>
          </w:p>
        </w:tc>
        <w:tc>
          <w:tcPr>
            <w:tcW w:w="130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320" w:type="dxa"/>
            <w:vAlign w:val="bottom"/>
            <w:shd w:val="clear" w:color="auto" w:fill="E6E7E7"/>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320" w:type="dxa"/>
            <w:vAlign w:val="bottom"/>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4"/>
              </w:rPr>
              <w:t>9,591</w:t>
            </w:r>
          </w:p>
        </w:tc>
        <w:tc>
          <w:tcPr>
            <w:tcW w:w="100" w:type="dxa"/>
            <w:vAlign w:val="bottom"/>
            <w:shd w:val="clear" w:color="auto" w:fill="E6E7E7"/>
          </w:tcPr>
          <w:p>
            <w:pPr>
              <w:spacing w:after="0"/>
              <w:rPr>
                <w:sz w:val="9"/>
                <w:szCs w:val="9"/>
                <w:color w:val="auto"/>
              </w:rPr>
            </w:pPr>
          </w:p>
        </w:tc>
        <w:tc>
          <w:tcPr>
            <w:tcW w:w="340" w:type="dxa"/>
            <w:vAlign w:val="bottom"/>
            <w:vMerge w:val="continue"/>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6"/>
              </w:rPr>
              <w:t>852,352</w:t>
            </w:r>
          </w:p>
        </w:tc>
        <w:tc>
          <w:tcPr>
            <w:tcW w:w="0" w:type="dxa"/>
            <w:vAlign w:val="bottom"/>
          </w:tcPr>
          <w:p>
            <w:pPr>
              <w:spacing w:after="0"/>
              <w:rPr>
                <w:sz w:val="1"/>
                <w:szCs w:val="1"/>
                <w:color w:val="auto"/>
              </w:rPr>
            </w:pPr>
          </w:p>
        </w:tc>
      </w:tr>
      <w:tr>
        <w:trPr>
          <w:trHeight w:val="97"/>
        </w:trPr>
        <w:tc>
          <w:tcPr>
            <w:tcW w:w="1180" w:type="dxa"/>
            <w:vAlign w:val="bottom"/>
            <w:vMerge w:val="continue"/>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vMerge w:val="continue"/>
            <w:shd w:val="clear" w:color="auto" w:fill="E6E7E7"/>
          </w:tcPr>
          <w:p>
            <w:pPr>
              <w:spacing w:after="0"/>
              <w:rPr>
                <w:sz w:val="8"/>
                <w:szCs w:val="8"/>
                <w:color w:val="auto"/>
              </w:rPr>
            </w:pPr>
          </w:p>
        </w:tc>
        <w:tc>
          <w:tcPr>
            <w:tcW w:w="320" w:type="dxa"/>
            <w:vAlign w:val="bottom"/>
            <w:shd w:val="clear" w:color="auto" w:fill="E6E7E7"/>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vMerge w:val="continue"/>
            <w:shd w:val="clear" w:color="auto" w:fill="E6E7E7"/>
          </w:tcPr>
          <w:p>
            <w:pPr>
              <w:spacing w:after="0"/>
              <w:rPr>
                <w:sz w:val="8"/>
                <w:szCs w:val="8"/>
                <w:color w:val="auto"/>
              </w:rPr>
            </w:pPr>
          </w:p>
        </w:tc>
        <w:tc>
          <w:tcPr>
            <w:tcW w:w="32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vMerge w:val="continue"/>
            <w:shd w:val="clear" w:color="auto" w:fill="E6E7E7"/>
          </w:tcPr>
          <w:p>
            <w:pPr>
              <w:spacing w:after="0"/>
              <w:rPr>
                <w:sz w:val="8"/>
                <w:szCs w:val="8"/>
                <w:color w:val="auto"/>
              </w:rPr>
            </w:pPr>
          </w:p>
        </w:tc>
        <w:tc>
          <w:tcPr>
            <w:tcW w:w="100" w:type="dxa"/>
            <w:vAlign w:val="bottom"/>
            <w:shd w:val="clear" w:color="auto" w:fill="E6E7E7"/>
          </w:tcPr>
          <w:p>
            <w:pPr>
              <w:spacing w:after="0"/>
              <w:rPr>
                <w:sz w:val="8"/>
                <w:szCs w:val="8"/>
                <w:color w:val="auto"/>
              </w:rPr>
            </w:pPr>
          </w:p>
        </w:tc>
        <w:tc>
          <w:tcPr>
            <w:tcW w:w="340" w:type="dxa"/>
            <w:vAlign w:val="bottom"/>
            <w:vMerge w:val="restart"/>
            <w:shd w:val="clear" w:color="auto" w:fill="E6E7E7"/>
          </w:tcPr>
          <w:p>
            <w:pPr>
              <w:ind w:left="20"/>
              <w:spacing w:after="0"/>
              <w:rPr>
                <w:sz w:val="20"/>
                <w:szCs w:val="20"/>
                <w:color w:val="auto"/>
              </w:rPr>
            </w:pPr>
            <w:r>
              <w:rPr>
                <w:rFonts w:ascii="Arial" w:cs="Arial" w:eastAsia="Arial" w:hAnsi="Arial"/>
                <w:sz w:val="10"/>
                <w:szCs w:val="10"/>
                <w:color w:val="auto"/>
              </w:rPr>
              <w:t>(n)</w:t>
            </w:r>
          </w:p>
        </w:tc>
        <w:tc>
          <w:tcPr>
            <w:tcW w:w="100" w:type="dxa"/>
            <w:vAlign w:val="bottom"/>
          </w:tcPr>
          <w:p>
            <w:pPr>
              <w:spacing w:after="0"/>
              <w:rPr>
                <w:sz w:val="8"/>
                <w:szCs w:val="8"/>
                <w:color w:val="auto"/>
              </w:rPr>
            </w:pPr>
          </w:p>
        </w:tc>
        <w:tc>
          <w:tcPr>
            <w:tcW w:w="1720" w:type="dxa"/>
            <w:vAlign w:val="bottom"/>
            <w:vMerge w:val="continue"/>
            <w:shd w:val="clear" w:color="auto" w:fill="E6E7E7"/>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18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8"/>
              </w:rPr>
              <w:t>2/26/2025</w:t>
            </w:r>
          </w:p>
        </w:tc>
        <w:tc>
          <w:tcPr>
            <w:tcW w:w="100" w:type="dxa"/>
            <w:vAlign w:val="bottom"/>
          </w:tcPr>
          <w:p>
            <w:pPr>
              <w:spacing w:after="0"/>
              <w:rPr>
                <w:sz w:val="9"/>
                <w:szCs w:val="9"/>
                <w:color w:val="auto"/>
              </w:rPr>
            </w:pPr>
          </w:p>
        </w:tc>
        <w:tc>
          <w:tcPr>
            <w:tcW w:w="130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320" w:type="dxa"/>
            <w:vAlign w:val="bottom"/>
            <w:shd w:val="clear" w:color="auto" w:fill="E6E7E7"/>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320" w:type="dxa"/>
            <w:vAlign w:val="bottom"/>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4"/>
              </w:rPr>
              <w:t>9,591</w:t>
            </w:r>
          </w:p>
        </w:tc>
        <w:tc>
          <w:tcPr>
            <w:tcW w:w="100" w:type="dxa"/>
            <w:vAlign w:val="bottom"/>
            <w:shd w:val="clear" w:color="auto" w:fill="E6E7E7"/>
          </w:tcPr>
          <w:p>
            <w:pPr>
              <w:spacing w:after="0"/>
              <w:rPr>
                <w:sz w:val="9"/>
                <w:szCs w:val="9"/>
                <w:color w:val="auto"/>
              </w:rPr>
            </w:pPr>
          </w:p>
        </w:tc>
        <w:tc>
          <w:tcPr>
            <w:tcW w:w="340" w:type="dxa"/>
            <w:vAlign w:val="bottom"/>
            <w:vMerge w:val="continue"/>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6"/>
              </w:rPr>
              <w:t>852,352</w:t>
            </w:r>
          </w:p>
        </w:tc>
        <w:tc>
          <w:tcPr>
            <w:tcW w:w="0" w:type="dxa"/>
            <w:vAlign w:val="bottom"/>
          </w:tcPr>
          <w:p>
            <w:pPr>
              <w:spacing w:after="0"/>
              <w:rPr>
                <w:sz w:val="1"/>
                <w:szCs w:val="1"/>
                <w:color w:val="auto"/>
              </w:rPr>
            </w:pPr>
          </w:p>
        </w:tc>
      </w:tr>
      <w:tr>
        <w:trPr>
          <w:trHeight w:val="97"/>
        </w:trPr>
        <w:tc>
          <w:tcPr>
            <w:tcW w:w="1180" w:type="dxa"/>
            <w:vAlign w:val="bottom"/>
            <w:vMerge w:val="continue"/>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vMerge w:val="continue"/>
            <w:shd w:val="clear" w:color="auto" w:fill="E6E7E7"/>
          </w:tcPr>
          <w:p>
            <w:pPr>
              <w:spacing w:after="0"/>
              <w:rPr>
                <w:sz w:val="8"/>
                <w:szCs w:val="8"/>
                <w:color w:val="auto"/>
              </w:rPr>
            </w:pPr>
          </w:p>
        </w:tc>
        <w:tc>
          <w:tcPr>
            <w:tcW w:w="320" w:type="dxa"/>
            <w:vAlign w:val="bottom"/>
            <w:shd w:val="clear" w:color="auto" w:fill="E6E7E7"/>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vMerge w:val="continue"/>
            <w:shd w:val="clear" w:color="auto" w:fill="E6E7E7"/>
          </w:tcPr>
          <w:p>
            <w:pPr>
              <w:spacing w:after="0"/>
              <w:rPr>
                <w:sz w:val="8"/>
                <w:szCs w:val="8"/>
                <w:color w:val="auto"/>
              </w:rPr>
            </w:pPr>
          </w:p>
        </w:tc>
        <w:tc>
          <w:tcPr>
            <w:tcW w:w="32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vMerge w:val="continue"/>
            <w:shd w:val="clear" w:color="auto" w:fill="E6E7E7"/>
          </w:tcPr>
          <w:p>
            <w:pPr>
              <w:spacing w:after="0"/>
              <w:rPr>
                <w:sz w:val="8"/>
                <w:szCs w:val="8"/>
                <w:color w:val="auto"/>
              </w:rPr>
            </w:pPr>
          </w:p>
        </w:tc>
        <w:tc>
          <w:tcPr>
            <w:tcW w:w="100" w:type="dxa"/>
            <w:vAlign w:val="bottom"/>
            <w:shd w:val="clear" w:color="auto" w:fill="E6E7E7"/>
          </w:tcPr>
          <w:p>
            <w:pPr>
              <w:spacing w:after="0"/>
              <w:rPr>
                <w:sz w:val="8"/>
                <w:szCs w:val="8"/>
                <w:color w:val="auto"/>
              </w:rPr>
            </w:pPr>
          </w:p>
        </w:tc>
        <w:tc>
          <w:tcPr>
            <w:tcW w:w="340" w:type="dxa"/>
            <w:vAlign w:val="bottom"/>
            <w:vMerge w:val="restart"/>
            <w:shd w:val="clear" w:color="auto" w:fill="E6E7E7"/>
          </w:tcPr>
          <w:p>
            <w:pPr>
              <w:ind w:left="20"/>
              <w:spacing w:after="0"/>
              <w:rPr>
                <w:sz w:val="20"/>
                <w:szCs w:val="20"/>
                <w:color w:val="auto"/>
              </w:rPr>
            </w:pPr>
            <w:r>
              <w:rPr>
                <w:rFonts w:ascii="Arial" w:cs="Arial" w:eastAsia="Arial" w:hAnsi="Arial"/>
                <w:sz w:val="10"/>
                <w:szCs w:val="10"/>
                <w:color w:val="auto"/>
              </w:rPr>
              <w:t>(p)</w:t>
            </w:r>
          </w:p>
        </w:tc>
        <w:tc>
          <w:tcPr>
            <w:tcW w:w="100" w:type="dxa"/>
            <w:vAlign w:val="bottom"/>
          </w:tcPr>
          <w:p>
            <w:pPr>
              <w:spacing w:after="0"/>
              <w:rPr>
                <w:sz w:val="8"/>
                <w:szCs w:val="8"/>
                <w:color w:val="auto"/>
              </w:rPr>
            </w:pPr>
          </w:p>
        </w:tc>
        <w:tc>
          <w:tcPr>
            <w:tcW w:w="1720" w:type="dxa"/>
            <w:vAlign w:val="bottom"/>
            <w:vMerge w:val="continue"/>
            <w:shd w:val="clear" w:color="auto" w:fill="E6E7E7"/>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18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8"/>
              </w:rPr>
              <w:t>3/28/2025</w:t>
            </w:r>
          </w:p>
        </w:tc>
        <w:tc>
          <w:tcPr>
            <w:tcW w:w="100" w:type="dxa"/>
            <w:vAlign w:val="bottom"/>
          </w:tcPr>
          <w:p>
            <w:pPr>
              <w:spacing w:after="0"/>
              <w:rPr>
                <w:sz w:val="9"/>
                <w:szCs w:val="9"/>
                <w:color w:val="auto"/>
              </w:rPr>
            </w:pPr>
          </w:p>
        </w:tc>
        <w:tc>
          <w:tcPr>
            <w:tcW w:w="130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320" w:type="dxa"/>
            <w:vAlign w:val="bottom"/>
            <w:shd w:val="clear" w:color="auto" w:fill="E6E7E7"/>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320" w:type="dxa"/>
            <w:vAlign w:val="bottom"/>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rPr>
              <w:t>14,490</w:t>
            </w:r>
          </w:p>
        </w:tc>
        <w:tc>
          <w:tcPr>
            <w:tcW w:w="100" w:type="dxa"/>
            <w:vAlign w:val="bottom"/>
            <w:shd w:val="clear" w:color="auto" w:fill="E6E7E7"/>
          </w:tcPr>
          <w:p>
            <w:pPr>
              <w:spacing w:after="0"/>
              <w:rPr>
                <w:sz w:val="9"/>
                <w:szCs w:val="9"/>
                <w:color w:val="auto"/>
              </w:rPr>
            </w:pPr>
          </w:p>
        </w:tc>
        <w:tc>
          <w:tcPr>
            <w:tcW w:w="340" w:type="dxa"/>
            <w:vAlign w:val="bottom"/>
            <w:vMerge w:val="continue"/>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rPr>
              <w:t>1,287,726</w:t>
            </w:r>
          </w:p>
        </w:tc>
        <w:tc>
          <w:tcPr>
            <w:tcW w:w="0" w:type="dxa"/>
            <w:vAlign w:val="bottom"/>
          </w:tcPr>
          <w:p>
            <w:pPr>
              <w:spacing w:after="0"/>
              <w:rPr>
                <w:sz w:val="1"/>
                <w:szCs w:val="1"/>
                <w:color w:val="auto"/>
              </w:rPr>
            </w:pPr>
          </w:p>
        </w:tc>
      </w:tr>
      <w:tr>
        <w:trPr>
          <w:trHeight w:val="100"/>
        </w:trPr>
        <w:tc>
          <w:tcPr>
            <w:tcW w:w="1180" w:type="dxa"/>
            <w:vAlign w:val="bottom"/>
            <w:vMerge w:val="continue"/>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vMerge w:val="continue"/>
            <w:shd w:val="clear" w:color="auto" w:fill="E6E7E7"/>
          </w:tcPr>
          <w:p>
            <w:pPr>
              <w:spacing w:after="0"/>
              <w:rPr>
                <w:sz w:val="8"/>
                <w:szCs w:val="8"/>
                <w:color w:val="auto"/>
              </w:rPr>
            </w:pPr>
          </w:p>
        </w:tc>
        <w:tc>
          <w:tcPr>
            <w:tcW w:w="320" w:type="dxa"/>
            <w:vAlign w:val="bottom"/>
            <w:shd w:val="clear" w:color="auto" w:fill="E6E7E7"/>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vMerge w:val="continue"/>
            <w:shd w:val="clear" w:color="auto" w:fill="E6E7E7"/>
          </w:tcPr>
          <w:p>
            <w:pPr>
              <w:spacing w:after="0"/>
              <w:rPr>
                <w:sz w:val="8"/>
                <w:szCs w:val="8"/>
                <w:color w:val="auto"/>
              </w:rPr>
            </w:pPr>
          </w:p>
        </w:tc>
        <w:tc>
          <w:tcPr>
            <w:tcW w:w="32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vMerge w:val="continue"/>
            <w:shd w:val="clear" w:color="auto" w:fill="E6E7E7"/>
          </w:tcPr>
          <w:p>
            <w:pPr>
              <w:spacing w:after="0"/>
              <w:rPr>
                <w:sz w:val="8"/>
                <w:szCs w:val="8"/>
                <w:color w:val="auto"/>
              </w:rPr>
            </w:pPr>
          </w:p>
        </w:tc>
        <w:tc>
          <w:tcPr>
            <w:tcW w:w="100" w:type="dxa"/>
            <w:vAlign w:val="bottom"/>
            <w:shd w:val="clear" w:color="auto" w:fill="E6E7E7"/>
          </w:tcPr>
          <w:p>
            <w:pPr>
              <w:spacing w:after="0"/>
              <w:rPr>
                <w:sz w:val="8"/>
                <w:szCs w:val="8"/>
                <w:color w:val="auto"/>
              </w:rPr>
            </w:pPr>
          </w:p>
        </w:tc>
        <w:tc>
          <w:tcPr>
            <w:tcW w:w="34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1720" w:type="dxa"/>
            <w:vAlign w:val="bottom"/>
            <w:vMerge w:val="continue"/>
            <w:shd w:val="clear" w:color="auto" w:fill="E6E7E7"/>
          </w:tcPr>
          <w:p>
            <w:pPr>
              <w:spacing w:after="0"/>
              <w:rPr>
                <w:sz w:val="8"/>
                <w:szCs w:val="8"/>
                <w:color w:val="auto"/>
              </w:rPr>
            </w:pPr>
          </w:p>
        </w:tc>
        <w:tc>
          <w:tcPr>
            <w:tcW w:w="0" w:type="dxa"/>
            <w:vAlign w:val="bottom"/>
          </w:tcPr>
          <w:p>
            <w:pPr>
              <w:spacing w:after="0"/>
              <w:rPr>
                <w:sz w:val="1"/>
                <w:szCs w:val="1"/>
                <w:color w:val="auto"/>
              </w:rPr>
            </w:pPr>
          </w:p>
        </w:tc>
      </w:tr>
      <w:tr>
        <w:trPr>
          <w:trHeight w:val="350"/>
        </w:trPr>
        <w:tc>
          <w:tcPr>
            <w:tcW w:w="1180" w:type="dxa"/>
            <w:vAlign w:val="bottom"/>
            <w:vMerge w:val="restart"/>
          </w:tcPr>
          <w:p>
            <w:pPr>
              <w:jc w:val="center"/>
              <w:spacing w:after="0"/>
              <w:rPr>
                <w:sz w:val="20"/>
                <w:szCs w:val="20"/>
                <w:color w:val="auto"/>
              </w:rPr>
            </w:pPr>
            <w:r>
              <w:rPr>
                <w:rFonts w:ascii="Arial" w:cs="Arial" w:eastAsia="Arial" w:hAnsi="Arial"/>
                <w:sz w:val="16"/>
                <w:szCs w:val="16"/>
                <w:color w:val="auto"/>
                <w:w w:val="99"/>
              </w:rPr>
              <w:t>10/28/2024</w:t>
            </w:r>
          </w:p>
        </w:tc>
        <w:tc>
          <w:tcPr>
            <w:tcW w:w="100" w:type="dxa"/>
            <w:vAlign w:val="bottom"/>
          </w:tcPr>
          <w:p>
            <w:pPr>
              <w:spacing w:after="0"/>
              <w:rPr>
                <w:sz w:val="24"/>
                <w:szCs w:val="24"/>
                <w:color w:val="auto"/>
              </w:rPr>
            </w:pP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w w:val="94"/>
              </w:rPr>
              <w:t>5,371</w:t>
            </w:r>
          </w:p>
        </w:tc>
        <w:tc>
          <w:tcPr>
            <w:tcW w:w="320" w:type="dxa"/>
            <w:vAlign w:val="bottom"/>
          </w:tcPr>
          <w:p>
            <w:pPr>
              <w:ind w:left="20"/>
              <w:spacing w:after="0"/>
              <w:rPr>
                <w:sz w:val="20"/>
                <w:szCs w:val="20"/>
                <w:color w:val="auto"/>
              </w:rPr>
            </w:pPr>
            <w:r>
              <w:rPr>
                <w:rFonts w:ascii="Arial" w:cs="Arial" w:eastAsia="Arial" w:hAnsi="Arial"/>
                <w:sz w:val="10"/>
                <w:szCs w:val="10"/>
                <w:color w:val="auto"/>
              </w:rPr>
              <w:t>(k)</w:t>
            </w:r>
          </w:p>
        </w:tc>
        <w:tc>
          <w:tcPr>
            <w:tcW w:w="1480" w:type="dxa"/>
            <w:vAlign w:val="bottom"/>
            <w:gridSpan w:val="2"/>
            <w:vMerge w:val="restart"/>
          </w:tcPr>
          <w:p>
            <w:pPr>
              <w:jc w:val="center"/>
              <w:ind w:left="21"/>
              <w:spacing w:after="0"/>
              <w:rPr>
                <w:sz w:val="20"/>
                <w:szCs w:val="20"/>
                <w:color w:val="auto"/>
              </w:rPr>
            </w:pPr>
            <w:r>
              <w:rPr>
                <w:rFonts w:ascii="Arial" w:cs="Arial" w:eastAsia="Arial" w:hAnsi="Arial"/>
                <w:sz w:val="16"/>
                <w:szCs w:val="16"/>
                <w:color w:val="auto"/>
              </w:rPr>
              <w:t>477,321</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w w:val="99"/>
              </w:rPr>
              <w:t>—</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97"/>
        </w:trPr>
        <w:tc>
          <w:tcPr>
            <w:tcW w:w="11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320" w:type="dxa"/>
            <w:vAlign w:val="bottom"/>
            <w:vMerge w:val="restart"/>
          </w:tcPr>
          <w:p>
            <w:pPr>
              <w:ind w:left="20"/>
              <w:spacing w:after="0"/>
              <w:rPr>
                <w:sz w:val="20"/>
                <w:szCs w:val="20"/>
                <w:color w:val="auto"/>
              </w:rPr>
            </w:pPr>
            <w:r>
              <w:rPr>
                <w:rFonts w:ascii="Arial" w:cs="Arial" w:eastAsia="Arial" w:hAnsi="Arial"/>
                <w:sz w:val="10"/>
                <w:szCs w:val="10"/>
                <w:color w:val="auto"/>
              </w:rPr>
              <w:t>(e)</w:t>
            </w:r>
          </w:p>
        </w:tc>
        <w:tc>
          <w:tcPr>
            <w:tcW w:w="148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180" w:type="dxa"/>
            <w:vAlign w:val="bottom"/>
            <w:vMerge w:val="restart"/>
          </w:tcPr>
          <w:p>
            <w:pPr>
              <w:jc w:val="center"/>
              <w:spacing w:after="0"/>
              <w:rPr>
                <w:sz w:val="20"/>
                <w:szCs w:val="20"/>
                <w:color w:val="auto"/>
              </w:rPr>
            </w:pPr>
            <w:r>
              <w:rPr>
                <w:rFonts w:ascii="Arial" w:cs="Arial" w:eastAsia="Arial" w:hAnsi="Arial"/>
                <w:sz w:val="16"/>
                <w:szCs w:val="16"/>
                <w:color w:val="auto"/>
                <w:w w:val="98"/>
              </w:rPr>
              <w:t>2/26/2025</w:t>
            </w:r>
          </w:p>
        </w:tc>
        <w:tc>
          <w:tcPr>
            <w:tcW w:w="100" w:type="dxa"/>
            <w:vAlign w:val="bottom"/>
          </w:tcPr>
          <w:p>
            <w:pPr>
              <w:spacing w:after="0"/>
              <w:rPr>
                <w:sz w:val="9"/>
                <w:szCs w:val="9"/>
                <w:color w:val="auto"/>
              </w:rPr>
            </w:pP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rPr>
              <w:t>16,316</w:t>
            </w:r>
          </w:p>
        </w:tc>
        <w:tc>
          <w:tcPr>
            <w:tcW w:w="320" w:type="dxa"/>
            <w:vAlign w:val="bottom"/>
            <w:vMerge w:val="continue"/>
          </w:tcPr>
          <w:p>
            <w:pPr>
              <w:spacing w:after="0"/>
              <w:rPr>
                <w:sz w:val="9"/>
                <w:szCs w:val="9"/>
                <w:color w:val="auto"/>
              </w:rPr>
            </w:pPr>
          </w:p>
        </w:tc>
        <w:tc>
          <w:tcPr>
            <w:tcW w:w="1480" w:type="dxa"/>
            <w:vAlign w:val="bottom"/>
            <w:gridSpan w:val="2"/>
            <w:vMerge w:val="restart"/>
          </w:tcPr>
          <w:p>
            <w:pPr>
              <w:jc w:val="center"/>
              <w:ind w:left="21"/>
              <w:spacing w:after="0"/>
              <w:rPr>
                <w:sz w:val="20"/>
                <w:szCs w:val="20"/>
                <w:color w:val="auto"/>
              </w:rPr>
            </w:pPr>
            <w:r>
              <w:rPr>
                <w:rFonts w:ascii="Arial" w:cs="Arial" w:eastAsia="Arial" w:hAnsi="Arial"/>
                <w:sz w:val="16"/>
                <w:szCs w:val="16"/>
                <w:color w:val="auto"/>
                <w:w w:val="98"/>
              </w:rPr>
              <w:t>1,450,003</w:t>
            </w: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w w:val="99"/>
              </w:rPr>
              <w:t>—</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97"/>
        </w:trPr>
        <w:tc>
          <w:tcPr>
            <w:tcW w:w="11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340" w:type="dxa"/>
            <w:vAlign w:val="bottom"/>
            <w:vMerge w:val="restart"/>
          </w:tcPr>
          <w:p>
            <w:pPr>
              <w:ind w:left="20"/>
              <w:spacing w:after="0"/>
              <w:rPr>
                <w:sz w:val="20"/>
                <w:szCs w:val="20"/>
                <w:color w:val="auto"/>
              </w:rPr>
            </w:pPr>
            <w:r>
              <w:rPr>
                <w:rFonts w:ascii="Arial" w:cs="Arial" w:eastAsia="Arial" w:hAnsi="Arial"/>
                <w:sz w:val="10"/>
                <w:szCs w:val="10"/>
                <w:color w:val="auto"/>
              </w:rPr>
              <w:t>(m)</w:t>
            </w:r>
          </w:p>
        </w:tc>
        <w:tc>
          <w:tcPr>
            <w:tcW w:w="100" w:type="dxa"/>
            <w:vAlign w:val="bottom"/>
          </w:tcPr>
          <w:p>
            <w:pPr>
              <w:spacing w:after="0"/>
              <w:rPr>
                <w:sz w:val="8"/>
                <w:szCs w:val="8"/>
                <w:color w:val="auto"/>
              </w:rPr>
            </w:pPr>
          </w:p>
        </w:tc>
        <w:tc>
          <w:tcPr>
            <w:tcW w:w="1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180" w:type="dxa"/>
            <w:vAlign w:val="bottom"/>
            <w:vMerge w:val="restart"/>
          </w:tcPr>
          <w:p>
            <w:pPr>
              <w:jc w:val="center"/>
              <w:spacing w:after="0"/>
              <w:rPr>
                <w:sz w:val="20"/>
                <w:szCs w:val="20"/>
                <w:color w:val="auto"/>
              </w:rPr>
            </w:pPr>
            <w:r>
              <w:rPr>
                <w:rFonts w:ascii="Arial" w:cs="Arial" w:eastAsia="Arial" w:hAnsi="Arial"/>
                <w:sz w:val="16"/>
                <w:szCs w:val="16"/>
                <w:color w:val="auto"/>
                <w:w w:val="98"/>
              </w:rPr>
              <w:t>2/26/2025</w:t>
            </w:r>
          </w:p>
        </w:tc>
        <w:tc>
          <w:tcPr>
            <w:tcW w:w="100" w:type="dxa"/>
            <w:vAlign w:val="bottom"/>
          </w:tcPr>
          <w:p>
            <w:pPr>
              <w:spacing w:after="0"/>
              <w:rPr>
                <w:sz w:val="9"/>
                <w:szCs w:val="9"/>
                <w:color w:val="auto"/>
              </w:rPr>
            </w:pP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1720" w:type="dxa"/>
            <w:vAlign w:val="bottom"/>
            <w:gridSpan w:val="3"/>
            <w:vMerge w:val="restart"/>
          </w:tcPr>
          <w:p>
            <w:pPr>
              <w:jc w:val="center"/>
              <w:ind w:left="344"/>
              <w:spacing w:after="0"/>
              <w:rPr>
                <w:sz w:val="20"/>
                <w:szCs w:val="20"/>
                <w:color w:val="auto"/>
              </w:rPr>
            </w:pPr>
            <w:r>
              <w:rPr>
                <w:rFonts w:ascii="Arial" w:cs="Arial" w:eastAsia="Arial" w:hAnsi="Arial"/>
                <w:sz w:val="16"/>
                <w:szCs w:val="16"/>
                <w:color w:val="auto"/>
              </w:rPr>
              <w:t>12,237</w:t>
            </w:r>
          </w:p>
        </w:tc>
        <w:tc>
          <w:tcPr>
            <w:tcW w:w="10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1820" w:type="dxa"/>
            <w:vAlign w:val="bottom"/>
            <w:gridSpan w:val="2"/>
            <w:vMerge w:val="restart"/>
          </w:tcPr>
          <w:p>
            <w:pPr>
              <w:jc w:val="center"/>
              <w:ind w:left="21"/>
              <w:spacing w:after="0"/>
              <w:rPr>
                <w:sz w:val="20"/>
                <w:szCs w:val="20"/>
                <w:color w:val="auto"/>
              </w:rPr>
            </w:pPr>
            <w:r>
              <w:rPr>
                <w:rFonts w:ascii="Arial" w:cs="Arial" w:eastAsia="Arial" w:hAnsi="Arial"/>
                <w:sz w:val="16"/>
                <w:szCs w:val="16"/>
                <w:color w:val="auto"/>
              </w:rPr>
              <w:t>1,087,502</w:t>
            </w:r>
          </w:p>
        </w:tc>
        <w:tc>
          <w:tcPr>
            <w:tcW w:w="0" w:type="dxa"/>
            <w:vAlign w:val="bottom"/>
          </w:tcPr>
          <w:p>
            <w:pPr>
              <w:spacing w:after="0"/>
              <w:rPr>
                <w:sz w:val="1"/>
                <w:szCs w:val="1"/>
                <w:color w:val="auto"/>
              </w:rPr>
            </w:pPr>
          </w:p>
        </w:tc>
      </w:tr>
      <w:tr>
        <w:trPr>
          <w:trHeight w:val="97"/>
        </w:trPr>
        <w:tc>
          <w:tcPr>
            <w:tcW w:w="11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vMerge w:val="restart"/>
          </w:tcPr>
          <w:p>
            <w:pPr>
              <w:ind w:left="20"/>
              <w:spacing w:after="0"/>
              <w:rPr>
                <w:sz w:val="20"/>
                <w:szCs w:val="20"/>
                <w:color w:val="auto"/>
              </w:rPr>
            </w:pPr>
            <w:r>
              <w:rPr>
                <w:rFonts w:ascii="Arial" w:cs="Arial" w:eastAsia="Arial" w:hAnsi="Arial"/>
                <w:sz w:val="10"/>
                <w:szCs w:val="10"/>
                <w:color w:val="auto"/>
              </w:rPr>
              <w:t>(n)</w:t>
            </w:r>
          </w:p>
        </w:tc>
        <w:tc>
          <w:tcPr>
            <w:tcW w:w="18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180" w:type="dxa"/>
            <w:vAlign w:val="bottom"/>
            <w:vMerge w:val="restart"/>
          </w:tcPr>
          <w:p>
            <w:pPr>
              <w:jc w:val="center"/>
              <w:spacing w:after="0"/>
              <w:rPr>
                <w:sz w:val="20"/>
                <w:szCs w:val="20"/>
                <w:color w:val="auto"/>
              </w:rPr>
            </w:pPr>
            <w:r>
              <w:rPr>
                <w:rFonts w:ascii="Arial" w:cs="Arial" w:eastAsia="Arial" w:hAnsi="Arial"/>
                <w:sz w:val="16"/>
                <w:szCs w:val="16"/>
                <w:color w:val="auto"/>
                <w:w w:val="98"/>
              </w:rPr>
              <w:t>2/26/2025</w:t>
            </w:r>
          </w:p>
        </w:tc>
        <w:tc>
          <w:tcPr>
            <w:tcW w:w="100" w:type="dxa"/>
            <w:vAlign w:val="bottom"/>
          </w:tcPr>
          <w:p>
            <w:pPr>
              <w:spacing w:after="0"/>
              <w:rPr>
                <w:sz w:val="9"/>
                <w:szCs w:val="9"/>
                <w:color w:val="auto"/>
              </w:rPr>
            </w:pP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1720" w:type="dxa"/>
            <w:vAlign w:val="bottom"/>
            <w:gridSpan w:val="3"/>
            <w:vMerge w:val="restart"/>
          </w:tcPr>
          <w:p>
            <w:pPr>
              <w:jc w:val="center"/>
              <w:ind w:left="344"/>
              <w:spacing w:after="0"/>
              <w:rPr>
                <w:sz w:val="20"/>
                <w:szCs w:val="20"/>
                <w:color w:val="auto"/>
              </w:rPr>
            </w:pPr>
            <w:r>
              <w:rPr>
                <w:rFonts w:ascii="Arial" w:cs="Arial" w:eastAsia="Arial" w:hAnsi="Arial"/>
                <w:sz w:val="16"/>
                <w:szCs w:val="16"/>
                <w:color w:val="auto"/>
              </w:rPr>
              <w:t>12,237</w:t>
            </w:r>
          </w:p>
        </w:tc>
        <w:tc>
          <w:tcPr>
            <w:tcW w:w="10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1820" w:type="dxa"/>
            <w:vAlign w:val="bottom"/>
            <w:gridSpan w:val="2"/>
            <w:vMerge w:val="restart"/>
          </w:tcPr>
          <w:p>
            <w:pPr>
              <w:jc w:val="center"/>
              <w:ind w:left="21"/>
              <w:spacing w:after="0"/>
              <w:rPr>
                <w:sz w:val="20"/>
                <w:szCs w:val="20"/>
                <w:color w:val="auto"/>
              </w:rPr>
            </w:pPr>
            <w:r>
              <w:rPr>
                <w:rFonts w:ascii="Arial" w:cs="Arial" w:eastAsia="Arial" w:hAnsi="Arial"/>
                <w:sz w:val="16"/>
                <w:szCs w:val="16"/>
                <w:color w:val="auto"/>
              </w:rPr>
              <w:t>1,087,502</w:t>
            </w:r>
          </w:p>
        </w:tc>
        <w:tc>
          <w:tcPr>
            <w:tcW w:w="0" w:type="dxa"/>
            <w:vAlign w:val="bottom"/>
          </w:tcPr>
          <w:p>
            <w:pPr>
              <w:spacing w:after="0"/>
              <w:rPr>
                <w:sz w:val="1"/>
                <w:szCs w:val="1"/>
                <w:color w:val="auto"/>
              </w:rPr>
            </w:pPr>
          </w:p>
        </w:tc>
      </w:tr>
      <w:tr>
        <w:trPr>
          <w:trHeight w:val="97"/>
        </w:trPr>
        <w:tc>
          <w:tcPr>
            <w:tcW w:w="11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vMerge w:val="restart"/>
          </w:tcPr>
          <w:p>
            <w:pPr>
              <w:ind w:left="20"/>
              <w:spacing w:after="0"/>
              <w:rPr>
                <w:sz w:val="20"/>
                <w:szCs w:val="20"/>
                <w:color w:val="auto"/>
              </w:rPr>
            </w:pPr>
            <w:r>
              <w:rPr>
                <w:rFonts w:ascii="Arial" w:cs="Arial" w:eastAsia="Arial" w:hAnsi="Arial"/>
                <w:sz w:val="10"/>
                <w:szCs w:val="10"/>
                <w:color w:val="auto"/>
              </w:rPr>
              <w:t>(p)</w:t>
            </w:r>
          </w:p>
        </w:tc>
        <w:tc>
          <w:tcPr>
            <w:tcW w:w="18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180" w:type="dxa"/>
            <w:vAlign w:val="bottom"/>
            <w:vMerge w:val="restart"/>
          </w:tcPr>
          <w:p>
            <w:pPr>
              <w:jc w:val="center"/>
              <w:spacing w:after="0"/>
              <w:rPr>
                <w:sz w:val="20"/>
                <w:szCs w:val="20"/>
                <w:color w:val="auto"/>
              </w:rPr>
            </w:pPr>
            <w:r>
              <w:rPr>
                <w:rFonts w:ascii="Arial" w:cs="Arial" w:eastAsia="Arial" w:hAnsi="Arial"/>
                <w:sz w:val="16"/>
                <w:szCs w:val="16"/>
                <w:color w:val="auto"/>
                <w:w w:val="98"/>
              </w:rPr>
              <w:t>4/22/2025</w:t>
            </w:r>
          </w:p>
        </w:tc>
        <w:tc>
          <w:tcPr>
            <w:tcW w:w="100" w:type="dxa"/>
            <w:vAlign w:val="bottom"/>
          </w:tcPr>
          <w:p>
            <w:pPr>
              <w:spacing w:after="0"/>
              <w:rPr>
                <w:sz w:val="9"/>
                <w:szCs w:val="9"/>
                <w:color w:val="auto"/>
              </w:rPr>
            </w:pP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1720" w:type="dxa"/>
            <w:vAlign w:val="bottom"/>
            <w:gridSpan w:val="3"/>
            <w:vMerge w:val="restart"/>
          </w:tcPr>
          <w:p>
            <w:pPr>
              <w:jc w:val="center"/>
              <w:ind w:left="344"/>
              <w:spacing w:after="0"/>
              <w:rPr>
                <w:sz w:val="20"/>
                <w:szCs w:val="20"/>
                <w:color w:val="auto"/>
              </w:rPr>
            </w:pPr>
            <w:r>
              <w:rPr>
                <w:rFonts w:ascii="Arial" w:cs="Arial" w:eastAsia="Arial" w:hAnsi="Arial"/>
                <w:sz w:val="16"/>
                <w:szCs w:val="16"/>
                <w:color w:val="auto"/>
                <w:w w:val="94"/>
              </w:rPr>
              <w:t>5,031</w:t>
            </w:r>
          </w:p>
        </w:tc>
        <w:tc>
          <w:tcPr>
            <w:tcW w:w="10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1820" w:type="dxa"/>
            <w:vAlign w:val="bottom"/>
            <w:gridSpan w:val="2"/>
            <w:vMerge w:val="restart"/>
          </w:tcPr>
          <w:p>
            <w:pPr>
              <w:jc w:val="center"/>
              <w:ind w:left="21"/>
              <w:spacing w:after="0"/>
              <w:rPr>
                <w:sz w:val="20"/>
                <w:szCs w:val="20"/>
                <w:color w:val="auto"/>
              </w:rPr>
            </w:pPr>
            <w:r>
              <w:rPr>
                <w:rFonts w:ascii="Arial" w:cs="Arial" w:eastAsia="Arial" w:hAnsi="Arial"/>
                <w:sz w:val="16"/>
                <w:szCs w:val="16"/>
                <w:color w:val="auto"/>
                <w:w w:val="96"/>
              </w:rPr>
              <w:t>447,105</w:t>
            </w:r>
          </w:p>
        </w:tc>
        <w:tc>
          <w:tcPr>
            <w:tcW w:w="0" w:type="dxa"/>
            <w:vAlign w:val="bottom"/>
          </w:tcPr>
          <w:p>
            <w:pPr>
              <w:spacing w:after="0"/>
              <w:rPr>
                <w:sz w:val="1"/>
                <w:szCs w:val="1"/>
                <w:color w:val="auto"/>
              </w:rPr>
            </w:pPr>
          </w:p>
        </w:tc>
      </w:tr>
      <w:tr>
        <w:trPr>
          <w:trHeight w:val="99"/>
        </w:trPr>
        <w:tc>
          <w:tcPr>
            <w:tcW w:w="11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8"/>
        </w:trPr>
        <w:tc>
          <w:tcPr>
            <w:tcW w:w="118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8"/>
              </w:rPr>
              <w:t>4/11/2024</w:t>
            </w:r>
          </w:p>
        </w:tc>
        <w:tc>
          <w:tcPr>
            <w:tcW w:w="100" w:type="dxa"/>
            <w:vAlign w:val="bottom"/>
          </w:tcPr>
          <w:p>
            <w:pPr>
              <w:spacing w:after="0"/>
              <w:rPr>
                <w:sz w:val="24"/>
                <w:szCs w:val="24"/>
                <w:color w:val="auto"/>
              </w:rPr>
            </w:pPr>
          </w:p>
        </w:tc>
        <w:tc>
          <w:tcPr>
            <w:tcW w:w="130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3"/>
              </w:rPr>
              <w:t>11,832</w:t>
            </w:r>
          </w:p>
        </w:tc>
        <w:tc>
          <w:tcPr>
            <w:tcW w:w="320" w:type="dxa"/>
            <w:vAlign w:val="bottom"/>
            <w:shd w:val="clear" w:color="auto" w:fill="E6E7E7"/>
          </w:tcPr>
          <w:p>
            <w:pPr>
              <w:ind w:left="20"/>
              <w:spacing w:after="0"/>
              <w:rPr>
                <w:sz w:val="20"/>
                <w:szCs w:val="20"/>
                <w:color w:val="auto"/>
              </w:rPr>
            </w:pPr>
            <w:r>
              <w:rPr>
                <w:rFonts w:ascii="Arial" w:cs="Arial" w:eastAsia="Arial" w:hAnsi="Arial"/>
                <w:sz w:val="10"/>
                <w:szCs w:val="10"/>
                <w:color w:val="auto"/>
              </w:rPr>
              <w:t>(l)</w:t>
            </w:r>
          </w:p>
        </w:tc>
        <w:tc>
          <w:tcPr>
            <w:tcW w:w="80" w:type="dxa"/>
            <w:vAlign w:val="bottom"/>
          </w:tcPr>
          <w:p>
            <w:pPr>
              <w:spacing w:after="0"/>
              <w:rPr>
                <w:sz w:val="24"/>
                <w:szCs w:val="24"/>
                <w:color w:val="auto"/>
              </w:rPr>
            </w:pPr>
          </w:p>
        </w:tc>
        <w:tc>
          <w:tcPr>
            <w:tcW w:w="140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8"/>
              </w:rPr>
              <w:t>1,051,510</w:t>
            </w:r>
          </w:p>
        </w:tc>
        <w:tc>
          <w:tcPr>
            <w:tcW w:w="320" w:type="dxa"/>
            <w:vAlign w:val="bottom"/>
            <w:shd w:val="clear" w:color="auto" w:fill="E6E7E7"/>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E6E7E7"/>
          </w:tcPr>
          <w:p>
            <w:pPr>
              <w:spacing w:after="0"/>
              <w:rPr>
                <w:sz w:val="24"/>
                <w:szCs w:val="24"/>
                <w:color w:val="auto"/>
              </w:rPr>
            </w:pPr>
          </w:p>
        </w:tc>
        <w:tc>
          <w:tcPr>
            <w:tcW w:w="340" w:type="dxa"/>
            <w:vAlign w:val="bottom"/>
            <w:shd w:val="clear" w:color="auto" w:fill="E6E7E7"/>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11"/>
        </w:trPr>
        <w:tc>
          <w:tcPr>
            <w:tcW w:w="1180" w:type="dxa"/>
            <w:vAlign w:val="bottom"/>
            <w:vMerge w:val="continue"/>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vMerge w:val="continue"/>
            <w:shd w:val="clear" w:color="auto" w:fill="E6E7E7"/>
          </w:tcPr>
          <w:p>
            <w:pPr>
              <w:spacing w:after="0"/>
              <w:rPr>
                <w:sz w:val="9"/>
                <w:szCs w:val="9"/>
                <w:color w:val="auto"/>
              </w:rPr>
            </w:pPr>
          </w:p>
        </w:tc>
        <w:tc>
          <w:tcPr>
            <w:tcW w:w="320" w:type="dxa"/>
            <w:vAlign w:val="bottom"/>
            <w:vMerge w:val="restart"/>
            <w:shd w:val="clear" w:color="auto" w:fill="E6E7E7"/>
          </w:tcPr>
          <w:p>
            <w:pPr>
              <w:ind w:left="20"/>
              <w:spacing w:after="0"/>
              <w:rPr>
                <w:sz w:val="20"/>
                <w:szCs w:val="20"/>
                <w:color w:val="auto"/>
              </w:rPr>
            </w:pPr>
            <w:r>
              <w:rPr>
                <w:rFonts w:ascii="Arial" w:cs="Arial" w:eastAsia="Arial" w:hAnsi="Arial"/>
                <w:sz w:val="10"/>
                <w:szCs w:val="10"/>
                <w:color w:val="auto"/>
              </w:rPr>
              <w:t>(e)</w:t>
            </w:r>
          </w:p>
        </w:tc>
        <w:tc>
          <w:tcPr>
            <w:tcW w:w="80" w:type="dxa"/>
            <w:vAlign w:val="bottom"/>
          </w:tcPr>
          <w:p>
            <w:pPr>
              <w:spacing w:after="0"/>
              <w:rPr>
                <w:sz w:val="9"/>
                <w:szCs w:val="9"/>
                <w:color w:val="auto"/>
              </w:rPr>
            </w:pPr>
          </w:p>
        </w:tc>
        <w:tc>
          <w:tcPr>
            <w:tcW w:w="1400" w:type="dxa"/>
            <w:vAlign w:val="bottom"/>
            <w:vMerge w:val="continue"/>
            <w:shd w:val="clear" w:color="auto" w:fill="E6E7E7"/>
          </w:tcPr>
          <w:p>
            <w:pPr>
              <w:spacing w:after="0"/>
              <w:rPr>
                <w:sz w:val="9"/>
                <w:szCs w:val="9"/>
                <w:color w:val="auto"/>
              </w:rPr>
            </w:pPr>
          </w:p>
        </w:tc>
        <w:tc>
          <w:tcPr>
            <w:tcW w:w="320" w:type="dxa"/>
            <w:vAlign w:val="bottom"/>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vMerge w:val="continue"/>
            <w:shd w:val="clear" w:color="auto" w:fill="E6E7E7"/>
          </w:tcPr>
          <w:p>
            <w:pPr>
              <w:spacing w:after="0"/>
              <w:rPr>
                <w:sz w:val="9"/>
                <w:szCs w:val="9"/>
                <w:color w:val="auto"/>
              </w:rPr>
            </w:pPr>
          </w:p>
        </w:tc>
        <w:tc>
          <w:tcPr>
            <w:tcW w:w="100" w:type="dxa"/>
            <w:vAlign w:val="bottom"/>
            <w:shd w:val="clear" w:color="auto" w:fill="E6E7E7"/>
          </w:tcPr>
          <w:p>
            <w:pPr>
              <w:spacing w:after="0"/>
              <w:rPr>
                <w:sz w:val="9"/>
                <w:szCs w:val="9"/>
                <w:color w:val="auto"/>
              </w:rPr>
            </w:pPr>
          </w:p>
        </w:tc>
        <w:tc>
          <w:tcPr>
            <w:tcW w:w="340" w:type="dxa"/>
            <w:vAlign w:val="bottom"/>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vMerge w:val="continue"/>
            <w:shd w:val="clear" w:color="auto" w:fill="E6E7E7"/>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8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8"/>
              </w:rPr>
              <w:t>4/11/2024</w:t>
            </w:r>
          </w:p>
        </w:tc>
        <w:tc>
          <w:tcPr>
            <w:tcW w:w="100" w:type="dxa"/>
            <w:vAlign w:val="bottom"/>
          </w:tcPr>
          <w:p>
            <w:pPr>
              <w:spacing w:after="0"/>
              <w:rPr>
                <w:sz w:val="8"/>
                <w:szCs w:val="8"/>
                <w:color w:val="auto"/>
              </w:rPr>
            </w:pPr>
          </w:p>
        </w:tc>
        <w:tc>
          <w:tcPr>
            <w:tcW w:w="130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rPr>
              <w:t>32,341</w:t>
            </w:r>
          </w:p>
        </w:tc>
        <w:tc>
          <w:tcPr>
            <w:tcW w:w="320" w:type="dxa"/>
            <w:vAlign w:val="bottom"/>
            <w:vMerge w:val="continue"/>
            <w:shd w:val="clear" w:color="auto" w:fill="E6E7E7"/>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8"/>
              </w:rPr>
              <w:t>2,874,145</w:t>
            </w:r>
          </w:p>
        </w:tc>
        <w:tc>
          <w:tcPr>
            <w:tcW w:w="32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E6E7E7"/>
          </w:tcPr>
          <w:p>
            <w:pPr>
              <w:spacing w:after="0"/>
              <w:rPr>
                <w:sz w:val="8"/>
                <w:szCs w:val="8"/>
                <w:color w:val="auto"/>
              </w:rPr>
            </w:pPr>
          </w:p>
        </w:tc>
        <w:tc>
          <w:tcPr>
            <w:tcW w:w="340" w:type="dxa"/>
            <w:vAlign w:val="bottom"/>
            <w:vMerge w:val="restart"/>
            <w:shd w:val="clear" w:color="auto" w:fill="E6E7E7"/>
          </w:tcPr>
          <w:p>
            <w:pPr>
              <w:ind w:left="20"/>
              <w:spacing w:after="0"/>
              <w:rPr>
                <w:sz w:val="20"/>
                <w:szCs w:val="20"/>
                <w:color w:val="auto"/>
              </w:rPr>
            </w:pPr>
            <w:r>
              <w:rPr>
                <w:rFonts w:ascii="Arial" w:cs="Arial" w:eastAsia="Arial" w:hAnsi="Arial"/>
                <w:sz w:val="10"/>
                <w:szCs w:val="10"/>
                <w:color w:val="auto"/>
              </w:rPr>
              <w:t>(m)</w:t>
            </w:r>
          </w:p>
        </w:tc>
        <w:tc>
          <w:tcPr>
            <w:tcW w:w="100" w:type="dxa"/>
            <w:vAlign w:val="bottom"/>
          </w:tcPr>
          <w:p>
            <w:pPr>
              <w:spacing w:after="0"/>
              <w:rPr>
                <w:sz w:val="8"/>
                <w:szCs w:val="8"/>
                <w:color w:val="auto"/>
              </w:rPr>
            </w:pPr>
          </w:p>
        </w:tc>
        <w:tc>
          <w:tcPr>
            <w:tcW w:w="172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11"/>
        </w:trPr>
        <w:tc>
          <w:tcPr>
            <w:tcW w:w="1180" w:type="dxa"/>
            <w:vAlign w:val="bottom"/>
            <w:vMerge w:val="continue"/>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vMerge w:val="continue"/>
            <w:shd w:val="clear" w:color="auto" w:fill="E6E7E7"/>
          </w:tcPr>
          <w:p>
            <w:pPr>
              <w:spacing w:after="0"/>
              <w:rPr>
                <w:sz w:val="9"/>
                <w:szCs w:val="9"/>
                <w:color w:val="auto"/>
              </w:rPr>
            </w:pPr>
          </w:p>
        </w:tc>
        <w:tc>
          <w:tcPr>
            <w:tcW w:w="320" w:type="dxa"/>
            <w:vAlign w:val="bottom"/>
            <w:shd w:val="clear" w:color="auto" w:fill="E6E7E7"/>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vMerge w:val="continue"/>
            <w:shd w:val="clear" w:color="auto" w:fill="E6E7E7"/>
          </w:tcPr>
          <w:p>
            <w:pPr>
              <w:spacing w:after="0"/>
              <w:rPr>
                <w:sz w:val="9"/>
                <w:szCs w:val="9"/>
                <w:color w:val="auto"/>
              </w:rPr>
            </w:pPr>
          </w:p>
        </w:tc>
        <w:tc>
          <w:tcPr>
            <w:tcW w:w="320" w:type="dxa"/>
            <w:vAlign w:val="bottom"/>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vMerge w:val="continue"/>
            <w:shd w:val="clear" w:color="auto" w:fill="E6E7E7"/>
          </w:tcPr>
          <w:p>
            <w:pPr>
              <w:spacing w:after="0"/>
              <w:rPr>
                <w:sz w:val="9"/>
                <w:szCs w:val="9"/>
                <w:color w:val="auto"/>
              </w:rPr>
            </w:pPr>
          </w:p>
        </w:tc>
        <w:tc>
          <w:tcPr>
            <w:tcW w:w="100" w:type="dxa"/>
            <w:vAlign w:val="bottom"/>
            <w:shd w:val="clear" w:color="auto" w:fill="E6E7E7"/>
          </w:tcPr>
          <w:p>
            <w:pPr>
              <w:spacing w:after="0"/>
              <w:rPr>
                <w:sz w:val="9"/>
                <w:szCs w:val="9"/>
                <w:color w:val="auto"/>
              </w:rPr>
            </w:pPr>
          </w:p>
        </w:tc>
        <w:tc>
          <w:tcPr>
            <w:tcW w:w="340" w:type="dxa"/>
            <w:vAlign w:val="bottom"/>
            <w:vMerge w:val="continue"/>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vMerge w:val="continue"/>
            <w:shd w:val="clear" w:color="auto" w:fill="E6E7E7"/>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18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8"/>
              </w:rPr>
              <w:t>4/11/2024</w:t>
            </w:r>
          </w:p>
        </w:tc>
        <w:tc>
          <w:tcPr>
            <w:tcW w:w="100" w:type="dxa"/>
            <w:vAlign w:val="bottom"/>
          </w:tcPr>
          <w:p>
            <w:pPr>
              <w:spacing w:after="0"/>
              <w:rPr>
                <w:sz w:val="9"/>
                <w:szCs w:val="9"/>
                <w:color w:val="auto"/>
              </w:rPr>
            </w:pPr>
          </w:p>
        </w:tc>
        <w:tc>
          <w:tcPr>
            <w:tcW w:w="130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320" w:type="dxa"/>
            <w:vAlign w:val="bottom"/>
            <w:shd w:val="clear" w:color="auto" w:fill="E6E7E7"/>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320" w:type="dxa"/>
            <w:vAlign w:val="bottom"/>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rPr>
              <w:t>36,383</w:t>
            </w:r>
          </w:p>
        </w:tc>
        <w:tc>
          <w:tcPr>
            <w:tcW w:w="100" w:type="dxa"/>
            <w:vAlign w:val="bottom"/>
            <w:shd w:val="clear" w:color="auto" w:fill="E6E7E7"/>
          </w:tcPr>
          <w:p>
            <w:pPr>
              <w:spacing w:after="0"/>
              <w:rPr>
                <w:sz w:val="9"/>
                <w:szCs w:val="9"/>
                <w:color w:val="auto"/>
              </w:rPr>
            </w:pPr>
          </w:p>
        </w:tc>
        <w:tc>
          <w:tcPr>
            <w:tcW w:w="340" w:type="dxa"/>
            <w:vAlign w:val="bottom"/>
            <w:vMerge w:val="continue"/>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rPr>
              <w:t>3,233,357</w:t>
            </w:r>
          </w:p>
        </w:tc>
        <w:tc>
          <w:tcPr>
            <w:tcW w:w="0" w:type="dxa"/>
            <w:vAlign w:val="bottom"/>
          </w:tcPr>
          <w:p>
            <w:pPr>
              <w:spacing w:after="0"/>
              <w:rPr>
                <w:sz w:val="1"/>
                <w:szCs w:val="1"/>
                <w:color w:val="auto"/>
              </w:rPr>
            </w:pPr>
          </w:p>
        </w:tc>
      </w:tr>
      <w:tr>
        <w:trPr>
          <w:trHeight w:val="97"/>
        </w:trPr>
        <w:tc>
          <w:tcPr>
            <w:tcW w:w="1180" w:type="dxa"/>
            <w:vAlign w:val="bottom"/>
            <w:vMerge w:val="continue"/>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vMerge w:val="continue"/>
            <w:shd w:val="clear" w:color="auto" w:fill="E6E7E7"/>
          </w:tcPr>
          <w:p>
            <w:pPr>
              <w:spacing w:after="0"/>
              <w:rPr>
                <w:sz w:val="8"/>
                <w:szCs w:val="8"/>
                <w:color w:val="auto"/>
              </w:rPr>
            </w:pPr>
          </w:p>
        </w:tc>
        <w:tc>
          <w:tcPr>
            <w:tcW w:w="320" w:type="dxa"/>
            <w:vAlign w:val="bottom"/>
            <w:shd w:val="clear" w:color="auto" w:fill="E6E7E7"/>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vMerge w:val="continue"/>
            <w:shd w:val="clear" w:color="auto" w:fill="E6E7E7"/>
          </w:tcPr>
          <w:p>
            <w:pPr>
              <w:spacing w:after="0"/>
              <w:rPr>
                <w:sz w:val="8"/>
                <w:szCs w:val="8"/>
                <w:color w:val="auto"/>
              </w:rPr>
            </w:pPr>
          </w:p>
        </w:tc>
        <w:tc>
          <w:tcPr>
            <w:tcW w:w="32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vMerge w:val="continue"/>
            <w:shd w:val="clear" w:color="auto" w:fill="E6E7E7"/>
          </w:tcPr>
          <w:p>
            <w:pPr>
              <w:spacing w:after="0"/>
              <w:rPr>
                <w:sz w:val="8"/>
                <w:szCs w:val="8"/>
                <w:color w:val="auto"/>
              </w:rPr>
            </w:pPr>
          </w:p>
        </w:tc>
        <w:tc>
          <w:tcPr>
            <w:tcW w:w="100" w:type="dxa"/>
            <w:vAlign w:val="bottom"/>
            <w:shd w:val="clear" w:color="auto" w:fill="E6E7E7"/>
          </w:tcPr>
          <w:p>
            <w:pPr>
              <w:spacing w:after="0"/>
              <w:rPr>
                <w:sz w:val="8"/>
                <w:szCs w:val="8"/>
                <w:color w:val="auto"/>
              </w:rPr>
            </w:pPr>
          </w:p>
        </w:tc>
        <w:tc>
          <w:tcPr>
            <w:tcW w:w="340" w:type="dxa"/>
            <w:vAlign w:val="bottom"/>
            <w:vMerge w:val="restart"/>
            <w:shd w:val="clear" w:color="auto" w:fill="E6E7E7"/>
          </w:tcPr>
          <w:p>
            <w:pPr>
              <w:ind w:left="20"/>
              <w:spacing w:after="0"/>
              <w:rPr>
                <w:sz w:val="20"/>
                <w:szCs w:val="20"/>
                <w:color w:val="auto"/>
              </w:rPr>
            </w:pPr>
            <w:r>
              <w:rPr>
                <w:rFonts w:ascii="Arial" w:cs="Arial" w:eastAsia="Arial" w:hAnsi="Arial"/>
                <w:sz w:val="10"/>
                <w:szCs w:val="10"/>
                <w:color w:val="auto"/>
              </w:rPr>
              <w:t>(n)</w:t>
            </w:r>
          </w:p>
        </w:tc>
        <w:tc>
          <w:tcPr>
            <w:tcW w:w="100" w:type="dxa"/>
            <w:vAlign w:val="bottom"/>
          </w:tcPr>
          <w:p>
            <w:pPr>
              <w:spacing w:after="0"/>
              <w:rPr>
                <w:sz w:val="8"/>
                <w:szCs w:val="8"/>
                <w:color w:val="auto"/>
              </w:rPr>
            </w:pPr>
          </w:p>
        </w:tc>
        <w:tc>
          <w:tcPr>
            <w:tcW w:w="1720" w:type="dxa"/>
            <w:vAlign w:val="bottom"/>
            <w:vMerge w:val="continue"/>
            <w:shd w:val="clear" w:color="auto" w:fill="E6E7E7"/>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18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8"/>
              </w:rPr>
              <w:t>4/11/2024</w:t>
            </w:r>
          </w:p>
        </w:tc>
        <w:tc>
          <w:tcPr>
            <w:tcW w:w="100" w:type="dxa"/>
            <w:vAlign w:val="bottom"/>
          </w:tcPr>
          <w:p>
            <w:pPr>
              <w:spacing w:after="0"/>
              <w:rPr>
                <w:sz w:val="9"/>
                <w:szCs w:val="9"/>
                <w:color w:val="auto"/>
              </w:rPr>
            </w:pPr>
          </w:p>
        </w:tc>
        <w:tc>
          <w:tcPr>
            <w:tcW w:w="130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320" w:type="dxa"/>
            <w:vAlign w:val="bottom"/>
            <w:shd w:val="clear" w:color="auto" w:fill="E6E7E7"/>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320" w:type="dxa"/>
            <w:vAlign w:val="bottom"/>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rPr>
              <w:t>36,383</w:t>
            </w:r>
          </w:p>
        </w:tc>
        <w:tc>
          <w:tcPr>
            <w:tcW w:w="100" w:type="dxa"/>
            <w:vAlign w:val="bottom"/>
            <w:shd w:val="clear" w:color="auto" w:fill="E6E7E7"/>
          </w:tcPr>
          <w:p>
            <w:pPr>
              <w:spacing w:after="0"/>
              <w:rPr>
                <w:sz w:val="9"/>
                <w:szCs w:val="9"/>
                <w:color w:val="auto"/>
              </w:rPr>
            </w:pPr>
          </w:p>
        </w:tc>
        <w:tc>
          <w:tcPr>
            <w:tcW w:w="340" w:type="dxa"/>
            <w:vAlign w:val="bottom"/>
            <w:vMerge w:val="continue"/>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rPr>
              <w:t>3,233,357</w:t>
            </w:r>
          </w:p>
        </w:tc>
        <w:tc>
          <w:tcPr>
            <w:tcW w:w="0" w:type="dxa"/>
            <w:vAlign w:val="bottom"/>
          </w:tcPr>
          <w:p>
            <w:pPr>
              <w:spacing w:after="0"/>
              <w:rPr>
                <w:sz w:val="1"/>
                <w:szCs w:val="1"/>
                <w:color w:val="auto"/>
              </w:rPr>
            </w:pPr>
          </w:p>
        </w:tc>
      </w:tr>
      <w:tr>
        <w:trPr>
          <w:trHeight w:val="97"/>
        </w:trPr>
        <w:tc>
          <w:tcPr>
            <w:tcW w:w="1180" w:type="dxa"/>
            <w:vAlign w:val="bottom"/>
            <w:vMerge w:val="continue"/>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vMerge w:val="continue"/>
            <w:shd w:val="clear" w:color="auto" w:fill="E6E7E7"/>
          </w:tcPr>
          <w:p>
            <w:pPr>
              <w:spacing w:after="0"/>
              <w:rPr>
                <w:sz w:val="8"/>
                <w:szCs w:val="8"/>
                <w:color w:val="auto"/>
              </w:rPr>
            </w:pPr>
          </w:p>
        </w:tc>
        <w:tc>
          <w:tcPr>
            <w:tcW w:w="320" w:type="dxa"/>
            <w:vAlign w:val="bottom"/>
            <w:vMerge w:val="restart"/>
            <w:shd w:val="clear" w:color="auto" w:fill="E6E7E7"/>
          </w:tcPr>
          <w:p>
            <w:pPr>
              <w:ind w:left="20"/>
              <w:spacing w:after="0"/>
              <w:rPr>
                <w:sz w:val="20"/>
                <w:szCs w:val="20"/>
                <w:color w:val="auto"/>
              </w:rPr>
            </w:pPr>
            <w:r>
              <w:rPr>
                <w:rFonts w:ascii="Arial" w:cs="Arial" w:eastAsia="Arial" w:hAnsi="Arial"/>
                <w:sz w:val="10"/>
                <w:szCs w:val="10"/>
                <w:color w:val="auto"/>
              </w:rPr>
              <w:t>(e)</w:t>
            </w:r>
          </w:p>
        </w:tc>
        <w:tc>
          <w:tcPr>
            <w:tcW w:w="80" w:type="dxa"/>
            <w:vAlign w:val="bottom"/>
          </w:tcPr>
          <w:p>
            <w:pPr>
              <w:spacing w:after="0"/>
              <w:rPr>
                <w:sz w:val="8"/>
                <w:szCs w:val="8"/>
                <w:color w:val="auto"/>
              </w:rPr>
            </w:pPr>
          </w:p>
        </w:tc>
        <w:tc>
          <w:tcPr>
            <w:tcW w:w="1400" w:type="dxa"/>
            <w:vAlign w:val="bottom"/>
            <w:vMerge w:val="continue"/>
            <w:shd w:val="clear" w:color="auto" w:fill="E6E7E7"/>
          </w:tcPr>
          <w:p>
            <w:pPr>
              <w:spacing w:after="0"/>
              <w:rPr>
                <w:sz w:val="8"/>
                <w:szCs w:val="8"/>
                <w:color w:val="auto"/>
              </w:rPr>
            </w:pPr>
          </w:p>
        </w:tc>
        <w:tc>
          <w:tcPr>
            <w:tcW w:w="32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vMerge w:val="continue"/>
            <w:shd w:val="clear" w:color="auto" w:fill="E6E7E7"/>
          </w:tcPr>
          <w:p>
            <w:pPr>
              <w:spacing w:after="0"/>
              <w:rPr>
                <w:sz w:val="8"/>
                <w:szCs w:val="8"/>
                <w:color w:val="auto"/>
              </w:rPr>
            </w:pPr>
          </w:p>
        </w:tc>
        <w:tc>
          <w:tcPr>
            <w:tcW w:w="100" w:type="dxa"/>
            <w:vAlign w:val="bottom"/>
            <w:shd w:val="clear" w:color="auto" w:fill="E6E7E7"/>
          </w:tcPr>
          <w:p>
            <w:pPr>
              <w:spacing w:after="0"/>
              <w:rPr>
                <w:sz w:val="8"/>
                <w:szCs w:val="8"/>
                <w:color w:val="auto"/>
              </w:rPr>
            </w:pPr>
          </w:p>
        </w:tc>
        <w:tc>
          <w:tcPr>
            <w:tcW w:w="34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1720" w:type="dxa"/>
            <w:vAlign w:val="bottom"/>
            <w:vMerge w:val="continue"/>
            <w:shd w:val="clear" w:color="auto" w:fill="E6E7E7"/>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18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8"/>
              </w:rPr>
              <w:t>2/26/2025</w:t>
            </w:r>
          </w:p>
        </w:tc>
        <w:tc>
          <w:tcPr>
            <w:tcW w:w="100" w:type="dxa"/>
            <w:vAlign w:val="bottom"/>
          </w:tcPr>
          <w:p>
            <w:pPr>
              <w:spacing w:after="0"/>
              <w:rPr>
                <w:sz w:val="8"/>
                <w:szCs w:val="8"/>
                <w:color w:val="auto"/>
              </w:rPr>
            </w:pPr>
          </w:p>
        </w:tc>
        <w:tc>
          <w:tcPr>
            <w:tcW w:w="130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rPr>
              <w:t>36,159</w:t>
            </w:r>
          </w:p>
        </w:tc>
        <w:tc>
          <w:tcPr>
            <w:tcW w:w="320" w:type="dxa"/>
            <w:vAlign w:val="bottom"/>
            <w:vMerge w:val="continue"/>
            <w:shd w:val="clear" w:color="auto" w:fill="E6E7E7"/>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8"/>
              </w:rPr>
              <w:t>3,213,450</w:t>
            </w:r>
          </w:p>
        </w:tc>
        <w:tc>
          <w:tcPr>
            <w:tcW w:w="32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E6E7E7"/>
          </w:tcPr>
          <w:p>
            <w:pPr>
              <w:spacing w:after="0"/>
              <w:rPr>
                <w:sz w:val="8"/>
                <w:szCs w:val="8"/>
                <w:color w:val="auto"/>
              </w:rPr>
            </w:pPr>
          </w:p>
        </w:tc>
        <w:tc>
          <w:tcPr>
            <w:tcW w:w="340" w:type="dxa"/>
            <w:vAlign w:val="bottom"/>
            <w:shd w:val="clear" w:color="auto" w:fill="E6E7E7"/>
          </w:tcPr>
          <w:p>
            <w:pPr>
              <w:spacing w:after="0"/>
              <w:rPr>
                <w:sz w:val="8"/>
                <w:szCs w:val="8"/>
                <w:color w:val="auto"/>
              </w:rPr>
            </w:pPr>
          </w:p>
        </w:tc>
        <w:tc>
          <w:tcPr>
            <w:tcW w:w="100" w:type="dxa"/>
            <w:vAlign w:val="bottom"/>
          </w:tcPr>
          <w:p>
            <w:pPr>
              <w:spacing w:after="0"/>
              <w:rPr>
                <w:sz w:val="8"/>
                <w:szCs w:val="8"/>
                <w:color w:val="auto"/>
              </w:rPr>
            </w:pPr>
          </w:p>
        </w:tc>
        <w:tc>
          <w:tcPr>
            <w:tcW w:w="1720" w:type="dxa"/>
            <w:vAlign w:val="bottom"/>
            <w:vMerge w:val="restart"/>
            <w:shd w:val="clear" w:color="auto" w:fill="E6E7E7"/>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14"/>
        </w:trPr>
        <w:tc>
          <w:tcPr>
            <w:tcW w:w="1180" w:type="dxa"/>
            <w:vAlign w:val="bottom"/>
            <w:vMerge w:val="continue"/>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vMerge w:val="continue"/>
            <w:shd w:val="clear" w:color="auto" w:fill="E6E7E7"/>
          </w:tcPr>
          <w:p>
            <w:pPr>
              <w:spacing w:after="0"/>
              <w:rPr>
                <w:sz w:val="9"/>
                <w:szCs w:val="9"/>
                <w:color w:val="auto"/>
              </w:rPr>
            </w:pPr>
          </w:p>
        </w:tc>
        <w:tc>
          <w:tcPr>
            <w:tcW w:w="320" w:type="dxa"/>
            <w:vAlign w:val="bottom"/>
            <w:shd w:val="clear" w:color="auto" w:fill="E6E7E7"/>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vMerge w:val="continue"/>
            <w:shd w:val="clear" w:color="auto" w:fill="E6E7E7"/>
          </w:tcPr>
          <w:p>
            <w:pPr>
              <w:spacing w:after="0"/>
              <w:rPr>
                <w:sz w:val="9"/>
                <w:szCs w:val="9"/>
                <w:color w:val="auto"/>
              </w:rPr>
            </w:pPr>
          </w:p>
        </w:tc>
        <w:tc>
          <w:tcPr>
            <w:tcW w:w="320" w:type="dxa"/>
            <w:vAlign w:val="bottom"/>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vMerge w:val="continue"/>
            <w:shd w:val="clear" w:color="auto" w:fill="E6E7E7"/>
          </w:tcPr>
          <w:p>
            <w:pPr>
              <w:spacing w:after="0"/>
              <w:rPr>
                <w:sz w:val="9"/>
                <w:szCs w:val="9"/>
                <w:color w:val="auto"/>
              </w:rPr>
            </w:pPr>
          </w:p>
        </w:tc>
        <w:tc>
          <w:tcPr>
            <w:tcW w:w="100" w:type="dxa"/>
            <w:vAlign w:val="bottom"/>
            <w:shd w:val="clear" w:color="auto" w:fill="E6E7E7"/>
          </w:tcPr>
          <w:p>
            <w:pPr>
              <w:spacing w:after="0"/>
              <w:rPr>
                <w:sz w:val="9"/>
                <w:szCs w:val="9"/>
                <w:color w:val="auto"/>
              </w:rPr>
            </w:pPr>
          </w:p>
        </w:tc>
        <w:tc>
          <w:tcPr>
            <w:tcW w:w="340" w:type="dxa"/>
            <w:vAlign w:val="bottom"/>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vMerge w:val="continue"/>
            <w:shd w:val="clear" w:color="auto" w:fill="E6E7E7"/>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054" w:space="720"/>
            <w:col w:w="8440"/>
          </w:cols>
          <w:pgMar w:left="326" w:top="1440" w:right="359" w:bottom="1440" w:gutter="0" w:footer="0" w:header="0"/>
        </w:sectPr>
      </w:pPr>
    </w:p>
    <w:p>
      <w:pPr>
        <w:spacing w:after="0" w:line="118" w:lineRule="exact"/>
        <w:rPr>
          <w:sz w:val="20"/>
          <w:szCs w:val="20"/>
          <w:color w:val="auto"/>
        </w:rPr>
      </w:pPr>
    </w:p>
    <w:p>
      <w:pPr>
        <w:ind w:left="314" w:right="380" w:hanging="314"/>
        <w:spacing w:after="0" w:line="276" w:lineRule="auto"/>
        <w:tabs>
          <w:tab w:leader="none" w:pos="304" w:val="left"/>
        </w:tabs>
        <w:numPr>
          <w:ilvl w:val="0"/>
          <w:numId w:val="141"/>
        </w:numPr>
        <w:rPr>
          <w:rFonts w:ascii="Arial" w:cs="Arial" w:eastAsia="Arial" w:hAnsi="Arial"/>
          <w:sz w:val="13"/>
          <w:szCs w:val="13"/>
          <w:color w:val="auto"/>
        </w:rPr>
      </w:pPr>
      <w:r>
        <w:rPr>
          <w:rFonts w:ascii="Arial" w:cs="Arial" w:eastAsia="Arial" w:hAnsi="Arial"/>
          <w:sz w:val="13"/>
          <w:szCs w:val="13"/>
          <w:color w:val="auto"/>
        </w:rPr>
        <w:t>Represents the number of units of the outstanding and unvested portion of RSUs subject solely to service-based vesting conditions, including the number of shares underlying 2023 Performance RSUs, if any, that were earned at the end of the applicable performance period but remained outstanding as of the fiscal year ended December 31, 2025.</w:t>
      </w:r>
    </w:p>
    <w:p>
      <w:pPr>
        <w:ind w:left="314" w:hanging="314"/>
        <w:spacing w:after="0" w:line="286" w:lineRule="auto"/>
        <w:tabs>
          <w:tab w:leader="none" w:pos="304" w:val="left"/>
        </w:tabs>
        <w:numPr>
          <w:ilvl w:val="0"/>
          <w:numId w:val="141"/>
        </w:numPr>
        <w:rPr>
          <w:rFonts w:ascii="Arial" w:cs="Arial" w:eastAsia="Arial" w:hAnsi="Arial"/>
          <w:sz w:val="13"/>
          <w:szCs w:val="13"/>
          <w:color w:val="auto"/>
        </w:rPr>
      </w:pPr>
      <w:r>
        <w:rPr>
          <w:rFonts w:ascii="Arial" w:cs="Arial" w:eastAsia="Arial" w:hAnsi="Arial"/>
          <w:sz w:val="13"/>
          <w:szCs w:val="13"/>
          <w:color w:val="auto"/>
        </w:rPr>
        <w:t>Represents the market value of the outstanding and unvested RSUs, based on the closing market price of our Common Stock ($88.87) as of December 31, 2025 (the last trading day prior to our fiscal year end).</w:t>
      </w:r>
    </w:p>
    <w:p>
      <w:pPr>
        <w:spacing w:after="0" w:line="1" w:lineRule="exact"/>
        <w:rPr>
          <w:rFonts w:ascii="Arial" w:cs="Arial" w:eastAsia="Arial" w:hAnsi="Arial"/>
          <w:sz w:val="13"/>
          <w:szCs w:val="13"/>
          <w:color w:val="auto"/>
        </w:rPr>
      </w:pPr>
    </w:p>
    <w:p>
      <w:pPr>
        <w:ind w:left="314" w:hanging="314"/>
        <w:spacing w:after="0"/>
        <w:tabs>
          <w:tab w:leader="none" w:pos="314" w:val="left"/>
        </w:tabs>
        <w:numPr>
          <w:ilvl w:val="0"/>
          <w:numId w:val="141"/>
        </w:numPr>
        <w:rPr>
          <w:rFonts w:ascii="Arial" w:cs="Arial" w:eastAsia="Arial" w:hAnsi="Arial"/>
          <w:sz w:val="13"/>
          <w:szCs w:val="13"/>
          <w:color w:val="auto"/>
        </w:rPr>
      </w:pPr>
      <w:r>
        <w:rPr>
          <w:rFonts w:ascii="Arial" w:cs="Arial" w:eastAsia="Arial" w:hAnsi="Arial"/>
          <w:sz w:val="13"/>
          <w:szCs w:val="13"/>
          <w:color w:val="auto"/>
        </w:rPr>
        <w:t>Represents outstanding, unvested and unearned Performance RSUs and Transformation RSUs, based on the target number of units granted.</w:t>
      </w:r>
    </w:p>
    <w:p>
      <w:pPr>
        <w:spacing w:after="0" w:line="49" w:lineRule="exact"/>
        <w:rPr>
          <w:rFonts w:ascii="Arial" w:cs="Arial" w:eastAsia="Arial" w:hAnsi="Arial"/>
          <w:sz w:val="13"/>
          <w:szCs w:val="13"/>
          <w:color w:val="auto"/>
        </w:rPr>
      </w:pPr>
    </w:p>
    <w:p>
      <w:pPr>
        <w:ind w:left="314" w:right="20" w:hanging="314"/>
        <w:spacing w:after="0" w:line="276" w:lineRule="auto"/>
        <w:tabs>
          <w:tab w:leader="none" w:pos="304" w:val="left"/>
        </w:tabs>
        <w:numPr>
          <w:ilvl w:val="0"/>
          <w:numId w:val="141"/>
        </w:numPr>
        <w:rPr>
          <w:rFonts w:ascii="Arial" w:cs="Arial" w:eastAsia="Arial" w:hAnsi="Arial"/>
          <w:sz w:val="13"/>
          <w:szCs w:val="13"/>
          <w:color w:val="auto"/>
        </w:rPr>
      </w:pPr>
      <w:r>
        <w:rPr>
          <w:rFonts w:ascii="Arial" w:cs="Arial" w:eastAsia="Arial" w:hAnsi="Arial"/>
          <w:sz w:val="13"/>
          <w:szCs w:val="13"/>
          <w:color w:val="auto"/>
        </w:rPr>
        <w:t>Represents the outstanding and unvested portion of Make-Whole RSUs granted to Mr. Hillabrant in connection with his appointment as President &amp; CEO. Such Make-Whole RSUs vest in three approximately equal installments on each anniversary of the grant date, subject to Mr. Hillabrant's continued employment through each applicable vesting date.</w:t>
      </w:r>
    </w:p>
    <w:p>
      <w:pPr>
        <w:ind w:left="314" w:right="320" w:hanging="314"/>
        <w:spacing w:after="0" w:line="274" w:lineRule="auto"/>
        <w:tabs>
          <w:tab w:leader="none" w:pos="304" w:val="left"/>
        </w:tabs>
        <w:numPr>
          <w:ilvl w:val="0"/>
          <w:numId w:val="141"/>
        </w:numPr>
        <w:rPr>
          <w:rFonts w:ascii="Arial" w:cs="Arial" w:eastAsia="Arial" w:hAnsi="Arial"/>
          <w:sz w:val="13"/>
          <w:szCs w:val="13"/>
          <w:color w:val="auto"/>
        </w:rPr>
      </w:pPr>
      <w:r>
        <w:rPr>
          <w:rFonts w:ascii="Arial" w:cs="Arial" w:eastAsia="Arial" w:hAnsi="Arial"/>
          <w:sz w:val="13"/>
          <w:szCs w:val="13"/>
          <w:color w:val="auto"/>
        </w:rPr>
        <w:t>Represents the outstanding and unvested Time RSU portion of the annual LTIs granted to each of the NEOs. These Time RSUs generally vest in three approximately equal annual installments beginning on February 19 of each year following the year of grant, except that Mr. Hillabrant's 2025 Time RSUs and Mr. Moskowitz's 2024 Time RSUs each vest in three approximately equal annual installments on the anniversary of the applicable grant date.</w:t>
      </w:r>
    </w:p>
    <w:p>
      <w:pPr>
        <w:spacing w:after="0" w:line="4" w:lineRule="exact"/>
        <w:rPr>
          <w:rFonts w:ascii="Arial" w:cs="Arial" w:eastAsia="Arial" w:hAnsi="Arial"/>
          <w:sz w:val="13"/>
          <w:szCs w:val="13"/>
          <w:color w:val="auto"/>
        </w:rPr>
      </w:pPr>
    </w:p>
    <w:p>
      <w:pPr>
        <w:ind w:left="314" w:right="240" w:hanging="314"/>
        <w:spacing w:after="0" w:line="286" w:lineRule="auto"/>
        <w:tabs>
          <w:tab w:leader="none" w:pos="307" w:val="left"/>
        </w:tabs>
        <w:numPr>
          <w:ilvl w:val="0"/>
          <w:numId w:val="141"/>
        </w:numPr>
        <w:rPr>
          <w:rFonts w:ascii="Arial" w:cs="Arial" w:eastAsia="Arial" w:hAnsi="Arial"/>
          <w:sz w:val="13"/>
          <w:szCs w:val="13"/>
          <w:color w:val="auto"/>
        </w:rPr>
      </w:pPr>
      <w:r>
        <w:rPr>
          <w:rFonts w:ascii="Arial" w:cs="Arial" w:eastAsia="Arial" w:hAnsi="Arial"/>
          <w:sz w:val="13"/>
          <w:szCs w:val="13"/>
          <w:color w:val="auto"/>
        </w:rPr>
        <w:t>Represents the outstanding and unvested portion of Make-Whole RSUs granted to Mr. Patel in connection with his appointment as EVP &amp; CFO. Such Make-Whole RSUs vest in three approximately equal installments on April 10 of each of 2026, 2027 and 2028, subject to Mr. Patel's continued employment through each applicable vesting date.</w:t>
      </w:r>
    </w:p>
    <w:p>
      <w:pPr>
        <w:spacing w:after="0" w:line="1" w:lineRule="exact"/>
        <w:rPr>
          <w:rFonts w:ascii="Arial" w:cs="Arial" w:eastAsia="Arial" w:hAnsi="Arial"/>
          <w:sz w:val="13"/>
          <w:szCs w:val="13"/>
          <w:color w:val="auto"/>
        </w:rPr>
      </w:pPr>
    </w:p>
    <w:p>
      <w:pPr>
        <w:ind w:left="314" w:right="140" w:hanging="314"/>
        <w:spacing w:after="0" w:line="276" w:lineRule="auto"/>
        <w:tabs>
          <w:tab w:leader="none" w:pos="304" w:val="left"/>
        </w:tabs>
        <w:numPr>
          <w:ilvl w:val="0"/>
          <w:numId w:val="141"/>
        </w:numPr>
        <w:rPr>
          <w:rFonts w:ascii="Arial" w:cs="Arial" w:eastAsia="Arial" w:hAnsi="Arial"/>
          <w:sz w:val="13"/>
          <w:szCs w:val="13"/>
          <w:color w:val="auto"/>
        </w:rPr>
      </w:pPr>
      <w:r>
        <w:rPr>
          <w:rFonts w:ascii="Arial" w:cs="Arial" w:eastAsia="Arial" w:hAnsi="Arial"/>
          <w:sz w:val="13"/>
          <w:szCs w:val="13"/>
          <w:color w:val="auto"/>
        </w:rPr>
        <w:t>Represents shares underlying the absolute TSR Performance RSUs granted to certain of the NEOs in 2023 that were earned at the end of the three-year performance period. Since the performance level for such units was below the threshold, all absolute TSR Performance RSUs granted in 2023 were forfeited on February 19, 2026.</w:t>
      </w:r>
    </w:p>
    <w:p>
      <w:pPr>
        <w:ind w:left="314" w:right="220" w:hanging="314"/>
        <w:spacing w:after="0" w:line="286" w:lineRule="auto"/>
        <w:tabs>
          <w:tab w:leader="none" w:pos="304" w:val="left"/>
        </w:tabs>
        <w:numPr>
          <w:ilvl w:val="0"/>
          <w:numId w:val="141"/>
        </w:numPr>
        <w:rPr>
          <w:rFonts w:ascii="Arial" w:cs="Arial" w:eastAsia="Arial" w:hAnsi="Arial"/>
          <w:sz w:val="13"/>
          <w:szCs w:val="13"/>
          <w:color w:val="auto"/>
        </w:rPr>
      </w:pPr>
      <w:r>
        <w:rPr>
          <w:rFonts w:ascii="Arial" w:cs="Arial" w:eastAsia="Arial" w:hAnsi="Arial"/>
          <w:sz w:val="13"/>
          <w:szCs w:val="13"/>
          <w:color w:val="auto"/>
        </w:rPr>
        <w:t>Represents shares underlying the relative TSR Performance RSUs granted to certain of the NEOs in 2023 that were earned at the end of the three-year performance period. Since the performance level for such units was below the threshold, all relative TSR Performance RSUs granted in 2023 were forfeited on February 19, 2026.</w:t>
      </w:r>
    </w:p>
    <w:p>
      <w:pPr>
        <w:spacing w:after="0" w:line="1" w:lineRule="exact"/>
        <w:rPr>
          <w:rFonts w:ascii="Arial" w:cs="Arial" w:eastAsia="Arial" w:hAnsi="Arial"/>
          <w:sz w:val="13"/>
          <w:szCs w:val="13"/>
          <w:color w:val="auto"/>
        </w:rPr>
      </w:pPr>
    </w:p>
    <w:p>
      <w:pPr>
        <w:ind w:left="314" w:right="240" w:hanging="314"/>
        <w:spacing w:after="0" w:line="286" w:lineRule="auto"/>
        <w:tabs>
          <w:tab w:leader="none" w:pos="312" w:val="left"/>
        </w:tabs>
        <w:numPr>
          <w:ilvl w:val="0"/>
          <w:numId w:val="141"/>
        </w:numPr>
        <w:rPr>
          <w:rFonts w:ascii="Arial" w:cs="Arial" w:eastAsia="Arial" w:hAnsi="Arial"/>
          <w:sz w:val="13"/>
          <w:szCs w:val="13"/>
          <w:color w:val="auto"/>
        </w:rPr>
      </w:pPr>
      <w:r>
        <w:rPr>
          <w:rFonts w:ascii="Arial" w:cs="Arial" w:eastAsia="Arial" w:hAnsi="Arial"/>
          <w:sz w:val="13"/>
          <w:szCs w:val="13"/>
          <w:color w:val="auto"/>
        </w:rPr>
        <w:t>Represents the outstanding and unvested portion of Promotion RSUs granted to Mr. Schlanger in connection with his appointment as Interim President &amp; CEO. Such Promotion RSUs vest on the first anniversary of the grant date, subject to Mr. Schlanger's continued employment through the vesting date.</w:t>
      </w:r>
    </w:p>
    <w:p>
      <w:pPr>
        <w:spacing w:after="0" w:line="1" w:lineRule="exact"/>
        <w:rPr>
          <w:rFonts w:ascii="Arial" w:cs="Arial" w:eastAsia="Arial" w:hAnsi="Arial"/>
          <w:sz w:val="13"/>
          <w:szCs w:val="13"/>
          <w:color w:val="auto"/>
        </w:rPr>
      </w:pPr>
    </w:p>
    <w:p>
      <w:pPr>
        <w:ind w:left="314" w:right="20" w:hanging="314"/>
        <w:spacing w:after="0" w:line="293" w:lineRule="auto"/>
        <w:tabs>
          <w:tab w:leader="none" w:pos="312" w:val="left"/>
        </w:tabs>
        <w:numPr>
          <w:ilvl w:val="0"/>
          <w:numId w:val="141"/>
        </w:numPr>
        <w:rPr>
          <w:rFonts w:ascii="Arial" w:cs="Arial" w:eastAsia="Arial" w:hAnsi="Arial"/>
          <w:sz w:val="13"/>
          <w:szCs w:val="13"/>
          <w:color w:val="auto"/>
        </w:rPr>
      </w:pPr>
      <w:r>
        <w:rPr>
          <w:rFonts w:ascii="Arial" w:cs="Arial" w:eastAsia="Arial" w:hAnsi="Arial"/>
          <w:sz w:val="13"/>
          <w:szCs w:val="13"/>
          <w:color w:val="auto"/>
        </w:rPr>
        <w:t>Represents the outstanding and unvested portion of Time RSUs granted to Mr. Adams in 2023 in connection with his promotion to EVP &amp; General Counsel. Such Time RSUs vest in three approximately equal annual installments beginning on February 10 of each year following the year of grant.</w:t>
      </w:r>
    </w:p>
    <w:p>
      <w:pPr>
        <w:spacing w:after="0" w:line="323" w:lineRule="exact"/>
        <w:rPr>
          <w:sz w:val="20"/>
          <w:szCs w:val="20"/>
          <w:color w:val="auto"/>
        </w:rPr>
      </w:pPr>
    </w:p>
    <w:p>
      <w:pPr>
        <w:ind w:left="3854"/>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99" w:lineRule="exact"/>
        <w:rPr>
          <w:sz w:val="20"/>
          <w:szCs w:val="20"/>
          <w:color w:val="auto"/>
        </w:rPr>
      </w:pPr>
    </w:p>
    <w:p>
      <w:pPr>
        <w:jc w:val="center"/>
        <w:ind w:right="-13"/>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7160260" cy="4191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14"/>
          </w:cols>
          <w:pgMar w:left="326" w:top="1440" w:right="359" w:bottom="1440" w:gutter="0" w:footer="0" w:header="0"/>
          <w:type w:val="continuous"/>
        </w:sectPr>
      </w:pPr>
    </w:p>
    <w:bookmarkStart w:id="67" w:name="page68"/>
    <w:bookmarkEnd w:id="67"/>
    <w:p>
      <w:pPr>
        <w:ind w:left="314" w:hanging="314"/>
        <w:spacing w:after="0" w:line="276" w:lineRule="auto"/>
        <w:tabs>
          <w:tab w:leader="none" w:pos="310" w:val="left"/>
        </w:tabs>
        <w:numPr>
          <w:ilvl w:val="0"/>
          <w:numId w:val="142"/>
        </w:numPr>
        <w:rPr>
          <w:rFonts w:ascii="Arial" w:cs="Arial" w:eastAsia="Arial" w:hAnsi="Arial"/>
          <w:sz w:val="13"/>
          <w:szCs w:val="13"/>
          <w:color w:val="auto"/>
        </w:rPr>
      </w:pPr>
      <w:r>
        <w:rPr>
          <w:rFonts w:ascii="Arial" w:cs="Arial" w:eastAsia="Arial" w:hAnsi="Arial"/>
          <w:sz w:val="13"/>
          <w:szCs w:val="13"/>
          <w:color w:val="auto"/>
        </w:rPr>
        <w:t>Represents the outstanding and unvested portion of Time RSUs granted to Ms. Piche in connection with her appointment as EVP &amp; COO–Towers. Such Time RSUs vested 50% each on November 10, 2025, and will vest as to the remaining 50% on November 10, 2026, subject to Ms. Piche's continued employment through the vesting date.</w:t>
      </w:r>
    </w:p>
    <w:p>
      <w:pPr>
        <w:ind w:left="314" w:right="40" w:hanging="314"/>
        <w:spacing w:after="0" w:line="286" w:lineRule="auto"/>
        <w:tabs>
          <w:tab w:leader="none" w:pos="312" w:val="left"/>
        </w:tabs>
        <w:numPr>
          <w:ilvl w:val="0"/>
          <w:numId w:val="142"/>
        </w:numPr>
        <w:rPr>
          <w:rFonts w:ascii="Arial" w:cs="Arial" w:eastAsia="Arial" w:hAnsi="Arial"/>
          <w:sz w:val="13"/>
          <w:szCs w:val="13"/>
          <w:color w:val="auto"/>
        </w:rPr>
      </w:pPr>
      <w:r>
        <w:rPr>
          <w:rFonts w:ascii="Arial" w:cs="Arial" w:eastAsia="Arial" w:hAnsi="Arial"/>
          <w:sz w:val="13"/>
          <w:szCs w:val="13"/>
          <w:color w:val="auto"/>
        </w:rPr>
        <w:t>Represents the outstanding and unvested portion of New Hire RSUs granted to Mr. Moskowitz in connection with his commencement of employment. Such New Hire RSUs vest 50% on April 11 of each of 2025 and 2026, subject to Mr. Moskowitz's continued employment through each applicable vesting date.</w:t>
      </w:r>
    </w:p>
    <w:p>
      <w:pPr>
        <w:spacing w:after="0" w:line="1" w:lineRule="exact"/>
        <w:rPr>
          <w:rFonts w:ascii="Arial" w:cs="Arial" w:eastAsia="Arial" w:hAnsi="Arial"/>
          <w:sz w:val="13"/>
          <w:szCs w:val="13"/>
          <w:color w:val="auto"/>
        </w:rPr>
      </w:pPr>
    </w:p>
    <w:p>
      <w:pPr>
        <w:ind w:left="314" w:hanging="314"/>
        <w:spacing w:after="0"/>
        <w:tabs>
          <w:tab w:leader="none" w:pos="314" w:val="left"/>
        </w:tabs>
        <w:numPr>
          <w:ilvl w:val="0"/>
          <w:numId w:val="142"/>
        </w:numPr>
        <w:rPr>
          <w:rFonts w:ascii="Arial" w:cs="Arial" w:eastAsia="Arial" w:hAnsi="Arial"/>
          <w:sz w:val="13"/>
          <w:szCs w:val="13"/>
          <w:color w:val="auto"/>
        </w:rPr>
      </w:pPr>
      <w:r>
        <w:rPr>
          <w:rFonts w:ascii="Arial" w:cs="Arial" w:eastAsia="Arial" w:hAnsi="Arial"/>
          <w:sz w:val="13"/>
          <w:szCs w:val="13"/>
          <w:color w:val="auto"/>
        </w:rPr>
        <w:t>Represents the outstanding and unvested portion of the Average ROIC Performance RSUs granted to certain NEOs in 2025 and 2024.</w:t>
      </w:r>
    </w:p>
    <w:p>
      <w:pPr>
        <w:spacing w:after="0" w:line="49" w:lineRule="exact"/>
        <w:rPr>
          <w:rFonts w:ascii="Arial" w:cs="Arial" w:eastAsia="Arial" w:hAnsi="Arial"/>
          <w:sz w:val="13"/>
          <w:szCs w:val="13"/>
          <w:color w:val="auto"/>
        </w:rPr>
      </w:pPr>
    </w:p>
    <w:p>
      <w:pPr>
        <w:ind w:left="314" w:hanging="314"/>
        <w:spacing w:after="0"/>
        <w:tabs>
          <w:tab w:leader="none" w:pos="314" w:val="left"/>
        </w:tabs>
        <w:numPr>
          <w:ilvl w:val="0"/>
          <w:numId w:val="142"/>
        </w:numPr>
        <w:rPr>
          <w:rFonts w:ascii="Arial" w:cs="Arial" w:eastAsia="Arial" w:hAnsi="Arial"/>
          <w:sz w:val="13"/>
          <w:szCs w:val="13"/>
          <w:color w:val="auto"/>
        </w:rPr>
      </w:pPr>
      <w:r>
        <w:rPr>
          <w:rFonts w:ascii="Arial" w:cs="Arial" w:eastAsia="Arial" w:hAnsi="Arial"/>
          <w:sz w:val="13"/>
          <w:szCs w:val="13"/>
          <w:color w:val="auto"/>
        </w:rPr>
        <w:t>Represents the outstanding and unvested portion of the Cumulative AFFO Performance RSUs granted to certain NEOs in 2025.</w:t>
      </w:r>
    </w:p>
    <w:p>
      <w:pPr>
        <w:spacing w:after="0" w:line="35" w:lineRule="exact"/>
        <w:rPr>
          <w:rFonts w:ascii="Arial" w:cs="Arial" w:eastAsia="Arial" w:hAnsi="Arial"/>
          <w:sz w:val="13"/>
          <w:szCs w:val="13"/>
          <w:color w:val="auto"/>
        </w:rPr>
      </w:pPr>
    </w:p>
    <w:p>
      <w:pPr>
        <w:ind w:left="314" w:hanging="314"/>
        <w:spacing w:after="0"/>
        <w:tabs>
          <w:tab w:leader="none" w:pos="314" w:val="left"/>
        </w:tabs>
        <w:numPr>
          <w:ilvl w:val="0"/>
          <w:numId w:val="142"/>
        </w:numPr>
        <w:rPr>
          <w:rFonts w:ascii="Arial" w:cs="Arial" w:eastAsia="Arial" w:hAnsi="Arial"/>
          <w:sz w:val="13"/>
          <w:szCs w:val="13"/>
          <w:color w:val="auto"/>
        </w:rPr>
      </w:pPr>
      <w:r>
        <w:rPr>
          <w:rFonts w:ascii="Arial" w:cs="Arial" w:eastAsia="Arial" w:hAnsi="Arial"/>
          <w:sz w:val="13"/>
          <w:szCs w:val="13"/>
          <w:color w:val="auto"/>
        </w:rPr>
        <w:t>Represents the outstanding and unvested portion of the relative TSR Performance RSUs granted to certain NEOs in 2024.</w:t>
      </w:r>
    </w:p>
    <w:p>
      <w:pPr>
        <w:spacing w:after="0" w:line="49" w:lineRule="exact"/>
        <w:rPr>
          <w:rFonts w:ascii="Arial" w:cs="Arial" w:eastAsia="Arial" w:hAnsi="Arial"/>
          <w:sz w:val="13"/>
          <w:szCs w:val="13"/>
          <w:color w:val="auto"/>
        </w:rPr>
      </w:pPr>
    </w:p>
    <w:p>
      <w:pPr>
        <w:jc w:val="both"/>
        <w:ind w:left="314" w:right="60" w:hanging="314"/>
        <w:spacing w:after="0" w:line="274" w:lineRule="auto"/>
        <w:tabs>
          <w:tab w:leader="none" w:pos="304" w:val="left"/>
        </w:tabs>
        <w:numPr>
          <w:ilvl w:val="0"/>
          <w:numId w:val="142"/>
        </w:numPr>
        <w:rPr>
          <w:rFonts w:ascii="Arial" w:cs="Arial" w:eastAsia="Arial" w:hAnsi="Arial"/>
          <w:sz w:val="13"/>
          <w:szCs w:val="13"/>
          <w:color w:val="auto"/>
        </w:rPr>
      </w:pPr>
      <w:r>
        <w:rPr>
          <w:rFonts w:ascii="Arial" w:cs="Arial" w:eastAsia="Arial" w:hAnsi="Arial"/>
          <w:sz w:val="13"/>
          <w:szCs w:val="13"/>
          <w:color w:val="auto"/>
        </w:rPr>
        <w:t>Represents Transformation RSUs, the vesting of which is contingent on the successful closing of the Strategic Fiber Transactions. For Mr. Schlanger, 50% of such Transformation RSUs vest upon closing of the Strategic Fiber Transaction and the remaining 50% vest on the six-month anniversary of such closing, subject to Mr. Schlanger’s continued employment through each applicable vesting date. Transformation RSUs granted to other NEOs vest in full upon closing of the Strategic Fiber Transaction.</w:t>
      </w:r>
    </w:p>
    <w:p>
      <w:pPr>
        <w:spacing w:after="0" w:line="4" w:lineRule="exact"/>
        <w:rPr>
          <w:rFonts w:ascii="Arial" w:cs="Arial" w:eastAsia="Arial" w:hAnsi="Arial"/>
          <w:sz w:val="13"/>
          <w:szCs w:val="13"/>
          <w:color w:val="auto"/>
        </w:rPr>
      </w:pPr>
    </w:p>
    <w:p>
      <w:pPr>
        <w:ind w:left="314" w:right="200" w:hanging="314"/>
        <w:spacing w:after="0" w:line="274" w:lineRule="auto"/>
        <w:tabs>
          <w:tab w:leader="none" w:pos="304" w:val="left"/>
        </w:tabs>
        <w:numPr>
          <w:ilvl w:val="0"/>
          <w:numId w:val="142"/>
        </w:numPr>
        <w:rPr>
          <w:rFonts w:ascii="Arial" w:cs="Arial" w:eastAsia="Arial" w:hAnsi="Arial"/>
          <w:sz w:val="13"/>
          <w:szCs w:val="13"/>
          <w:color w:val="auto"/>
        </w:rPr>
      </w:pPr>
      <w:r>
        <w:rPr>
          <w:rFonts w:ascii="Arial" w:cs="Arial" w:eastAsia="Arial" w:hAnsi="Arial"/>
          <w:sz w:val="13"/>
          <w:szCs w:val="13"/>
          <w:color w:val="auto"/>
        </w:rPr>
        <w:t>Mr. Moskowitz's employment was terminated without Cause effective March 23, 2025, which constituted a Qualifying Termination as defined in his severance agreement. As such, the New Hire RSUs granted to him on April 11, 2024, will continue to vest through the vesting term, while all other RSUs have the opportunity for continued vesting for two years after termination, with the continued vesting of Performance RSUs to remain subject to the satisfaction of the applicable performance criteria.</w:t>
      </w:r>
    </w:p>
    <w:p>
      <w:pPr>
        <w:spacing w:after="0" w:line="334" w:lineRule="exact"/>
        <w:rPr>
          <w:sz w:val="20"/>
          <w:szCs w:val="20"/>
          <w:color w:val="auto"/>
        </w:rPr>
      </w:pPr>
    </w:p>
    <w:p>
      <w:pPr>
        <w:ind w:left="3854"/>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99" w:lineRule="exact"/>
        <w:rPr>
          <w:sz w:val="20"/>
          <w:szCs w:val="20"/>
          <w:color w:val="auto"/>
        </w:rPr>
      </w:pPr>
    </w:p>
    <w:p>
      <w:pPr>
        <w:jc w:val="center"/>
        <w:ind w:right="-93"/>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7160260" cy="4191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54"/>
          </w:cols>
          <w:pgMar w:left="326" w:top="1278" w:right="41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Option Exercises and Stock Vested in 2025</w:t>
      </w:r>
    </w:p>
    <w:p>
      <w:pPr>
        <w:spacing w:after="0" w:line="166"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The following table provides the amount realized during 2025 by each NEO upon the vesting of RSUs. No options were exercised by any of the NEOs in 2025, and as of December 31, 2025, and the Record Date, none of the NEOs held any outstanding stock options.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1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60" w:type="dxa"/>
            <w:vAlign w:val="bottom"/>
            <w:tcBorders>
              <w:bottom w:val="single" w:sz="8" w:color="520B90"/>
            </w:tcBorders>
            <w:gridSpan w:val="2"/>
          </w:tcPr>
          <w:p>
            <w:pPr>
              <w:ind w:left="1860"/>
              <w:spacing w:after="0"/>
              <w:rPr>
                <w:sz w:val="20"/>
                <w:szCs w:val="20"/>
                <w:color w:val="auto"/>
              </w:rPr>
            </w:pPr>
            <w:r>
              <w:rPr>
                <w:rFonts w:ascii="Arial" w:cs="Arial" w:eastAsia="Arial" w:hAnsi="Arial"/>
                <w:sz w:val="13"/>
                <w:szCs w:val="13"/>
                <w:b w:val="1"/>
                <w:bCs w:val="1"/>
                <w:color w:val="520B90"/>
              </w:rPr>
              <w:t>Stock Awards</w:t>
            </w:r>
          </w:p>
        </w:tc>
        <w:tc>
          <w:tcPr>
            <w:tcW w:w="1820" w:type="dxa"/>
            <w:vAlign w:val="bottom"/>
            <w:tcBorders>
              <w:bottom w:val="single" w:sz="8" w:color="520B90"/>
            </w:tcBorders>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1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Borders>
              <w:bottom w:val="single" w:sz="8" w:color="520B90"/>
            </w:tcBorders>
            <w:gridSpan w:val="2"/>
          </w:tcPr>
          <w:p>
            <w:pPr>
              <w:spacing w:after="0" w:line="20" w:lineRule="exact"/>
              <w:rPr>
                <w:sz w:val="1"/>
                <w:szCs w:val="1"/>
                <w:color w:val="auto"/>
              </w:rPr>
            </w:pPr>
          </w:p>
        </w:tc>
        <w:tc>
          <w:tcPr>
            <w:tcW w:w="1820" w:type="dxa"/>
            <w:vAlign w:val="bottom"/>
            <w:tcBorders>
              <w:bottom w:val="single" w:sz="8" w:color="520B9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6"/>
        </w:trPr>
        <w:tc>
          <w:tcPr>
            <w:tcW w:w="112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760" w:type="dxa"/>
            <w:vAlign w:val="bottom"/>
            <w:gridSpan w:val="2"/>
          </w:tcPr>
          <w:p>
            <w:pPr>
              <w:jc w:val="center"/>
              <w:ind w:right="120"/>
              <w:spacing w:after="0" w:line="126" w:lineRule="exact"/>
              <w:rPr>
                <w:sz w:val="20"/>
                <w:szCs w:val="20"/>
                <w:color w:val="auto"/>
              </w:rPr>
            </w:pPr>
            <w:r>
              <w:rPr>
                <w:rFonts w:ascii="Arial" w:cs="Arial" w:eastAsia="Arial" w:hAnsi="Arial"/>
                <w:sz w:val="13"/>
                <w:szCs w:val="13"/>
                <w:b w:val="1"/>
                <w:bCs w:val="1"/>
                <w:color w:val="520B90"/>
              </w:rPr>
              <w:t>Number of Shares Acquired</w:t>
            </w:r>
          </w:p>
        </w:tc>
        <w:tc>
          <w:tcPr>
            <w:tcW w:w="1820" w:type="dxa"/>
            <w:vAlign w:val="bottom"/>
          </w:tcPr>
          <w:p>
            <w:pPr>
              <w:jc w:val="center"/>
              <w:spacing w:after="0" w:line="126" w:lineRule="exact"/>
              <w:rPr>
                <w:sz w:val="20"/>
                <w:szCs w:val="20"/>
                <w:color w:val="auto"/>
              </w:rPr>
            </w:pPr>
            <w:r>
              <w:rPr>
                <w:rFonts w:ascii="Arial" w:cs="Arial" w:eastAsia="Arial" w:hAnsi="Arial"/>
                <w:sz w:val="13"/>
                <w:szCs w:val="13"/>
                <w:b w:val="1"/>
                <w:bCs w:val="1"/>
                <w:color w:val="520B90"/>
              </w:rPr>
              <w:t>Value Realized</w:t>
            </w:r>
          </w:p>
        </w:tc>
        <w:tc>
          <w:tcPr>
            <w:tcW w:w="0" w:type="dxa"/>
            <w:vAlign w:val="bottom"/>
          </w:tcPr>
          <w:p>
            <w:pPr>
              <w:spacing w:after="0"/>
              <w:rPr>
                <w:sz w:val="1"/>
                <w:szCs w:val="1"/>
                <w:color w:val="auto"/>
              </w:rPr>
            </w:pPr>
          </w:p>
        </w:tc>
      </w:tr>
      <w:tr>
        <w:trPr>
          <w:trHeight w:val="132"/>
        </w:trPr>
        <w:tc>
          <w:tcPr>
            <w:tcW w:w="63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520B90"/>
              </w:rPr>
              <w:t>Name</w:t>
            </w:r>
          </w:p>
        </w:tc>
        <w:tc>
          <w:tcPr>
            <w:tcW w:w="80" w:type="dxa"/>
            <w:vAlign w:val="bottom"/>
          </w:tcPr>
          <w:p>
            <w:pPr>
              <w:spacing w:after="0"/>
              <w:rPr>
                <w:sz w:val="11"/>
                <w:szCs w:val="11"/>
                <w:color w:val="auto"/>
              </w:rPr>
            </w:pPr>
          </w:p>
        </w:tc>
        <w:tc>
          <w:tcPr>
            <w:tcW w:w="2760" w:type="dxa"/>
            <w:vAlign w:val="bottom"/>
            <w:gridSpan w:val="2"/>
          </w:tcPr>
          <w:p>
            <w:pPr>
              <w:jc w:val="center"/>
              <w:ind w:right="100"/>
              <w:spacing w:after="0" w:line="133" w:lineRule="exact"/>
              <w:rPr>
                <w:sz w:val="20"/>
                <w:szCs w:val="20"/>
                <w:color w:val="auto"/>
              </w:rPr>
            </w:pPr>
            <w:r>
              <w:rPr>
                <w:rFonts w:ascii="Arial" w:cs="Arial" w:eastAsia="Arial" w:hAnsi="Arial"/>
                <w:sz w:val="13"/>
                <w:szCs w:val="13"/>
                <w:b w:val="1"/>
                <w:bCs w:val="1"/>
                <w:color w:val="520B90"/>
                <w:w w:val="99"/>
              </w:rPr>
              <w:t>on Vesting</w:t>
            </w:r>
          </w:p>
        </w:tc>
        <w:tc>
          <w:tcPr>
            <w:tcW w:w="1820" w:type="dxa"/>
            <w:vAlign w:val="bottom"/>
          </w:tcPr>
          <w:p>
            <w:pPr>
              <w:jc w:val="center"/>
              <w:spacing w:after="0" w:line="133" w:lineRule="exact"/>
              <w:rPr>
                <w:sz w:val="20"/>
                <w:szCs w:val="20"/>
                <w:color w:val="auto"/>
              </w:rPr>
            </w:pPr>
            <w:r>
              <w:rPr>
                <w:rFonts w:ascii="Arial" w:cs="Arial" w:eastAsia="Arial" w:hAnsi="Arial"/>
                <w:sz w:val="13"/>
                <w:szCs w:val="13"/>
                <w:b w:val="1"/>
                <w:bCs w:val="1"/>
                <w:color w:val="520B90"/>
                <w:w w:val="99"/>
              </w:rPr>
              <w:t>on Vesting</w:t>
            </w:r>
          </w:p>
        </w:tc>
        <w:tc>
          <w:tcPr>
            <w:tcW w:w="0" w:type="dxa"/>
            <w:vAlign w:val="bottom"/>
          </w:tcPr>
          <w:p>
            <w:pPr>
              <w:spacing w:after="0"/>
              <w:rPr>
                <w:sz w:val="1"/>
                <w:szCs w:val="1"/>
                <w:color w:val="auto"/>
              </w:rPr>
            </w:pPr>
          </w:p>
        </w:tc>
      </w:tr>
      <w:tr>
        <w:trPr>
          <w:trHeight w:val="182"/>
        </w:trPr>
        <w:tc>
          <w:tcPr>
            <w:tcW w:w="63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520B90"/>
              </w:rPr>
              <w:t>(#)(a)</w:t>
            </w:r>
          </w:p>
        </w:tc>
        <w:tc>
          <w:tcPr>
            <w:tcW w:w="1820" w:type="dxa"/>
            <w:vAlign w:val="bottom"/>
          </w:tcPr>
          <w:p>
            <w:pPr>
              <w:jc w:val="center"/>
              <w:spacing w:after="0"/>
              <w:rPr>
                <w:sz w:val="20"/>
                <w:szCs w:val="20"/>
                <w:color w:val="auto"/>
              </w:rPr>
            </w:pPr>
            <w:r>
              <w:rPr>
                <w:rFonts w:ascii="Arial" w:cs="Arial" w:eastAsia="Arial" w:hAnsi="Arial"/>
                <w:sz w:val="13"/>
                <w:szCs w:val="13"/>
                <w:b w:val="1"/>
                <w:bCs w:val="1"/>
                <w:color w:val="520B90"/>
              </w:rPr>
              <w:t>($)(b)</w:t>
            </w:r>
          </w:p>
        </w:tc>
        <w:tc>
          <w:tcPr>
            <w:tcW w:w="0" w:type="dxa"/>
            <w:vAlign w:val="bottom"/>
          </w:tcPr>
          <w:p>
            <w:pPr>
              <w:spacing w:after="0"/>
              <w:rPr>
                <w:sz w:val="1"/>
                <w:szCs w:val="1"/>
                <w:color w:val="auto"/>
              </w:rPr>
            </w:pPr>
          </w:p>
        </w:tc>
      </w:tr>
      <w:tr>
        <w:trPr>
          <w:trHeight w:val="207"/>
        </w:trPr>
        <w:tc>
          <w:tcPr>
            <w:tcW w:w="6340" w:type="dxa"/>
            <w:vAlign w:val="bottom"/>
            <w:tcBorders>
              <w:top w:val="single" w:sz="8" w:color="520B90"/>
            </w:tcBorders>
            <w:gridSpan w:val="2"/>
            <w:shd w:val="clear" w:color="auto" w:fill="E6E7E7"/>
          </w:tcPr>
          <w:p>
            <w:pPr>
              <w:ind w:left="20"/>
              <w:spacing w:after="0"/>
              <w:rPr>
                <w:sz w:val="20"/>
                <w:szCs w:val="20"/>
                <w:color w:val="auto"/>
              </w:rPr>
            </w:pPr>
            <w:r>
              <w:rPr>
                <w:rFonts w:ascii="Arial" w:cs="Arial" w:eastAsia="Arial" w:hAnsi="Arial"/>
                <w:sz w:val="16"/>
                <w:szCs w:val="16"/>
                <w:b w:val="1"/>
                <w:bCs w:val="1"/>
                <w:color w:val="520B90"/>
              </w:rPr>
              <w:t>Christian H. Hillabrant</w:t>
            </w:r>
          </w:p>
        </w:tc>
        <w:tc>
          <w:tcPr>
            <w:tcW w:w="80" w:type="dxa"/>
            <w:vAlign w:val="bottom"/>
          </w:tcPr>
          <w:p>
            <w:pPr>
              <w:spacing w:after="0"/>
              <w:rPr>
                <w:sz w:val="18"/>
                <w:szCs w:val="18"/>
                <w:color w:val="auto"/>
              </w:rPr>
            </w:pPr>
          </w:p>
        </w:tc>
        <w:tc>
          <w:tcPr>
            <w:tcW w:w="2660" w:type="dxa"/>
            <w:vAlign w:val="bottom"/>
            <w:tcBorders>
              <w:top w:val="single" w:sz="8" w:color="520B90"/>
            </w:tcBorders>
            <w:shd w:val="clear" w:color="auto" w:fill="E6E7E7"/>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1820" w:type="dxa"/>
            <w:vAlign w:val="bottom"/>
            <w:tcBorders>
              <w:top w:val="single" w:sz="8" w:color="520B90"/>
            </w:tcBorders>
            <w:shd w:val="clear" w:color="auto" w:fill="E6E7E7"/>
          </w:tcPr>
          <w:p>
            <w:pPr>
              <w:jc w:val="center"/>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2"/>
        </w:trPr>
        <w:tc>
          <w:tcPr>
            <w:tcW w:w="6340" w:type="dxa"/>
            <w:vAlign w:val="bottom"/>
            <w:gridSpan w:val="2"/>
          </w:tcPr>
          <w:p>
            <w:pPr>
              <w:ind w:left="20"/>
              <w:spacing w:after="0"/>
              <w:rPr>
                <w:sz w:val="20"/>
                <w:szCs w:val="20"/>
                <w:color w:val="auto"/>
              </w:rPr>
            </w:pPr>
            <w:r>
              <w:rPr>
                <w:rFonts w:ascii="Arial" w:cs="Arial" w:eastAsia="Arial" w:hAnsi="Arial"/>
                <w:sz w:val="16"/>
                <w:szCs w:val="16"/>
                <w:b w:val="1"/>
                <w:bCs w:val="1"/>
                <w:color w:val="520B90"/>
              </w:rPr>
              <w:t>Sunit S. Patel</w:t>
            </w:r>
          </w:p>
        </w:tc>
        <w:tc>
          <w:tcPr>
            <w:tcW w:w="80" w:type="dxa"/>
            <w:vAlign w:val="bottom"/>
          </w:tcPr>
          <w:p>
            <w:pPr>
              <w:spacing w:after="0"/>
              <w:rPr>
                <w:sz w:val="18"/>
                <w:szCs w:val="18"/>
                <w:color w:val="auto"/>
              </w:rPr>
            </w:pPr>
          </w:p>
        </w:tc>
        <w:tc>
          <w:tcPr>
            <w:tcW w:w="26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2"/>
        </w:trPr>
        <w:tc>
          <w:tcPr>
            <w:tcW w:w="6340" w:type="dxa"/>
            <w:vAlign w:val="bottom"/>
            <w:gridSpan w:val="2"/>
            <w:shd w:val="clear" w:color="auto" w:fill="E6E7E7"/>
          </w:tcPr>
          <w:p>
            <w:pPr>
              <w:ind w:left="20"/>
              <w:spacing w:after="0"/>
              <w:rPr>
                <w:sz w:val="20"/>
                <w:szCs w:val="20"/>
                <w:color w:val="auto"/>
              </w:rPr>
            </w:pPr>
            <w:r>
              <w:rPr>
                <w:rFonts w:ascii="Arial" w:cs="Arial" w:eastAsia="Arial" w:hAnsi="Arial"/>
                <w:sz w:val="16"/>
                <w:szCs w:val="16"/>
                <w:b w:val="1"/>
                <w:bCs w:val="1"/>
                <w:color w:val="520B90"/>
              </w:rPr>
              <w:t>Daniel K. Schlanger</w:t>
            </w:r>
          </w:p>
        </w:tc>
        <w:tc>
          <w:tcPr>
            <w:tcW w:w="80" w:type="dxa"/>
            <w:vAlign w:val="bottom"/>
          </w:tcPr>
          <w:p>
            <w:pPr>
              <w:spacing w:after="0"/>
              <w:rPr>
                <w:sz w:val="18"/>
                <w:szCs w:val="18"/>
                <w:color w:val="auto"/>
              </w:rPr>
            </w:pPr>
          </w:p>
        </w:tc>
        <w:tc>
          <w:tcPr>
            <w:tcW w:w="266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8"/>
              </w:rPr>
              <w:t>11,130</w:t>
            </w:r>
          </w:p>
        </w:tc>
        <w:tc>
          <w:tcPr>
            <w:tcW w:w="100" w:type="dxa"/>
            <w:vAlign w:val="bottom"/>
          </w:tcPr>
          <w:p>
            <w:pPr>
              <w:spacing w:after="0"/>
              <w:rPr>
                <w:sz w:val="18"/>
                <w:szCs w:val="18"/>
                <w:color w:val="auto"/>
              </w:rPr>
            </w:pPr>
          </w:p>
        </w:tc>
        <w:tc>
          <w:tcPr>
            <w:tcW w:w="182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994,020</w:t>
            </w:r>
          </w:p>
        </w:tc>
        <w:tc>
          <w:tcPr>
            <w:tcW w:w="0" w:type="dxa"/>
            <w:vAlign w:val="bottom"/>
          </w:tcPr>
          <w:p>
            <w:pPr>
              <w:spacing w:after="0"/>
              <w:rPr>
                <w:sz w:val="1"/>
                <w:szCs w:val="1"/>
                <w:color w:val="auto"/>
              </w:rPr>
            </w:pPr>
          </w:p>
        </w:tc>
      </w:tr>
      <w:tr>
        <w:trPr>
          <w:trHeight w:val="212"/>
        </w:trPr>
        <w:tc>
          <w:tcPr>
            <w:tcW w:w="6340" w:type="dxa"/>
            <w:vAlign w:val="bottom"/>
            <w:gridSpan w:val="2"/>
          </w:tcPr>
          <w:p>
            <w:pPr>
              <w:ind w:left="20"/>
              <w:spacing w:after="0"/>
              <w:rPr>
                <w:sz w:val="20"/>
                <w:szCs w:val="20"/>
                <w:color w:val="auto"/>
              </w:rPr>
            </w:pPr>
            <w:r>
              <w:rPr>
                <w:rFonts w:ascii="Arial" w:cs="Arial" w:eastAsia="Arial" w:hAnsi="Arial"/>
                <w:sz w:val="16"/>
                <w:szCs w:val="16"/>
                <w:b w:val="1"/>
                <w:bCs w:val="1"/>
                <w:color w:val="520B90"/>
              </w:rPr>
              <w:t>Christopher D. Levendos</w:t>
            </w:r>
          </w:p>
        </w:tc>
        <w:tc>
          <w:tcPr>
            <w:tcW w:w="80" w:type="dxa"/>
            <w:vAlign w:val="bottom"/>
          </w:tcPr>
          <w:p>
            <w:pPr>
              <w:spacing w:after="0"/>
              <w:rPr>
                <w:sz w:val="18"/>
                <w:szCs w:val="18"/>
                <w:color w:val="auto"/>
              </w:rPr>
            </w:pPr>
          </w:p>
        </w:tc>
        <w:tc>
          <w:tcPr>
            <w:tcW w:w="2660" w:type="dxa"/>
            <w:vAlign w:val="bottom"/>
          </w:tcPr>
          <w:p>
            <w:pPr>
              <w:jc w:val="center"/>
              <w:spacing w:after="0"/>
              <w:rPr>
                <w:sz w:val="20"/>
                <w:szCs w:val="20"/>
                <w:color w:val="auto"/>
              </w:rPr>
            </w:pPr>
            <w:r>
              <w:rPr>
                <w:rFonts w:ascii="Arial" w:cs="Arial" w:eastAsia="Arial" w:hAnsi="Arial"/>
                <w:sz w:val="16"/>
                <w:szCs w:val="16"/>
                <w:color w:val="auto"/>
                <w:w w:val="98"/>
              </w:rPr>
              <w:t>11,985</w:t>
            </w: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8"/>
              </w:rPr>
              <w:t>1,070,380</w:t>
            </w:r>
          </w:p>
        </w:tc>
        <w:tc>
          <w:tcPr>
            <w:tcW w:w="0" w:type="dxa"/>
            <w:vAlign w:val="bottom"/>
          </w:tcPr>
          <w:p>
            <w:pPr>
              <w:spacing w:after="0"/>
              <w:rPr>
                <w:sz w:val="1"/>
                <w:szCs w:val="1"/>
                <w:color w:val="auto"/>
              </w:rPr>
            </w:pPr>
          </w:p>
        </w:tc>
      </w:tr>
      <w:tr>
        <w:trPr>
          <w:trHeight w:val="212"/>
        </w:trPr>
        <w:tc>
          <w:tcPr>
            <w:tcW w:w="6340" w:type="dxa"/>
            <w:vAlign w:val="bottom"/>
            <w:gridSpan w:val="2"/>
            <w:shd w:val="clear" w:color="auto" w:fill="E6E7E7"/>
          </w:tcPr>
          <w:p>
            <w:pPr>
              <w:ind w:left="20"/>
              <w:spacing w:after="0"/>
              <w:rPr>
                <w:sz w:val="20"/>
                <w:szCs w:val="20"/>
                <w:color w:val="auto"/>
              </w:rPr>
            </w:pPr>
            <w:r>
              <w:rPr>
                <w:rFonts w:ascii="Arial" w:cs="Arial" w:eastAsia="Arial" w:hAnsi="Arial"/>
                <w:sz w:val="16"/>
                <w:szCs w:val="16"/>
                <w:b w:val="1"/>
                <w:bCs w:val="1"/>
                <w:color w:val="520B90"/>
              </w:rPr>
              <w:t>Edward B. Adams, Jr.</w:t>
            </w:r>
          </w:p>
        </w:tc>
        <w:tc>
          <w:tcPr>
            <w:tcW w:w="80" w:type="dxa"/>
            <w:vAlign w:val="bottom"/>
          </w:tcPr>
          <w:p>
            <w:pPr>
              <w:spacing w:after="0"/>
              <w:rPr>
                <w:sz w:val="18"/>
                <w:szCs w:val="18"/>
                <w:color w:val="auto"/>
              </w:rPr>
            </w:pPr>
          </w:p>
        </w:tc>
        <w:tc>
          <w:tcPr>
            <w:tcW w:w="266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9"/>
              </w:rPr>
              <w:t>8,961</w:t>
            </w:r>
          </w:p>
        </w:tc>
        <w:tc>
          <w:tcPr>
            <w:tcW w:w="100" w:type="dxa"/>
            <w:vAlign w:val="bottom"/>
          </w:tcPr>
          <w:p>
            <w:pPr>
              <w:spacing w:after="0"/>
              <w:rPr>
                <w:sz w:val="18"/>
                <w:szCs w:val="18"/>
                <w:color w:val="auto"/>
              </w:rPr>
            </w:pPr>
          </w:p>
        </w:tc>
        <w:tc>
          <w:tcPr>
            <w:tcW w:w="1820" w:type="dxa"/>
            <w:vAlign w:val="bottom"/>
            <w:shd w:val="clear" w:color="auto" w:fill="E6E7E7"/>
          </w:tcPr>
          <w:p>
            <w:pPr>
              <w:jc w:val="center"/>
              <w:spacing w:after="0"/>
              <w:rPr>
                <w:sz w:val="20"/>
                <w:szCs w:val="20"/>
                <w:color w:val="auto"/>
              </w:rPr>
            </w:pPr>
            <w:r>
              <w:rPr>
                <w:rFonts w:ascii="Arial" w:cs="Arial" w:eastAsia="Arial" w:hAnsi="Arial"/>
                <w:sz w:val="16"/>
                <w:szCs w:val="16"/>
                <w:color w:val="auto"/>
              </w:rPr>
              <w:t>800,795</w:t>
            </w:r>
          </w:p>
        </w:tc>
        <w:tc>
          <w:tcPr>
            <w:tcW w:w="0" w:type="dxa"/>
            <w:vAlign w:val="bottom"/>
          </w:tcPr>
          <w:p>
            <w:pPr>
              <w:spacing w:after="0"/>
              <w:rPr>
                <w:sz w:val="1"/>
                <w:szCs w:val="1"/>
                <w:color w:val="auto"/>
              </w:rPr>
            </w:pPr>
          </w:p>
        </w:tc>
      </w:tr>
      <w:tr>
        <w:trPr>
          <w:trHeight w:val="212"/>
        </w:trPr>
        <w:tc>
          <w:tcPr>
            <w:tcW w:w="6340" w:type="dxa"/>
            <w:vAlign w:val="bottom"/>
            <w:gridSpan w:val="2"/>
          </w:tcPr>
          <w:p>
            <w:pPr>
              <w:ind w:left="20"/>
              <w:spacing w:after="0"/>
              <w:rPr>
                <w:sz w:val="20"/>
                <w:szCs w:val="20"/>
                <w:color w:val="auto"/>
              </w:rPr>
            </w:pPr>
            <w:r>
              <w:rPr>
                <w:rFonts w:ascii="Arial" w:cs="Arial" w:eastAsia="Arial" w:hAnsi="Arial"/>
                <w:sz w:val="16"/>
                <w:szCs w:val="16"/>
                <w:b w:val="1"/>
                <w:bCs w:val="1"/>
                <w:color w:val="520B90"/>
              </w:rPr>
              <w:t>Catherine Piche</w:t>
            </w:r>
          </w:p>
        </w:tc>
        <w:tc>
          <w:tcPr>
            <w:tcW w:w="80" w:type="dxa"/>
            <w:vAlign w:val="bottom"/>
          </w:tcPr>
          <w:p>
            <w:pPr>
              <w:spacing w:after="0"/>
              <w:rPr>
                <w:sz w:val="18"/>
                <w:szCs w:val="18"/>
                <w:color w:val="auto"/>
              </w:rPr>
            </w:pPr>
          </w:p>
        </w:tc>
        <w:tc>
          <w:tcPr>
            <w:tcW w:w="2660" w:type="dxa"/>
            <w:vAlign w:val="bottom"/>
          </w:tcPr>
          <w:p>
            <w:pPr>
              <w:jc w:val="center"/>
              <w:spacing w:after="0"/>
              <w:rPr>
                <w:sz w:val="20"/>
                <w:szCs w:val="20"/>
                <w:color w:val="auto"/>
              </w:rPr>
            </w:pPr>
            <w:r>
              <w:rPr>
                <w:rFonts w:ascii="Arial" w:cs="Arial" w:eastAsia="Arial" w:hAnsi="Arial"/>
                <w:sz w:val="16"/>
                <w:szCs w:val="16"/>
                <w:color w:val="auto"/>
                <w:w w:val="99"/>
              </w:rPr>
              <w:t>5,371</w:t>
            </w: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rPr>
              <w:t>480,919</w:t>
            </w:r>
          </w:p>
        </w:tc>
        <w:tc>
          <w:tcPr>
            <w:tcW w:w="0" w:type="dxa"/>
            <w:vAlign w:val="bottom"/>
          </w:tcPr>
          <w:p>
            <w:pPr>
              <w:spacing w:after="0"/>
              <w:rPr>
                <w:sz w:val="1"/>
                <w:szCs w:val="1"/>
                <w:color w:val="auto"/>
              </w:rPr>
            </w:pPr>
          </w:p>
        </w:tc>
      </w:tr>
      <w:tr>
        <w:trPr>
          <w:trHeight w:val="212"/>
        </w:trPr>
        <w:tc>
          <w:tcPr>
            <w:tcW w:w="6340" w:type="dxa"/>
            <w:vAlign w:val="bottom"/>
            <w:gridSpan w:val="2"/>
            <w:shd w:val="clear" w:color="auto" w:fill="E6E7E7"/>
          </w:tcPr>
          <w:p>
            <w:pPr>
              <w:ind w:left="20"/>
              <w:spacing w:after="0"/>
              <w:rPr>
                <w:sz w:val="20"/>
                <w:szCs w:val="20"/>
                <w:color w:val="auto"/>
              </w:rPr>
            </w:pPr>
            <w:r>
              <w:rPr>
                <w:rFonts w:ascii="Arial" w:cs="Arial" w:eastAsia="Arial" w:hAnsi="Arial"/>
                <w:sz w:val="16"/>
                <w:szCs w:val="16"/>
                <w:b w:val="1"/>
                <w:bCs w:val="1"/>
                <w:color w:val="520B90"/>
              </w:rPr>
              <w:t>Steven J. Moskowitz</w:t>
            </w:r>
          </w:p>
        </w:tc>
        <w:tc>
          <w:tcPr>
            <w:tcW w:w="80" w:type="dxa"/>
            <w:vAlign w:val="bottom"/>
          </w:tcPr>
          <w:p>
            <w:pPr>
              <w:spacing w:after="0"/>
              <w:rPr>
                <w:sz w:val="18"/>
                <w:szCs w:val="18"/>
                <w:color w:val="auto"/>
              </w:rPr>
            </w:pPr>
          </w:p>
        </w:tc>
        <w:tc>
          <w:tcPr>
            <w:tcW w:w="266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8"/>
              </w:rPr>
              <w:t>28,002</w:t>
            </w:r>
          </w:p>
        </w:tc>
        <w:tc>
          <w:tcPr>
            <w:tcW w:w="100" w:type="dxa"/>
            <w:vAlign w:val="bottom"/>
          </w:tcPr>
          <w:p>
            <w:pPr>
              <w:spacing w:after="0"/>
              <w:rPr>
                <w:sz w:val="18"/>
                <w:szCs w:val="18"/>
                <w:color w:val="auto"/>
              </w:rPr>
            </w:pPr>
          </w:p>
        </w:tc>
        <w:tc>
          <w:tcPr>
            <w:tcW w:w="1820" w:type="dxa"/>
            <w:vAlign w:val="bottom"/>
            <w:shd w:val="clear" w:color="auto" w:fill="E6E7E7"/>
          </w:tcPr>
          <w:p>
            <w:pPr>
              <w:jc w:val="center"/>
              <w:spacing w:after="0"/>
              <w:rPr>
                <w:sz w:val="20"/>
                <w:szCs w:val="20"/>
                <w:color w:val="auto"/>
              </w:rPr>
            </w:pPr>
            <w:r>
              <w:rPr>
                <w:rFonts w:ascii="Arial" w:cs="Arial" w:eastAsia="Arial" w:hAnsi="Arial"/>
                <w:sz w:val="16"/>
                <w:szCs w:val="16"/>
                <w:color w:val="auto"/>
                <w:w w:val="98"/>
              </w:rPr>
              <w:t>2,664,670</w:t>
            </w:r>
          </w:p>
        </w:tc>
        <w:tc>
          <w:tcPr>
            <w:tcW w:w="0" w:type="dxa"/>
            <w:vAlign w:val="bottom"/>
          </w:tcPr>
          <w:p>
            <w:pPr>
              <w:spacing w:after="0"/>
              <w:rPr>
                <w:sz w:val="1"/>
                <w:szCs w:val="1"/>
                <w:color w:val="auto"/>
              </w:rPr>
            </w:pPr>
          </w:p>
        </w:tc>
      </w:tr>
      <w:tr>
        <w:trPr>
          <w:trHeight w:val="159"/>
        </w:trPr>
        <w:tc>
          <w:tcPr>
            <w:tcW w:w="1120" w:type="dxa"/>
            <w:vAlign w:val="bottom"/>
            <w:tcBorders>
              <w:bottom w:val="single" w:sz="8" w:color="auto"/>
            </w:tcBorders>
          </w:tcPr>
          <w:p>
            <w:pPr>
              <w:spacing w:after="0"/>
              <w:rPr>
                <w:sz w:val="13"/>
                <w:szCs w:val="13"/>
                <w:color w:val="auto"/>
              </w:rPr>
            </w:pPr>
          </w:p>
        </w:tc>
        <w:tc>
          <w:tcPr>
            <w:tcW w:w="5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320" w:hanging="274"/>
        <w:spacing w:after="0" w:line="286" w:lineRule="auto"/>
        <w:tabs>
          <w:tab w:leader="none" w:pos="310" w:val="left"/>
        </w:tabs>
        <w:numPr>
          <w:ilvl w:val="0"/>
          <w:numId w:val="143"/>
        </w:numPr>
        <w:rPr>
          <w:rFonts w:ascii="Arial" w:cs="Arial" w:eastAsia="Arial" w:hAnsi="Arial"/>
          <w:sz w:val="13"/>
          <w:szCs w:val="13"/>
          <w:color w:val="auto"/>
        </w:rPr>
      </w:pPr>
      <w:r>
        <w:rPr>
          <w:rFonts w:ascii="Arial" w:cs="Arial" w:eastAsia="Arial" w:hAnsi="Arial"/>
          <w:sz w:val="13"/>
          <w:szCs w:val="13"/>
          <w:color w:val="auto"/>
        </w:rPr>
        <w:t>The amounts shown generally include, as applicable, the value of approximately one-third of the Time RSUs granted in 2022, 2023 and 2024. In addition, the amounts for Mr. Adams, Ms. Piche and Mr. Moskowitz include the vesting of RSUs granted outside the annual LTI award cycle in prior years.</w:t>
      </w:r>
    </w:p>
    <w:p>
      <w:pPr>
        <w:spacing w:after="0" w:line="1" w:lineRule="exact"/>
        <w:rPr>
          <w:rFonts w:ascii="Arial" w:cs="Arial" w:eastAsia="Arial" w:hAnsi="Arial"/>
          <w:sz w:val="13"/>
          <w:szCs w:val="13"/>
          <w:color w:val="auto"/>
        </w:rPr>
      </w:pPr>
    </w:p>
    <w:p>
      <w:pPr>
        <w:ind w:left="320" w:hanging="274"/>
        <w:spacing w:after="0"/>
        <w:tabs>
          <w:tab w:leader="none" w:pos="320" w:val="left"/>
        </w:tabs>
        <w:numPr>
          <w:ilvl w:val="0"/>
          <w:numId w:val="143"/>
        </w:numPr>
        <w:rPr>
          <w:rFonts w:ascii="Arial" w:cs="Arial" w:eastAsia="Arial" w:hAnsi="Arial"/>
          <w:sz w:val="13"/>
          <w:szCs w:val="13"/>
          <w:color w:val="auto"/>
        </w:rPr>
      </w:pPr>
      <w:r>
        <w:rPr>
          <w:rFonts w:ascii="Arial" w:cs="Arial" w:eastAsia="Arial" w:hAnsi="Arial"/>
          <w:sz w:val="13"/>
          <w:szCs w:val="13"/>
          <w:color w:val="auto"/>
        </w:rPr>
        <w:t>The value realized on vesting is calculated using the closing market price of our Common Stock from the trading day immediately preceding the date of vesting.</w:t>
      </w:r>
    </w:p>
    <w:p>
      <w:pPr>
        <w:spacing w:after="0" w:line="393"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391" w:right="39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Potential Payments Upon Termination of Employment</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Severance Agreements</w:t>
      </w:r>
    </w:p>
    <w:p>
      <w:pPr>
        <w:spacing w:after="0" w:line="16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have entered into Severance Agreements with each of our NEOs, which provide certain benefits to and impose certain obligations on our NEOs upon termination of their employment with us. Details regarding the benefits provided under the NEOs' Severance Agreements and the potential value thereof are set forth below. Pursuant to each Severance Agreement, we are required to provide severance benefits to the NEO if such NEO's employment is terminated pursuant to a Qualifying Termination (as defined in footnote (a) to the table below). The Severance Agreements provide for enhanced severance benefits if the NEO's employment is terminated in connection with a Qualifying Termination Upon Change in Control (as defined in footnote (a) to the table below).</w:t>
      </w:r>
    </w:p>
    <w:p>
      <w:pPr>
        <w:spacing w:after="0" w:line="131" w:lineRule="exact"/>
        <w:rPr>
          <w:sz w:val="20"/>
          <w:szCs w:val="20"/>
          <w:color w:val="auto"/>
        </w:rPr>
      </w:pPr>
    </w:p>
    <w:p>
      <w:pPr>
        <w:ind w:right="860"/>
        <w:spacing w:after="0" w:line="274" w:lineRule="auto"/>
        <w:rPr>
          <w:sz w:val="20"/>
          <w:szCs w:val="20"/>
          <w:color w:val="auto"/>
        </w:rPr>
      </w:pPr>
      <w:r>
        <w:rPr>
          <w:rFonts w:ascii="Arial" w:cs="Arial" w:eastAsia="Arial" w:hAnsi="Arial"/>
          <w:sz w:val="18"/>
          <w:szCs w:val="18"/>
          <w:color w:val="auto"/>
        </w:rPr>
        <w:t>Upon a Qualifying Termination occurring on December 31, 2025, not during a Change in Control Period (as defined in the Severance Agreements), the NEOs would have been entitled to the following benefits:</w:t>
      </w:r>
    </w:p>
    <w:p>
      <w:pPr>
        <w:spacing w:after="0" w:line="110" w:lineRule="exact"/>
        <w:rPr>
          <w:sz w:val="20"/>
          <w:szCs w:val="20"/>
          <w:color w:val="auto"/>
        </w:rPr>
      </w:pPr>
    </w:p>
    <w:p>
      <w:pPr>
        <w:ind w:left="640" w:right="20" w:hanging="316"/>
        <w:spacing w:after="0" w:line="259" w:lineRule="auto"/>
        <w:tabs>
          <w:tab w:leader="none" w:pos="635" w:val="left"/>
        </w:tabs>
        <w:numPr>
          <w:ilvl w:val="0"/>
          <w:numId w:val="144"/>
        </w:numPr>
        <w:rPr>
          <w:rFonts w:ascii="Arial" w:cs="Arial" w:eastAsia="Arial" w:hAnsi="Arial"/>
          <w:sz w:val="18"/>
          <w:szCs w:val="18"/>
          <w:color w:val="520B90"/>
        </w:rPr>
      </w:pPr>
      <w:r>
        <w:rPr>
          <w:rFonts w:ascii="Arial" w:cs="Arial" w:eastAsia="Arial" w:hAnsi="Arial"/>
          <w:sz w:val="18"/>
          <w:szCs w:val="18"/>
          <w:color w:val="auto"/>
        </w:rPr>
        <w:t>a lump sum severance payment equal to the sum of the NEO's base salary and Annual Bonus multiplied by two (for Messrs. Moskowitz and Hillabrant) or one (for all other NEOs covered by a Severance Agreement). "Annual Bonus" is defined for purposes of each NEO's Severance Agreement as the target annual bonus for the calendar year in which the date of termination occurs;</w:t>
      </w:r>
    </w:p>
    <w:p>
      <w:pPr>
        <w:spacing w:after="0" w:line="123" w:lineRule="exact"/>
        <w:rPr>
          <w:rFonts w:ascii="Arial" w:cs="Arial" w:eastAsia="Arial" w:hAnsi="Arial"/>
          <w:sz w:val="18"/>
          <w:szCs w:val="18"/>
          <w:color w:val="520B90"/>
        </w:rPr>
      </w:pPr>
    </w:p>
    <w:p>
      <w:pPr>
        <w:ind w:left="640" w:hanging="316"/>
        <w:spacing w:after="0" w:line="274" w:lineRule="auto"/>
        <w:tabs>
          <w:tab w:leader="none" w:pos="635" w:val="left"/>
        </w:tabs>
        <w:numPr>
          <w:ilvl w:val="0"/>
          <w:numId w:val="144"/>
        </w:numPr>
        <w:rPr>
          <w:rFonts w:ascii="Arial" w:cs="Arial" w:eastAsia="Arial" w:hAnsi="Arial"/>
          <w:sz w:val="18"/>
          <w:szCs w:val="18"/>
          <w:color w:val="520B90"/>
        </w:rPr>
      </w:pPr>
      <w:r>
        <w:rPr>
          <w:rFonts w:ascii="Arial" w:cs="Arial" w:eastAsia="Arial" w:hAnsi="Arial"/>
          <w:sz w:val="18"/>
          <w:szCs w:val="18"/>
          <w:color w:val="auto"/>
        </w:rPr>
        <w:t>a prorated cash amount equal to the NEO's Annual Bonus for the year in which termination occurs when and if annual incentives for the year of termination are paid to other executive officers;</w:t>
      </w:r>
    </w:p>
    <w:p>
      <w:pPr>
        <w:spacing w:after="0" w:line="109" w:lineRule="exact"/>
        <w:rPr>
          <w:rFonts w:ascii="Arial" w:cs="Arial" w:eastAsia="Arial" w:hAnsi="Arial"/>
          <w:sz w:val="18"/>
          <w:szCs w:val="18"/>
          <w:color w:val="520B90"/>
        </w:rPr>
      </w:pPr>
    </w:p>
    <w:p>
      <w:pPr>
        <w:jc w:val="both"/>
        <w:ind w:left="640" w:right="180" w:hanging="316"/>
        <w:spacing w:after="0" w:line="259" w:lineRule="auto"/>
        <w:tabs>
          <w:tab w:leader="none" w:pos="635" w:val="left"/>
        </w:tabs>
        <w:numPr>
          <w:ilvl w:val="0"/>
          <w:numId w:val="144"/>
        </w:numPr>
        <w:rPr>
          <w:rFonts w:ascii="Arial" w:cs="Arial" w:eastAsia="Arial" w:hAnsi="Arial"/>
          <w:sz w:val="18"/>
          <w:szCs w:val="18"/>
          <w:color w:val="520B90"/>
        </w:rPr>
      </w:pPr>
      <w:r>
        <w:rPr>
          <w:rFonts w:ascii="Arial" w:cs="Arial" w:eastAsia="Arial" w:hAnsi="Arial"/>
          <w:sz w:val="18"/>
          <w:szCs w:val="18"/>
          <w:color w:val="auto"/>
        </w:rPr>
        <w:t>to the extent the annual incentive for the year prior to the year in which termination occurs has not been paid, a cash amount equal to the NEO's prior year actual annual incentive when and if any annual incentives for the year prior to the date of termination are paid to our other executive officers;</w:t>
      </w:r>
    </w:p>
    <w:p>
      <w:pPr>
        <w:spacing w:after="0" w:line="123" w:lineRule="exact"/>
        <w:rPr>
          <w:rFonts w:ascii="Arial" w:cs="Arial" w:eastAsia="Arial" w:hAnsi="Arial"/>
          <w:sz w:val="18"/>
          <w:szCs w:val="18"/>
          <w:color w:val="520B90"/>
        </w:rPr>
      </w:pPr>
    </w:p>
    <w:p>
      <w:pPr>
        <w:ind w:left="640" w:right="120" w:hanging="316"/>
        <w:spacing w:after="0" w:line="274" w:lineRule="auto"/>
        <w:tabs>
          <w:tab w:leader="none" w:pos="635" w:val="left"/>
        </w:tabs>
        <w:numPr>
          <w:ilvl w:val="0"/>
          <w:numId w:val="144"/>
        </w:numPr>
        <w:rPr>
          <w:rFonts w:ascii="Arial" w:cs="Arial" w:eastAsia="Arial" w:hAnsi="Arial"/>
          <w:sz w:val="18"/>
          <w:szCs w:val="18"/>
          <w:color w:val="520B90"/>
        </w:rPr>
      </w:pPr>
      <w:r>
        <w:rPr>
          <w:rFonts w:ascii="Arial" w:cs="Arial" w:eastAsia="Arial" w:hAnsi="Arial"/>
          <w:sz w:val="18"/>
          <w:szCs w:val="18"/>
          <w:color w:val="auto"/>
        </w:rPr>
        <w:t>continued coverage under specified health and welfare benefit programs for either two years (for Messrs. Moskowitz and Hillabrant) or for one year (for all other NEOs covered by a Severance Agreement);</w:t>
      </w:r>
    </w:p>
    <w:p>
      <w:pPr>
        <w:spacing w:after="0" w:line="109" w:lineRule="exact"/>
        <w:rPr>
          <w:rFonts w:ascii="Arial" w:cs="Arial" w:eastAsia="Arial" w:hAnsi="Arial"/>
          <w:sz w:val="18"/>
          <w:szCs w:val="18"/>
          <w:color w:val="520B90"/>
        </w:rPr>
      </w:pPr>
    </w:p>
    <w:p>
      <w:pPr>
        <w:jc w:val="both"/>
        <w:ind w:left="640" w:right="120" w:hanging="316"/>
        <w:spacing w:after="0" w:line="259" w:lineRule="auto"/>
        <w:tabs>
          <w:tab w:leader="none" w:pos="635" w:val="left"/>
        </w:tabs>
        <w:numPr>
          <w:ilvl w:val="0"/>
          <w:numId w:val="144"/>
        </w:numPr>
        <w:rPr>
          <w:rFonts w:ascii="Arial" w:cs="Arial" w:eastAsia="Arial" w:hAnsi="Arial"/>
          <w:sz w:val="18"/>
          <w:szCs w:val="18"/>
          <w:color w:val="520B90"/>
        </w:rPr>
      </w:pPr>
      <w:r>
        <w:rPr>
          <w:rFonts w:ascii="Arial" w:cs="Arial" w:eastAsia="Arial" w:hAnsi="Arial"/>
          <w:sz w:val="18"/>
          <w:szCs w:val="18"/>
          <w:color w:val="auto"/>
        </w:rPr>
        <w:t>continued participation in the 401(k) Plan for the calendar year in which termination occurs, including eligible contributions based upon participation or matching (with payment of the after-tax economic equivalent if and to the extent such is not permitted under the 401(k) Plan or by applicable law); and</w:t>
      </w:r>
    </w:p>
    <w:p>
      <w:pPr>
        <w:spacing w:after="0" w:line="123" w:lineRule="exact"/>
        <w:rPr>
          <w:rFonts w:ascii="Arial" w:cs="Arial" w:eastAsia="Arial" w:hAnsi="Arial"/>
          <w:sz w:val="18"/>
          <w:szCs w:val="18"/>
          <w:color w:val="520B90"/>
        </w:rPr>
      </w:pPr>
    </w:p>
    <w:p>
      <w:pPr>
        <w:ind w:left="640" w:right="100" w:hanging="316"/>
        <w:spacing w:after="0" w:line="274" w:lineRule="auto"/>
        <w:tabs>
          <w:tab w:leader="none" w:pos="635" w:val="left"/>
        </w:tabs>
        <w:numPr>
          <w:ilvl w:val="0"/>
          <w:numId w:val="144"/>
        </w:numPr>
        <w:rPr>
          <w:rFonts w:ascii="Arial" w:cs="Arial" w:eastAsia="Arial" w:hAnsi="Arial"/>
          <w:sz w:val="18"/>
          <w:szCs w:val="18"/>
          <w:color w:val="520B90"/>
        </w:rPr>
      </w:pPr>
      <w:r>
        <w:rPr>
          <w:rFonts w:ascii="Arial" w:cs="Arial" w:eastAsia="Arial" w:hAnsi="Arial"/>
          <w:sz w:val="18"/>
          <w:szCs w:val="18"/>
          <w:color w:val="auto"/>
        </w:rPr>
        <w:t>the opportunity for continued vesting of all RSUs for two years after termination, with the continued vesting of Performance Awards (as defined in the Severance Agreements) to remain subject to the satisfaction of the applicable performance criteria.</w:t>
      </w:r>
    </w:p>
    <w:p>
      <w:pPr>
        <w:spacing w:after="0" w:line="110" w:lineRule="exact"/>
        <w:rPr>
          <w:sz w:val="20"/>
          <w:szCs w:val="20"/>
          <w:color w:val="auto"/>
        </w:rPr>
      </w:pPr>
    </w:p>
    <w:p>
      <w:pPr>
        <w:ind w:right="220"/>
        <w:spacing w:after="0" w:line="274" w:lineRule="auto"/>
        <w:rPr>
          <w:sz w:val="20"/>
          <w:szCs w:val="20"/>
          <w:color w:val="auto"/>
        </w:rPr>
      </w:pPr>
      <w:r>
        <w:rPr>
          <w:rFonts w:ascii="Arial" w:cs="Arial" w:eastAsia="Arial" w:hAnsi="Arial"/>
          <w:sz w:val="18"/>
          <w:szCs w:val="18"/>
          <w:color w:val="auto"/>
        </w:rPr>
        <w:t>In connection with a Qualifying Termination Upon Change in Control occurring on December 31, 2025, the NEOs would have been entitled to the following benefits:</w:t>
      </w:r>
    </w:p>
    <w:p>
      <w:pPr>
        <w:spacing w:after="0" w:line="110" w:lineRule="exact"/>
        <w:rPr>
          <w:sz w:val="20"/>
          <w:szCs w:val="20"/>
          <w:color w:val="auto"/>
        </w:rPr>
      </w:pPr>
    </w:p>
    <w:p>
      <w:pPr>
        <w:ind w:left="640" w:hanging="316"/>
        <w:spacing w:after="0"/>
        <w:tabs>
          <w:tab w:leader="none" w:pos="640" w:val="left"/>
        </w:tabs>
        <w:numPr>
          <w:ilvl w:val="0"/>
          <w:numId w:val="145"/>
        </w:numPr>
        <w:rPr>
          <w:rFonts w:ascii="Arial" w:cs="Arial" w:eastAsia="Arial" w:hAnsi="Arial"/>
          <w:sz w:val="18"/>
          <w:szCs w:val="18"/>
          <w:color w:val="520B90"/>
        </w:rPr>
      </w:pPr>
      <w:r>
        <w:rPr>
          <w:rFonts w:ascii="Arial" w:cs="Arial" w:eastAsia="Arial" w:hAnsi="Arial"/>
          <w:sz w:val="18"/>
          <w:szCs w:val="18"/>
          <w:color w:val="auto"/>
        </w:rPr>
        <w:t>a lump sum severance payment equal to the sum of the NEO's base salary and Annual Bonus multiplied by two;</w:t>
      </w:r>
    </w:p>
    <w:p>
      <w:pPr>
        <w:spacing w:after="0" w:line="163" w:lineRule="exact"/>
        <w:rPr>
          <w:rFonts w:ascii="Arial" w:cs="Arial" w:eastAsia="Arial" w:hAnsi="Arial"/>
          <w:sz w:val="18"/>
          <w:szCs w:val="18"/>
          <w:color w:val="520B90"/>
        </w:rPr>
      </w:pPr>
    </w:p>
    <w:p>
      <w:pPr>
        <w:ind w:left="640" w:hanging="316"/>
        <w:spacing w:after="0" w:line="274" w:lineRule="auto"/>
        <w:tabs>
          <w:tab w:leader="none" w:pos="635" w:val="left"/>
        </w:tabs>
        <w:numPr>
          <w:ilvl w:val="0"/>
          <w:numId w:val="145"/>
        </w:numPr>
        <w:rPr>
          <w:rFonts w:ascii="Arial" w:cs="Arial" w:eastAsia="Arial" w:hAnsi="Arial"/>
          <w:sz w:val="18"/>
          <w:szCs w:val="18"/>
          <w:color w:val="520B90"/>
        </w:rPr>
      </w:pPr>
      <w:r>
        <w:rPr>
          <w:rFonts w:ascii="Arial" w:cs="Arial" w:eastAsia="Arial" w:hAnsi="Arial"/>
          <w:sz w:val="18"/>
          <w:szCs w:val="18"/>
          <w:color w:val="auto"/>
        </w:rPr>
        <w:t>a prorated cash amount equal to the NEO's Annual Bonus for the year in which termination occurs when and if annual incentives for the year of termination are paid to other executive officers;</w:t>
      </w:r>
    </w:p>
    <w:p>
      <w:pPr>
        <w:spacing w:after="0" w:line="109" w:lineRule="exact"/>
        <w:rPr>
          <w:rFonts w:ascii="Arial" w:cs="Arial" w:eastAsia="Arial" w:hAnsi="Arial"/>
          <w:sz w:val="18"/>
          <w:szCs w:val="18"/>
          <w:color w:val="520B90"/>
        </w:rPr>
      </w:pPr>
    </w:p>
    <w:p>
      <w:pPr>
        <w:jc w:val="both"/>
        <w:ind w:left="640" w:right="180" w:hanging="316"/>
        <w:spacing w:after="0" w:line="259" w:lineRule="auto"/>
        <w:tabs>
          <w:tab w:leader="none" w:pos="635" w:val="left"/>
        </w:tabs>
        <w:numPr>
          <w:ilvl w:val="0"/>
          <w:numId w:val="145"/>
        </w:numPr>
        <w:rPr>
          <w:rFonts w:ascii="Arial" w:cs="Arial" w:eastAsia="Arial" w:hAnsi="Arial"/>
          <w:sz w:val="18"/>
          <w:szCs w:val="18"/>
          <w:color w:val="520B90"/>
        </w:rPr>
      </w:pPr>
      <w:r>
        <w:rPr>
          <w:rFonts w:ascii="Arial" w:cs="Arial" w:eastAsia="Arial" w:hAnsi="Arial"/>
          <w:sz w:val="18"/>
          <w:szCs w:val="18"/>
          <w:color w:val="auto"/>
        </w:rPr>
        <w:t>to the extent the annual incentive for the year prior to the year in which termination occurs has not been paid, a cash amount equal to the NEO's prior year actual annual incentive when and if any annual incentives for the year prior to the date of termination are paid to our other executive officers;</w:t>
      </w:r>
    </w:p>
    <w:p>
      <w:pPr>
        <w:spacing w:after="0" w:line="123" w:lineRule="exact"/>
        <w:rPr>
          <w:rFonts w:ascii="Arial" w:cs="Arial" w:eastAsia="Arial" w:hAnsi="Arial"/>
          <w:sz w:val="18"/>
          <w:szCs w:val="18"/>
          <w:color w:val="520B90"/>
        </w:rPr>
      </w:pPr>
    </w:p>
    <w:p>
      <w:pPr>
        <w:ind w:left="640" w:hanging="316"/>
        <w:spacing w:after="0"/>
        <w:tabs>
          <w:tab w:leader="none" w:pos="640" w:val="left"/>
        </w:tabs>
        <w:numPr>
          <w:ilvl w:val="0"/>
          <w:numId w:val="145"/>
        </w:numPr>
        <w:rPr>
          <w:rFonts w:ascii="Arial" w:cs="Arial" w:eastAsia="Arial" w:hAnsi="Arial"/>
          <w:sz w:val="18"/>
          <w:szCs w:val="18"/>
          <w:color w:val="520B90"/>
        </w:rPr>
      </w:pPr>
      <w:r>
        <w:rPr>
          <w:rFonts w:ascii="Arial" w:cs="Arial" w:eastAsia="Arial" w:hAnsi="Arial"/>
          <w:sz w:val="18"/>
          <w:szCs w:val="18"/>
          <w:color w:val="auto"/>
        </w:rPr>
        <w:t>continued coverage under specified health and welfare benefit programs for two years;</w:t>
      </w:r>
    </w:p>
    <w:p>
      <w:pPr>
        <w:spacing w:after="0" w:line="163" w:lineRule="exact"/>
        <w:rPr>
          <w:rFonts w:ascii="Arial" w:cs="Arial" w:eastAsia="Arial" w:hAnsi="Arial"/>
          <w:sz w:val="18"/>
          <w:szCs w:val="18"/>
          <w:color w:val="520B90"/>
        </w:rPr>
      </w:pPr>
    </w:p>
    <w:p>
      <w:pPr>
        <w:jc w:val="both"/>
        <w:ind w:left="640" w:right="120" w:hanging="316"/>
        <w:spacing w:after="0" w:line="259" w:lineRule="auto"/>
        <w:tabs>
          <w:tab w:leader="none" w:pos="635" w:val="left"/>
        </w:tabs>
        <w:numPr>
          <w:ilvl w:val="0"/>
          <w:numId w:val="145"/>
        </w:numPr>
        <w:rPr>
          <w:rFonts w:ascii="Arial" w:cs="Arial" w:eastAsia="Arial" w:hAnsi="Arial"/>
          <w:sz w:val="18"/>
          <w:szCs w:val="18"/>
          <w:color w:val="520B90"/>
        </w:rPr>
      </w:pPr>
      <w:r>
        <w:rPr>
          <w:rFonts w:ascii="Arial" w:cs="Arial" w:eastAsia="Arial" w:hAnsi="Arial"/>
          <w:sz w:val="18"/>
          <w:szCs w:val="18"/>
          <w:color w:val="auto"/>
        </w:rPr>
        <w:t>continued participation in the 401(k) Plan for the calendar year in which termination occurs, including eligible contributions based upon participation or matching (with payment of the after-tax economic equivalent if and to the extent such is not permitted under the 401(k) Plan or by applicable law); and</w:t>
      </w:r>
    </w:p>
    <w:p>
      <w:pPr>
        <w:spacing w:after="0" w:line="123" w:lineRule="exact"/>
        <w:rPr>
          <w:rFonts w:ascii="Arial" w:cs="Arial" w:eastAsia="Arial" w:hAnsi="Arial"/>
          <w:sz w:val="18"/>
          <w:szCs w:val="18"/>
          <w:color w:val="520B90"/>
        </w:rPr>
      </w:pPr>
    </w:p>
    <w:p>
      <w:pPr>
        <w:ind w:left="640" w:right="80" w:hanging="316"/>
        <w:spacing w:after="0" w:line="259" w:lineRule="auto"/>
        <w:tabs>
          <w:tab w:leader="none" w:pos="635" w:val="left"/>
        </w:tabs>
        <w:numPr>
          <w:ilvl w:val="0"/>
          <w:numId w:val="145"/>
        </w:numPr>
        <w:rPr>
          <w:rFonts w:ascii="Arial" w:cs="Arial" w:eastAsia="Arial" w:hAnsi="Arial"/>
          <w:sz w:val="18"/>
          <w:szCs w:val="18"/>
          <w:color w:val="520B90"/>
        </w:rPr>
      </w:pPr>
      <w:r>
        <w:rPr>
          <w:rFonts w:ascii="Arial" w:cs="Arial" w:eastAsia="Arial" w:hAnsi="Arial"/>
          <w:sz w:val="18"/>
          <w:szCs w:val="18"/>
          <w:color w:val="auto"/>
        </w:rPr>
        <w:t>immediate vesting of any outstanding RSUs, provided that such immediate vesting only applies to Performance Awards with respect to the target level of performance, and the NEO has the opportunity, subject to and contingent upon actual performance, to continue vesting as to any Performance Awards in excess of such target level of performance following the date of termination.</w:t>
      </w:r>
    </w:p>
    <w:p>
      <w:pPr>
        <w:spacing w:after="0" w:line="353"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391" w:right="379" w:bottom="1440" w:gutter="0" w:footer="0" w:header="0"/>
        </w:sectPr>
      </w:pPr>
    </w:p>
    <w:bookmarkStart w:id="70" w:name="page71"/>
    <w:bookmarkEnd w:id="70"/>
    <w:p>
      <w:pPr>
        <w:ind w:right="80"/>
        <w:spacing w:after="0" w:line="259" w:lineRule="auto"/>
        <w:rPr>
          <w:sz w:val="20"/>
          <w:szCs w:val="20"/>
          <w:color w:val="auto"/>
        </w:rPr>
      </w:pPr>
      <w:r>
        <w:rPr>
          <w:rFonts w:ascii="Arial" w:cs="Arial" w:eastAsia="Arial" w:hAnsi="Arial"/>
          <w:sz w:val="18"/>
          <w:szCs w:val="18"/>
          <w:color w:val="auto"/>
        </w:rPr>
        <w:t>Each of the Severance Agreements also has provisions that generally prohibit the NEOs, for a period of 12 months following the termination of such officer's employment with us, from (1) engaging in certain competitive activities in designated geographic areas and (2) soliciting our employees and our affiliates.</w:t>
      </w:r>
    </w:p>
    <w:p>
      <w:pPr>
        <w:spacing w:after="0" w:line="124"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In addition, the Severance Agreement with Mr. Hillabrant contains a provision that, in the event Mr. Hillabrant's employment is terminated by the Company either (1) without Cause (as defined in his Severance Agreement) or due to Mr. Hillabrant's resignation for Good Reason (as defined in his Severance Agreement), in each case, not in connection with a Change in Control (as defined in his Severance Agreement) or (2) due to his death or Disability (as defined in his Severance Agreement), Mr. Hillabrant's Make-Whole RSUs will continue to vest as if he was an employee of the Company for the remainder of the vesting period until the Make-Whole RSUs are fully vested. In addition, his Severance Agreement contains a provision that, in the event of a Non-Qualifying Termination (as defined in the Severance Agreement), other than a termination by the Company without Cause, following at least five years of service as an employee of the Company and provided that Mr. Hillabrant delivers at least 180 days' prior notice of termination: (1) the service condition for Mr. Hillabrant's RSUs will be deemed satisfied and all of his outstanding RSUs will continue to vest for the remainder of the vesting period as if he continued to be an employee of the Company;</w:t>
      </w:r>
    </w:p>
    <w:p>
      <w:pPr>
        <w:spacing w:after="0" w:line="1" w:lineRule="exact"/>
        <w:rPr>
          <w:sz w:val="20"/>
          <w:szCs w:val="20"/>
          <w:color w:val="auto"/>
        </w:rPr>
      </w:pPr>
    </w:p>
    <w:p>
      <w:pPr>
        <w:ind w:right="60" w:firstLine="6"/>
        <w:spacing w:after="0" w:line="250" w:lineRule="auto"/>
        <w:tabs>
          <w:tab w:leader="none" w:pos="26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if any annual bonuses are paid to other executive officers of the Company, to the extent not already paid, the Company will pay his annual bonus for the immediately preceding year and (3) Mr. Hillabrant will be entitled to fully participate in the Company's 401(k) plan for the calendar year in which the termination occurred.</w:t>
      </w:r>
    </w:p>
    <w:p>
      <w:pPr>
        <w:spacing w:after="0" w:line="13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Mr. Moskowitz's employment was terminated without Cause effective March 23, 2025, which constituted a Qualifying Termination pursuant to the terms of his Severance Agreement with the Company. As a result, Mr. Moskowitz is eligible to receive certain payments and benefits following his separation, in accordance with such agreement.</w:t>
      </w:r>
    </w:p>
    <w:p>
      <w:pPr>
        <w:spacing w:after="0" w:line="12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Except with respect to Mr. Moskowitz, the following table and footnotes thereto reflect the alternative termination benefits to which each of our NEOs would be entitled in the event of termination of the individual's employment on December 31, 2025, under the different scenarios shown below. For Mr. Moskowitz, the information provided below reflects the payment and benefits provided to him under his Severance Agreement with the Company in</w:t>
      </w:r>
    </w:p>
    <w:p>
      <w:pPr>
        <w:spacing w:after="0" w:line="355"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393" w:right="39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connection with his departure from the Company effective March 23, 2025.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Arial" w:cs="Arial" w:eastAsia="Arial" w:hAnsi="Arial"/>
                <w:sz w:val="12"/>
                <w:szCs w:val="12"/>
                <w:b w:val="1"/>
                <w:bCs w:val="1"/>
                <w:color w:val="520B90"/>
                <w:w w:val="99"/>
              </w:rPr>
              <w:t>Severance</w:t>
            </w:r>
          </w:p>
        </w:tc>
        <w:tc>
          <w:tcPr>
            <w:tcW w:w="100" w:type="dxa"/>
            <w:vAlign w:val="bottom"/>
          </w:tcPr>
          <w:p>
            <w:pPr>
              <w:spacing w:after="0"/>
              <w:rPr>
                <w:sz w:val="12"/>
                <w:szCs w:val="12"/>
                <w:color w:val="auto"/>
              </w:rPr>
            </w:pPr>
          </w:p>
        </w:tc>
        <w:tc>
          <w:tcPr>
            <w:tcW w:w="1540" w:type="dxa"/>
            <w:vAlign w:val="bottom"/>
          </w:tcPr>
          <w:p>
            <w:pPr>
              <w:jc w:val="center"/>
              <w:spacing w:after="0"/>
              <w:rPr>
                <w:sz w:val="20"/>
                <w:szCs w:val="20"/>
                <w:color w:val="auto"/>
              </w:rPr>
            </w:pPr>
            <w:r>
              <w:rPr>
                <w:rFonts w:ascii="Arial" w:cs="Arial" w:eastAsia="Arial" w:hAnsi="Arial"/>
                <w:sz w:val="12"/>
                <w:szCs w:val="12"/>
                <w:b w:val="1"/>
                <w:bCs w:val="1"/>
                <w:color w:val="520B90"/>
              </w:rPr>
              <w:t>Early or Continued</w:t>
            </w:r>
          </w:p>
        </w:tc>
        <w:tc>
          <w:tcPr>
            <w:tcW w:w="80" w:type="dxa"/>
            <w:vAlign w:val="bottom"/>
          </w:tcPr>
          <w:p>
            <w:pPr>
              <w:spacing w:after="0"/>
              <w:rPr>
                <w:sz w:val="12"/>
                <w:szCs w:val="12"/>
                <w:color w:val="auto"/>
              </w:rPr>
            </w:pPr>
          </w:p>
        </w:tc>
        <w:tc>
          <w:tcPr>
            <w:tcW w:w="1200" w:type="dxa"/>
            <w:vAlign w:val="bottom"/>
            <w:vMerge w:val="restart"/>
          </w:tcPr>
          <w:p>
            <w:pPr>
              <w:ind w:left="440"/>
              <w:spacing w:after="0"/>
              <w:rPr>
                <w:sz w:val="20"/>
                <w:szCs w:val="20"/>
                <w:color w:val="auto"/>
              </w:rPr>
            </w:pPr>
            <w:r>
              <w:rPr>
                <w:rFonts w:ascii="Arial" w:cs="Arial" w:eastAsia="Arial" w:hAnsi="Arial"/>
                <w:sz w:val="12"/>
                <w:szCs w:val="12"/>
                <w:b w:val="1"/>
                <w:bCs w:val="1"/>
                <w:color w:val="520B90"/>
              </w:rPr>
              <w:t>Other</w:t>
            </w:r>
          </w:p>
        </w:tc>
        <w:tc>
          <w:tcPr>
            <w:tcW w:w="80" w:type="dxa"/>
            <w:vAlign w:val="bottom"/>
          </w:tcPr>
          <w:p>
            <w:pPr>
              <w:spacing w:after="0"/>
              <w:rPr>
                <w:sz w:val="12"/>
                <w:szCs w:val="12"/>
                <w:color w:val="auto"/>
              </w:rPr>
            </w:pPr>
          </w:p>
        </w:tc>
        <w:tc>
          <w:tcPr>
            <w:tcW w:w="1540" w:type="dxa"/>
            <w:vAlign w:val="bottom"/>
          </w:tcPr>
          <w:p>
            <w:pPr>
              <w:jc w:val="center"/>
              <w:spacing w:after="0"/>
              <w:rPr>
                <w:sz w:val="20"/>
                <w:szCs w:val="20"/>
                <w:color w:val="auto"/>
              </w:rPr>
            </w:pPr>
            <w:r>
              <w:rPr>
                <w:rFonts w:ascii="Arial" w:cs="Arial" w:eastAsia="Arial" w:hAnsi="Arial"/>
                <w:sz w:val="12"/>
                <w:szCs w:val="12"/>
                <w:b w:val="1"/>
                <w:bCs w:val="1"/>
                <w:color w:val="520B90"/>
              </w:rPr>
              <w:t>Total Employment</w:t>
            </w:r>
          </w:p>
        </w:tc>
        <w:tc>
          <w:tcPr>
            <w:tcW w:w="0" w:type="dxa"/>
            <w:vAlign w:val="bottom"/>
          </w:tcPr>
          <w:p>
            <w:pPr>
              <w:spacing w:after="0"/>
              <w:rPr>
                <w:sz w:val="1"/>
                <w:szCs w:val="1"/>
                <w:color w:val="auto"/>
              </w:rPr>
            </w:pPr>
          </w:p>
        </w:tc>
      </w:tr>
      <w:tr>
        <w:trPr>
          <w:trHeight w:val="119"/>
        </w:trPr>
        <w:tc>
          <w:tcPr>
            <w:tcW w:w="24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520B90"/>
              </w:rPr>
              <w:t>Name</w:t>
            </w:r>
          </w:p>
        </w:tc>
        <w:tc>
          <w:tcPr>
            <w:tcW w:w="100" w:type="dxa"/>
            <w:vAlign w:val="bottom"/>
          </w:tcPr>
          <w:p>
            <w:pPr>
              <w:spacing w:after="0"/>
              <w:rPr>
                <w:sz w:val="10"/>
                <w:szCs w:val="10"/>
                <w:color w:val="auto"/>
              </w:rPr>
            </w:pPr>
          </w:p>
        </w:tc>
        <w:tc>
          <w:tcPr>
            <w:tcW w:w="2860" w:type="dxa"/>
            <w:vAlign w:val="bottom"/>
            <w:vMerge w:val="restart"/>
          </w:tcPr>
          <w:p>
            <w:pPr>
              <w:ind w:left="20"/>
              <w:spacing w:after="0"/>
              <w:rPr>
                <w:sz w:val="20"/>
                <w:szCs w:val="20"/>
                <w:color w:val="auto"/>
              </w:rPr>
            </w:pPr>
            <w:r>
              <w:rPr>
                <w:rFonts w:ascii="Arial" w:cs="Arial" w:eastAsia="Arial" w:hAnsi="Arial"/>
                <w:sz w:val="12"/>
                <w:szCs w:val="12"/>
                <w:b w:val="1"/>
                <w:bCs w:val="1"/>
                <w:color w:val="520B90"/>
              </w:rPr>
              <w:t>Termination Type(a)</w:t>
            </w:r>
          </w:p>
        </w:tc>
        <w:tc>
          <w:tcPr>
            <w:tcW w:w="100" w:type="dxa"/>
            <w:vAlign w:val="bottom"/>
          </w:tcPr>
          <w:p>
            <w:pPr>
              <w:spacing w:after="0"/>
              <w:rPr>
                <w:sz w:val="10"/>
                <w:szCs w:val="10"/>
                <w:color w:val="auto"/>
              </w:rPr>
            </w:pPr>
          </w:p>
        </w:tc>
        <w:tc>
          <w:tcPr>
            <w:tcW w:w="1240" w:type="dxa"/>
            <w:vAlign w:val="bottom"/>
          </w:tcPr>
          <w:p>
            <w:pPr>
              <w:jc w:val="center"/>
              <w:spacing w:after="0" w:line="120" w:lineRule="exact"/>
              <w:rPr>
                <w:sz w:val="20"/>
                <w:szCs w:val="20"/>
                <w:color w:val="auto"/>
              </w:rPr>
            </w:pPr>
            <w:r>
              <w:rPr>
                <w:rFonts w:ascii="Arial" w:cs="Arial" w:eastAsia="Arial" w:hAnsi="Arial"/>
                <w:sz w:val="12"/>
                <w:szCs w:val="12"/>
                <w:b w:val="1"/>
                <w:bCs w:val="1"/>
                <w:color w:val="520B90"/>
              </w:rPr>
              <w:t>Amount</w:t>
            </w:r>
          </w:p>
        </w:tc>
        <w:tc>
          <w:tcPr>
            <w:tcW w:w="100" w:type="dxa"/>
            <w:vAlign w:val="bottom"/>
          </w:tcPr>
          <w:p>
            <w:pPr>
              <w:spacing w:after="0"/>
              <w:rPr>
                <w:sz w:val="10"/>
                <w:szCs w:val="10"/>
                <w:color w:val="auto"/>
              </w:rPr>
            </w:pPr>
          </w:p>
        </w:tc>
        <w:tc>
          <w:tcPr>
            <w:tcW w:w="1540" w:type="dxa"/>
            <w:vAlign w:val="bottom"/>
          </w:tcPr>
          <w:p>
            <w:pPr>
              <w:jc w:val="center"/>
              <w:spacing w:after="0" w:line="120" w:lineRule="exact"/>
              <w:rPr>
                <w:sz w:val="20"/>
                <w:szCs w:val="20"/>
                <w:color w:val="auto"/>
              </w:rPr>
            </w:pPr>
            <w:r>
              <w:rPr>
                <w:rFonts w:ascii="Arial" w:cs="Arial" w:eastAsia="Arial" w:hAnsi="Arial"/>
                <w:sz w:val="12"/>
                <w:szCs w:val="12"/>
                <w:b w:val="1"/>
                <w:bCs w:val="1"/>
                <w:color w:val="520B90"/>
              </w:rPr>
              <w:t>Vesting of RSUs</w:t>
            </w:r>
          </w:p>
        </w:tc>
        <w:tc>
          <w:tcPr>
            <w:tcW w:w="8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tcPr>
          <w:p>
            <w:pPr>
              <w:jc w:val="center"/>
              <w:spacing w:after="0" w:line="120" w:lineRule="exact"/>
              <w:rPr>
                <w:sz w:val="20"/>
                <w:szCs w:val="20"/>
                <w:color w:val="auto"/>
              </w:rPr>
            </w:pPr>
            <w:r>
              <w:rPr>
                <w:rFonts w:ascii="Arial" w:cs="Arial" w:eastAsia="Arial" w:hAnsi="Arial"/>
                <w:sz w:val="12"/>
                <w:szCs w:val="12"/>
                <w:b w:val="1"/>
                <w:bCs w:val="1"/>
                <w:color w:val="520B90"/>
              </w:rPr>
              <w:t>Termination</w:t>
            </w:r>
          </w:p>
        </w:tc>
        <w:tc>
          <w:tcPr>
            <w:tcW w:w="0" w:type="dxa"/>
            <w:vAlign w:val="bottom"/>
          </w:tcPr>
          <w:p>
            <w:pPr>
              <w:spacing w:after="0"/>
              <w:rPr>
                <w:sz w:val="1"/>
                <w:szCs w:val="1"/>
                <w:color w:val="auto"/>
              </w:rPr>
            </w:pPr>
          </w:p>
        </w:tc>
      </w:tr>
      <w:tr>
        <w:trPr>
          <w:trHeight w:val="182"/>
        </w:trPr>
        <w:tc>
          <w:tcPr>
            <w:tcW w:w="2400" w:type="dxa"/>
            <w:vAlign w:val="bottom"/>
            <w:tcBorders>
              <w:bottom w:val="single" w:sz="8" w:color="520B90"/>
            </w:tcBorders>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860" w:type="dxa"/>
            <w:vAlign w:val="bottom"/>
            <w:tcBorders>
              <w:bottom w:val="single" w:sz="8" w:color="520B90"/>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Borders>
              <w:bottom w:val="single" w:sz="8" w:color="520B90"/>
            </w:tcBorders>
          </w:tcPr>
          <w:p>
            <w:pPr>
              <w:jc w:val="center"/>
              <w:spacing w:after="0"/>
              <w:rPr>
                <w:sz w:val="20"/>
                <w:szCs w:val="20"/>
                <w:color w:val="auto"/>
              </w:rPr>
            </w:pPr>
            <w:r>
              <w:rPr>
                <w:rFonts w:ascii="Arial" w:cs="Arial" w:eastAsia="Arial" w:hAnsi="Arial"/>
                <w:sz w:val="12"/>
                <w:szCs w:val="12"/>
                <w:b w:val="1"/>
                <w:bCs w:val="1"/>
                <w:color w:val="520B90"/>
              </w:rPr>
              <w:t>($)(b)</w:t>
            </w:r>
          </w:p>
        </w:tc>
        <w:tc>
          <w:tcPr>
            <w:tcW w:w="100" w:type="dxa"/>
            <w:vAlign w:val="bottom"/>
          </w:tcPr>
          <w:p>
            <w:pPr>
              <w:spacing w:after="0"/>
              <w:rPr>
                <w:sz w:val="15"/>
                <w:szCs w:val="15"/>
                <w:color w:val="auto"/>
              </w:rPr>
            </w:pPr>
          </w:p>
        </w:tc>
        <w:tc>
          <w:tcPr>
            <w:tcW w:w="1540" w:type="dxa"/>
            <w:vAlign w:val="bottom"/>
            <w:tcBorders>
              <w:bottom w:val="single" w:sz="8" w:color="520B90"/>
            </w:tcBorders>
          </w:tcPr>
          <w:p>
            <w:pPr>
              <w:jc w:val="center"/>
              <w:spacing w:after="0"/>
              <w:rPr>
                <w:sz w:val="20"/>
                <w:szCs w:val="20"/>
                <w:color w:val="auto"/>
              </w:rPr>
            </w:pPr>
            <w:r>
              <w:rPr>
                <w:rFonts w:ascii="Arial" w:cs="Arial" w:eastAsia="Arial" w:hAnsi="Arial"/>
                <w:sz w:val="12"/>
                <w:szCs w:val="12"/>
                <w:b w:val="1"/>
                <w:bCs w:val="1"/>
                <w:color w:val="520B90"/>
              </w:rPr>
              <w:t>($)(c)</w:t>
            </w:r>
          </w:p>
        </w:tc>
        <w:tc>
          <w:tcPr>
            <w:tcW w:w="80" w:type="dxa"/>
            <w:vAlign w:val="bottom"/>
          </w:tcPr>
          <w:p>
            <w:pPr>
              <w:spacing w:after="0"/>
              <w:rPr>
                <w:sz w:val="15"/>
                <w:szCs w:val="15"/>
                <w:color w:val="auto"/>
              </w:rPr>
            </w:pPr>
          </w:p>
        </w:tc>
        <w:tc>
          <w:tcPr>
            <w:tcW w:w="1200" w:type="dxa"/>
            <w:vAlign w:val="bottom"/>
            <w:tcBorders>
              <w:bottom w:val="single" w:sz="8" w:color="520B90"/>
            </w:tcBorders>
          </w:tcPr>
          <w:p>
            <w:pPr>
              <w:ind w:left="440"/>
              <w:spacing w:after="0"/>
              <w:rPr>
                <w:sz w:val="20"/>
                <w:szCs w:val="20"/>
                <w:color w:val="auto"/>
              </w:rPr>
            </w:pPr>
            <w:r>
              <w:rPr>
                <w:rFonts w:ascii="Arial" w:cs="Arial" w:eastAsia="Arial" w:hAnsi="Arial"/>
                <w:sz w:val="12"/>
                <w:szCs w:val="12"/>
                <w:b w:val="1"/>
                <w:bCs w:val="1"/>
                <w:color w:val="520B90"/>
              </w:rPr>
              <w:t>($)(d)</w:t>
            </w:r>
          </w:p>
        </w:tc>
        <w:tc>
          <w:tcPr>
            <w:tcW w:w="80" w:type="dxa"/>
            <w:vAlign w:val="bottom"/>
          </w:tcPr>
          <w:p>
            <w:pPr>
              <w:spacing w:after="0"/>
              <w:rPr>
                <w:sz w:val="15"/>
                <w:szCs w:val="15"/>
                <w:color w:val="auto"/>
              </w:rPr>
            </w:pPr>
          </w:p>
        </w:tc>
        <w:tc>
          <w:tcPr>
            <w:tcW w:w="1540" w:type="dxa"/>
            <w:vAlign w:val="bottom"/>
            <w:tcBorders>
              <w:bottom w:val="single" w:sz="8" w:color="520B90"/>
            </w:tcBorders>
          </w:tcPr>
          <w:p>
            <w:pPr>
              <w:jc w:val="center"/>
              <w:spacing w:after="0"/>
              <w:rPr>
                <w:sz w:val="20"/>
                <w:szCs w:val="20"/>
                <w:color w:val="auto"/>
              </w:rPr>
            </w:pPr>
            <w:r>
              <w:rPr>
                <w:rFonts w:ascii="Arial" w:cs="Arial" w:eastAsia="Arial" w:hAnsi="Arial"/>
                <w:sz w:val="12"/>
                <w:szCs w:val="12"/>
                <w:b w:val="1"/>
                <w:bCs w:val="1"/>
                <w:color w:val="520B90"/>
              </w:rPr>
              <w:t>Benefits($)</w:t>
            </w:r>
          </w:p>
        </w:tc>
        <w:tc>
          <w:tcPr>
            <w:tcW w:w="0" w:type="dxa"/>
            <w:vAlign w:val="bottom"/>
          </w:tcPr>
          <w:p>
            <w:pPr>
              <w:spacing w:after="0"/>
              <w:rPr>
                <w:sz w:val="1"/>
                <w:szCs w:val="1"/>
                <w:color w:val="auto"/>
              </w:rPr>
            </w:pPr>
          </w:p>
        </w:tc>
      </w:tr>
      <w:tr>
        <w:trPr>
          <w:trHeight w:val="256"/>
        </w:trPr>
        <w:tc>
          <w:tcPr>
            <w:tcW w:w="2400" w:type="dxa"/>
            <w:vAlign w:val="bottom"/>
            <w:gridSpan w:val="2"/>
            <w:shd w:val="clear" w:color="auto" w:fill="E6E7E7"/>
          </w:tcPr>
          <w:p>
            <w:pPr>
              <w:ind w:left="20"/>
              <w:spacing w:after="0"/>
              <w:rPr>
                <w:sz w:val="20"/>
                <w:szCs w:val="20"/>
                <w:color w:val="auto"/>
              </w:rPr>
            </w:pPr>
            <w:r>
              <w:rPr>
                <w:rFonts w:ascii="Arial" w:cs="Arial" w:eastAsia="Arial" w:hAnsi="Arial"/>
                <w:sz w:val="13"/>
                <w:szCs w:val="13"/>
                <w:b w:val="1"/>
                <w:bCs w:val="1"/>
                <w:color w:val="520B90"/>
              </w:rPr>
              <w:t>Christian H. Hillabrant</w:t>
            </w:r>
          </w:p>
        </w:tc>
        <w:tc>
          <w:tcPr>
            <w:tcW w:w="100" w:type="dxa"/>
            <w:vAlign w:val="bottom"/>
          </w:tcPr>
          <w:p>
            <w:pPr>
              <w:spacing w:after="0"/>
              <w:rPr>
                <w:sz w:val="22"/>
                <w:szCs w:val="22"/>
                <w:color w:val="auto"/>
              </w:rPr>
            </w:pPr>
          </w:p>
        </w:tc>
        <w:tc>
          <w:tcPr>
            <w:tcW w:w="2860" w:type="dxa"/>
            <w:vAlign w:val="bottom"/>
            <w:shd w:val="clear" w:color="auto" w:fill="E6E7E7"/>
          </w:tcPr>
          <w:p>
            <w:pPr>
              <w:ind w:left="20"/>
              <w:spacing w:after="0"/>
              <w:rPr>
                <w:sz w:val="20"/>
                <w:szCs w:val="20"/>
                <w:color w:val="auto"/>
              </w:rPr>
            </w:pPr>
            <w:r>
              <w:rPr>
                <w:rFonts w:ascii="Arial" w:cs="Arial" w:eastAsia="Arial" w:hAnsi="Arial"/>
                <w:sz w:val="13"/>
                <w:szCs w:val="13"/>
                <w:color w:val="auto"/>
              </w:rPr>
              <w:t>Qualifying Upon Change in Control</w:t>
            </w:r>
          </w:p>
        </w:tc>
        <w:tc>
          <w:tcPr>
            <w:tcW w:w="100" w:type="dxa"/>
            <w:vAlign w:val="bottom"/>
          </w:tcPr>
          <w:p>
            <w:pPr>
              <w:spacing w:after="0"/>
              <w:rPr>
                <w:sz w:val="22"/>
                <w:szCs w:val="22"/>
                <w:color w:val="auto"/>
              </w:rPr>
            </w:pPr>
          </w:p>
        </w:tc>
        <w:tc>
          <w:tcPr>
            <w:tcW w:w="124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6,000,000</w:t>
            </w:r>
          </w:p>
        </w:tc>
        <w:tc>
          <w:tcPr>
            <w:tcW w:w="100" w:type="dxa"/>
            <w:vAlign w:val="bottom"/>
          </w:tcPr>
          <w:p>
            <w:pPr>
              <w:spacing w:after="0"/>
              <w:rPr>
                <w:sz w:val="22"/>
                <w:szCs w:val="22"/>
                <w:color w:val="auto"/>
              </w:rPr>
            </w:pPr>
          </w:p>
        </w:tc>
        <w:tc>
          <w:tcPr>
            <w:tcW w:w="1540" w:type="dxa"/>
            <w:vAlign w:val="bottom"/>
            <w:shd w:val="clear" w:color="auto" w:fill="E6E7E7"/>
          </w:tcPr>
          <w:p>
            <w:pPr>
              <w:jc w:val="center"/>
              <w:spacing w:after="0"/>
              <w:rPr>
                <w:sz w:val="20"/>
                <w:szCs w:val="20"/>
                <w:color w:val="auto"/>
              </w:rPr>
            </w:pPr>
            <w:r>
              <w:rPr>
                <w:rFonts w:ascii="Arial" w:cs="Arial" w:eastAsia="Arial" w:hAnsi="Arial"/>
                <w:sz w:val="13"/>
                <w:szCs w:val="13"/>
                <w:color w:val="auto"/>
                <w:w w:val="98"/>
              </w:rPr>
              <w:t>11,688,126</w:t>
            </w:r>
          </w:p>
        </w:tc>
        <w:tc>
          <w:tcPr>
            <w:tcW w:w="80" w:type="dxa"/>
            <w:vAlign w:val="bottom"/>
          </w:tcPr>
          <w:p>
            <w:pPr>
              <w:spacing w:after="0"/>
              <w:rPr>
                <w:sz w:val="22"/>
                <w:szCs w:val="22"/>
                <w:color w:val="auto"/>
              </w:rPr>
            </w:pPr>
          </w:p>
        </w:tc>
        <w:tc>
          <w:tcPr>
            <w:tcW w:w="120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644,671</w:t>
            </w:r>
          </w:p>
        </w:tc>
        <w:tc>
          <w:tcPr>
            <w:tcW w:w="80" w:type="dxa"/>
            <w:vAlign w:val="bottom"/>
          </w:tcPr>
          <w:p>
            <w:pPr>
              <w:spacing w:after="0"/>
              <w:rPr>
                <w:sz w:val="22"/>
                <w:szCs w:val="22"/>
                <w:color w:val="auto"/>
              </w:rPr>
            </w:pPr>
          </w:p>
        </w:tc>
        <w:tc>
          <w:tcPr>
            <w:tcW w:w="154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18,332,797</w:t>
            </w:r>
          </w:p>
        </w:tc>
        <w:tc>
          <w:tcPr>
            <w:tcW w:w="0" w:type="dxa"/>
            <w:vAlign w:val="bottom"/>
          </w:tcPr>
          <w:p>
            <w:pPr>
              <w:spacing w:after="0"/>
              <w:rPr>
                <w:sz w:val="1"/>
                <w:szCs w:val="1"/>
                <w:color w:val="auto"/>
              </w:rPr>
            </w:pPr>
          </w:p>
        </w:tc>
      </w:tr>
      <w:tr>
        <w:trPr>
          <w:trHeight w:val="179"/>
        </w:trPr>
        <w:tc>
          <w:tcPr>
            <w:tcW w:w="1120" w:type="dxa"/>
            <w:vAlign w:val="bottom"/>
            <w:shd w:val="clear" w:color="auto" w:fill="E6E7E7"/>
          </w:tcPr>
          <w:p>
            <w:pPr>
              <w:spacing w:after="0"/>
              <w:rPr>
                <w:sz w:val="15"/>
                <w:szCs w:val="15"/>
                <w:color w:val="auto"/>
              </w:rPr>
            </w:pPr>
          </w:p>
        </w:tc>
        <w:tc>
          <w:tcPr>
            <w:tcW w:w="1280" w:type="dxa"/>
            <w:vAlign w:val="bottom"/>
            <w:shd w:val="clear" w:color="auto" w:fill="E6E7E7"/>
          </w:tcPr>
          <w:p>
            <w:pPr>
              <w:spacing w:after="0"/>
              <w:rPr>
                <w:sz w:val="15"/>
                <w:szCs w:val="15"/>
                <w:color w:val="auto"/>
              </w:rPr>
            </w:pPr>
          </w:p>
        </w:tc>
        <w:tc>
          <w:tcPr>
            <w:tcW w:w="100" w:type="dxa"/>
            <w:vAlign w:val="bottom"/>
          </w:tcPr>
          <w:p>
            <w:pPr>
              <w:spacing w:after="0"/>
              <w:rPr>
                <w:sz w:val="15"/>
                <w:szCs w:val="15"/>
                <w:color w:val="auto"/>
              </w:rPr>
            </w:pPr>
          </w:p>
        </w:tc>
        <w:tc>
          <w:tcPr>
            <w:tcW w:w="2860" w:type="dxa"/>
            <w:vAlign w:val="bottom"/>
            <w:shd w:val="clear" w:color="auto" w:fill="E6E7E7"/>
          </w:tcPr>
          <w:p>
            <w:pPr>
              <w:ind w:left="20"/>
              <w:spacing w:after="0"/>
              <w:rPr>
                <w:sz w:val="20"/>
                <w:szCs w:val="20"/>
                <w:color w:val="auto"/>
              </w:rPr>
            </w:pPr>
            <w:r>
              <w:rPr>
                <w:rFonts w:ascii="Arial" w:cs="Arial" w:eastAsia="Arial" w:hAnsi="Arial"/>
                <w:sz w:val="13"/>
                <w:szCs w:val="13"/>
                <w:color w:val="auto"/>
              </w:rPr>
              <w:t>Qualifying</w:t>
            </w:r>
          </w:p>
        </w:tc>
        <w:tc>
          <w:tcPr>
            <w:tcW w:w="100" w:type="dxa"/>
            <w:vAlign w:val="bottom"/>
          </w:tcPr>
          <w:p>
            <w:pPr>
              <w:spacing w:after="0"/>
              <w:rPr>
                <w:sz w:val="15"/>
                <w:szCs w:val="15"/>
                <w:color w:val="auto"/>
              </w:rPr>
            </w:pPr>
          </w:p>
        </w:tc>
        <w:tc>
          <w:tcPr>
            <w:tcW w:w="124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6,000,000</w:t>
            </w:r>
          </w:p>
        </w:tc>
        <w:tc>
          <w:tcPr>
            <w:tcW w:w="100" w:type="dxa"/>
            <w:vAlign w:val="bottom"/>
          </w:tcPr>
          <w:p>
            <w:pPr>
              <w:spacing w:after="0"/>
              <w:rPr>
                <w:sz w:val="15"/>
                <w:szCs w:val="15"/>
                <w:color w:val="auto"/>
              </w:rPr>
            </w:pPr>
          </w:p>
        </w:tc>
        <w:tc>
          <w:tcPr>
            <w:tcW w:w="154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8,014,658</w:t>
            </w:r>
          </w:p>
        </w:tc>
        <w:tc>
          <w:tcPr>
            <w:tcW w:w="80" w:type="dxa"/>
            <w:vAlign w:val="bottom"/>
          </w:tcPr>
          <w:p>
            <w:pPr>
              <w:spacing w:after="0"/>
              <w:rPr>
                <w:sz w:val="15"/>
                <w:szCs w:val="15"/>
                <w:color w:val="auto"/>
              </w:rPr>
            </w:pPr>
          </w:p>
        </w:tc>
        <w:tc>
          <w:tcPr>
            <w:tcW w:w="120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644,671</w:t>
            </w:r>
          </w:p>
        </w:tc>
        <w:tc>
          <w:tcPr>
            <w:tcW w:w="80" w:type="dxa"/>
            <w:vAlign w:val="bottom"/>
          </w:tcPr>
          <w:p>
            <w:pPr>
              <w:spacing w:after="0"/>
              <w:rPr>
                <w:sz w:val="15"/>
                <w:szCs w:val="15"/>
                <w:color w:val="auto"/>
              </w:rPr>
            </w:pPr>
          </w:p>
        </w:tc>
        <w:tc>
          <w:tcPr>
            <w:tcW w:w="154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14,659,329</w:t>
            </w:r>
          </w:p>
        </w:tc>
        <w:tc>
          <w:tcPr>
            <w:tcW w:w="0" w:type="dxa"/>
            <w:vAlign w:val="bottom"/>
          </w:tcPr>
          <w:p>
            <w:pPr>
              <w:spacing w:after="0"/>
              <w:rPr>
                <w:sz w:val="1"/>
                <w:szCs w:val="1"/>
                <w:color w:val="auto"/>
              </w:rPr>
            </w:pPr>
          </w:p>
        </w:tc>
      </w:tr>
      <w:tr>
        <w:trPr>
          <w:trHeight w:val="185"/>
        </w:trPr>
        <w:tc>
          <w:tcPr>
            <w:tcW w:w="1120" w:type="dxa"/>
            <w:vAlign w:val="bottom"/>
            <w:shd w:val="clear" w:color="auto" w:fill="E6E7E7"/>
          </w:tcPr>
          <w:p>
            <w:pPr>
              <w:spacing w:after="0"/>
              <w:rPr>
                <w:sz w:val="16"/>
                <w:szCs w:val="16"/>
                <w:color w:val="auto"/>
              </w:rPr>
            </w:pPr>
          </w:p>
        </w:tc>
        <w:tc>
          <w:tcPr>
            <w:tcW w:w="1280" w:type="dxa"/>
            <w:vAlign w:val="bottom"/>
            <w:shd w:val="clear" w:color="auto" w:fill="E6E7E7"/>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shd w:val="clear" w:color="auto" w:fill="E6E7E7"/>
          </w:tcPr>
          <w:p>
            <w:pPr>
              <w:ind w:left="20"/>
              <w:spacing w:after="0"/>
              <w:rPr>
                <w:sz w:val="20"/>
                <w:szCs w:val="20"/>
                <w:color w:val="auto"/>
              </w:rPr>
            </w:pPr>
            <w:r>
              <w:rPr>
                <w:rFonts w:ascii="Arial" w:cs="Arial" w:eastAsia="Arial" w:hAnsi="Arial"/>
                <w:sz w:val="13"/>
                <w:szCs w:val="13"/>
                <w:color w:val="auto"/>
              </w:rPr>
              <w:t>Non-Qualifying</w:t>
            </w:r>
          </w:p>
        </w:tc>
        <w:tc>
          <w:tcPr>
            <w:tcW w:w="100" w:type="dxa"/>
            <w:vAlign w:val="bottom"/>
          </w:tcPr>
          <w:p>
            <w:pPr>
              <w:spacing w:after="0"/>
              <w:rPr>
                <w:sz w:val="16"/>
                <w:szCs w:val="16"/>
                <w:color w:val="auto"/>
              </w:rPr>
            </w:pPr>
          </w:p>
        </w:tc>
        <w:tc>
          <w:tcPr>
            <w:tcW w:w="1240" w:type="dxa"/>
            <w:vAlign w:val="bottom"/>
            <w:shd w:val="clear" w:color="auto" w:fill="E6E7E7"/>
          </w:tcPr>
          <w:p>
            <w:pPr>
              <w:jc w:val="center"/>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6"/>
                <w:szCs w:val="16"/>
                <w:color w:val="auto"/>
              </w:rPr>
            </w:pPr>
          </w:p>
        </w:tc>
        <w:tc>
          <w:tcPr>
            <w:tcW w:w="1540" w:type="dxa"/>
            <w:vAlign w:val="bottom"/>
            <w:shd w:val="clear" w:color="auto" w:fill="E6E7E7"/>
          </w:tcPr>
          <w:p>
            <w:pPr>
              <w:jc w:val="center"/>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6"/>
                <w:szCs w:val="16"/>
                <w:color w:val="auto"/>
              </w:rPr>
            </w:pPr>
          </w:p>
        </w:tc>
        <w:tc>
          <w:tcPr>
            <w:tcW w:w="1200" w:type="dxa"/>
            <w:vAlign w:val="bottom"/>
            <w:shd w:val="clear" w:color="auto" w:fill="E6E7E7"/>
          </w:tcPr>
          <w:p>
            <w:pPr>
              <w:jc w:val="center"/>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6"/>
                <w:szCs w:val="16"/>
                <w:color w:val="auto"/>
              </w:rPr>
            </w:pPr>
          </w:p>
        </w:tc>
        <w:tc>
          <w:tcPr>
            <w:tcW w:w="154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4"/>
        </w:trPr>
        <w:tc>
          <w:tcPr>
            <w:tcW w:w="1120" w:type="dxa"/>
            <w:vAlign w:val="bottom"/>
            <w:shd w:val="clear" w:color="auto" w:fill="E6E7E7"/>
          </w:tcPr>
          <w:p>
            <w:pPr>
              <w:spacing w:after="0"/>
              <w:rPr>
                <w:sz w:val="9"/>
                <w:szCs w:val="9"/>
                <w:color w:val="auto"/>
              </w:rPr>
            </w:pPr>
          </w:p>
        </w:tc>
        <w:tc>
          <w:tcPr>
            <w:tcW w:w="1280" w:type="dxa"/>
            <w:vAlign w:val="bottom"/>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2860" w:type="dxa"/>
            <w:vAlign w:val="bottom"/>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shd w:val="clear" w:color="auto" w:fill="E6E7E7"/>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shd w:val="clear" w:color="auto" w:fill="E6E7E7"/>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shd w:val="clear" w:color="auto" w:fill="E6E7E7"/>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2400" w:type="dxa"/>
            <w:vAlign w:val="bottom"/>
            <w:gridSpan w:val="2"/>
          </w:tcPr>
          <w:p>
            <w:pPr>
              <w:ind w:left="20"/>
              <w:spacing w:after="0"/>
              <w:rPr>
                <w:sz w:val="20"/>
                <w:szCs w:val="20"/>
                <w:color w:val="auto"/>
              </w:rPr>
            </w:pPr>
            <w:r>
              <w:rPr>
                <w:rFonts w:ascii="Arial" w:cs="Arial" w:eastAsia="Arial" w:hAnsi="Arial"/>
                <w:sz w:val="13"/>
                <w:szCs w:val="13"/>
                <w:b w:val="1"/>
                <w:bCs w:val="1"/>
                <w:color w:val="520B90"/>
              </w:rPr>
              <w:t>Sunit S. Patel</w:t>
            </w:r>
          </w:p>
        </w:tc>
        <w:tc>
          <w:tcPr>
            <w:tcW w:w="100" w:type="dxa"/>
            <w:vAlign w:val="bottom"/>
          </w:tcPr>
          <w:p>
            <w:pPr>
              <w:spacing w:after="0"/>
              <w:rPr>
                <w:sz w:val="23"/>
                <w:szCs w:val="23"/>
                <w:color w:val="auto"/>
              </w:rPr>
            </w:pPr>
          </w:p>
        </w:tc>
        <w:tc>
          <w:tcPr>
            <w:tcW w:w="2860" w:type="dxa"/>
            <w:vAlign w:val="bottom"/>
          </w:tcPr>
          <w:p>
            <w:pPr>
              <w:ind w:left="20"/>
              <w:spacing w:after="0"/>
              <w:rPr>
                <w:sz w:val="20"/>
                <w:szCs w:val="20"/>
                <w:color w:val="auto"/>
              </w:rPr>
            </w:pPr>
            <w:r>
              <w:rPr>
                <w:rFonts w:ascii="Arial" w:cs="Arial" w:eastAsia="Arial" w:hAnsi="Arial"/>
                <w:sz w:val="13"/>
                <w:szCs w:val="13"/>
                <w:color w:val="auto"/>
              </w:rPr>
              <w:t>Qualifying Upon Change in Control</w:t>
            </w:r>
          </w:p>
        </w:tc>
        <w:tc>
          <w:tcPr>
            <w:tcW w:w="1340" w:type="dxa"/>
            <w:vAlign w:val="bottom"/>
            <w:gridSpan w:val="2"/>
          </w:tcPr>
          <w:p>
            <w:pPr>
              <w:jc w:val="center"/>
              <w:ind w:left="34"/>
              <w:spacing w:after="0"/>
              <w:rPr>
                <w:sz w:val="20"/>
                <w:szCs w:val="20"/>
                <w:color w:val="auto"/>
              </w:rPr>
            </w:pPr>
            <w:r>
              <w:rPr>
                <w:rFonts w:ascii="Arial" w:cs="Arial" w:eastAsia="Arial" w:hAnsi="Arial"/>
                <w:sz w:val="13"/>
                <w:szCs w:val="13"/>
                <w:color w:val="auto"/>
              </w:rPr>
              <w:t>2,500,000</w:t>
            </w:r>
          </w:p>
        </w:tc>
        <w:tc>
          <w:tcPr>
            <w:tcW w:w="1640" w:type="dxa"/>
            <w:vAlign w:val="bottom"/>
            <w:gridSpan w:val="2"/>
          </w:tcPr>
          <w:p>
            <w:pPr>
              <w:jc w:val="center"/>
              <w:ind w:left="14"/>
              <w:spacing w:after="0"/>
              <w:rPr>
                <w:sz w:val="20"/>
                <w:szCs w:val="20"/>
                <w:color w:val="auto"/>
              </w:rPr>
            </w:pPr>
            <w:r>
              <w:rPr>
                <w:rFonts w:ascii="Arial" w:cs="Arial" w:eastAsia="Arial" w:hAnsi="Arial"/>
                <w:sz w:val="13"/>
                <w:szCs w:val="13"/>
                <w:color w:val="auto"/>
              </w:rPr>
              <w:t>6,618,750</w:t>
            </w:r>
          </w:p>
        </w:tc>
        <w:tc>
          <w:tcPr>
            <w:tcW w:w="1280" w:type="dxa"/>
            <w:vAlign w:val="bottom"/>
            <w:gridSpan w:val="2"/>
          </w:tcPr>
          <w:p>
            <w:pPr>
              <w:jc w:val="center"/>
              <w:ind w:left="14"/>
              <w:spacing w:after="0"/>
              <w:rPr>
                <w:sz w:val="20"/>
                <w:szCs w:val="20"/>
                <w:color w:val="auto"/>
              </w:rPr>
            </w:pPr>
            <w:r>
              <w:rPr>
                <w:rFonts w:ascii="Arial" w:cs="Arial" w:eastAsia="Arial" w:hAnsi="Arial"/>
                <w:sz w:val="13"/>
                <w:szCs w:val="13"/>
                <w:color w:val="auto"/>
              </w:rPr>
              <w:t>508,020</w:t>
            </w:r>
          </w:p>
        </w:tc>
        <w:tc>
          <w:tcPr>
            <w:tcW w:w="1620" w:type="dxa"/>
            <w:vAlign w:val="bottom"/>
            <w:gridSpan w:val="2"/>
          </w:tcPr>
          <w:p>
            <w:pPr>
              <w:jc w:val="center"/>
              <w:ind w:left="14"/>
              <w:spacing w:after="0"/>
              <w:rPr>
                <w:sz w:val="20"/>
                <w:szCs w:val="20"/>
                <w:color w:val="auto"/>
              </w:rPr>
            </w:pPr>
            <w:r>
              <w:rPr>
                <w:rFonts w:ascii="Arial" w:cs="Arial" w:eastAsia="Arial" w:hAnsi="Arial"/>
                <w:sz w:val="13"/>
                <w:szCs w:val="13"/>
                <w:color w:val="auto"/>
              </w:rPr>
              <w:t>9,626,770</w:t>
            </w:r>
          </w:p>
        </w:tc>
        <w:tc>
          <w:tcPr>
            <w:tcW w:w="0" w:type="dxa"/>
            <w:vAlign w:val="bottom"/>
          </w:tcPr>
          <w:p>
            <w:pPr>
              <w:spacing w:after="0"/>
              <w:rPr>
                <w:sz w:val="1"/>
                <w:szCs w:val="1"/>
                <w:color w:val="auto"/>
              </w:rPr>
            </w:pPr>
          </w:p>
        </w:tc>
      </w:tr>
      <w:tr>
        <w:trPr>
          <w:trHeight w:val="179"/>
        </w:trPr>
        <w:tc>
          <w:tcPr>
            <w:tcW w:w="1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60" w:type="dxa"/>
            <w:vAlign w:val="bottom"/>
          </w:tcPr>
          <w:p>
            <w:pPr>
              <w:ind w:left="20"/>
              <w:spacing w:after="0"/>
              <w:rPr>
                <w:sz w:val="20"/>
                <w:szCs w:val="20"/>
                <w:color w:val="auto"/>
              </w:rPr>
            </w:pPr>
            <w:r>
              <w:rPr>
                <w:rFonts w:ascii="Arial" w:cs="Arial" w:eastAsia="Arial" w:hAnsi="Arial"/>
                <w:sz w:val="13"/>
                <w:szCs w:val="13"/>
                <w:color w:val="auto"/>
              </w:rPr>
              <w:t>Qualifying</w:t>
            </w:r>
          </w:p>
        </w:tc>
        <w:tc>
          <w:tcPr>
            <w:tcW w:w="1340" w:type="dxa"/>
            <w:vAlign w:val="bottom"/>
            <w:gridSpan w:val="2"/>
          </w:tcPr>
          <w:p>
            <w:pPr>
              <w:jc w:val="center"/>
              <w:ind w:left="34"/>
              <w:spacing w:after="0"/>
              <w:rPr>
                <w:sz w:val="20"/>
                <w:szCs w:val="20"/>
                <w:color w:val="auto"/>
              </w:rPr>
            </w:pPr>
            <w:r>
              <w:rPr>
                <w:rFonts w:ascii="Arial" w:cs="Arial" w:eastAsia="Arial" w:hAnsi="Arial"/>
                <w:sz w:val="13"/>
                <w:szCs w:val="13"/>
                <w:color w:val="auto"/>
              </w:rPr>
              <w:t>1,250,000</w:t>
            </w:r>
          </w:p>
        </w:tc>
        <w:tc>
          <w:tcPr>
            <w:tcW w:w="1640" w:type="dxa"/>
            <w:vAlign w:val="bottom"/>
            <w:gridSpan w:val="2"/>
          </w:tcPr>
          <w:p>
            <w:pPr>
              <w:jc w:val="center"/>
              <w:ind w:left="14"/>
              <w:spacing w:after="0"/>
              <w:rPr>
                <w:sz w:val="20"/>
                <w:szCs w:val="20"/>
                <w:color w:val="auto"/>
              </w:rPr>
            </w:pPr>
            <w:r>
              <w:rPr>
                <w:rFonts w:ascii="Arial" w:cs="Arial" w:eastAsia="Arial" w:hAnsi="Arial"/>
                <w:sz w:val="13"/>
                <w:szCs w:val="13"/>
                <w:color w:val="auto"/>
              </w:rPr>
              <w:t>2,831,044</w:t>
            </w:r>
          </w:p>
        </w:tc>
        <w:tc>
          <w:tcPr>
            <w:tcW w:w="1280" w:type="dxa"/>
            <w:vAlign w:val="bottom"/>
            <w:gridSpan w:val="2"/>
          </w:tcPr>
          <w:p>
            <w:pPr>
              <w:jc w:val="center"/>
              <w:ind w:left="14"/>
              <w:spacing w:after="0"/>
              <w:rPr>
                <w:sz w:val="20"/>
                <w:szCs w:val="20"/>
                <w:color w:val="auto"/>
              </w:rPr>
            </w:pPr>
            <w:r>
              <w:rPr>
                <w:rFonts w:ascii="Arial" w:cs="Arial" w:eastAsia="Arial" w:hAnsi="Arial"/>
                <w:sz w:val="13"/>
                <w:szCs w:val="13"/>
                <w:color w:val="auto"/>
              </w:rPr>
              <w:t>489,455</w:t>
            </w:r>
          </w:p>
        </w:tc>
        <w:tc>
          <w:tcPr>
            <w:tcW w:w="1620" w:type="dxa"/>
            <w:vAlign w:val="bottom"/>
            <w:gridSpan w:val="2"/>
          </w:tcPr>
          <w:p>
            <w:pPr>
              <w:jc w:val="center"/>
              <w:ind w:left="14"/>
              <w:spacing w:after="0"/>
              <w:rPr>
                <w:sz w:val="20"/>
                <w:szCs w:val="20"/>
                <w:color w:val="auto"/>
              </w:rPr>
            </w:pPr>
            <w:r>
              <w:rPr>
                <w:rFonts w:ascii="Arial" w:cs="Arial" w:eastAsia="Arial" w:hAnsi="Arial"/>
                <w:sz w:val="13"/>
                <w:szCs w:val="13"/>
                <w:color w:val="auto"/>
              </w:rPr>
              <w:t>4,570,499</w:t>
            </w:r>
          </w:p>
        </w:tc>
        <w:tc>
          <w:tcPr>
            <w:tcW w:w="0" w:type="dxa"/>
            <w:vAlign w:val="bottom"/>
          </w:tcPr>
          <w:p>
            <w:pPr>
              <w:spacing w:after="0"/>
              <w:rPr>
                <w:sz w:val="1"/>
                <w:szCs w:val="1"/>
                <w:color w:val="auto"/>
              </w:rPr>
            </w:pPr>
          </w:p>
        </w:tc>
      </w:tr>
      <w:tr>
        <w:trPr>
          <w:trHeight w:val="185"/>
        </w:trPr>
        <w:tc>
          <w:tcPr>
            <w:tcW w:w="1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tcPr>
          <w:p>
            <w:pPr>
              <w:ind w:left="20"/>
              <w:spacing w:after="0"/>
              <w:rPr>
                <w:sz w:val="20"/>
                <w:szCs w:val="20"/>
                <w:color w:val="auto"/>
              </w:rPr>
            </w:pPr>
            <w:r>
              <w:rPr>
                <w:rFonts w:ascii="Arial" w:cs="Arial" w:eastAsia="Arial" w:hAnsi="Arial"/>
                <w:sz w:val="13"/>
                <w:szCs w:val="13"/>
                <w:color w:val="auto"/>
              </w:rPr>
              <w:t>Non-Qualifying</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4"/>
        </w:trPr>
        <w:tc>
          <w:tcPr>
            <w:tcW w:w="1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340" w:type="dxa"/>
            <w:vAlign w:val="bottom"/>
            <w:gridSpan w:val="2"/>
          </w:tcPr>
          <w:p>
            <w:pPr>
              <w:spacing w:after="0"/>
              <w:rPr>
                <w:sz w:val="9"/>
                <w:szCs w:val="9"/>
                <w:color w:val="auto"/>
              </w:rPr>
            </w:pPr>
          </w:p>
        </w:tc>
        <w:tc>
          <w:tcPr>
            <w:tcW w:w="1640" w:type="dxa"/>
            <w:vAlign w:val="bottom"/>
            <w:gridSpan w:val="2"/>
          </w:tcPr>
          <w:p>
            <w:pPr>
              <w:spacing w:after="0"/>
              <w:rPr>
                <w:sz w:val="9"/>
                <w:szCs w:val="9"/>
                <w:color w:val="auto"/>
              </w:rPr>
            </w:pPr>
          </w:p>
        </w:tc>
        <w:tc>
          <w:tcPr>
            <w:tcW w:w="1280" w:type="dxa"/>
            <w:vAlign w:val="bottom"/>
            <w:gridSpan w:val="2"/>
          </w:tcPr>
          <w:p>
            <w:pPr>
              <w:spacing w:after="0"/>
              <w:rPr>
                <w:sz w:val="9"/>
                <w:szCs w:val="9"/>
                <w:color w:val="auto"/>
              </w:rPr>
            </w:pPr>
          </w:p>
        </w:tc>
        <w:tc>
          <w:tcPr>
            <w:tcW w:w="16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2400" w:type="dxa"/>
            <w:vAlign w:val="bottom"/>
            <w:gridSpan w:val="2"/>
            <w:shd w:val="clear" w:color="auto" w:fill="E6E7E7"/>
          </w:tcPr>
          <w:p>
            <w:pPr>
              <w:ind w:left="20"/>
              <w:spacing w:after="0"/>
              <w:rPr>
                <w:sz w:val="20"/>
                <w:szCs w:val="20"/>
                <w:color w:val="auto"/>
              </w:rPr>
            </w:pPr>
            <w:r>
              <w:rPr>
                <w:rFonts w:ascii="Arial" w:cs="Arial" w:eastAsia="Arial" w:hAnsi="Arial"/>
                <w:sz w:val="13"/>
                <w:szCs w:val="13"/>
                <w:b w:val="1"/>
                <w:bCs w:val="1"/>
                <w:color w:val="520B90"/>
              </w:rPr>
              <w:t>Daniel K. Schlanger</w:t>
            </w:r>
          </w:p>
        </w:tc>
        <w:tc>
          <w:tcPr>
            <w:tcW w:w="100" w:type="dxa"/>
            <w:vAlign w:val="bottom"/>
          </w:tcPr>
          <w:p>
            <w:pPr>
              <w:spacing w:after="0"/>
              <w:rPr>
                <w:sz w:val="23"/>
                <w:szCs w:val="23"/>
                <w:color w:val="auto"/>
              </w:rPr>
            </w:pPr>
          </w:p>
        </w:tc>
        <w:tc>
          <w:tcPr>
            <w:tcW w:w="2860" w:type="dxa"/>
            <w:vAlign w:val="bottom"/>
            <w:shd w:val="clear" w:color="auto" w:fill="E6E7E7"/>
          </w:tcPr>
          <w:p>
            <w:pPr>
              <w:ind w:left="20"/>
              <w:spacing w:after="0"/>
              <w:rPr>
                <w:sz w:val="20"/>
                <w:szCs w:val="20"/>
                <w:color w:val="auto"/>
              </w:rPr>
            </w:pPr>
            <w:r>
              <w:rPr>
                <w:rFonts w:ascii="Arial" w:cs="Arial" w:eastAsia="Arial" w:hAnsi="Arial"/>
                <w:sz w:val="13"/>
                <w:szCs w:val="13"/>
                <w:color w:val="auto"/>
              </w:rPr>
              <w:t>Qualifying Upon Change in Control</w:t>
            </w:r>
          </w:p>
        </w:tc>
        <w:tc>
          <w:tcPr>
            <w:tcW w:w="100" w:type="dxa"/>
            <w:vAlign w:val="bottom"/>
          </w:tcPr>
          <w:p>
            <w:pPr>
              <w:spacing w:after="0"/>
              <w:rPr>
                <w:sz w:val="23"/>
                <w:szCs w:val="23"/>
                <w:color w:val="auto"/>
              </w:rPr>
            </w:pPr>
          </w:p>
        </w:tc>
        <w:tc>
          <w:tcPr>
            <w:tcW w:w="124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2,560,000</w:t>
            </w:r>
          </w:p>
        </w:tc>
        <w:tc>
          <w:tcPr>
            <w:tcW w:w="100" w:type="dxa"/>
            <w:vAlign w:val="bottom"/>
          </w:tcPr>
          <w:p>
            <w:pPr>
              <w:spacing w:after="0"/>
              <w:rPr>
                <w:sz w:val="23"/>
                <w:szCs w:val="23"/>
                <w:color w:val="auto"/>
              </w:rPr>
            </w:pPr>
          </w:p>
        </w:tc>
        <w:tc>
          <w:tcPr>
            <w:tcW w:w="154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14,433,860</w:t>
            </w:r>
          </w:p>
        </w:tc>
        <w:tc>
          <w:tcPr>
            <w:tcW w:w="80" w:type="dxa"/>
            <w:vAlign w:val="bottom"/>
          </w:tcPr>
          <w:p>
            <w:pPr>
              <w:spacing w:after="0"/>
              <w:rPr>
                <w:sz w:val="23"/>
                <w:szCs w:val="23"/>
                <w:color w:val="auto"/>
              </w:rPr>
            </w:pPr>
          </w:p>
        </w:tc>
        <w:tc>
          <w:tcPr>
            <w:tcW w:w="120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696,296</w:t>
            </w:r>
          </w:p>
        </w:tc>
        <w:tc>
          <w:tcPr>
            <w:tcW w:w="80" w:type="dxa"/>
            <w:vAlign w:val="bottom"/>
          </w:tcPr>
          <w:p>
            <w:pPr>
              <w:spacing w:after="0"/>
              <w:rPr>
                <w:sz w:val="23"/>
                <w:szCs w:val="23"/>
                <w:color w:val="auto"/>
              </w:rPr>
            </w:pPr>
          </w:p>
        </w:tc>
        <w:tc>
          <w:tcPr>
            <w:tcW w:w="154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17,690,156</w:t>
            </w:r>
          </w:p>
        </w:tc>
        <w:tc>
          <w:tcPr>
            <w:tcW w:w="0" w:type="dxa"/>
            <w:vAlign w:val="bottom"/>
          </w:tcPr>
          <w:p>
            <w:pPr>
              <w:spacing w:after="0"/>
              <w:rPr>
                <w:sz w:val="1"/>
                <w:szCs w:val="1"/>
                <w:color w:val="auto"/>
              </w:rPr>
            </w:pPr>
          </w:p>
        </w:tc>
      </w:tr>
      <w:tr>
        <w:trPr>
          <w:trHeight w:val="179"/>
        </w:trPr>
        <w:tc>
          <w:tcPr>
            <w:tcW w:w="1120" w:type="dxa"/>
            <w:vAlign w:val="bottom"/>
            <w:shd w:val="clear" w:color="auto" w:fill="E6E7E7"/>
          </w:tcPr>
          <w:p>
            <w:pPr>
              <w:spacing w:after="0"/>
              <w:rPr>
                <w:sz w:val="15"/>
                <w:szCs w:val="15"/>
                <w:color w:val="auto"/>
              </w:rPr>
            </w:pPr>
          </w:p>
        </w:tc>
        <w:tc>
          <w:tcPr>
            <w:tcW w:w="1280" w:type="dxa"/>
            <w:vAlign w:val="bottom"/>
            <w:shd w:val="clear" w:color="auto" w:fill="E6E7E7"/>
          </w:tcPr>
          <w:p>
            <w:pPr>
              <w:spacing w:after="0"/>
              <w:rPr>
                <w:sz w:val="15"/>
                <w:szCs w:val="15"/>
                <w:color w:val="auto"/>
              </w:rPr>
            </w:pPr>
          </w:p>
        </w:tc>
        <w:tc>
          <w:tcPr>
            <w:tcW w:w="100" w:type="dxa"/>
            <w:vAlign w:val="bottom"/>
          </w:tcPr>
          <w:p>
            <w:pPr>
              <w:spacing w:after="0"/>
              <w:rPr>
                <w:sz w:val="15"/>
                <w:szCs w:val="15"/>
                <w:color w:val="auto"/>
              </w:rPr>
            </w:pPr>
          </w:p>
        </w:tc>
        <w:tc>
          <w:tcPr>
            <w:tcW w:w="2860" w:type="dxa"/>
            <w:vAlign w:val="bottom"/>
            <w:shd w:val="clear" w:color="auto" w:fill="E6E7E7"/>
          </w:tcPr>
          <w:p>
            <w:pPr>
              <w:ind w:left="20"/>
              <w:spacing w:after="0"/>
              <w:rPr>
                <w:sz w:val="20"/>
                <w:szCs w:val="20"/>
                <w:color w:val="auto"/>
              </w:rPr>
            </w:pPr>
            <w:r>
              <w:rPr>
                <w:rFonts w:ascii="Arial" w:cs="Arial" w:eastAsia="Arial" w:hAnsi="Arial"/>
                <w:sz w:val="13"/>
                <w:szCs w:val="13"/>
                <w:color w:val="auto"/>
              </w:rPr>
              <w:t>Qualifying</w:t>
            </w:r>
          </w:p>
        </w:tc>
        <w:tc>
          <w:tcPr>
            <w:tcW w:w="100" w:type="dxa"/>
            <w:vAlign w:val="bottom"/>
          </w:tcPr>
          <w:p>
            <w:pPr>
              <w:spacing w:after="0"/>
              <w:rPr>
                <w:sz w:val="15"/>
                <w:szCs w:val="15"/>
                <w:color w:val="auto"/>
              </w:rPr>
            </w:pPr>
          </w:p>
        </w:tc>
        <w:tc>
          <w:tcPr>
            <w:tcW w:w="124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1,280,000</w:t>
            </w:r>
          </w:p>
        </w:tc>
        <w:tc>
          <w:tcPr>
            <w:tcW w:w="100" w:type="dxa"/>
            <w:vAlign w:val="bottom"/>
          </w:tcPr>
          <w:p>
            <w:pPr>
              <w:spacing w:after="0"/>
              <w:rPr>
                <w:sz w:val="15"/>
                <w:szCs w:val="15"/>
                <w:color w:val="auto"/>
              </w:rPr>
            </w:pPr>
          </w:p>
        </w:tc>
        <w:tc>
          <w:tcPr>
            <w:tcW w:w="154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6,128,972</w:t>
            </w:r>
          </w:p>
        </w:tc>
        <w:tc>
          <w:tcPr>
            <w:tcW w:w="80" w:type="dxa"/>
            <w:vAlign w:val="bottom"/>
          </w:tcPr>
          <w:p>
            <w:pPr>
              <w:spacing w:after="0"/>
              <w:rPr>
                <w:sz w:val="15"/>
                <w:szCs w:val="15"/>
                <w:color w:val="auto"/>
              </w:rPr>
            </w:pPr>
          </w:p>
        </w:tc>
        <w:tc>
          <w:tcPr>
            <w:tcW w:w="120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668,148</w:t>
            </w:r>
          </w:p>
        </w:tc>
        <w:tc>
          <w:tcPr>
            <w:tcW w:w="80" w:type="dxa"/>
            <w:vAlign w:val="bottom"/>
          </w:tcPr>
          <w:p>
            <w:pPr>
              <w:spacing w:after="0"/>
              <w:rPr>
                <w:sz w:val="15"/>
                <w:szCs w:val="15"/>
                <w:color w:val="auto"/>
              </w:rPr>
            </w:pPr>
          </w:p>
        </w:tc>
        <w:tc>
          <w:tcPr>
            <w:tcW w:w="154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8,077,120</w:t>
            </w:r>
          </w:p>
        </w:tc>
        <w:tc>
          <w:tcPr>
            <w:tcW w:w="0" w:type="dxa"/>
            <w:vAlign w:val="bottom"/>
          </w:tcPr>
          <w:p>
            <w:pPr>
              <w:spacing w:after="0"/>
              <w:rPr>
                <w:sz w:val="1"/>
                <w:szCs w:val="1"/>
                <w:color w:val="auto"/>
              </w:rPr>
            </w:pPr>
          </w:p>
        </w:tc>
      </w:tr>
      <w:tr>
        <w:trPr>
          <w:trHeight w:val="185"/>
        </w:trPr>
        <w:tc>
          <w:tcPr>
            <w:tcW w:w="1120" w:type="dxa"/>
            <w:vAlign w:val="bottom"/>
            <w:shd w:val="clear" w:color="auto" w:fill="E6E7E7"/>
          </w:tcPr>
          <w:p>
            <w:pPr>
              <w:spacing w:after="0"/>
              <w:rPr>
                <w:sz w:val="16"/>
                <w:szCs w:val="16"/>
                <w:color w:val="auto"/>
              </w:rPr>
            </w:pPr>
          </w:p>
        </w:tc>
        <w:tc>
          <w:tcPr>
            <w:tcW w:w="1280" w:type="dxa"/>
            <w:vAlign w:val="bottom"/>
            <w:shd w:val="clear" w:color="auto" w:fill="E6E7E7"/>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shd w:val="clear" w:color="auto" w:fill="E6E7E7"/>
          </w:tcPr>
          <w:p>
            <w:pPr>
              <w:ind w:left="20"/>
              <w:spacing w:after="0"/>
              <w:rPr>
                <w:sz w:val="20"/>
                <w:szCs w:val="20"/>
                <w:color w:val="auto"/>
              </w:rPr>
            </w:pPr>
            <w:r>
              <w:rPr>
                <w:rFonts w:ascii="Arial" w:cs="Arial" w:eastAsia="Arial" w:hAnsi="Arial"/>
                <w:sz w:val="13"/>
                <w:szCs w:val="13"/>
                <w:color w:val="auto"/>
              </w:rPr>
              <w:t>Non-Qualifying</w:t>
            </w:r>
          </w:p>
        </w:tc>
        <w:tc>
          <w:tcPr>
            <w:tcW w:w="100" w:type="dxa"/>
            <w:vAlign w:val="bottom"/>
          </w:tcPr>
          <w:p>
            <w:pPr>
              <w:spacing w:after="0"/>
              <w:rPr>
                <w:sz w:val="16"/>
                <w:szCs w:val="16"/>
                <w:color w:val="auto"/>
              </w:rPr>
            </w:pPr>
          </w:p>
        </w:tc>
        <w:tc>
          <w:tcPr>
            <w:tcW w:w="1240" w:type="dxa"/>
            <w:vAlign w:val="bottom"/>
            <w:shd w:val="clear" w:color="auto" w:fill="E6E7E7"/>
          </w:tcPr>
          <w:p>
            <w:pPr>
              <w:jc w:val="center"/>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6"/>
                <w:szCs w:val="16"/>
                <w:color w:val="auto"/>
              </w:rPr>
            </w:pPr>
          </w:p>
        </w:tc>
        <w:tc>
          <w:tcPr>
            <w:tcW w:w="1540" w:type="dxa"/>
            <w:vAlign w:val="bottom"/>
            <w:shd w:val="clear" w:color="auto" w:fill="E6E7E7"/>
          </w:tcPr>
          <w:p>
            <w:pPr>
              <w:jc w:val="center"/>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6"/>
                <w:szCs w:val="16"/>
                <w:color w:val="auto"/>
              </w:rPr>
            </w:pPr>
          </w:p>
        </w:tc>
        <w:tc>
          <w:tcPr>
            <w:tcW w:w="1200" w:type="dxa"/>
            <w:vAlign w:val="bottom"/>
            <w:shd w:val="clear" w:color="auto" w:fill="E6E7E7"/>
          </w:tcPr>
          <w:p>
            <w:pPr>
              <w:jc w:val="center"/>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6"/>
                <w:szCs w:val="16"/>
                <w:color w:val="auto"/>
              </w:rPr>
            </w:pPr>
          </w:p>
        </w:tc>
        <w:tc>
          <w:tcPr>
            <w:tcW w:w="154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4"/>
        </w:trPr>
        <w:tc>
          <w:tcPr>
            <w:tcW w:w="1120" w:type="dxa"/>
            <w:vAlign w:val="bottom"/>
            <w:shd w:val="clear" w:color="auto" w:fill="E6E7E7"/>
          </w:tcPr>
          <w:p>
            <w:pPr>
              <w:spacing w:after="0"/>
              <w:rPr>
                <w:sz w:val="9"/>
                <w:szCs w:val="9"/>
                <w:color w:val="auto"/>
              </w:rPr>
            </w:pPr>
          </w:p>
        </w:tc>
        <w:tc>
          <w:tcPr>
            <w:tcW w:w="1280" w:type="dxa"/>
            <w:vAlign w:val="bottom"/>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2860" w:type="dxa"/>
            <w:vAlign w:val="bottom"/>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shd w:val="clear" w:color="auto" w:fill="E6E7E7"/>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shd w:val="clear" w:color="auto" w:fill="E6E7E7"/>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shd w:val="clear" w:color="auto" w:fill="E6E7E7"/>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2400" w:type="dxa"/>
            <w:vAlign w:val="bottom"/>
            <w:gridSpan w:val="2"/>
          </w:tcPr>
          <w:p>
            <w:pPr>
              <w:ind w:left="20"/>
              <w:spacing w:after="0"/>
              <w:rPr>
                <w:sz w:val="20"/>
                <w:szCs w:val="20"/>
                <w:color w:val="auto"/>
              </w:rPr>
            </w:pPr>
            <w:r>
              <w:rPr>
                <w:rFonts w:ascii="Arial" w:cs="Arial" w:eastAsia="Arial" w:hAnsi="Arial"/>
                <w:sz w:val="13"/>
                <w:szCs w:val="13"/>
                <w:b w:val="1"/>
                <w:bCs w:val="1"/>
                <w:color w:val="520B90"/>
              </w:rPr>
              <w:t>Christopher D. Levendos</w:t>
            </w:r>
          </w:p>
        </w:tc>
        <w:tc>
          <w:tcPr>
            <w:tcW w:w="100" w:type="dxa"/>
            <w:vAlign w:val="bottom"/>
          </w:tcPr>
          <w:p>
            <w:pPr>
              <w:spacing w:after="0"/>
              <w:rPr>
                <w:sz w:val="23"/>
                <w:szCs w:val="23"/>
                <w:color w:val="auto"/>
              </w:rPr>
            </w:pPr>
          </w:p>
        </w:tc>
        <w:tc>
          <w:tcPr>
            <w:tcW w:w="2860" w:type="dxa"/>
            <w:vAlign w:val="bottom"/>
          </w:tcPr>
          <w:p>
            <w:pPr>
              <w:ind w:left="20"/>
              <w:spacing w:after="0"/>
              <w:rPr>
                <w:sz w:val="20"/>
                <w:szCs w:val="20"/>
                <w:color w:val="auto"/>
              </w:rPr>
            </w:pPr>
            <w:r>
              <w:rPr>
                <w:rFonts w:ascii="Arial" w:cs="Arial" w:eastAsia="Arial" w:hAnsi="Arial"/>
                <w:sz w:val="13"/>
                <w:szCs w:val="13"/>
                <w:color w:val="auto"/>
              </w:rPr>
              <w:t>Qualifying Upon Change in Control</w:t>
            </w:r>
          </w:p>
        </w:tc>
        <w:tc>
          <w:tcPr>
            <w:tcW w:w="1340" w:type="dxa"/>
            <w:vAlign w:val="bottom"/>
            <w:gridSpan w:val="2"/>
          </w:tcPr>
          <w:p>
            <w:pPr>
              <w:jc w:val="center"/>
              <w:ind w:left="34"/>
              <w:spacing w:after="0"/>
              <w:rPr>
                <w:sz w:val="20"/>
                <w:szCs w:val="20"/>
                <w:color w:val="auto"/>
              </w:rPr>
            </w:pPr>
            <w:r>
              <w:rPr>
                <w:rFonts w:ascii="Arial" w:cs="Arial" w:eastAsia="Arial" w:hAnsi="Arial"/>
                <w:sz w:val="13"/>
                <w:szCs w:val="13"/>
                <w:color w:val="auto"/>
              </w:rPr>
              <w:t>2,400,000</w:t>
            </w:r>
          </w:p>
        </w:tc>
        <w:tc>
          <w:tcPr>
            <w:tcW w:w="1640" w:type="dxa"/>
            <w:vAlign w:val="bottom"/>
            <w:gridSpan w:val="2"/>
          </w:tcPr>
          <w:p>
            <w:pPr>
              <w:jc w:val="center"/>
              <w:ind w:left="14"/>
              <w:spacing w:after="0"/>
              <w:rPr>
                <w:sz w:val="20"/>
                <w:szCs w:val="20"/>
                <w:color w:val="auto"/>
              </w:rPr>
            </w:pPr>
            <w:r>
              <w:rPr>
                <w:rFonts w:ascii="Arial" w:cs="Arial" w:eastAsia="Arial" w:hAnsi="Arial"/>
                <w:sz w:val="13"/>
                <w:szCs w:val="13"/>
                <w:color w:val="auto"/>
                <w:w w:val="98"/>
              </w:rPr>
              <w:t>11,857,895</w:t>
            </w:r>
          </w:p>
        </w:tc>
        <w:tc>
          <w:tcPr>
            <w:tcW w:w="1280" w:type="dxa"/>
            <w:vAlign w:val="bottom"/>
            <w:gridSpan w:val="2"/>
          </w:tcPr>
          <w:p>
            <w:pPr>
              <w:jc w:val="center"/>
              <w:ind w:left="14"/>
              <w:spacing w:after="0"/>
              <w:rPr>
                <w:sz w:val="20"/>
                <w:szCs w:val="20"/>
                <w:color w:val="auto"/>
              </w:rPr>
            </w:pPr>
            <w:r>
              <w:rPr>
                <w:rFonts w:ascii="Arial" w:cs="Arial" w:eastAsia="Arial" w:hAnsi="Arial"/>
                <w:sz w:val="13"/>
                <w:szCs w:val="13"/>
                <w:color w:val="auto"/>
              </w:rPr>
              <w:t>656,483</w:t>
            </w:r>
          </w:p>
        </w:tc>
        <w:tc>
          <w:tcPr>
            <w:tcW w:w="1620" w:type="dxa"/>
            <w:vAlign w:val="bottom"/>
            <w:gridSpan w:val="2"/>
          </w:tcPr>
          <w:p>
            <w:pPr>
              <w:jc w:val="center"/>
              <w:ind w:left="14"/>
              <w:spacing w:after="0"/>
              <w:rPr>
                <w:sz w:val="20"/>
                <w:szCs w:val="20"/>
                <w:color w:val="auto"/>
              </w:rPr>
            </w:pPr>
            <w:r>
              <w:rPr>
                <w:rFonts w:ascii="Arial" w:cs="Arial" w:eastAsia="Arial" w:hAnsi="Arial"/>
                <w:sz w:val="13"/>
                <w:szCs w:val="13"/>
                <w:color w:val="auto"/>
              </w:rPr>
              <w:t>14,914,378</w:t>
            </w:r>
          </w:p>
        </w:tc>
        <w:tc>
          <w:tcPr>
            <w:tcW w:w="0" w:type="dxa"/>
            <w:vAlign w:val="bottom"/>
          </w:tcPr>
          <w:p>
            <w:pPr>
              <w:spacing w:after="0"/>
              <w:rPr>
                <w:sz w:val="1"/>
                <w:szCs w:val="1"/>
                <w:color w:val="auto"/>
              </w:rPr>
            </w:pPr>
          </w:p>
        </w:tc>
      </w:tr>
      <w:tr>
        <w:trPr>
          <w:trHeight w:val="179"/>
        </w:trPr>
        <w:tc>
          <w:tcPr>
            <w:tcW w:w="1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60" w:type="dxa"/>
            <w:vAlign w:val="bottom"/>
          </w:tcPr>
          <w:p>
            <w:pPr>
              <w:ind w:left="20"/>
              <w:spacing w:after="0"/>
              <w:rPr>
                <w:sz w:val="20"/>
                <w:szCs w:val="20"/>
                <w:color w:val="auto"/>
              </w:rPr>
            </w:pPr>
            <w:r>
              <w:rPr>
                <w:rFonts w:ascii="Arial" w:cs="Arial" w:eastAsia="Arial" w:hAnsi="Arial"/>
                <w:sz w:val="13"/>
                <w:szCs w:val="13"/>
                <w:color w:val="auto"/>
              </w:rPr>
              <w:t>Qualifying</w:t>
            </w:r>
          </w:p>
        </w:tc>
        <w:tc>
          <w:tcPr>
            <w:tcW w:w="1340" w:type="dxa"/>
            <w:vAlign w:val="bottom"/>
            <w:gridSpan w:val="2"/>
          </w:tcPr>
          <w:p>
            <w:pPr>
              <w:jc w:val="center"/>
              <w:ind w:left="34"/>
              <w:spacing w:after="0"/>
              <w:rPr>
                <w:sz w:val="20"/>
                <w:szCs w:val="20"/>
                <w:color w:val="auto"/>
              </w:rPr>
            </w:pPr>
            <w:r>
              <w:rPr>
                <w:rFonts w:ascii="Arial" w:cs="Arial" w:eastAsia="Arial" w:hAnsi="Arial"/>
                <w:sz w:val="13"/>
                <w:szCs w:val="13"/>
                <w:color w:val="auto"/>
              </w:rPr>
              <w:t>1,200,000</w:t>
            </w:r>
          </w:p>
        </w:tc>
        <w:tc>
          <w:tcPr>
            <w:tcW w:w="1640" w:type="dxa"/>
            <w:vAlign w:val="bottom"/>
            <w:gridSpan w:val="2"/>
          </w:tcPr>
          <w:p>
            <w:pPr>
              <w:jc w:val="center"/>
              <w:ind w:left="14"/>
              <w:spacing w:after="0"/>
              <w:rPr>
                <w:sz w:val="20"/>
                <w:szCs w:val="20"/>
                <w:color w:val="auto"/>
              </w:rPr>
            </w:pPr>
            <w:r>
              <w:rPr>
                <w:rFonts w:ascii="Arial" w:cs="Arial" w:eastAsia="Arial" w:hAnsi="Arial"/>
                <w:sz w:val="13"/>
                <w:szCs w:val="13"/>
                <w:color w:val="auto"/>
              </w:rPr>
              <w:t>2,690,506</w:t>
            </w:r>
          </w:p>
        </w:tc>
        <w:tc>
          <w:tcPr>
            <w:tcW w:w="1280" w:type="dxa"/>
            <w:vAlign w:val="bottom"/>
            <w:gridSpan w:val="2"/>
          </w:tcPr>
          <w:p>
            <w:pPr>
              <w:jc w:val="center"/>
              <w:ind w:left="14"/>
              <w:spacing w:after="0"/>
              <w:rPr>
                <w:sz w:val="20"/>
                <w:szCs w:val="20"/>
                <w:color w:val="auto"/>
              </w:rPr>
            </w:pPr>
            <w:r>
              <w:rPr>
                <w:rFonts w:ascii="Arial" w:cs="Arial" w:eastAsia="Arial" w:hAnsi="Arial"/>
                <w:sz w:val="13"/>
                <w:szCs w:val="13"/>
                <w:color w:val="auto"/>
              </w:rPr>
              <w:t>628,242</w:t>
            </w:r>
          </w:p>
        </w:tc>
        <w:tc>
          <w:tcPr>
            <w:tcW w:w="1620" w:type="dxa"/>
            <w:vAlign w:val="bottom"/>
            <w:gridSpan w:val="2"/>
          </w:tcPr>
          <w:p>
            <w:pPr>
              <w:jc w:val="center"/>
              <w:ind w:left="14"/>
              <w:spacing w:after="0"/>
              <w:rPr>
                <w:sz w:val="20"/>
                <w:szCs w:val="20"/>
                <w:color w:val="auto"/>
              </w:rPr>
            </w:pPr>
            <w:r>
              <w:rPr>
                <w:rFonts w:ascii="Arial" w:cs="Arial" w:eastAsia="Arial" w:hAnsi="Arial"/>
                <w:sz w:val="13"/>
                <w:szCs w:val="13"/>
                <w:color w:val="auto"/>
              </w:rPr>
              <w:t>4,518,747</w:t>
            </w:r>
          </w:p>
        </w:tc>
        <w:tc>
          <w:tcPr>
            <w:tcW w:w="0" w:type="dxa"/>
            <w:vAlign w:val="bottom"/>
          </w:tcPr>
          <w:p>
            <w:pPr>
              <w:spacing w:after="0"/>
              <w:rPr>
                <w:sz w:val="1"/>
                <w:szCs w:val="1"/>
                <w:color w:val="auto"/>
              </w:rPr>
            </w:pPr>
          </w:p>
        </w:tc>
      </w:tr>
      <w:tr>
        <w:trPr>
          <w:trHeight w:val="185"/>
        </w:trPr>
        <w:tc>
          <w:tcPr>
            <w:tcW w:w="1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tcPr>
          <w:p>
            <w:pPr>
              <w:ind w:left="20"/>
              <w:spacing w:after="0"/>
              <w:rPr>
                <w:sz w:val="20"/>
                <w:szCs w:val="20"/>
                <w:color w:val="auto"/>
              </w:rPr>
            </w:pPr>
            <w:r>
              <w:rPr>
                <w:rFonts w:ascii="Arial" w:cs="Arial" w:eastAsia="Arial" w:hAnsi="Arial"/>
                <w:sz w:val="13"/>
                <w:szCs w:val="13"/>
                <w:color w:val="auto"/>
              </w:rPr>
              <w:t>Non-Qualifying</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4"/>
        </w:trPr>
        <w:tc>
          <w:tcPr>
            <w:tcW w:w="1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340" w:type="dxa"/>
            <w:vAlign w:val="bottom"/>
            <w:gridSpan w:val="2"/>
          </w:tcPr>
          <w:p>
            <w:pPr>
              <w:spacing w:after="0"/>
              <w:rPr>
                <w:sz w:val="9"/>
                <w:szCs w:val="9"/>
                <w:color w:val="auto"/>
              </w:rPr>
            </w:pPr>
          </w:p>
        </w:tc>
        <w:tc>
          <w:tcPr>
            <w:tcW w:w="1640" w:type="dxa"/>
            <w:vAlign w:val="bottom"/>
            <w:gridSpan w:val="2"/>
          </w:tcPr>
          <w:p>
            <w:pPr>
              <w:spacing w:after="0"/>
              <w:rPr>
                <w:sz w:val="9"/>
                <w:szCs w:val="9"/>
                <w:color w:val="auto"/>
              </w:rPr>
            </w:pPr>
          </w:p>
        </w:tc>
        <w:tc>
          <w:tcPr>
            <w:tcW w:w="1280" w:type="dxa"/>
            <w:vAlign w:val="bottom"/>
            <w:gridSpan w:val="2"/>
          </w:tcPr>
          <w:p>
            <w:pPr>
              <w:spacing w:after="0"/>
              <w:rPr>
                <w:sz w:val="9"/>
                <w:szCs w:val="9"/>
                <w:color w:val="auto"/>
              </w:rPr>
            </w:pPr>
          </w:p>
        </w:tc>
        <w:tc>
          <w:tcPr>
            <w:tcW w:w="16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2400" w:type="dxa"/>
            <w:vAlign w:val="bottom"/>
            <w:gridSpan w:val="2"/>
            <w:shd w:val="clear" w:color="auto" w:fill="E6E7E7"/>
          </w:tcPr>
          <w:p>
            <w:pPr>
              <w:ind w:left="20"/>
              <w:spacing w:after="0"/>
              <w:rPr>
                <w:sz w:val="20"/>
                <w:szCs w:val="20"/>
                <w:color w:val="auto"/>
              </w:rPr>
            </w:pPr>
            <w:r>
              <w:rPr>
                <w:rFonts w:ascii="Arial" w:cs="Arial" w:eastAsia="Arial" w:hAnsi="Arial"/>
                <w:sz w:val="13"/>
                <w:szCs w:val="13"/>
                <w:b w:val="1"/>
                <w:bCs w:val="1"/>
                <w:color w:val="520B90"/>
              </w:rPr>
              <w:t>Edward B. Adams, Jr.</w:t>
            </w:r>
          </w:p>
        </w:tc>
        <w:tc>
          <w:tcPr>
            <w:tcW w:w="100" w:type="dxa"/>
            <w:vAlign w:val="bottom"/>
          </w:tcPr>
          <w:p>
            <w:pPr>
              <w:spacing w:after="0"/>
              <w:rPr>
                <w:sz w:val="23"/>
                <w:szCs w:val="23"/>
                <w:color w:val="auto"/>
              </w:rPr>
            </w:pPr>
          </w:p>
        </w:tc>
        <w:tc>
          <w:tcPr>
            <w:tcW w:w="2860" w:type="dxa"/>
            <w:vAlign w:val="bottom"/>
            <w:shd w:val="clear" w:color="auto" w:fill="E6E7E7"/>
          </w:tcPr>
          <w:p>
            <w:pPr>
              <w:ind w:left="20"/>
              <w:spacing w:after="0"/>
              <w:rPr>
                <w:sz w:val="20"/>
                <w:szCs w:val="20"/>
                <w:color w:val="auto"/>
              </w:rPr>
            </w:pPr>
            <w:r>
              <w:rPr>
                <w:rFonts w:ascii="Arial" w:cs="Arial" w:eastAsia="Arial" w:hAnsi="Arial"/>
                <w:sz w:val="13"/>
                <w:szCs w:val="13"/>
                <w:color w:val="auto"/>
              </w:rPr>
              <w:t>Qualifying Upon Change in Control</w:t>
            </w:r>
          </w:p>
        </w:tc>
        <w:tc>
          <w:tcPr>
            <w:tcW w:w="100" w:type="dxa"/>
            <w:vAlign w:val="bottom"/>
          </w:tcPr>
          <w:p>
            <w:pPr>
              <w:spacing w:after="0"/>
              <w:rPr>
                <w:sz w:val="23"/>
                <w:szCs w:val="23"/>
                <w:color w:val="auto"/>
              </w:rPr>
            </w:pPr>
          </w:p>
        </w:tc>
        <w:tc>
          <w:tcPr>
            <w:tcW w:w="124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2,060,000</w:t>
            </w:r>
          </w:p>
        </w:tc>
        <w:tc>
          <w:tcPr>
            <w:tcW w:w="100" w:type="dxa"/>
            <w:vAlign w:val="bottom"/>
          </w:tcPr>
          <w:p>
            <w:pPr>
              <w:spacing w:after="0"/>
              <w:rPr>
                <w:sz w:val="23"/>
                <w:szCs w:val="23"/>
                <w:color w:val="auto"/>
              </w:rPr>
            </w:pPr>
          </w:p>
        </w:tc>
        <w:tc>
          <w:tcPr>
            <w:tcW w:w="154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8,773,096</w:t>
            </w:r>
          </w:p>
        </w:tc>
        <w:tc>
          <w:tcPr>
            <w:tcW w:w="80" w:type="dxa"/>
            <w:vAlign w:val="bottom"/>
          </w:tcPr>
          <w:p>
            <w:pPr>
              <w:spacing w:after="0"/>
              <w:rPr>
                <w:sz w:val="23"/>
                <w:szCs w:val="23"/>
                <w:color w:val="auto"/>
              </w:rPr>
            </w:pPr>
          </w:p>
        </w:tc>
        <w:tc>
          <w:tcPr>
            <w:tcW w:w="120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515,000</w:t>
            </w:r>
          </w:p>
        </w:tc>
        <w:tc>
          <w:tcPr>
            <w:tcW w:w="80" w:type="dxa"/>
            <w:vAlign w:val="bottom"/>
          </w:tcPr>
          <w:p>
            <w:pPr>
              <w:spacing w:after="0"/>
              <w:rPr>
                <w:sz w:val="23"/>
                <w:szCs w:val="23"/>
                <w:color w:val="auto"/>
              </w:rPr>
            </w:pPr>
          </w:p>
        </w:tc>
        <w:tc>
          <w:tcPr>
            <w:tcW w:w="154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11,348,096</w:t>
            </w:r>
          </w:p>
        </w:tc>
        <w:tc>
          <w:tcPr>
            <w:tcW w:w="0" w:type="dxa"/>
            <w:vAlign w:val="bottom"/>
          </w:tcPr>
          <w:p>
            <w:pPr>
              <w:spacing w:after="0"/>
              <w:rPr>
                <w:sz w:val="1"/>
                <w:szCs w:val="1"/>
                <w:color w:val="auto"/>
              </w:rPr>
            </w:pPr>
          </w:p>
        </w:tc>
      </w:tr>
      <w:tr>
        <w:trPr>
          <w:trHeight w:val="179"/>
        </w:trPr>
        <w:tc>
          <w:tcPr>
            <w:tcW w:w="1120" w:type="dxa"/>
            <w:vAlign w:val="bottom"/>
            <w:shd w:val="clear" w:color="auto" w:fill="E6E7E7"/>
          </w:tcPr>
          <w:p>
            <w:pPr>
              <w:spacing w:after="0"/>
              <w:rPr>
                <w:sz w:val="15"/>
                <w:szCs w:val="15"/>
                <w:color w:val="auto"/>
              </w:rPr>
            </w:pPr>
          </w:p>
        </w:tc>
        <w:tc>
          <w:tcPr>
            <w:tcW w:w="1280" w:type="dxa"/>
            <w:vAlign w:val="bottom"/>
            <w:shd w:val="clear" w:color="auto" w:fill="E6E7E7"/>
          </w:tcPr>
          <w:p>
            <w:pPr>
              <w:spacing w:after="0"/>
              <w:rPr>
                <w:sz w:val="15"/>
                <w:szCs w:val="15"/>
                <w:color w:val="auto"/>
              </w:rPr>
            </w:pPr>
          </w:p>
        </w:tc>
        <w:tc>
          <w:tcPr>
            <w:tcW w:w="100" w:type="dxa"/>
            <w:vAlign w:val="bottom"/>
          </w:tcPr>
          <w:p>
            <w:pPr>
              <w:spacing w:after="0"/>
              <w:rPr>
                <w:sz w:val="15"/>
                <w:szCs w:val="15"/>
                <w:color w:val="auto"/>
              </w:rPr>
            </w:pPr>
          </w:p>
        </w:tc>
        <w:tc>
          <w:tcPr>
            <w:tcW w:w="2860" w:type="dxa"/>
            <w:vAlign w:val="bottom"/>
            <w:shd w:val="clear" w:color="auto" w:fill="E6E7E7"/>
          </w:tcPr>
          <w:p>
            <w:pPr>
              <w:ind w:left="20"/>
              <w:spacing w:after="0"/>
              <w:rPr>
                <w:sz w:val="20"/>
                <w:szCs w:val="20"/>
                <w:color w:val="auto"/>
              </w:rPr>
            </w:pPr>
            <w:r>
              <w:rPr>
                <w:rFonts w:ascii="Arial" w:cs="Arial" w:eastAsia="Arial" w:hAnsi="Arial"/>
                <w:sz w:val="13"/>
                <w:szCs w:val="13"/>
                <w:color w:val="auto"/>
              </w:rPr>
              <w:t>Qualifying</w:t>
            </w:r>
          </w:p>
        </w:tc>
        <w:tc>
          <w:tcPr>
            <w:tcW w:w="100" w:type="dxa"/>
            <w:vAlign w:val="bottom"/>
          </w:tcPr>
          <w:p>
            <w:pPr>
              <w:spacing w:after="0"/>
              <w:rPr>
                <w:sz w:val="15"/>
                <w:szCs w:val="15"/>
                <w:color w:val="auto"/>
              </w:rPr>
            </w:pPr>
          </w:p>
        </w:tc>
        <w:tc>
          <w:tcPr>
            <w:tcW w:w="124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1,030,000</w:t>
            </w:r>
          </w:p>
        </w:tc>
        <w:tc>
          <w:tcPr>
            <w:tcW w:w="100" w:type="dxa"/>
            <w:vAlign w:val="bottom"/>
          </w:tcPr>
          <w:p>
            <w:pPr>
              <w:spacing w:after="0"/>
              <w:rPr>
                <w:sz w:val="15"/>
                <w:szCs w:val="15"/>
                <w:color w:val="auto"/>
              </w:rPr>
            </w:pPr>
          </w:p>
        </w:tc>
        <w:tc>
          <w:tcPr>
            <w:tcW w:w="154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2,034,225</w:t>
            </w:r>
          </w:p>
        </w:tc>
        <w:tc>
          <w:tcPr>
            <w:tcW w:w="80" w:type="dxa"/>
            <w:vAlign w:val="bottom"/>
          </w:tcPr>
          <w:p>
            <w:pPr>
              <w:spacing w:after="0"/>
              <w:rPr>
                <w:sz w:val="15"/>
                <w:szCs w:val="15"/>
                <w:color w:val="auto"/>
              </w:rPr>
            </w:pPr>
          </w:p>
        </w:tc>
        <w:tc>
          <w:tcPr>
            <w:tcW w:w="120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515,000</w:t>
            </w:r>
          </w:p>
        </w:tc>
        <w:tc>
          <w:tcPr>
            <w:tcW w:w="80" w:type="dxa"/>
            <w:vAlign w:val="bottom"/>
          </w:tcPr>
          <w:p>
            <w:pPr>
              <w:spacing w:after="0"/>
              <w:rPr>
                <w:sz w:val="15"/>
                <w:szCs w:val="15"/>
                <w:color w:val="auto"/>
              </w:rPr>
            </w:pPr>
          </w:p>
        </w:tc>
        <w:tc>
          <w:tcPr>
            <w:tcW w:w="154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3,579,225</w:t>
            </w:r>
          </w:p>
        </w:tc>
        <w:tc>
          <w:tcPr>
            <w:tcW w:w="0" w:type="dxa"/>
            <w:vAlign w:val="bottom"/>
          </w:tcPr>
          <w:p>
            <w:pPr>
              <w:spacing w:after="0"/>
              <w:rPr>
                <w:sz w:val="1"/>
                <w:szCs w:val="1"/>
                <w:color w:val="auto"/>
              </w:rPr>
            </w:pPr>
          </w:p>
        </w:tc>
      </w:tr>
      <w:tr>
        <w:trPr>
          <w:trHeight w:val="185"/>
        </w:trPr>
        <w:tc>
          <w:tcPr>
            <w:tcW w:w="1120" w:type="dxa"/>
            <w:vAlign w:val="bottom"/>
            <w:shd w:val="clear" w:color="auto" w:fill="E6E7E7"/>
          </w:tcPr>
          <w:p>
            <w:pPr>
              <w:spacing w:after="0"/>
              <w:rPr>
                <w:sz w:val="16"/>
                <w:szCs w:val="16"/>
                <w:color w:val="auto"/>
              </w:rPr>
            </w:pPr>
          </w:p>
        </w:tc>
        <w:tc>
          <w:tcPr>
            <w:tcW w:w="1280" w:type="dxa"/>
            <w:vAlign w:val="bottom"/>
            <w:shd w:val="clear" w:color="auto" w:fill="E6E7E7"/>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shd w:val="clear" w:color="auto" w:fill="E6E7E7"/>
          </w:tcPr>
          <w:p>
            <w:pPr>
              <w:ind w:left="20"/>
              <w:spacing w:after="0"/>
              <w:rPr>
                <w:sz w:val="20"/>
                <w:szCs w:val="20"/>
                <w:color w:val="auto"/>
              </w:rPr>
            </w:pPr>
            <w:r>
              <w:rPr>
                <w:rFonts w:ascii="Arial" w:cs="Arial" w:eastAsia="Arial" w:hAnsi="Arial"/>
                <w:sz w:val="13"/>
                <w:szCs w:val="13"/>
                <w:color w:val="auto"/>
              </w:rPr>
              <w:t>Non-Qualifying</w:t>
            </w:r>
          </w:p>
        </w:tc>
        <w:tc>
          <w:tcPr>
            <w:tcW w:w="100" w:type="dxa"/>
            <w:vAlign w:val="bottom"/>
          </w:tcPr>
          <w:p>
            <w:pPr>
              <w:spacing w:after="0"/>
              <w:rPr>
                <w:sz w:val="16"/>
                <w:szCs w:val="16"/>
                <w:color w:val="auto"/>
              </w:rPr>
            </w:pPr>
          </w:p>
        </w:tc>
        <w:tc>
          <w:tcPr>
            <w:tcW w:w="1240" w:type="dxa"/>
            <w:vAlign w:val="bottom"/>
            <w:shd w:val="clear" w:color="auto" w:fill="E6E7E7"/>
          </w:tcPr>
          <w:p>
            <w:pPr>
              <w:jc w:val="center"/>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6"/>
                <w:szCs w:val="16"/>
                <w:color w:val="auto"/>
              </w:rPr>
            </w:pPr>
          </w:p>
        </w:tc>
        <w:tc>
          <w:tcPr>
            <w:tcW w:w="1540" w:type="dxa"/>
            <w:vAlign w:val="bottom"/>
            <w:shd w:val="clear" w:color="auto" w:fill="E6E7E7"/>
          </w:tcPr>
          <w:p>
            <w:pPr>
              <w:jc w:val="center"/>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6"/>
                <w:szCs w:val="16"/>
                <w:color w:val="auto"/>
              </w:rPr>
            </w:pPr>
          </w:p>
        </w:tc>
        <w:tc>
          <w:tcPr>
            <w:tcW w:w="1200" w:type="dxa"/>
            <w:vAlign w:val="bottom"/>
            <w:shd w:val="clear" w:color="auto" w:fill="E6E7E7"/>
          </w:tcPr>
          <w:p>
            <w:pPr>
              <w:jc w:val="center"/>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6"/>
                <w:szCs w:val="16"/>
                <w:color w:val="auto"/>
              </w:rPr>
            </w:pPr>
          </w:p>
        </w:tc>
        <w:tc>
          <w:tcPr>
            <w:tcW w:w="154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4"/>
        </w:trPr>
        <w:tc>
          <w:tcPr>
            <w:tcW w:w="1120" w:type="dxa"/>
            <w:vAlign w:val="bottom"/>
            <w:shd w:val="clear" w:color="auto" w:fill="E6E7E7"/>
          </w:tcPr>
          <w:p>
            <w:pPr>
              <w:spacing w:after="0"/>
              <w:rPr>
                <w:sz w:val="9"/>
                <w:szCs w:val="9"/>
                <w:color w:val="auto"/>
              </w:rPr>
            </w:pPr>
          </w:p>
        </w:tc>
        <w:tc>
          <w:tcPr>
            <w:tcW w:w="1280" w:type="dxa"/>
            <w:vAlign w:val="bottom"/>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2860" w:type="dxa"/>
            <w:vAlign w:val="bottom"/>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shd w:val="clear" w:color="auto" w:fill="E6E7E7"/>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shd w:val="clear" w:color="auto" w:fill="E6E7E7"/>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shd w:val="clear" w:color="auto" w:fill="E6E7E7"/>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2400" w:type="dxa"/>
            <w:vAlign w:val="bottom"/>
            <w:gridSpan w:val="2"/>
          </w:tcPr>
          <w:p>
            <w:pPr>
              <w:ind w:left="20"/>
              <w:spacing w:after="0"/>
              <w:rPr>
                <w:sz w:val="20"/>
                <w:szCs w:val="20"/>
                <w:color w:val="auto"/>
              </w:rPr>
            </w:pPr>
            <w:r>
              <w:rPr>
                <w:rFonts w:ascii="Arial" w:cs="Arial" w:eastAsia="Arial" w:hAnsi="Arial"/>
                <w:sz w:val="13"/>
                <w:szCs w:val="13"/>
                <w:b w:val="1"/>
                <w:bCs w:val="1"/>
                <w:color w:val="520B90"/>
              </w:rPr>
              <w:t>Catherine Piche</w:t>
            </w:r>
          </w:p>
        </w:tc>
        <w:tc>
          <w:tcPr>
            <w:tcW w:w="100" w:type="dxa"/>
            <w:vAlign w:val="bottom"/>
          </w:tcPr>
          <w:p>
            <w:pPr>
              <w:spacing w:after="0"/>
              <w:rPr>
                <w:sz w:val="23"/>
                <w:szCs w:val="23"/>
                <w:color w:val="auto"/>
              </w:rPr>
            </w:pPr>
          </w:p>
        </w:tc>
        <w:tc>
          <w:tcPr>
            <w:tcW w:w="2860" w:type="dxa"/>
            <w:vAlign w:val="bottom"/>
          </w:tcPr>
          <w:p>
            <w:pPr>
              <w:ind w:left="20"/>
              <w:spacing w:after="0"/>
              <w:rPr>
                <w:sz w:val="20"/>
                <w:szCs w:val="20"/>
                <w:color w:val="auto"/>
              </w:rPr>
            </w:pPr>
            <w:r>
              <w:rPr>
                <w:rFonts w:ascii="Arial" w:cs="Arial" w:eastAsia="Arial" w:hAnsi="Arial"/>
                <w:sz w:val="13"/>
                <w:szCs w:val="13"/>
                <w:color w:val="auto"/>
              </w:rPr>
              <w:t>Qualifying Upon Change in Control</w:t>
            </w:r>
          </w:p>
        </w:tc>
        <w:tc>
          <w:tcPr>
            <w:tcW w:w="1340" w:type="dxa"/>
            <w:vAlign w:val="bottom"/>
            <w:gridSpan w:val="2"/>
          </w:tcPr>
          <w:p>
            <w:pPr>
              <w:jc w:val="center"/>
              <w:ind w:left="34"/>
              <w:spacing w:after="0"/>
              <w:rPr>
                <w:sz w:val="20"/>
                <w:szCs w:val="20"/>
                <w:color w:val="auto"/>
              </w:rPr>
            </w:pPr>
            <w:r>
              <w:rPr>
                <w:rFonts w:ascii="Arial" w:cs="Arial" w:eastAsia="Arial" w:hAnsi="Arial"/>
                <w:sz w:val="13"/>
                <w:szCs w:val="13"/>
                <w:color w:val="auto"/>
              </w:rPr>
              <w:t>2,200,000</w:t>
            </w:r>
          </w:p>
        </w:tc>
        <w:tc>
          <w:tcPr>
            <w:tcW w:w="1640" w:type="dxa"/>
            <w:vAlign w:val="bottom"/>
            <w:gridSpan w:val="2"/>
          </w:tcPr>
          <w:p>
            <w:pPr>
              <w:jc w:val="center"/>
              <w:ind w:left="14"/>
              <w:spacing w:after="0"/>
              <w:rPr>
                <w:sz w:val="20"/>
                <w:szCs w:val="20"/>
                <w:color w:val="auto"/>
              </w:rPr>
            </w:pPr>
            <w:r>
              <w:rPr>
                <w:rFonts w:ascii="Arial" w:cs="Arial" w:eastAsia="Arial" w:hAnsi="Arial"/>
                <w:sz w:val="13"/>
                <w:szCs w:val="13"/>
                <w:color w:val="auto"/>
              </w:rPr>
              <w:t>4,793,255</w:t>
            </w:r>
          </w:p>
        </w:tc>
        <w:tc>
          <w:tcPr>
            <w:tcW w:w="1280" w:type="dxa"/>
            <w:vAlign w:val="bottom"/>
            <w:gridSpan w:val="2"/>
          </w:tcPr>
          <w:p>
            <w:pPr>
              <w:jc w:val="center"/>
              <w:ind w:left="14"/>
              <w:spacing w:after="0"/>
              <w:rPr>
                <w:sz w:val="20"/>
                <w:szCs w:val="20"/>
                <w:color w:val="auto"/>
              </w:rPr>
            </w:pPr>
            <w:r>
              <w:rPr>
                <w:rFonts w:ascii="Arial" w:cs="Arial" w:eastAsia="Arial" w:hAnsi="Arial"/>
                <w:sz w:val="13"/>
                <w:szCs w:val="13"/>
                <w:color w:val="auto"/>
              </w:rPr>
              <w:t>602,891</w:t>
            </w:r>
          </w:p>
        </w:tc>
        <w:tc>
          <w:tcPr>
            <w:tcW w:w="1620" w:type="dxa"/>
            <w:vAlign w:val="bottom"/>
            <w:gridSpan w:val="2"/>
          </w:tcPr>
          <w:p>
            <w:pPr>
              <w:jc w:val="center"/>
              <w:ind w:left="14"/>
              <w:spacing w:after="0"/>
              <w:rPr>
                <w:sz w:val="20"/>
                <w:szCs w:val="20"/>
                <w:color w:val="auto"/>
              </w:rPr>
            </w:pPr>
            <w:r>
              <w:rPr>
                <w:rFonts w:ascii="Arial" w:cs="Arial" w:eastAsia="Arial" w:hAnsi="Arial"/>
                <w:sz w:val="13"/>
                <w:szCs w:val="13"/>
                <w:color w:val="auto"/>
              </w:rPr>
              <w:t>7,596,146</w:t>
            </w:r>
          </w:p>
        </w:tc>
        <w:tc>
          <w:tcPr>
            <w:tcW w:w="0" w:type="dxa"/>
            <w:vAlign w:val="bottom"/>
          </w:tcPr>
          <w:p>
            <w:pPr>
              <w:spacing w:after="0"/>
              <w:rPr>
                <w:sz w:val="1"/>
                <w:szCs w:val="1"/>
                <w:color w:val="auto"/>
              </w:rPr>
            </w:pPr>
          </w:p>
        </w:tc>
      </w:tr>
      <w:tr>
        <w:trPr>
          <w:trHeight w:val="179"/>
        </w:trPr>
        <w:tc>
          <w:tcPr>
            <w:tcW w:w="1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60" w:type="dxa"/>
            <w:vAlign w:val="bottom"/>
          </w:tcPr>
          <w:p>
            <w:pPr>
              <w:ind w:left="20"/>
              <w:spacing w:after="0"/>
              <w:rPr>
                <w:sz w:val="20"/>
                <w:szCs w:val="20"/>
                <w:color w:val="auto"/>
              </w:rPr>
            </w:pPr>
            <w:r>
              <w:rPr>
                <w:rFonts w:ascii="Arial" w:cs="Arial" w:eastAsia="Arial" w:hAnsi="Arial"/>
                <w:sz w:val="13"/>
                <w:szCs w:val="13"/>
                <w:color w:val="auto"/>
              </w:rPr>
              <w:t>Qualifying</w:t>
            </w:r>
          </w:p>
        </w:tc>
        <w:tc>
          <w:tcPr>
            <w:tcW w:w="1340" w:type="dxa"/>
            <w:vAlign w:val="bottom"/>
            <w:gridSpan w:val="2"/>
          </w:tcPr>
          <w:p>
            <w:pPr>
              <w:jc w:val="center"/>
              <w:ind w:left="34"/>
              <w:spacing w:after="0"/>
              <w:rPr>
                <w:sz w:val="20"/>
                <w:szCs w:val="20"/>
                <w:color w:val="auto"/>
              </w:rPr>
            </w:pPr>
            <w:r>
              <w:rPr>
                <w:rFonts w:ascii="Arial" w:cs="Arial" w:eastAsia="Arial" w:hAnsi="Arial"/>
                <w:sz w:val="13"/>
                <w:szCs w:val="13"/>
                <w:color w:val="auto"/>
              </w:rPr>
              <w:t>1,100,000</w:t>
            </w:r>
          </w:p>
        </w:tc>
        <w:tc>
          <w:tcPr>
            <w:tcW w:w="1640" w:type="dxa"/>
            <w:vAlign w:val="bottom"/>
            <w:gridSpan w:val="2"/>
          </w:tcPr>
          <w:p>
            <w:pPr>
              <w:jc w:val="center"/>
              <w:ind w:left="14"/>
              <w:spacing w:after="0"/>
              <w:rPr>
                <w:sz w:val="20"/>
                <w:szCs w:val="20"/>
                <w:color w:val="auto"/>
              </w:rPr>
            </w:pPr>
            <w:r>
              <w:rPr>
                <w:rFonts w:ascii="Arial" w:cs="Arial" w:eastAsia="Arial" w:hAnsi="Arial"/>
                <w:sz w:val="13"/>
                <w:szCs w:val="13"/>
                <w:color w:val="auto"/>
              </w:rPr>
              <w:t>1,529,584</w:t>
            </w:r>
          </w:p>
        </w:tc>
        <w:tc>
          <w:tcPr>
            <w:tcW w:w="1280" w:type="dxa"/>
            <w:vAlign w:val="bottom"/>
            <w:gridSpan w:val="2"/>
          </w:tcPr>
          <w:p>
            <w:pPr>
              <w:jc w:val="center"/>
              <w:ind w:left="14"/>
              <w:spacing w:after="0"/>
              <w:rPr>
                <w:sz w:val="20"/>
                <w:szCs w:val="20"/>
                <w:color w:val="auto"/>
              </w:rPr>
            </w:pPr>
            <w:r>
              <w:rPr>
                <w:rFonts w:ascii="Arial" w:cs="Arial" w:eastAsia="Arial" w:hAnsi="Arial"/>
                <w:sz w:val="13"/>
                <w:szCs w:val="13"/>
                <w:color w:val="auto"/>
              </w:rPr>
              <w:t>576,445</w:t>
            </w:r>
          </w:p>
        </w:tc>
        <w:tc>
          <w:tcPr>
            <w:tcW w:w="1620" w:type="dxa"/>
            <w:vAlign w:val="bottom"/>
            <w:gridSpan w:val="2"/>
          </w:tcPr>
          <w:p>
            <w:pPr>
              <w:jc w:val="center"/>
              <w:ind w:left="14"/>
              <w:spacing w:after="0"/>
              <w:rPr>
                <w:sz w:val="20"/>
                <w:szCs w:val="20"/>
                <w:color w:val="auto"/>
              </w:rPr>
            </w:pPr>
            <w:r>
              <w:rPr>
                <w:rFonts w:ascii="Arial" w:cs="Arial" w:eastAsia="Arial" w:hAnsi="Arial"/>
                <w:sz w:val="13"/>
                <w:szCs w:val="13"/>
                <w:color w:val="auto"/>
              </w:rPr>
              <w:t>3,206,029</w:t>
            </w:r>
          </w:p>
        </w:tc>
        <w:tc>
          <w:tcPr>
            <w:tcW w:w="0" w:type="dxa"/>
            <w:vAlign w:val="bottom"/>
          </w:tcPr>
          <w:p>
            <w:pPr>
              <w:spacing w:after="0"/>
              <w:rPr>
                <w:sz w:val="1"/>
                <w:szCs w:val="1"/>
                <w:color w:val="auto"/>
              </w:rPr>
            </w:pPr>
          </w:p>
        </w:tc>
      </w:tr>
      <w:tr>
        <w:trPr>
          <w:trHeight w:val="185"/>
        </w:trPr>
        <w:tc>
          <w:tcPr>
            <w:tcW w:w="1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tcPr>
          <w:p>
            <w:pPr>
              <w:ind w:left="20"/>
              <w:spacing w:after="0"/>
              <w:rPr>
                <w:sz w:val="20"/>
                <w:szCs w:val="20"/>
                <w:color w:val="auto"/>
              </w:rPr>
            </w:pPr>
            <w:r>
              <w:rPr>
                <w:rFonts w:ascii="Arial" w:cs="Arial" w:eastAsia="Arial" w:hAnsi="Arial"/>
                <w:sz w:val="13"/>
                <w:szCs w:val="13"/>
                <w:color w:val="auto"/>
              </w:rPr>
              <w:t>Non-Qualifying</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4"/>
        </w:trPr>
        <w:tc>
          <w:tcPr>
            <w:tcW w:w="1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340" w:type="dxa"/>
            <w:vAlign w:val="bottom"/>
            <w:gridSpan w:val="2"/>
          </w:tcPr>
          <w:p>
            <w:pPr>
              <w:spacing w:after="0"/>
              <w:rPr>
                <w:sz w:val="9"/>
                <w:szCs w:val="9"/>
                <w:color w:val="auto"/>
              </w:rPr>
            </w:pPr>
          </w:p>
        </w:tc>
        <w:tc>
          <w:tcPr>
            <w:tcW w:w="1640" w:type="dxa"/>
            <w:vAlign w:val="bottom"/>
            <w:gridSpan w:val="2"/>
          </w:tcPr>
          <w:p>
            <w:pPr>
              <w:spacing w:after="0"/>
              <w:rPr>
                <w:sz w:val="9"/>
                <w:szCs w:val="9"/>
                <w:color w:val="auto"/>
              </w:rPr>
            </w:pPr>
          </w:p>
        </w:tc>
        <w:tc>
          <w:tcPr>
            <w:tcW w:w="1280" w:type="dxa"/>
            <w:vAlign w:val="bottom"/>
            <w:gridSpan w:val="2"/>
          </w:tcPr>
          <w:p>
            <w:pPr>
              <w:spacing w:after="0"/>
              <w:rPr>
                <w:sz w:val="9"/>
                <w:szCs w:val="9"/>
                <w:color w:val="auto"/>
              </w:rPr>
            </w:pPr>
          </w:p>
        </w:tc>
        <w:tc>
          <w:tcPr>
            <w:tcW w:w="16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2400" w:type="dxa"/>
            <w:vAlign w:val="bottom"/>
            <w:tcBorders>
              <w:bottom w:val="single" w:sz="8" w:color="E6E7E7"/>
            </w:tcBorders>
            <w:gridSpan w:val="2"/>
            <w:shd w:val="clear" w:color="auto" w:fill="E6E7E7"/>
          </w:tcPr>
          <w:p>
            <w:pPr>
              <w:ind w:left="20"/>
              <w:spacing w:after="0"/>
              <w:rPr>
                <w:sz w:val="20"/>
                <w:szCs w:val="20"/>
                <w:color w:val="auto"/>
              </w:rPr>
            </w:pPr>
            <w:r>
              <w:rPr>
                <w:rFonts w:ascii="Arial" w:cs="Arial" w:eastAsia="Arial" w:hAnsi="Arial"/>
                <w:sz w:val="13"/>
                <w:szCs w:val="13"/>
                <w:b w:val="1"/>
                <w:bCs w:val="1"/>
                <w:color w:val="520B90"/>
              </w:rPr>
              <w:t>Steven J. Moskowitz</w:t>
            </w:r>
            <w:r>
              <w:rPr>
                <w:rFonts w:ascii="Arial" w:cs="Arial" w:eastAsia="Arial" w:hAnsi="Arial"/>
                <w:sz w:val="17"/>
                <w:szCs w:val="17"/>
                <w:b w:val="1"/>
                <w:bCs w:val="1"/>
                <w:color w:val="520B90"/>
                <w:vertAlign w:val="superscript"/>
              </w:rPr>
              <w:t>(e)</w:t>
            </w:r>
          </w:p>
        </w:tc>
        <w:tc>
          <w:tcPr>
            <w:tcW w:w="100" w:type="dxa"/>
            <w:vAlign w:val="bottom"/>
          </w:tcPr>
          <w:p>
            <w:pPr>
              <w:spacing w:after="0"/>
              <w:rPr>
                <w:sz w:val="24"/>
                <w:szCs w:val="24"/>
                <w:color w:val="auto"/>
              </w:rPr>
            </w:pPr>
          </w:p>
        </w:tc>
        <w:tc>
          <w:tcPr>
            <w:tcW w:w="2860" w:type="dxa"/>
            <w:vAlign w:val="bottom"/>
            <w:tcBorders>
              <w:bottom w:val="single" w:sz="8" w:color="E6E7E7"/>
            </w:tcBorders>
            <w:shd w:val="clear" w:color="auto" w:fill="E6E7E7"/>
          </w:tcPr>
          <w:p>
            <w:pPr>
              <w:ind w:left="20"/>
              <w:spacing w:after="0"/>
              <w:rPr>
                <w:sz w:val="20"/>
                <w:szCs w:val="20"/>
                <w:color w:val="auto"/>
              </w:rPr>
            </w:pPr>
            <w:r>
              <w:rPr>
                <w:rFonts w:ascii="Arial" w:cs="Arial" w:eastAsia="Arial" w:hAnsi="Arial"/>
                <w:sz w:val="13"/>
                <w:szCs w:val="13"/>
                <w:color w:val="auto"/>
              </w:rPr>
              <w:t>Other</w:t>
            </w:r>
          </w:p>
        </w:tc>
        <w:tc>
          <w:tcPr>
            <w:tcW w:w="100" w:type="dxa"/>
            <w:vAlign w:val="bottom"/>
          </w:tcPr>
          <w:p>
            <w:pPr>
              <w:spacing w:after="0"/>
              <w:rPr>
                <w:sz w:val="24"/>
                <w:szCs w:val="24"/>
                <w:color w:val="auto"/>
              </w:rPr>
            </w:pPr>
          </w:p>
        </w:tc>
        <w:tc>
          <w:tcPr>
            <w:tcW w:w="1240" w:type="dxa"/>
            <w:vAlign w:val="bottom"/>
            <w:tcBorders>
              <w:bottom w:val="single" w:sz="8" w:color="E6E7E7"/>
            </w:tcBorders>
            <w:shd w:val="clear" w:color="auto" w:fill="E6E7E7"/>
          </w:tcPr>
          <w:p>
            <w:pPr>
              <w:jc w:val="center"/>
              <w:spacing w:after="0"/>
              <w:rPr>
                <w:sz w:val="20"/>
                <w:szCs w:val="20"/>
                <w:color w:val="auto"/>
              </w:rPr>
            </w:pPr>
            <w:r>
              <w:rPr>
                <w:rFonts w:ascii="Arial" w:cs="Arial" w:eastAsia="Arial" w:hAnsi="Arial"/>
                <w:sz w:val="13"/>
                <w:szCs w:val="13"/>
                <w:color w:val="auto"/>
              </w:rPr>
              <w:t>4,950,000</w:t>
            </w:r>
          </w:p>
        </w:tc>
        <w:tc>
          <w:tcPr>
            <w:tcW w:w="100" w:type="dxa"/>
            <w:vAlign w:val="bottom"/>
          </w:tcPr>
          <w:p>
            <w:pPr>
              <w:spacing w:after="0"/>
              <w:rPr>
                <w:sz w:val="24"/>
                <w:szCs w:val="24"/>
                <w:color w:val="auto"/>
              </w:rPr>
            </w:pPr>
          </w:p>
        </w:tc>
        <w:tc>
          <w:tcPr>
            <w:tcW w:w="1540" w:type="dxa"/>
            <w:vAlign w:val="bottom"/>
            <w:tcBorders>
              <w:bottom w:val="single" w:sz="8" w:color="E6E7E7"/>
            </w:tcBorders>
            <w:shd w:val="clear" w:color="auto" w:fill="E6E7E7"/>
          </w:tcPr>
          <w:p>
            <w:pPr>
              <w:jc w:val="center"/>
              <w:spacing w:after="0"/>
              <w:rPr>
                <w:sz w:val="20"/>
                <w:szCs w:val="20"/>
                <w:color w:val="auto"/>
              </w:rPr>
            </w:pPr>
            <w:r>
              <w:rPr>
                <w:rFonts w:ascii="Arial" w:cs="Arial" w:eastAsia="Arial" w:hAnsi="Arial"/>
                <w:sz w:val="13"/>
                <w:szCs w:val="13"/>
                <w:color w:val="auto"/>
              </w:rPr>
              <w:t>10,568,238</w:t>
            </w:r>
          </w:p>
        </w:tc>
        <w:tc>
          <w:tcPr>
            <w:tcW w:w="80" w:type="dxa"/>
            <w:vAlign w:val="bottom"/>
          </w:tcPr>
          <w:p>
            <w:pPr>
              <w:spacing w:after="0"/>
              <w:rPr>
                <w:sz w:val="24"/>
                <w:szCs w:val="24"/>
                <w:color w:val="auto"/>
              </w:rPr>
            </w:pPr>
          </w:p>
        </w:tc>
        <w:tc>
          <w:tcPr>
            <w:tcW w:w="1200" w:type="dxa"/>
            <w:vAlign w:val="bottom"/>
            <w:tcBorders>
              <w:bottom w:val="single" w:sz="8" w:color="E6E7E7"/>
            </w:tcBorders>
            <w:shd w:val="clear" w:color="auto" w:fill="E6E7E7"/>
          </w:tcPr>
          <w:p>
            <w:pPr>
              <w:jc w:val="center"/>
              <w:spacing w:after="0"/>
              <w:rPr>
                <w:sz w:val="20"/>
                <w:szCs w:val="20"/>
                <w:color w:val="auto"/>
              </w:rPr>
            </w:pPr>
            <w:r>
              <w:rPr>
                <w:rFonts w:ascii="Arial" w:cs="Arial" w:eastAsia="Arial" w:hAnsi="Arial"/>
                <w:sz w:val="13"/>
                <w:szCs w:val="13"/>
                <w:color w:val="auto"/>
              </w:rPr>
              <w:t>548,693</w:t>
            </w:r>
          </w:p>
        </w:tc>
        <w:tc>
          <w:tcPr>
            <w:tcW w:w="80" w:type="dxa"/>
            <w:vAlign w:val="bottom"/>
          </w:tcPr>
          <w:p>
            <w:pPr>
              <w:spacing w:after="0"/>
              <w:rPr>
                <w:sz w:val="24"/>
                <w:szCs w:val="24"/>
                <w:color w:val="auto"/>
              </w:rPr>
            </w:pPr>
          </w:p>
        </w:tc>
        <w:tc>
          <w:tcPr>
            <w:tcW w:w="1540" w:type="dxa"/>
            <w:vAlign w:val="bottom"/>
            <w:tcBorders>
              <w:bottom w:val="single" w:sz="8" w:color="E6E7E7"/>
            </w:tcBorders>
            <w:shd w:val="clear" w:color="auto" w:fill="E6E7E7"/>
          </w:tcPr>
          <w:p>
            <w:pPr>
              <w:jc w:val="center"/>
              <w:spacing w:after="0"/>
              <w:rPr>
                <w:sz w:val="20"/>
                <w:szCs w:val="20"/>
                <w:color w:val="auto"/>
              </w:rPr>
            </w:pPr>
            <w:r>
              <w:rPr>
                <w:rFonts w:ascii="Arial" w:cs="Arial" w:eastAsia="Arial" w:hAnsi="Arial"/>
                <w:sz w:val="13"/>
                <w:szCs w:val="13"/>
                <w:color w:val="auto"/>
              </w:rPr>
              <w:t>16,066,931</w:t>
            </w:r>
          </w:p>
        </w:tc>
        <w:tc>
          <w:tcPr>
            <w:tcW w:w="0" w:type="dxa"/>
            <w:vAlign w:val="bottom"/>
          </w:tcPr>
          <w:p>
            <w:pPr>
              <w:spacing w:after="0"/>
              <w:rPr>
                <w:sz w:val="1"/>
                <w:szCs w:val="1"/>
                <w:color w:val="auto"/>
              </w:rPr>
            </w:pPr>
          </w:p>
        </w:tc>
      </w:tr>
      <w:tr>
        <w:trPr>
          <w:trHeight w:val="159"/>
        </w:trPr>
        <w:tc>
          <w:tcPr>
            <w:tcW w:w="1120" w:type="dxa"/>
            <w:vAlign w:val="bottom"/>
            <w:tcBorders>
              <w:bottom w:val="single" w:sz="8" w:color="auto"/>
            </w:tcBorders>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320" w:right="140" w:hanging="314"/>
        <w:spacing w:after="0" w:line="293" w:lineRule="auto"/>
        <w:tabs>
          <w:tab w:leader="none" w:pos="311" w:val="left"/>
        </w:tabs>
        <w:numPr>
          <w:ilvl w:val="0"/>
          <w:numId w:val="147"/>
        </w:numPr>
        <w:rPr>
          <w:rFonts w:ascii="Arial" w:cs="Arial" w:eastAsia="Arial" w:hAnsi="Arial"/>
          <w:sz w:val="13"/>
          <w:szCs w:val="13"/>
          <w:color w:val="auto"/>
        </w:rPr>
      </w:pPr>
      <w:r>
        <w:rPr>
          <w:rFonts w:ascii="Arial" w:cs="Arial" w:eastAsia="Arial" w:hAnsi="Arial"/>
          <w:sz w:val="13"/>
          <w:szCs w:val="13"/>
          <w:color w:val="auto"/>
        </w:rPr>
        <w:t>Except as provided in (e) below, represents the various employment termination scenarios as defined in the NEO's Severance Agreements. Each of such scenarios can be described as follows:</w:t>
      </w:r>
    </w:p>
    <w:p>
      <w:pPr>
        <w:spacing w:after="0" w:line="5" w:lineRule="exact"/>
        <w:rPr>
          <w:rFonts w:ascii="Arial" w:cs="Arial" w:eastAsia="Arial" w:hAnsi="Arial"/>
          <w:sz w:val="13"/>
          <w:szCs w:val="13"/>
          <w:color w:val="auto"/>
        </w:rPr>
      </w:pPr>
    </w:p>
    <w:p>
      <w:pPr>
        <w:jc w:val="both"/>
        <w:ind w:left="640" w:right="140" w:hanging="197"/>
        <w:spacing w:after="0" w:line="274" w:lineRule="auto"/>
        <w:tabs>
          <w:tab w:leader="none" w:pos="633" w:val="left"/>
        </w:tabs>
        <w:numPr>
          <w:ilvl w:val="1"/>
          <w:numId w:val="147"/>
        </w:numPr>
        <w:rPr>
          <w:rFonts w:ascii="Arial" w:cs="Arial" w:eastAsia="Arial" w:hAnsi="Arial"/>
          <w:sz w:val="13"/>
          <w:szCs w:val="13"/>
          <w:color w:val="520B90"/>
        </w:rPr>
      </w:pPr>
      <w:r>
        <w:rPr>
          <w:rFonts w:ascii="Arial" w:cs="Arial" w:eastAsia="Arial" w:hAnsi="Arial"/>
          <w:sz w:val="13"/>
          <w:szCs w:val="13"/>
          <w:color w:val="auto"/>
        </w:rPr>
        <w:t>A "Qualifying Termination" occurs upon (1) our termination of the executive's employment with us for any reason other than for Cause (as defined in the Severance Agreements) or disability or death or (2) the executive's termination of employment with us within 60 days of the occurrence of an event that constitutes Good Reason (as defined in the Severance Agreements).</w:t>
      </w:r>
    </w:p>
    <w:p>
      <w:pPr>
        <w:spacing w:after="0" w:line="17" w:lineRule="exact"/>
        <w:rPr>
          <w:rFonts w:ascii="Arial" w:cs="Arial" w:eastAsia="Arial" w:hAnsi="Arial"/>
          <w:sz w:val="13"/>
          <w:szCs w:val="13"/>
          <w:color w:val="520B90"/>
        </w:rPr>
      </w:pPr>
    </w:p>
    <w:p>
      <w:pPr>
        <w:ind w:left="640" w:hanging="197"/>
        <w:spacing w:after="0"/>
        <w:tabs>
          <w:tab w:leader="none" w:pos="640" w:val="left"/>
        </w:tabs>
        <w:numPr>
          <w:ilvl w:val="1"/>
          <w:numId w:val="147"/>
        </w:numPr>
        <w:rPr>
          <w:rFonts w:ascii="Arial" w:cs="Arial" w:eastAsia="Arial" w:hAnsi="Arial"/>
          <w:sz w:val="13"/>
          <w:szCs w:val="13"/>
          <w:color w:val="520B90"/>
        </w:rPr>
      </w:pPr>
      <w:r>
        <w:rPr>
          <w:rFonts w:ascii="Arial" w:cs="Arial" w:eastAsia="Arial" w:hAnsi="Arial"/>
          <w:sz w:val="13"/>
          <w:szCs w:val="13"/>
          <w:color w:val="auto"/>
        </w:rPr>
        <w:t>A "Non-Qualifying Termination" occurs upon any termination of the executive's employment with us other than a Qualifying Termination.</w:t>
      </w:r>
    </w:p>
    <w:p>
      <w:pPr>
        <w:spacing w:after="0" w:line="62" w:lineRule="exact"/>
        <w:rPr>
          <w:rFonts w:ascii="Arial" w:cs="Arial" w:eastAsia="Arial" w:hAnsi="Arial"/>
          <w:sz w:val="13"/>
          <w:szCs w:val="13"/>
          <w:color w:val="520B90"/>
        </w:rPr>
      </w:pPr>
    </w:p>
    <w:p>
      <w:pPr>
        <w:ind w:left="640" w:right="640" w:hanging="197"/>
        <w:spacing w:after="0" w:line="293" w:lineRule="auto"/>
        <w:tabs>
          <w:tab w:leader="none" w:pos="633" w:val="left"/>
        </w:tabs>
        <w:numPr>
          <w:ilvl w:val="1"/>
          <w:numId w:val="147"/>
        </w:numPr>
        <w:rPr>
          <w:rFonts w:ascii="Arial" w:cs="Arial" w:eastAsia="Arial" w:hAnsi="Arial"/>
          <w:sz w:val="13"/>
          <w:szCs w:val="13"/>
          <w:color w:val="520B90"/>
        </w:rPr>
      </w:pPr>
      <w:r>
        <w:rPr>
          <w:rFonts w:ascii="Arial" w:cs="Arial" w:eastAsia="Arial" w:hAnsi="Arial"/>
          <w:sz w:val="13"/>
          <w:szCs w:val="13"/>
          <w:color w:val="auto"/>
        </w:rPr>
        <w:t>A "Qualifying Termination Upon Change in Control" occurs upon a Qualifying Termination of the executive within two years following a Change in Control (as defined in the Severance Agreements).</w:t>
      </w:r>
    </w:p>
    <w:p>
      <w:pPr>
        <w:spacing w:after="0" w:line="5" w:lineRule="exact"/>
        <w:rPr>
          <w:rFonts w:ascii="Arial" w:cs="Arial" w:eastAsia="Arial" w:hAnsi="Arial"/>
          <w:sz w:val="13"/>
          <w:szCs w:val="13"/>
          <w:color w:val="520B90"/>
        </w:rPr>
      </w:pPr>
    </w:p>
    <w:p>
      <w:pPr>
        <w:ind w:left="320" w:hanging="314"/>
        <w:spacing w:after="0"/>
        <w:tabs>
          <w:tab w:leader="none" w:pos="32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Represents the severance amounts payable to the NEOs (as applicable) in connection with termination of employment.</w:t>
      </w:r>
    </w:p>
    <w:p>
      <w:pPr>
        <w:spacing w:after="0" w:line="62" w:lineRule="exact"/>
        <w:rPr>
          <w:rFonts w:ascii="Arial" w:cs="Arial" w:eastAsia="Arial" w:hAnsi="Arial"/>
          <w:sz w:val="13"/>
          <w:szCs w:val="13"/>
          <w:color w:val="auto"/>
        </w:rPr>
      </w:pPr>
    </w:p>
    <w:p>
      <w:pPr>
        <w:ind w:left="320" w:right="260" w:hanging="314"/>
        <w:spacing w:after="0" w:line="264" w:lineRule="auto"/>
        <w:tabs>
          <w:tab w:leader="none" w:pos="304" w:val="left"/>
        </w:tabs>
        <w:numPr>
          <w:ilvl w:val="0"/>
          <w:numId w:val="147"/>
        </w:numPr>
        <w:rPr>
          <w:rFonts w:ascii="Arial" w:cs="Arial" w:eastAsia="Arial" w:hAnsi="Arial"/>
          <w:sz w:val="13"/>
          <w:szCs w:val="13"/>
          <w:color w:val="auto"/>
        </w:rPr>
      </w:pPr>
      <w:r>
        <w:rPr>
          <w:rFonts w:ascii="Arial" w:cs="Arial" w:eastAsia="Arial" w:hAnsi="Arial"/>
          <w:sz w:val="13"/>
          <w:szCs w:val="13"/>
          <w:color w:val="auto"/>
        </w:rPr>
        <w:t>Represents the value of outstanding and unvested RSUs on December 31, 2025 (calculated as the number of RSUs multiplied by $88.87, the closing price per share of our Common Stock on December 31, 2025, which was the last trading day in calendar year 2025) for which the vesting would be accelerated or continued without future service or performance conditions (also includes accrued dividend equivalents that would be paid upon vesting of such RSUs). For Mr. Moskowitz, this amount also includes the value of RSUs that vested on April 11, 2025, which was calculated as the number of RSUs that vested multiplied by $95.16, the closing price per share of our Common Stock on April 10, 2025 (the trading day immediately preceding the date of vesting), plus accrued dividend equivalents.</w:t>
      </w:r>
    </w:p>
    <w:p>
      <w:pPr>
        <w:spacing w:after="0" w:line="24" w:lineRule="exact"/>
        <w:rPr>
          <w:rFonts w:ascii="Arial" w:cs="Arial" w:eastAsia="Arial" w:hAnsi="Arial"/>
          <w:sz w:val="13"/>
          <w:szCs w:val="13"/>
          <w:color w:val="auto"/>
        </w:rPr>
      </w:pPr>
    </w:p>
    <w:p>
      <w:pPr>
        <w:ind w:left="320" w:hanging="314"/>
        <w:spacing w:after="0"/>
        <w:tabs>
          <w:tab w:leader="none" w:pos="32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Except with respect to Mr. Moskowitz, represents the following items:</w:t>
      </w:r>
    </w:p>
    <w:p>
      <w:pPr>
        <w:spacing w:after="0" w:line="62" w:lineRule="exact"/>
        <w:rPr>
          <w:rFonts w:ascii="Arial" w:cs="Arial" w:eastAsia="Arial" w:hAnsi="Arial"/>
          <w:sz w:val="13"/>
          <w:szCs w:val="13"/>
          <w:color w:val="auto"/>
        </w:rPr>
      </w:pPr>
    </w:p>
    <w:p>
      <w:pPr>
        <w:ind w:left="640" w:hanging="197"/>
        <w:spacing w:after="0" w:line="274" w:lineRule="auto"/>
        <w:tabs>
          <w:tab w:leader="none" w:pos="633" w:val="left"/>
        </w:tabs>
        <w:numPr>
          <w:ilvl w:val="1"/>
          <w:numId w:val="147"/>
        </w:numPr>
        <w:rPr>
          <w:rFonts w:ascii="Arial" w:cs="Arial" w:eastAsia="Arial" w:hAnsi="Arial"/>
          <w:sz w:val="13"/>
          <w:szCs w:val="13"/>
          <w:color w:val="520B90"/>
        </w:rPr>
      </w:pPr>
      <w:r>
        <w:rPr>
          <w:rFonts w:ascii="Arial" w:cs="Arial" w:eastAsia="Arial" w:hAnsi="Arial"/>
          <w:sz w:val="13"/>
          <w:szCs w:val="13"/>
          <w:color w:val="auto"/>
        </w:rPr>
        <w:t>A prorated cash amount equal to the officer's Annual Bonus for the year of termination. The payment of a cash amount equal to the NEO's prior year annual incentive when and if any annual incentives for the year prior to the date of termination are paid to our other executive officers is permitted under the Severance Agreements but would not apply under this scenario because termination is assumed to occur on December 31, 2025, and any prior year actual annual incentives relating to 2024 would have already been paid.</w:t>
      </w:r>
    </w:p>
    <w:p>
      <w:pPr>
        <w:spacing w:after="0" w:line="17" w:lineRule="exact"/>
        <w:rPr>
          <w:rFonts w:ascii="Arial" w:cs="Arial" w:eastAsia="Arial" w:hAnsi="Arial"/>
          <w:sz w:val="13"/>
          <w:szCs w:val="13"/>
          <w:color w:val="520B90"/>
        </w:rPr>
      </w:pPr>
    </w:p>
    <w:p>
      <w:pPr>
        <w:ind w:left="640" w:hanging="197"/>
        <w:spacing w:after="0"/>
        <w:tabs>
          <w:tab w:leader="none" w:pos="640" w:val="left"/>
        </w:tabs>
        <w:numPr>
          <w:ilvl w:val="1"/>
          <w:numId w:val="147"/>
        </w:numPr>
        <w:rPr>
          <w:rFonts w:ascii="Arial" w:cs="Arial" w:eastAsia="Arial" w:hAnsi="Arial"/>
          <w:sz w:val="13"/>
          <w:szCs w:val="13"/>
          <w:color w:val="520B90"/>
        </w:rPr>
      </w:pPr>
      <w:r>
        <w:rPr>
          <w:rFonts w:ascii="Arial" w:cs="Arial" w:eastAsia="Arial" w:hAnsi="Arial"/>
          <w:sz w:val="13"/>
          <w:szCs w:val="13"/>
          <w:color w:val="auto"/>
        </w:rPr>
        <w:t>An estimate of the premiums paid by us for continued coverage under specified health and welfare benefit programs.</w:t>
      </w:r>
    </w:p>
    <w:p>
      <w:pPr>
        <w:spacing w:after="0" w:line="62" w:lineRule="exact"/>
        <w:rPr>
          <w:rFonts w:ascii="Arial" w:cs="Arial" w:eastAsia="Arial" w:hAnsi="Arial"/>
          <w:sz w:val="13"/>
          <w:szCs w:val="13"/>
          <w:color w:val="520B90"/>
        </w:rPr>
      </w:pPr>
    </w:p>
    <w:p>
      <w:pPr>
        <w:ind w:left="320" w:right="180" w:hanging="314"/>
        <w:spacing w:after="0" w:line="274" w:lineRule="auto"/>
        <w:tabs>
          <w:tab w:leader="none" w:pos="311" w:val="left"/>
        </w:tabs>
        <w:numPr>
          <w:ilvl w:val="0"/>
          <w:numId w:val="147"/>
        </w:numPr>
        <w:rPr>
          <w:rFonts w:ascii="Arial" w:cs="Arial" w:eastAsia="Arial" w:hAnsi="Arial"/>
          <w:sz w:val="13"/>
          <w:szCs w:val="13"/>
          <w:color w:val="auto"/>
        </w:rPr>
      </w:pPr>
      <w:r>
        <w:rPr>
          <w:rFonts w:ascii="Arial" w:cs="Arial" w:eastAsia="Arial" w:hAnsi="Arial"/>
          <w:sz w:val="13"/>
          <w:szCs w:val="13"/>
          <w:color w:val="auto"/>
        </w:rPr>
        <w:t>Mr. Moskowitz's employment was terminated without Cause by the Company effective March 23, 2025, which constituted a Qualifying Termination. The values shown on this row reflect the value of (1) severance received upon the Qualifying Termination, (2) outstanding Time RSUs that have vested following the Qualifying Termination or remain eligible for continued vesting, (3) the prorated annual incentive actually earned and paid with respect to 2025 and (4) continued health and welfare benefits for a period of two years.</w:t>
      </w:r>
    </w:p>
    <w:p>
      <w:pPr>
        <w:spacing w:after="0" w:line="348"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CEO Pay Ratio</w:t>
      </w:r>
    </w:p>
    <w:p>
      <w:pPr>
        <w:spacing w:after="0" w:line="16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accordance with the Dodd-Frank Act and Item 402(u) of Regulation S-K promulgated thereunder and the related SEC guidance ("Pay Ratio Rules"), we are providing the following information about the relationship of the annual total compensation of our median employee to the annual total compensation of our CEO.</w:t>
      </w:r>
    </w:p>
    <w:p>
      <w:pPr>
        <w:spacing w:after="0" w:line="12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noted above, Mr. Hillabrant was appointed our President and CEO effective September 15, 2025, and served in such capacity through December 31, 2025. As such, for purposes of the CEO pay ratio calculation, given that Mr. Hillabrant did not commence employment until September 15, 2025, we annualized certain elements of his compensation, including base salary and the value of health and welfare insurance premiums, as permitted under the Pay Ratio Rules.</w:t>
      </w:r>
    </w:p>
    <w:p>
      <w:pPr>
        <w:spacing w:after="0" w:line="12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believe that the pay ratio disclosed below is a reasonable estimate calculated in a manner consistent with the Pay Ratio Rules. Due to estimates and assumptions permitted under the Pay Ratio Rules, our pay ratio disclosure may not be comparable to the pay ratio disclosure presented by other companies.</w:t>
      </w:r>
    </w:p>
    <w:p>
      <w:pPr>
        <w:spacing w:after="0" w:line="102" w:lineRule="exact"/>
        <w:rPr>
          <w:sz w:val="20"/>
          <w:szCs w:val="20"/>
          <w:color w:val="auto"/>
        </w:rPr>
      </w:pPr>
    </w:p>
    <w:tbl>
      <w:tblPr>
        <w:tblLayout w:type="fixed"/>
        <w:tblInd w:w="780" w:type="dxa"/>
        <w:tblCellMar>
          <w:top w:w="0" w:type="dxa"/>
          <w:left w:w="0" w:type="dxa"/>
          <w:bottom w:w="0" w:type="dxa"/>
          <w:right w:w="0" w:type="dxa"/>
        </w:tblCellMar>
      </w:tblPr>
      <w:tr>
        <w:trPr>
          <w:trHeight w:val="182"/>
        </w:trPr>
        <w:tc>
          <w:tcPr>
            <w:tcW w:w="9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520B90"/>
                <w:w w:val="99"/>
              </w:rPr>
              <w:t>Year</w:t>
            </w:r>
          </w:p>
        </w:tc>
        <w:tc>
          <w:tcPr>
            <w:tcW w:w="36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520B90"/>
              </w:rPr>
              <w:t>CEO Annual Total Compensation</w:t>
            </w:r>
          </w:p>
        </w:tc>
        <w:tc>
          <w:tcPr>
            <w:tcW w:w="4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520B90"/>
              </w:rPr>
              <w:t>Median Employee Annual Total Compensation</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520B90"/>
              </w:rPr>
              <w:t>Pay Ratio</w:t>
            </w:r>
          </w:p>
        </w:tc>
      </w:tr>
      <w:tr>
        <w:trPr>
          <w:trHeight w:val="206"/>
        </w:trPr>
        <w:tc>
          <w:tcPr>
            <w:tcW w:w="720" w:type="dxa"/>
            <w:vAlign w:val="bottom"/>
            <w:tcBorders>
              <w:top w:val="single" w:sz="8" w:color="520B90"/>
              <w:bottom w:val="single" w:sz="8" w:color="E6E7E7"/>
            </w:tcBorders>
          </w:tcPr>
          <w:p>
            <w:pPr>
              <w:jc w:val="right"/>
              <w:ind w:right="107"/>
              <w:spacing w:after="0"/>
              <w:rPr>
                <w:sz w:val="20"/>
                <w:szCs w:val="20"/>
                <w:color w:val="auto"/>
              </w:rPr>
            </w:pPr>
            <w:r>
              <w:rPr>
                <w:rFonts w:ascii="Arial" w:cs="Arial" w:eastAsia="Arial" w:hAnsi="Arial"/>
                <w:sz w:val="16"/>
                <w:szCs w:val="16"/>
                <w:color w:val="auto"/>
              </w:rPr>
              <w:t>2025</w:t>
            </w:r>
          </w:p>
        </w:tc>
        <w:tc>
          <w:tcPr>
            <w:tcW w:w="220" w:type="dxa"/>
            <w:vAlign w:val="bottom"/>
          </w:tcPr>
          <w:p>
            <w:pPr>
              <w:spacing w:after="0"/>
              <w:rPr>
                <w:sz w:val="17"/>
                <w:szCs w:val="17"/>
                <w:color w:val="auto"/>
              </w:rPr>
            </w:pPr>
          </w:p>
        </w:tc>
        <w:tc>
          <w:tcPr>
            <w:tcW w:w="3380" w:type="dxa"/>
            <w:vAlign w:val="bottom"/>
            <w:tcBorders>
              <w:top w:val="single" w:sz="8" w:color="520B90"/>
              <w:bottom w:val="single" w:sz="8" w:color="E6E7E7"/>
            </w:tcBorders>
          </w:tcPr>
          <w:p>
            <w:pPr>
              <w:jc w:val="right"/>
              <w:ind w:right="1187"/>
              <w:spacing w:after="0"/>
              <w:rPr>
                <w:sz w:val="20"/>
                <w:szCs w:val="20"/>
                <w:color w:val="auto"/>
              </w:rPr>
            </w:pPr>
            <w:r>
              <w:rPr>
                <w:rFonts w:ascii="Arial" w:cs="Arial" w:eastAsia="Arial" w:hAnsi="Arial"/>
                <w:sz w:val="16"/>
                <w:szCs w:val="16"/>
                <w:color w:val="auto"/>
              </w:rPr>
              <w:t>$16,864,557</w:t>
            </w:r>
          </w:p>
        </w:tc>
        <w:tc>
          <w:tcPr>
            <w:tcW w:w="220" w:type="dxa"/>
            <w:vAlign w:val="bottom"/>
          </w:tcPr>
          <w:p>
            <w:pPr>
              <w:spacing w:after="0"/>
              <w:rPr>
                <w:sz w:val="17"/>
                <w:szCs w:val="17"/>
                <w:color w:val="auto"/>
              </w:rPr>
            </w:pPr>
          </w:p>
        </w:tc>
        <w:tc>
          <w:tcPr>
            <w:tcW w:w="3920" w:type="dxa"/>
            <w:vAlign w:val="bottom"/>
            <w:tcBorders>
              <w:top w:val="single" w:sz="8" w:color="520B90"/>
              <w:bottom w:val="single" w:sz="8" w:color="E6E7E7"/>
            </w:tcBorders>
          </w:tcPr>
          <w:p>
            <w:pPr>
              <w:jc w:val="right"/>
              <w:ind w:right="1567"/>
              <w:spacing w:after="0"/>
              <w:rPr>
                <w:sz w:val="20"/>
                <w:szCs w:val="20"/>
                <w:color w:val="auto"/>
              </w:rPr>
            </w:pPr>
            <w:r>
              <w:rPr>
                <w:rFonts w:ascii="Arial" w:cs="Arial" w:eastAsia="Arial" w:hAnsi="Arial"/>
                <w:sz w:val="16"/>
                <w:szCs w:val="16"/>
                <w:color w:val="auto"/>
              </w:rPr>
              <w:t>$149,323</w:t>
            </w:r>
          </w:p>
        </w:tc>
        <w:tc>
          <w:tcPr>
            <w:tcW w:w="220" w:type="dxa"/>
            <w:vAlign w:val="bottom"/>
          </w:tcPr>
          <w:p>
            <w:pPr>
              <w:spacing w:after="0"/>
              <w:rPr>
                <w:sz w:val="17"/>
                <w:szCs w:val="17"/>
                <w:color w:val="auto"/>
              </w:rPr>
            </w:pPr>
          </w:p>
        </w:tc>
        <w:tc>
          <w:tcPr>
            <w:tcW w:w="1020" w:type="dxa"/>
            <w:vAlign w:val="bottom"/>
            <w:tcBorders>
              <w:top w:val="single" w:sz="8" w:color="520B90"/>
              <w:bottom w:val="single" w:sz="8" w:color="E6E7E7"/>
            </w:tcBorders>
          </w:tcPr>
          <w:p>
            <w:pPr>
              <w:jc w:val="right"/>
              <w:ind w:right="247"/>
              <w:spacing w:after="0"/>
              <w:rPr>
                <w:sz w:val="20"/>
                <w:szCs w:val="20"/>
                <w:color w:val="auto"/>
              </w:rPr>
            </w:pPr>
            <w:r>
              <w:rPr>
                <w:rFonts w:ascii="Arial" w:cs="Arial" w:eastAsia="Arial" w:hAnsi="Arial"/>
                <w:sz w:val="16"/>
                <w:szCs w:val="16"/>
                <w:color w:val="auto"/>
              </w:rPr>
              <w:t>113:1</w:t>
            </w:r>
          </w:p>
        </w:tc>
      </w:tr>
      <w:tr>
        <w:trPr>
          <w:trHeight w:val="21"/>
        </w:trPr>
        <w:tc>
          <w:tcPr>
            <w:tcW w:w="720" w:type="dxa"/>
            <w:vAlign w:val="bottom"/>
            <w:tcBorders>
              <w:bottom w:val="single" w:sz="8" w:color="E6E7E7"/>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80" w:type="dxa"/>
            <w:vAlign w:val="bottom"/>
            <w:tcBorders>
              <w:bottom w:val="single" w:sz="8" w:color="E6E7E7"/>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20" w:type="dxa"/>
            <w:vAlign w:val="bottom"/>
            <w:tcBorders>
              <w:bottom w:val="single" w:sz="8" w:color="E6E7E7"/>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E6E7E7"/>
            </w:tcBorders>
          </w:tcPr>
          <w:p>
            <w:pPr>
              <w:spacing w:after="0" w:line="20" w:lineRule="exact"/>
              <w:rPr>
                <w:sz w:val="1"/>
                <w:szCs w:val="1"/>
                <w:color w:val="auto"/>
              </w:rPr>
            </w:pPr>
          </w:p>
        </w:tc>
      </w:tr>
    </w:tbl>
    <w:p>
      <w:pPr>
        <w:spacing w:after="0" w:line="2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CEO Pay Ratio Methodology</w:t>
      </w:r>
    </w:p>
    <w:p>
      <w:pPr>
        <w:spacing w:after="0" w:line="164" w:lineRule="exact"/>
        <w:rPr>
          <w:sz w:val="20"/>
          <w:szCs w:val="20"/>
          <w:color w:val="auto"/>
        </w:rPr>
      </w:pPr>
    </w:p>
    <w:p>
      <w:pPr>
        <w:jc w:val="both"/>
        <w:ind w:right="360"/>
        <w:spacing w:after="0" w:line="255" w:lineRule="auto"/>
        <w:rPr>
          <w:sz w:val="20"/>
          <w:szCs w:val="20"/>
          <w:color w:val="auto"/>
        </w:rPr>
      </w:pPr>
      <w:r>
        <w:rPr>
          <w:rFonts w:ascii="Arial" w:cs="Arial" w:eastAsia="Arial" w:hAnsi="Arial"/>
          <w:sz w:val="18"/>
          <w:szCs w:val="18"/>
          <w:color w:val="auto"/>
        </w:rPr>
        <w:t>As permitted under the Pay Ratio Rules, we selected an employee with substantially similar compensation in 2024 to the median employee identified for purposes of calculating our 2024 CEO pay ratio, as the employee previously identified experienced a job change in 2025. We determined that there had been no changes to our employee population or compensation arrangements that we believe would significantly impact our CEO pay ratio disclosure.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identifying our median employee in 2024, we took the following steps:</w:t>
      </w:r>
    </w:p>
    <w:p>
      <w:pPr>
        <w:spacing w:after="0" w:line="164" w:lineRule="exact"/>
        <w:rPr>
          <w:sz w:val="20"/>
          <w:szCs w:val="20"/>
          <w:color w:val="auto"/>
        </w:rPr>
      </w:pPr>
    </w:p>
    <w:p>
      <w:pPr>
        <w:ind w:left="640" w:right="100" w:hanging="316"/>
        <w:spacing w:after="0" w:line="304" w:lineRule="auto"/>
        <w:tabs>
          <w:tab w:leader="none" w:pos="635" w:val="left"/>
        </w:tabs>
        <w:numPr>
          <w:ilvl w:val="0"/>
          <w:numId w:val="148"/>
        </w:numPr>
        <w:rPr>
          <w:rFonts w:ascii="Arial" w:cs="Arial" w:eastAsia="Arial" w:hAnsi="Arial"/>
          <w:sz w:val="17"/>
          <w:szCs w:val="17"/>
          <w:color w:val="4C16AE"/>
        </w:rPr>
      </w:pPr>
      <w:r>
        <w:rPr>
          <w:rFonts w:ascii="Arial" w:cs="Arial" w:eastAsia="Arial" w:hAnsi="Arial"/>
          <w:sz w:val="17"/>
          <w:szCs w:val="17"/>
          <w:color w:val="auto"/>
        </w:rPr>
        <w:t>We determined that as of December 31, 2024 ("Determination Date"), our employee population, excluding our CEO, consisted of approximately 3,950 employees, including full-time and part-time employees. No employees were excluded on the basis of geography.</w:t>
      </w:r>
    </w:p>
    <w:p>
      <w:pPr>
        <w:spacing w:after="0" w:line="20" w:lineRule="exact"/>
        <w:rPr>
          <w:rFonts w:ascii="Arial" w:cs="Arial" w:eastAsia="Arial" w:hAnsi="Arial"/>
          <w:sz w:val="17"/>
          <w:szCs w:val="17"/>
          <w:color w:val="4C16AE"/>
        </w:rPr>
      </w:pPr>
    </w:p>
    <w:p>
      <w:pPr>
        <w:ind w:left="640" w:right="200" w:hanging="316"/>
        <w:spacing w:after="0" w:line="255" w:lineRule="auto"/>
        <w:tabs>
          <w:tab w:leader="none" w:pos="635" w:val="left"/>
        </w:tabs>
        <w:numPr>
          <w:ilvl w:val="0"/>
          <w:numId w:val="148"/>
        </w:numPr>
        <w:rPr>
          <w:rFonts w:ascii="Arial" w:cs="Arial" w:eastAsia="Arial" w:hAnsi="Arial"/>
          <w:sz w:val="18"/>
          <w:szCs w:val="18"/>
          <w:color w:val="4C16AE"/>
        </w:rPr>
      </w:pPr>
      <w:r>
        <w:rPr>
          <w:rFonts w:ascii="Arial" w:cs="Arial" w:eastAsia="Arial" w:hAnsi="Arial"/>
          <w:sz w:val="18"/>
          <w:szCs w:val="18"/>
          <w:color w:val="auto"/>
        </w:rPr>
        <w:t>For each employee, we calculated on a consistent basis (1) the base salary in effect as of the Determination Date, (2) the annual incentive paid with respect to fiscal year 2024, (3) commissions paid during fiscal year 2024 and (4) the grant date fair value of RSUs granted during fiscal year 2024 (calculated in accordance with ASC 718). For each employee, the sum of these components of compensation was then analyzed and sorted to identify the median employee.</w:t>
      </w:r>
    </w:p>
    <w:p>
      <w:pPr>
        <w:spacing w:after="0" w:line="12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then calculated the substitute median employee's total compensation for 2025 shown in the chart above using the same methodology that we used to calculate the NEOs' total compensation for 2025 as reported in the Summary Compensation Table (see "IV. Executive Compensation—Summary Compensation Table"). Mr. Hillabrant's total compensation for 2025 shown in the chart above differs from the amount reported in the Summary Compensation Table due to the annualization of his compensation described above.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391" w:right="37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Pay Versus Performance</w:t>
      </w:r>
    </w:p>
    <w:p>
      <w:pPr>
        <w:spacing w:after="0" w:line="166"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The following Pay Versus Performance Table sets forth certain compensation information, including compensation actually paid ("CAP") as calculated in accordance with Item 402(v) of Regulation S-K, of our PEO and the average compensation of all other NEOs as a group for 2025, 2024, 2023, 2022 and 2021. CAP amounts do not reflect the actual amount of compensation earned by or paid to the executives covered by the disclosure during the years shown below. Additional details regarding the CAP calculation are provided in the CAP Reconciliation Tables below.</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Pay Versus Performance Table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0" w:type="dxa"/>
            <w:vAlign w:val="bottom"/>
          </w:tcPr>
          <w:p>
            <w:pPr>
              <w:spacing w:after="0"/>
              <w:rPr>
                <w:sz w:val="13"/>
                <w:szCs w:val="13"/>
                <w:color w:val="auto"/>
              </w:rPr>
            </w:pPr>
          </w:p>
        </w:tc>
        <w:tc>
          <w:tcPr>
            <w:tcW w:w="130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520B90"/>
              </w:rPr>
              <w:t>Summary</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vMerge w:val="restart"/>
          </w:tcPr>
          <w:p>
            <w:pPr>
              <w:jc w:val="center"/>
              <w:ind w:left="114"/>
              <w:spacing w:after="0"/>
              <w:rPr>
                <w:sz w:val="20"/>
                <w:szCs w:val="20"/>
                <w:color w:val="auto"/>
              </w:rPr>
            </w:pPr>
            <w:r>
              <w:rPr>
                <w:rFonts w:ascii="Arial" w:cs="Arial" w:eastAsia="Arial" w:hAnsi="Arial"/>
                <w:sz w:val="13"/>
                <w:szCs w:val="13"/>
                <w:b w:val="1"/>
                <w:bCs w:val="1"/>
                <w:color w:val="520B90"/>
              </w:rPr>
              <w:t>Summary</w:t>
            </w:r>
          </w:p>
        </w:tc>
        <w:tc>
          <w:tcPr>
            <w:tcW w:w="94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Arial" w:cs="Arial" w:eastAsia="Arial" w:hAnsi="Arial"/>
                <w:sz w:val="13"/>
                <w:szCs w:val="13"/>
                <w:b w:val="1"/>
                <w:bCs w:val="1"/>
                <w:color w:val="520B90"/>
              </w:rPr>
              <w:t>Summary</w:t>
            </w:r>
          </w:p>
        </w:tc>
        <w:tc>
          <w:tcPr>
            <w:tcW w:w="1060" w:type="dxa"/>
            <w:vAlign w:val="bottom"/>
          </w:tcPr>
          <w:p>
            <w:pPr>
              <w:spacing w:after="0"/>
              <w:rPr>
                <w:sz w:val="13"/>
                <w:szCs w:val="13"/>
                <w:color w:val="auto"/>
              </w:rPr>
            </w:pPr>
          </w:p>
        </w:tc>
        <w:tc>
          <w:tcPr>
            <w:tcW w:w="1120" w:type="dxa"/>
            <w:vAlign w:val="bottom"/>
          </w:tcPr>
          <w:p>
            <w:pPr>
              <w:jc w:val="center"/>
              <w:ind w:right="74"/>
              <w:spacing w:after="0"/>
              <w:rPr>
                <w:sz w:val="20"/>
                <w:szCs w:val="20"/>
                <w:color w:val="auto"/>
              </w:rPr>
            </w:pPr>
            <w:r>
              <w:rPr>
                <w:rFonts w:ascii="Arial" w:cs="Arial" w:eastAsia="Arial" w:hAnsi="Arial"/>
                <w:sz w:val="13"/>
                <w:szCs w:val="13"/>
                <w:b w:val="1"/>
                <w:bCs w:val="1"/>
                <w:color w:val="520B90"/>
              </w:rPr>
              <w:t>Summary</w:t>
            </w: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520B90"/>
              </w:rPr>
              <w:t>Summary</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54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1220" w:type="dxa"/>
            <w:vAlign w:val="bottom"/>
          </w:tcPr>
          <w:p>
            <w:pPr>
              <w:jc w:val="center"/>
              <w:spacing w:after="0" w:line="133" w:lineRule="exact"/>
              <w:rPr>
                <w:sz w:val="20"/>
                <w:szCs w:val="20"/>
                <w:color w:val="auto"/>
              </w:rPr>
            </w:pPr>
            <w:r>
              <w:rPr>
                <w:rFonts w:ascii="Arial" w:cs="Arial" w:eastAsia="Arial" w:hAnsi="Arial"/>
                <w:sz w:val="13"/>
                <w:szCs w:val="13"/>
                <w:b w:val="1"/>
                <w:bCs w:val="1"/>
                <w:color w:val="520B90"/>
              </w:rPr>
              <w:t>Compensation</w:t>
            </w:r>
          </w:p>
        </w:tc>
        <w:tc>
          <w:tcPr>
            <w:tcW w:w="1060" w:type="dxa"/>
            <w:vAlign w:val="bottom"/>
          </w:tcPr>
          <w:p>
            <w:pPr>
              <w:spacing w:after="0"/>
              <w:rPr>
                <w:sz w:val="11"/>
                <w:szCs w:val="11"/>
                <w:color w:val="auto"/>
              </w:rPr>
            </w:pPr>
          </w:p>
        </w:tc>
        <w:tc>
          <w:tcPr>
            <w:tcW w:w="1120" w:type="dxa"/>
            <w:vAlign w:val="bottom"/>
          </w:tcPr>
          <w:p>
            <w:pPr>
              <w:jc w:val="center"/>
              <w:ind w:right="94"/>
              <w:spacing w:after="0" w:line="133" w:lineRule="exact"/>
              <w:rPr>
                <w:sz w:val="20"/>
                <w:szCs w:val="20"/>
                <w:color w:val="auto"/>
              </w:rPr>
            </w:pPr>
            <w:r>
              <w:rPr>
                <w:rFonts w:ascii="Arial" w:cs="Arial" w:eastAsia="Arial" w:hAnsi="Arial"/>
                <w:sz w:val="13"/>
                <w:szCs w:val="13"/>
                <w:b w:val="1"/>
                <w:bCs w:val="1"/>
                <w:color w:val="520B90"/>
              </w:rPr>
              <w:t>Compensation</w:t>
            </w: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jc w:val="center"/>
              <w:spacing w:after="0" w:line="133" w:lineRule="exact"/>
              <w:rPr>
                <w:sz w:val="20"/>
                <w:szCs w:val="20"/>
                <w:color w:val="auto"/>
              </w:rPr>
            </w:pPr>
            <w:r>
              <w:rPr>
                <w:rFonts w:ascii="Arial" w:cs="Arial" w:eastAsia="Arial" w:hAnsi="Arial"/>
                <w:sz w:val="13"/>
                <w:szCs w:val="13"/>
                <w:b w:val="1"/>
                <w:bCs w:val="1"/>
                <w:color w:val="520B90"/>
              </w:rPr>
              <w:t>Compensation</w:t>
            </w: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40" w:type="dxa"/>
            <w:vAlign w:val="bottom"/>
          </w:tcPr>
          <w:p>
            <w:pPr>
              <w:spacing w:after="0"/>
              <w:rPr>
                <w:sz w:val="11"/>
                <w:szCs w:val="11"/>
                <w:color w:val="auto"/>
              </w:rPr>
            </w:pPr>
          </w:p>
        </w:tc>
        <w:tc>
          <w:tcPr>
            <w:tcW w:w="1300" w:type="dxa"/>
            <w:vAlign w:val="bottom"/>
            <w:gridSpan w:val="2"/>
          </w:tcPr>
          <w:p>
            <w:pPr>
              <w:jc w:val="center"/>
              <w:ind w:right="140"/>
              <w:spacing w:after="0" w:line="133" w:lineRule="exact"/>
              <w:rPr>
                <w:sz w:val="20"/>
                <w:szCs w:val="20"/>
                <w:color w:val="auto"/>
              </w:rPr>
            </w:pPr>
            <w:r>
              <w:rPr>
                <w:rFonts w:ascii="Arial" w:cs="Arial" w:eastAsia="Arial" w:hAnsi="Arial"/>
                <w:sz w:val="13"/>
                <w:szCs w:val="13"/>
                <w:b w:val="1"/>
                <w:bCs w:val="1"/>
                <w:color w:val="520B90"/>
              </w:rPr>
              <w:t>Compensation</w:t>
            </w:r>
          </w:p>
        </w:tc>
        <w:tc>
          <w:tcPr>
            <w:tcW w:w="720" w:type="dxa"/>
            <w:vAlign w:val="bottom"/>
            <w:vMerge w:val="restart"/>
          </w:tcPr>
          <w:p>
            <w:pPr>
              <w:jc w:val="center"/>
              <w:ind w:left="54"/>
              <w:spacing w:after="0"/>
              <w:rPr>
                <w:sz w:val="20"/>
                <w:szCs w:val="20"/>
                <w:color w:val="auto"/>
              </w:rPr>
            </w:pPr>
            <w:r>
              <w:rPr>
                <w:rFonts w:ascii="Arial" w:cs="Arial" w:eastAsia="Arial" w:hAnsi="Arial"/>
                <w:sz w:val="13"/>
                <w:szCs w:val="13"/>
                <w:b w:val="1"/>
                <w:bCs w:val="1"/>
                <w:color w:val="520B90"/>
              </w:rPr>
              <w:t>CAP to</w:t>
            </w:r>
          </w:p>
        </w:tc>
        <w:tc>
          <w:tcPr>
            <w:tcW w:w="120" w:type="dxa"/>
            <w:vAlign w:val="bottom"/>
          </w:tcPr>
          <w:p>
            <w:pPr>
              <w:spacing w:after="0"/>
              <w:rPr>
                <w:sz w:val="11"/>
                <w:szCs w:val="11"/>
                <w:color w:val="auto"/>
              </w:rPr>
            </w:pPr>
          </w:p>
        </w:tc>
        <w:tc>
          <w:tcPr>
            <w:tcW w:w="1300" w:type="dxa"/>
            <w:vAlign w:val="bottom"/>
            <w:gridSpan w:val="2"/>
          </w:tcPr>
          <w:p>
            <w:pPr>
              <w:jc w:val="center"/>
              <w:ind w:left="114"/>
              <w:spacing w:after="0" w:line="133" w:lineRule="exact"/>
              <w:rPr>
                <w:sz w:val="20"/>
                <w:szCs w:val="20"/>
                <w:color w:val="auto"/>
              </w:rPr>
            </w:pPr>
            <w:r>
              <w:rPr>
                <w:rFonts w:ascii="Arial" w:cs="Arial" w:eastAsia="Arial" w:hAnsi="Arial"/>
                <w:sz w:val="13"/>
                <w:szCs w:val="13"/>
                <w:b w:val="1"/>
                <w:bCs w:val="1"/>
                <w:color w:val="520B90"/>
              </w:rPr>
              <w:t>Compensation</w:t>
            </w:r>
          </w:p>
        </w:tc>
        <w:tc>
          <w:tcPr>
            <w:tcW w:w="940" w:type="dxa"/>
            <w:vAlign w:val="bottom"/>
            <w:vMerge w:val="restart"/>
          </w:tcPr>
          <w:p>
            <w:pPr>
              <w:jc w:val="center"/>
              <w:spacing w:after="0"/>
              <w:rPr>
                <w:sz w:val="20"/>
                <w:szCs w:val="20"/>
                <w:color w:val="auto"/>
              </w:rPr>
            </w:pPr>
            <w:r>
              <w:rPr>
                <w:rFonts w:ascii="Arial" w:cs="Arial" w:eastAsia="Arial" w:hAnsi="Arial"/>
                <w:sz w:val="13"/>
                <w:szCs w:val="13"/>
                <w:b w:val="1"/>
                <w:bCs w:val="1"/>
                <w:color w:val="520B90"/>
              </w:rPr>
              <w:t>CAP to PEO</w:t>
            </w:r>
          </w:p>
        </w:tc>
        <w:tc>
          <w:tcPr>
            <w:tcW w:w="1220" w:type="dxa"/>
            <w:vAlign w:val="bottom"/>
          </w:tcPr>
          <w:p>
            <w:pPr>
              <w:jc w:val="center"/>
              <w:spacing w:after="0" w:line="133" w:lineRule="exact"/>
              <w:rPr>
                <w:sz w:val="20"/>
                <w:szCs w:val="20"/>
                <w:color w:val="auto"/>
              </w:rPr>
            </w:pPr>
            <w:r>
              <w:rPr>
                <w:rFonts w:ascii="Arial" w:cs="Arial" w:eastAsia="Arial" w:hAnsi="Arial"/>
                <w:sz w:val="13"/>
                <w:szCs w:val="13"/>
                <w:b w:val="1"/>
                <w:bCs w:val="1"/>
                <w:color w:val="520B90"/>
                <w:w w:val="98"/>
              </w:rPr>
              <w:t>Table Total for</w:t>
            </w:r>
          </w:p>
        </w:tc>
        <w:tc>
          <w:tcPr>
            <w:tcW w:w="1060" w:type="dxa"/>
            <w:vAlign w:val="bottom"/>
            <w:vMerge w:val="restart"/>
          </w:tcPr>
          <w:p>
            <w:pPr>
              <w:jc w:val="center"/>
              <w:ind w:right="114"/>
              <w:spacing w:after="0"/>
              <w:rPr>
                <w:sz w:val="20"/>
                <w:szCs w:val="20"/>
                <w:color w:val="auto"/>
              </w:rPr>
            </w:pPr>
            <w:r>
              <w:rPr>
                <w:rFonts w:ascii="Arial" w:cs="Arial" w:eastAsia="Arial" w:hAnsi="Arial"/>
                <w:sz w:val="13"/>
                <w:szCs w:val="13"/>
                <w:b w:val="1"/>
                <w:bCs w:val="1"/>
                <w:color w:val="520B90"/>
              </w:rPr>
              <w:t>CAP to</w:t>
            </w:r>
          </w:p>
        </w:tc>
        <w:tc>
          <w:tcPr>
            <w:tcW w:w="1120" w:type="dxa"/>
            <w:vAlign w:val="bottom"/>
          </w:tcPr>
          <w:p>
            <w:pPr>
              <w:jc w:val="center"/>
              <w:ind w:right="74"/>
              <w:spacing w:after="0" w:line="133" w:lineRule="exact"/>
              <w:rPr>
                <w:sz w:val="20"/>
                <w:szCs w:val="20"/>
                <w:color w:val="auto"/>
              </w:rPr>
            </w:pPr>
            <w:r>
              <w:rPr>
                <w:rFonts w:ascii="Arial" w:cs="Arial" w:eastAsia="Arial" w:hAnsi="Arial"/>
                <w:sz w:val="13"/>
                <w:szCs w:val="13"/>
                <w:b w:val="1"/>
                <w:bCs w:val="1"/>
                <w:color w:val="520B90"/>
              </w:rPr>
              <w:t>Table Total for</w:t>
            </w:r>
          </w:p>
        </w:tc>
        <w:tc>
          <w:tcPr>
            <w:tcW w:w="860" w:type="dxa"/>
            <w:vAlign w:val="bottom"/>
            <w:gridSpan w:val="2"/>
            <w:vMerge w:val="restart"/>
          </w:tcPr>
          <w:p>
            <w:pPr>
              <w:jc w:val="center"/>
              <w:ind w:right="20"/>
              <w:spacing w:after="0"/>
              <w:rPr>
                <w:sz w:val="20"/>
                <w:szCs w:val="20"/>
                <w:color w:val="auto"/>
              </w:rPr>
            </w:pPr>
            <w:r>
              <w:rPr>
                <w:rFonts w:ascii="Arial" w:cs="Arial" w:eastAsia="Arial" w:hAnsi="Arial"/>
                <w:sz w:val="13"/>
                <w:szCs w:val="13"/>
                <w:b w:val="1"/>
                <w:bCs w:val="1"/>
                <w:color w:val="520B90"/>
              </w:rPr>
              <w:t>CAP to</w:t>
            </w:r>
          </w:p>
        </w:tc>
        <w:tc>
          <w:tcPr>
            <w:tcW w:w="1140" w:type="dxa"/>
            <w:vAlign w:val="bottom"/>
          </w:tcPr>
          <w:p>
            <w:pPr>
              <w:jc w:val="center"/>
              <w:spacing w:after="0" w:line="133" w:lineRule="exact"/>
              <w:rPr>
                <w:sz w:val="20"/>
                <w:szCs w:val="20"/>
                <w:color w:val="auto"/>
              </w:rPr>
            </w:pPr>
            <w:r>
              <w:rPr>
                <w:rFonts w:ascii="Arial" w:cs="Arial" w:eastAsia="Arial" w:hAnsi="Arial"/>
                <w:sz w:val="13"/>
                <w:szCs w:val="13"/>
                <w:b w:val="1"/>
                <w:bCs w:val="1"/>
                <w:color w:val="520B90"/>
              </w:rPr>
              <w:t>Table Total for</w:t>
            </w:r>
          </w:p>
        </w:tc>
        <w:tc>
          <w:tcPr>
            <w:tcW w:w="920" w:type="dxa"/>
            <w:vAlign w:val="bottom"/>
            <w:vMerge w:val="restart"/>
          </w:tcPr>
          <w:p>
            <w:pPr>
              <w:jc w:val="center"/>
              <w:ind w:right="14"/>
              <w:spacing w:after="0"/>
              <w:rPr>
                <w:sz w:val="20"/>
                <w:szCs w:val="20"/>
                <w:color w:val="auto"/>
              </w:rPr>
            </w:pPr>
            <w:r>
              <w:rPr>
                <w:rFonts w:ascii="Arial" w:cs="Arial" w:eastAsia="Arial" w:hAnsi="Arial"/>
                <w:sz w:val="13"/>
                <w:szCs w:val="13"/>
                <w:b w:val="1"/>
                <w:bCs w:val="1"/>
                <w:color w:val="520B90"/>
              </w:rPr>
              <w:t>CAP to</w:t>
            </w:r>
          </w:p>
        </w:tc>
        <w:tc>
          <w:tcPr>
            <w:tcW w:w="0" w:type="dxa"/>
            <w:vAlign w:val="bottom"/>
          </w:tcPr>
          <w:p>
            <w:pPr>
              <w:spacing w:after="0"/>
              <w:rPr>
                <w:sz w:val="1"/>
                <w:szCs w:val="1"/>
                <w:color w:val="auto"/>
              </w:rPr>
            </w:pPr>
          </w:p>
        </w:tc>
      </w:tr>
      <w:tr>
        <w:trPr>
          <w:trHeight w:val="132"/>
        </w:trPr>
        <w:tc>
          <w:tcPr>
            <w:tcW w:w="540" w:type="dxa"/>
            <w:vAlign w:val="bottom"/>
          </w:tcPr>
          <w:p>
            <w:pPr>
              <w:spacing w:after="0"/>
              <w:rPr>
                <w:sz w:val="11"/>
                <w:szCs w:val="11"/>
                <w:color w:val="auto"/>
              </w:rPr>
            </w:pPr>
          </w:p>
        </w:tc>
        <w:tc>
          <w:tcPr>
            <w:tcW w:w="1300" w:type="dxa"/>
            <w:vAlign w:val="bottom"/>
            <w:gridSpan w:val="2"/>
          </w:tcPr>
          <w:p>
            <w:pPr>
              <w:jc w:val="center"/>
              <w:ind w:right="160"/>
              <w:spacing w:after="0" w:line="133" w:lineRule="exact"/>
              <w:rPr>
                <w:sz w:val="20"/>
                <w:szCs w:val="20"/>
                <w:color w:val="auto"/>
              </w:rPr>
            </w:pPr>
            <w:r>
              <w:rPr>
                <w:rFonts w:ascii="Arial" w:cs="Arial" w:eastAsia="Arial" w:hAnsi="Arial"/>
                <w:sz w:val="13"/>
                <w:szCs w:val="13"/>
                <w:b w:val="1"/>
                <w:bCs w:val="1"/>
                <w:color w:val="520B90"/>
              </w:rPr>
              <w:t>Table Total for</w:t>
            </w:r>
          </w:p>
        </w:tc>
        <w:tc>
          <w:tcPr>
            <w:tcW w:w="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left="114"/>
              <w:spacing w:after="0" w:line="133" w:lineRule="exact"/>
              <w:rPr>
                <w:sz w:val="20"/>
                <w:szCs w:val="20"/>
                <w:color w:val="auto"/>
              </w:rPr>
            </w:pPr>
            <w:r>
              <w:rPr>
                <w:rFonts w:ascii="Arial" w:cs="Arial" w:eastAsia="Arial" w:hAnsi="Arial"/>
                <w:sz w:val="13"/>
                <w:szCs w:val="13"/>
                <w:b w:val="1"/>
                <w:bCs w:val="1"/>
                <w:color w:val="520B90"/>
                <w:w w:val="98"/>
              </w:rPr>
              <w:t>Table Total for</w:t>
            </w:r>
          </w:p>
        </w:tc>
        <w:tc>
          <w:tcPr>
            <w:tcW w:w="940" w:type="dxa"/>
            <w:vAlign w:val="bottom"/>
            <w:vMerge w:val="continue"/>
          </w:tcPr>
          <w:p>
            <w:pPr>
              <w:spacing w:after="0"/>
              <w:rPr>
                <w:sz w:val="11"/>
                <w:szCs w:val="11"/>
                <w:color w:val="auto"/>
              </w:rPr>
            </w:pPr>
          </w:p>
        </w:tc>
        <w:tc>
          <w:tcPr>
            <w:tcW w:w="1220" w:type="dxa"/>
            <w:vAlign w:val="bottom"/>
          </w:tcPr>
          <w:p>
            <w:pPr>
              <w:jc w:val="center"/>
              <w:spacing w:after="0" w:line="133" w:lineRule="exact"/>
              <w:rPr>
                <w:sz w:val="20"/>
                <w:szCs w:val="20"/>
                <w:color w:val="auto"/>
              </w:rPr>
            </w:pPr>
            <w:r>
              <w:rPr>
                <w:rFonts w:ascii="Arial" w:cs="Arial" w:eastAsia="Arial" w:hAnsi="Arial"/>
                <w:sz w:val="13"/>
                <w:szCs w:val="13"/>
                <w:b w:val="1"/>
                <w:bCs w:val="1"/>
                <w:color w:val="520B90"/>
              </w:rPr>
              <w:t>PEO</w:t>
            </w:r>
          </w:p>
        </w:tc>
        <w:tc>
          <w:tcPr>
            <w:tcW w:w="1060" w:type="dxa"/>
            <w:vAlign w:val="bottom"/>
            <w:vMerge w:val="continue"/>
          </w:tcPr>
          <w:p>
            <w:pPr>
              <w:spacing w:after="0"/>
              <w:rPr>
                <w:sz w:val="11"/>
                <w:szCs w:val="11"/>
                <w:color w:val="auto"/>
              </w:rPr>
            </w:pPr>
          </w:p>
        </w:tc>
        <w:tc>
          <w:tcPr>
            <w:tcW w:w="1120" w:type="dxa"/>
            <w:vAlign w:val="bottom"/>
          </w:tcPr>
          <w:p>
            <w:pPr>
              <w:jc w:val="center"/>
              <w:ind w:right="94"/>
              <w:spacing w:after="0" w:line="133" w:lineRule="exact"/>
              <w:rPr>
                <w:sz w:val="20"/>
                <w:szCs w:val="20"/>
                <w:color w:val="auto"/>
              </w:rPr>
            </w:pPr>
            <w:r>
              <w:rPr>
                <w:rFonts w:ascii="Arial" w:cs="Arial" w:eastAsia="Arial" w:hAnsi="Arial"/>
                <w:sz w:val="13"/>
                <w:szCs w:val="13"/>
                <w:b w:val="1"/>
                <w:bCs w:val="1"/>
                <w:color w:val="520B90"/>
              </w:rPr>
              <w:t>PEO</w:t>
            </w:r>
          </w:p>
        </w:tc>
        <w:tc>
          <w:tcPr>
            <w:tcW w:w="860" w:type="dxa"/>
            <w:vAlign w:val="bottom"/>
            <w:gridSpan w:val="2"/>
            <w:vMerge w:val="continue"/>
          </w:tcPr>
          <w:p>
            <w:pPr>
              <w:spacing w:after="0"/>
              <w:rPr>
                <w:sz w:val="11"/>
                <w:szCs w:val="11"/>
                <w:color w:val="auto"/>
              </w:rPr>
            </w:pPr>
          </w:p>
        </w:tc>
        <w:tc>
          <w:tcPr>
            <w:tcW w:w="1140" w:type="dxa"/>
            <w:vAlign w:val="bottom"/>
          </w:tcPr>
          <w:p>
            <w:pPr>
              <w:jc w:val="center"/>
              <w:spacing w:after="0" w:line="133" w:lineRule="exact"/>
              <w:rPr>
                <w:sz w:val="20"/>
                <w:szCs w:val="20"/>
                <w:color w:val="auto"/>
              </w:rPr>
            </w:pPr>
            <w:r>
              <w:rPr>
                <w:rFonts w:ascii="Arial" w:cs="Arial" w:eastAsia="Arial" w:hAnsi="Arial"/>
                <w:sz w:val="13"/>
                <w:szCs w:val="13"/>
                <w:b w:val="1"/>
                <w:bCs w:val="1"/>
                <w:color w:val="520B90"/>
              </w:rPr>
              <w:t>PEO</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40" w:type="dxa"/>
            <w:vAlign w:val="bottom"/>
            <w:vMerge w:val="restart"/>
          </w:tcPr>
          <w:p>
            <w:pPr>
              <w:jc w:val="center"/>
              <w:spacing w:after="0"/>
              <w:rPr>
                <w:sz w:val="20"/>
                <w:szCs w:val="20"/>
                <w:color w:val="auto"/>
              </w:rPr>
            </w:pPr>
            <w:r>
              <w:rPr>
                <w:rFonts w:ascii="Arial" w:cs="Arial" w:eastAsia="Arial" w:hAnsi="Arial"/>
                <w:sz w:val="13"/>
                <w:szCs w:val="13"/>
                <w:b w:val="1"/>
                <w:bCs w:val="1"/>
                <w:color w:val="520B90"/>
                <w:w w:val="99"/>
              </w:rPr>
              <w:t>Year</w:t>
            </w:r>
          </w:p>
        </w:tc>
        <w:tc>
          <w:tcPr>
            <w:tcW w:w="1300" w:type="dxa"/>
            <w:vAlign w:val="bottom"/>
            <w:gridSpan w:val="2"/>
          </w:tcPr>
          <w:p>
            <w:pPr>
              <w:jc w:val="center"/>
              <w:ind w:right="140"/>
              <w:spacing w:after="0" w:line="133" w:lineRule="exact"/>
              <w:rPr>
                <w:sz w:val="20"/>
                <w:szCs w:val="20"/>
                <w:color w:val="auto"/>
              </w:rPr>
            </w:pPr>
            <w:r>
              <w:rPr>
                <w:rFonts w:ascii="Arial" w:cs="Arial" w:eastAsia="Arial" w:hAnsi="Arial"/>
                <w:sz w:val="13"/>
                <w:szCs w:val="13"/>
                <w:b w:val="1"/>
                <w:bCs w:val="1"/>
                <w:color w:val="520B90"/>
              </w:rPr>
              <w:t>PEO</w:t>
            </w:r>
          </w:p>
        </w:tc>
        <w:tc>
          <w:tcPr>
            <w:tcW w:w="720" w:type="dxa"/>
            <w:vAlign w:val="bottom"/>
          </w:tcPr>
          <w:p>
            <w:pPr>
              <w:jc w:val="center"/>
              <w:ind w:left="54"/>
              <w:spacing w:after="0" w:line="133" w:lineRule="exact"/>
              <w:rPr>
                <w:sz w:val="20"/>
                <w:szCs w:val="20"/>
                <w:color w:val="auto"/>
              </w:rPr>
            </w:pPr>
            <w:r>
              <w:rPr>
                <w:rFonts w:ascii="Arial" w:cs="Arial" w:eastAsia="Arial" w:hAnsi="Arial"/>
                <w:sz w:val="13"/>
                <w:szCs w:val="13"/>
                <w:b w:val="1"/>
                <w:bCs w:val="1"/>
                <w:color w:val="520B90"/>
              </w:rPr>
              <w:t>PEO to</w:t>
            </w:r>
          </w:p>
        </w:tc>
        <w:tc>
          <w:tcPr>
            <w:tcW w:w="120" w:type="dxa"/>
            <w:vAlign w:val="bottom"/>
          </w:tcPr>
          <w:p>
            <w:pPr>
              <w:spacing w:after="0"/>
              <w:rPr>
                <w:sz w:val="11"/>
                <w:szCs w:val="11"/>
                <w:color w:val="auto"/>
              </w:rPr>
            </w:pPr>
          </w:p>
        </w:tc>
        <w:tc>
          <w:tcPr>
            <w:tcW w:w="1300" w:type="dxa"/>
            <w:vAlign w:val="bottom"/>
            <w:gridSpan w:val="2"/>
          </w:tcPr>
          <w:p>
            <w:pPr>
              <w:jc w:val="center"/>
              <w:ind w:left="114"/>
              <w:spacing w:after="0" w:line="133" w:lineRule="exact"/>
              <w:rPr>
                <w:sz w:val="20"/>
                <w:szCs w:val="20"/>
                <w:color w:val="auto"/>
              </w:rPr>
            </w:pPr>
            <w:r>
              <w:rPr>
                <w:rFonts w:ascii="Arial" w:cs="Arial" w:eastAsia="Arial" w:hAnsi="Arial"/>
                <w:sz w:val="13"/>
                <w:szCs w:val="13"/>
                <w:b w:val="1"/>
                <w:bCs w:val="1"/>
                <w:color w:val="520B90"/>
              </w:rPr>
              <w:t>PEO to</w:t>
            </w:r>
          </w:p>
        </w:tc>
        <w:tc>
          <w:tcPr>
            <w:tcW w:w="940" w:type="dxa"/>
            <w:vAlign w:val="bottom"/>
          </w:tcPr>
          <w:p>
            <w:pPr>
              <w:jc w:val="center"/>
              <w:spacing w:after="0" w:line="133" w:lineRule="exact"/>
              <w:rPr>
                <w:sz w:val="20"/>
                <w:szCs w:val="20"/>
                <w:color w:val="auto"/>
              </w:rPr>
            </w:pPr>
            <w:r>
              <w:rPr>
                <w:rFonts w:ascii="Arial" w:cs="Arial" w:eastAsia="Arial" w:hAnsi="Arial"/>
                <w:sz w:val="13"/>
                <w:szCs w:val="13"/>
                <w:b w:val="1"/>
                <w:bCs w:val="1"/>
                <w:color w:val="520B90"/>
                <w:w w:val="97"/>
              </w:rPr>
              <w:t>to</w:t>
            </w:r>
          </w:p>
        </w:tc>
        <w:tc>
          <w:tcPr>
            <w:tcW w:w="1220" w:type="dxa"/>
            <w:vAlign w:val="bottom"/>
          </w:tcPr>
          <w:p>
            <w:pPr>
              <w:jc w:val="center"/>
              <w:spacing w:after="0" w:line="133" w:lineRule="exact"/>
              <w:rPr>
                <w:sz w:val="20"/>
                <w:szCs w:val="20"/>
                <w:color w:val="auto"/>
              </w:rPr>
            </w:pPr>
            <w:r>
              <w:rPr>
                <w:rFonts w:ascii="Arial" w:cs="Arial" w:eastAsia="Arial" w:hAnsi="Arial"/>
                <w:sz w:val="13"/>
                <w:szCs w:val="13"/>
                <w:b w:val="1"/>
                <w:bCs w:val="1"/>
                <w:color w:val="520B90"/>
                <w:w w:val="97"/>
              </w:rPr>
              <w:t>to</w:t>
            </w:r>
          </w:p>
        </w:tc>
        <w:tc>
          <w:tcPr>
            <w:tcW w:w="1060" w:type="dxa"/>
            <w:vAlign w:val="bottom"/>
          </w:tcPr>
          <w:p>
            <w:pPr>
              <w:jc w:val="center"/>
              <w:ind w:right="74"/>
              <w:spacing w:after="0" w:line="133" w:lineRule="exact"/>
              <w:rPr>
                <w:sz w:val="20"/>
                <w:szCs w:val="20"/>
                <w:color w:val="auto"/>
              </w:rPr>
            </w:pPr>
            <w:r>
              <w:rPr>
                <w:rFonts w:ascii="Arial" w:cs="Arial" w:eastAsia="Arial" w:hAnsi="Arial"/>
                <w:sz w:val="13"/>
                <w:szCs w:val="13"/>
                <w:b w:val="1"/>
                <w:bCs w:val="1"/>
                <w:color w:val="520B90"/>
              </w:rPr>
              <w:t>PEO to</w:t>
            </w:r>
          </w:p>
        </w:tc>
        <w:tc>
          <w:tcPr>
            <w:tcW w:w="1120" w:type="dxa"/>
            <w:vAlign w:val="bottom"/>
          </w:tcPr>
          <w:p>
            <w:pPr>
              <w:jc w:val="center"/>
              <w:ind w:right="74"/>
              <w:spacing w:after="0" w:line="133" w:lineRule="exact"/>
              <w:rPr>
                <w:sz w:val="20"/>
                <w:szCs w:val="20"/>
                <w:color w:val="auto"/>
              </w:rPr>
            </w:pPr>
            <w:r>
              <w:rPr>
                <w:rFonts w:ascii="Arial" w:cs="Arial" w:eastAsia="Arial" w:hAnsi="Arial"/>
                <w:sz w:val="13"/>
                <w:szCs w:val="13"/>
                <w:b w:val="1"/>
                <w:bCs w:val="1"/>
                <w:color w:val="520B90"/>
              </w:rPr>
              <w:t>to</w:t>
            </w:r>
          </w:p>
        </w:tc>
        <w:tc>
          <w:tcPr>
            <w:tcW w:w="860" w:type="dxa"/>
            <w:vAlign w:val="bottom"/>
            <w:gridSpan w:val="2"/>
          </w:tcPr>
          <w:p>
            <w:pPr>
              <w:jc w:val="center"/>
              <w:ind w:right="20"/>
              <w:spacing w:after="0" w:line="133" w:lineRule="exact"/>
              <w:rPr>
                <w:sz w:val="20"/>
                <w:szCs w:val="20"/>
                <w:color w:val="auto"/>
              </w:rPr>
            </w:pPr>
            <w:r>
              <w:rPr>
                <w:rFonts w:ascii="Arial" w:cs="Arial" w:eastAsia="Arial" w:hAnsi="Arial"/>
                <w:sz w:val="13"/>
                <w:szCs w:val="13"/>
                <w:b w:val="1"/>
                <w:bCs w:val="1"/>
                <w:color w:val="520B90"/>
              </w:rPr>
              <w:t>PEO to</w:t>
            </w:r>
          </w:p>
        </w:tc>
        <w:tc>
          <w:tcPr>
            <w:tcW w:w="1140" w:type="dxa"/>
            <w:vAlign w:val="bottom"/>
          </w:tcPr>
          <w:p>
            <w:pPr>
              <w:jc w:val="center"/>
              <w:spacing w:after="0" w:line="133" w:lineRule="exact"/>
              <w:rPr>
                <w:sz w:val="20"/>
                <w:szCs w:val="20"/>
                <w:color w:val="auto"/>
              </w:rPr>
            </w:pPr>
            <w:r>
              <w:rPr>
                <w:rFonts w:ascii="Arial" w:cs="Arial" w:eastAsia="Arial" w:hAnsi="Arial"/>
                <w:sz w:val="13"/>
                <w:szCs w:val="13"/>
                <w:b w:val="1"/>
                <w:bCs w:val="1"/>
                <w:color w:val="520B90"/>
                <w:w w:val="97"/>
              </w:rPr>
              <w:t>to</w:t>
            </w:r>
          </w:p>
        </w:tc>
        <w:tc>
          <w:tcPr>
            <w:tcW w:w="920" w:type="dxa"/>
            <w:vAlign w:val="bottom"/>
          </w:tcPr>
          <w:p>
            <w:pPr>
              <w:jc w:val="center"/>
              <w:ind w:right="14"/>
              <w:spacing w:after="0" w:line="133" w:lineRule="exact"/>
              <w:rPr>
                <w:sz w:val="20"/>
                <w:szCs w:val="20"/>
                <w:color w:val="auto"/>
              </w:rPr>
            </w:pPr>
            <w:r>
              <w:rPr>
                <w:rFonts w:ascii="Arial" w:cs="Arial" w:eastAsia="Arial" w:hAnsi="Arial"/>
                <w:sz w:val="13"/>
                <w:szCs w:val="13"/>
                <w:b w:val="1"/>
                <w:bCs w:val="1"/>
                <w:color w:val="520B90"/>
              </w:rPr>
              <w:t>PEO to</w:t>
            </w:r>
          </w:p>
        </w:tc>
        <w:tc>
          <w:tcPr>
            <w:tcW w:w="0" w:type="dxa"/>
            <w:vAlign w:val="bottom"/>
          </w:tcPr>
          <w:p>
            <w:pPr>
              <w:spacing w:after="0"/>
              <w:rPr>
                <w:sz w:val="1"/>
                <w:szCs w:val="1"/>
                <w:color w:val="auto"/>
              </w:rPr>
            </w:pPr>
          </w:p>
        </w:tc>
      </w:tr>
      <w:tr>
        <w:trPr>
          <w:trHeight w:val="132"/>
        </w:trPr>
        <w:tc>
          <w:tcPr>
            <w:tcW w:w="540" w:type="dxa"/>
            <w:vAlign w:val="bottom"/>
            <w:vMerge w:val="continue"/>
          </w:tcPr>
          <w:p>
            <w:pPr>
              <w:spacing w:after="0"/>
              <w:rPr>
                <w:sz w:val="11"/>
                <w:szCs w:val="11"/>
                <w:color w:val="auto"/>
              </w:rPr>
            </w:pPr>
          </w:p>
        </w:tc>
        <w:tc>
          <w:tcPr>
            <w:tcW w:w="1300" w:type="dxa"/>
            <w:vAlign w:val="bottom"/>
            <w:gridSpan w:val="2"/>
          </w:tcPr>
          <w:p>
            <w:pPr>
              <w:jc w:val="center"/>
              <w:ind w:right="160"/>
              <w:spacing w:after="0" w:line="133" w:lineRule="exact"/>
              <w:rPr>
                <w:sz w:val="20"/>
                <w:szCs w:val="20"/>
                <w:color w:val="auto"/>
              </w:rPr>
            </w:pPr>
            <w:r>
              <w:rPr>
                <w:rFonts w:ascii="Arial" w:cs="Arial" w:eastAsia="Arial" w:hAnsi="Arial"/>
                <w:sz w:val="13"/>
                <w:szCs w:val="13"/>
                <w:b w:val="1"/>
                <w:bCs w:val="1"/>
                <w:color w:val="520B90"/>
              </w:rPr>
              <w:t>to Brown</w:t>
            </w:r>
          </w:p>
        </w:tc>
        <w:tc>
          <w:tcPr>
            <w:tcW w:w="720" w:type="dxa"/>
            <w:vAlign w:val="bottom"/>
          </w:tcPr>
          <w:p>
            <w:pPr>
              <w:jc w:val="center"/>
              <w:ind w:left="74"/>
              <w:spacing w:after="0" w:line="133" w:lineRule="exact"/>
              <w:rPr>
                <w:sz w:val="20"/>
                <w:szCs w:val="20"/>
                <w:color w:val="auto"/>
              </w:rPr>
            </w:pPr>
            <w:r>
              <w:rPr>
                <w:rFonts w:ascii="Arial" w:cs="Arial" w:eastAsia="Arial" w:hAnsi="Arial"/>
                <w:sz w:val="13"/>
                <w:szCs w:val="13"/>
                <w:b w:val="1"/>
                <w:bCs w:val="1"/>
                <w:color w:val="520B90"/>
              </w:rPr>
              <w:t>Brown</w:t>
            </w:r>
          </w:p>
        </w:tc>
        <w:tc>
          <w:tcPr>
            <w:tcW w:w="120" w:type="dxa"/>
            <w:vAlign w:val="bottom"/>
          </w:tcPr>
          <w:p>
            <w:pPr>
              <w:spacing w:after="0"/>
              <w:rPr>
                <w:sz w:val="11"/>
                <w:szCs w:val="11"/>
                <w:color w:val="auto"/>
              </w:rPr>
            </w:pPr>
          </w:p>
        </w:tc>
        <w:tc>
          <w:tcPr>
            <w:tcW w:w="1300" w:type="dxa"/>
            <w:vAlign w:val="bottom"/>
            <w:gridSpan w:val="2"/>
          </w:tcPr>
          <w:p>
            <w:pPr>
              <w:jc w:val="center"/>
              <w:ind w:left="114"/>
              <w:spacing w:after="0" w:line="133" w:lineRule="exact"/>
              <w:rPr>
                <w:sz w:val="20"/>
                <w:szCs w:val="20"/>
                <w:color w:val="auto"/>
              </w:rPr>
            </w:pPr>
            <w:r>
              <w:rPr>
                <w:rFonts w:ascii="Arial" w:cs="Arial" w:eastAsia="Arial" w:hAnsi="Arial"/>
                <w:sz w:val="13"/>
                <w:szCs w:val="13"/>
                <w:b w:val="1"/>
                <w:bCs w:val="1"/>
                <w:color w:val="520B90"/>
                <w:w w:val="98"/>
              </w:rPr>
              <w:t>Melone</w:t>
            </w:r>
          </w:p>
        </w:tc>
        <w:tc>
          <w:tcPr>
            <w:tcW w:w="940" w:type="dxa"/>
            <w:vAlign w:val="bottom"/>
          </w:tcPr>
          <w:p>
            <w:pPr>
              <w:jc w:val="center"/>
              <w:spacing w:after="0" w:line="133" w:lineRule="exact"/>
              <w:rPr>
                <w:sz w:val="20"/>
                <w:szCs w:val="20"/>
                <w:color w:val="auto"/>
              </w:rPr>
            </w:pPr>
            <w:r>
              <w:rPr>
                <w:rFonts w:ascii="Arial" w:cs="Arial" w:eastAsia="Arial" w:hAnsi="Arial"/>
                <w:sz w:val="13"/>
                <w:szCs w:val="13"/>
                <w:b w:val="1"/>
                <w:bCs w:val="1"/>
                <w:color w:val="520B90"/>
                <w:w w:val="98"/>
              </w:rPr>
              <w:t>Melone</w:t>
            </w:r>
          </w:p>
        </w:tc>
        <w:tc>
          <w:tcPr>
            <w:tcW w:w="1220" w:type="dxa"/>
            <w:vAlign w:val="bottom"/>
          </w:tcPr>
          <w:p>
            <w:pPr>
              <w:jc w:val="center"/>
              <w:spacing w:after="0" w:line="133" w:lineRule="exact"/>
              <w:rPr>
                <w:sz w:val="20"/>
                <w:szCs w:val="20"/>
                <w:color w:val="auto"/>
              </w:rPr>
            </w:pPr>
            <w:r>
              <w:rPr>
                <w:rFonts w:ascii="Arial" w:cs="Arial" w:eastAsia="Arial" w:hAnsi="Arial"/>
                <w:sz w:val="13"/>
                <w:szCs w:val="13"/>
                <w:b w:val="1"/>
                <w:bCs w:val="1"/>
                <w:color w:val="520B90"/>
              </w:rPr>
              <w:t>Moskowitz</w:t>
            </w:r>
          </w:p>
        </w:tc>
        <w:tc>
          <w:tcPr>
            <w:tcW w:w="1060" w:type="dxa"/>
            <w:vAlign w:val="bottom"/>
          </w:tcPr>
          <w:p>
            <w:pPr>
              <w:jc w:val="center"/>
              <w:ind w:right="74"/>
              <w:spacing w:after="0" w:line="133" w:lineRule="exact"/>
              <w:rPr>
                <w:sz w:val="20"/>
                <w:szCs w:val="20"/>
                <w:color w:val="auto"/>
              </w:rPr>
            </w:pPr>
            <w:r>
              <w:rPr>
                <w:rFonts w:ascii="Arial" w:cs="Arial" w:eastAsia="Arial" w:hAnsi="Arial"/>
                <w:sz w:val="13"/>
                <w:szCs w:val="13"/>
                <w:b w:val="1"/>
                <w:bCs w:val="1"/>
                <w:color w:val="520B90"/>
              </w:rPr>
              <w:t>Moskowitz</w:t>
            </w:r>
          </w:p>
        </w:tc>
        <w:tc>
          <w:tcPr>
            <w:tcW w:w="1120" w:type="dxa"/>
            <w:vAlign w:val="bottom"/>
          </w:tcPr>
          <w:p>
            <w:pPr>
              <w:jc w:val="center"/>
              <w:ind w:right="94"/>
              <w:spacing w:after="0" w:line="133" w:lineRule="exact"/>
              <w:rPr>
                <w:sz w:val="20"/>
                <w:szCs w:val="20"/>
                <w:color w:val="auto"/>
              </w:rPr>
            </w:pPr>
            <w:r>
              <w:rPr>
                <w:rFonts w:ascii="Arial" w:cs="Arial" w:eastAsia="Arial" w:hAnsi="Arial"/>
                <w:sz w:val="13"/>
                <w:szCs w:val="13"/>
                <w:b w:val="1"/>
                <w:bCs w:val="1"/>
                <w:color w:val="520B90"/>
              </w:rPr>
              <w:t>Schlanger</w:t>
            </w:r>
          </w:p>
        </w:tc>
        <w:tc>
          <w:tcPr>
            <w:tcW w:w="860" w:type="dxa"/>
            <w:vAlign w:val="bottom"/>
            <w:gridSpan w:val="2"/>
          </w:tcPr>
          <w:p>
            <w:pPr>
              <w:jc w:val="center"/>
              <w:ind w:right="20"/>
              <w:spacing w:after="0" w:line="133" w:lineRule="exact"/>
              <w:rPr>
                <w:sz w:val="20"/>
                <w:szCs w:val="20"/>
                <w:color w:val="auto"/>
              </w:rPr>
            </w:pPr>
            <w:r>
              <w:rPr>
                <w:rFonts w:ascii="Arial" w:cs="Arial" w:eastAsia="Arial" w:hAnsi="Arial"/>
                <w:sz w:val="13"/>
                <w:szCs w:val="13"/>
                <w:b w:val="1"/>
                <w:bCs w:val="1"/>
                <w:color w:val="520B90"/>
              </w:rPr>
              <w:t>Schlanger</w:t>
            </w:r>
          </w:p>
        </w:tc>
        <w:tc>
          <w:tcPr>
            <w:tcW w:w="1140" w:type="dxa"/>
            <w:vAlign w:val="bottom"/>
          </w:tcPr>
          <w:p>
            <w:pPr>
              <w:jc w:val="center"/>
              <w:spacing w:after="0" w:line="133" w:lineRule="exact"/>
              <w:rPr>
                <w:sz w:val="20"/>
                <w:szCs w:val="20"/>
                <w:color w:val="auto"/>
              </w:rPr>
            </w:pPr>
            <w:r>
              <w:rPr>
                <w:rFonts w:ascii="Arial" w:cs="Arial" w:eastAsia="Arial" w:hAnsi="Arial"/>
                <w:sz w:val="13"/>
                <w:szCs w:val="13"/>
                <w:b w:val="1"/>
                <w:bCs w:val="1"/>
                <w:color w:val="520B90"/>
              </w:rPr>
              <w:t>Hillabrant</w:t>
            </w:r>
          </w:p>
        </w:tc>
        <w:tc>
          <w:tcPr>
            <w:tcW w:w="920" w:type="dxa"/>
            <w:vAlign w:val="bottom"/>
          </w:tcPr>
          <w:p>
            <w:pPr>
              <w:jc w:val="center"/>
              <w:spacing w:after="0" w:line="133" w:lineRule="exact"/>
              <w:rPr>
                <w:sz w:val="20"/>
                <w:szCs w:val="20"/>
                <w:color w:val="auto"/>
              </w:rPr>
            </w:pPr>
            <w:r>
              <w:rPr>
                <w:rFonts w:ascii="Arial" w:cs="Arial" w:eastAsia="Arial" w:hAnsi="Arial"/>
                <w:sz w:val="13"/>
                <w:szCs w:val="13"/>
                <w:b w:val="1"/>
                <w:bCs w:val="1"/>
                <w:color w:val="520B90"/>
              </w:rPr>
              <w:t>Hillabrant</w:t>
            </w:r>
          </w:p>
        </w:tc>
        <w:tc>
          <w:tcPr>
            <w:tcW w:w="0" w:type="dxa"/>
            <w:vAlign w:val="bottom"/>
          </w:tcPr>
          <w:p>
            <w:pPr>
              <w:spacing w:after="0"/>
              <w:rPr>
                <w:sz w:val="1"/>
                <w:szCs w:val="1"/>
                <w:color w:val="auto"/>
              </w:rPr>
            </w:pPr>
          </w:p>
        </w:tc>
      </w:tr>
      <w:tr>
        <w:trPr>
          <w:trHeight w:val="182"/>
        </w:trPr>
        <w:tc>
          <w:tcPr>
            <w:tcW w:w="540" w:type="dxa"/>
            <w:vAlign w:val="bottom"/>
            <w:tcBorders>
              <w:bottom w:val="single" w:sz="8" w:color="520B90"/>
            </w:tcBorders>
          </w:tcPr>
          <w:p>
            <w:pPr>
              <w:jc w:val="center"/>
              <w:spacing w:after="0"/>
              <w:rPr>
                <w:sz w:val="20"/>
                <w:szCs w:val="20"/>
                <w:color w:val="auto"/>
              </w:rPr>
            </w:pPr>
            <w:r>
              <w:rPr>
                <w:rFonts w:ascii="Arial" w:cs="Arial" w:eastAsia="Arial" w:hAnsi="Arial"/>
                <w:sz w:val="13"/>
                <w:szCs w:val="13"/>
                <w:b w:val="1"/>
                <w:bCs w:val="1"/>
                <w:color w:val="520B90"/>
              </w:rPr>
              <w:t>(a)</w:t>
            </w:r>
          </w:p>
        </w:tc>
        <w:tc>
          <w:tcPr>
            <w:tcW w:w="1300" w:type="dxa"/>
            <w:vAlign w:val="bottom"/>
            <w:tcBorders>
              <w:bottom w:val="single" w:sz="8" w:color="520B90"/>
            </w:tcBorders>
            <w:gridSpan w:val="2"/>
          </w:tcPr>
          <w:p>
            <w:pPr>
              <w:jc w:val="center"/>
              <w:ind w:right="140"/>
              <w:spacing w:after="0"/>
              <w:rPr>
                <w:sz w:val="20"/>
                <w:szCs w:val="20"/>
                <w:color w:val="auto"/>
              </w:rPr>
            </w:pPr>
            <w:r>
              <w:rPr>
                <w:rFonts w:ascii="Arial" w:cs="Arial" w:eastAsia="Arial" w:hAnsi="Arial"/>
                <w:sz w:val="13"/>
                <w:szCs w:val="13"/>
                <w:b w:val="1"/>
                <w:bCs w:val="1"/>
                <w:color w:val="520B90"/>
              </w:rPr>
              <w:t>($)</w:t>
            </w:r>
          </w:p>
        </w:tc>
        <w:tc>
          <w:tcPr>
            <w:tcW w:w="720" w:type="dxa"/>
            <w:vAlign w:val="bottom"/>
            <w:tcBorders>
              <w:bottom w:val="single" w:sz="8" w:color="520B90"/>
            </w:tcBorders>
          </w:tcPr>
          <w:p>
            <w:pPr>
              <w:jc w:val="center"/>
              <w:ind w:left="74"/>
              <w:spacing w:after="0"/>
              <w:rPr>
                <w:sz w:val="20"/>
                <w:szCs w:val="20"/>
                <w:color w:val="auto"/>
              </w:rPr>
            </w:pPr>
            <w:r>
              <w:rPr>
                <w:rFonts w:ascii="Arial" w:cs="Arial" w:eastAsia="Arial" w:hAnsi="Arial"/>
                <w:sz w:val="13"/>
                <w:szCs w:val="13"/>
                <w:b w:val="1"/>
                <w:bCs w:val="1"/>
                <w:color w:val="520B90"/>
              </w:rPr>
              <w:t>(b)($)</w:t>
            </w:r>
          </w:p>
        </w:tc>
        <w:tc>
          <w:tcPr>
            <w:tcW w:w="120" w:type="dxa"/>
            <w:vAlign w:val="bottom"/>
            <w:tcBorders>
              <w:bottom w:val="single" w:sz="8" w:color="520B90"/>
            </w:tcBorders>
          </w:tcPr>
          <w:p>
            <w:pPr>
              <w:spacing w:after="0"/>
              <w:rPr>
                <w:sz w:val="15"/>
                <w:szCs w:val="15"/>
                <w:color w:val="auto"/>
              </w:rPr>
            </w:pPr>
          </w:p>
        </w:tc>
        <w:tc>
          <w:tcPr>
            <w:tcW w:w="1040" w:type="dxa"/>
            <w:vAlign w:val="bottom"/>
            <w:tcBorders>
              <w:bottom w:val="single" w:sz="8" w:color="520B90"/>
            </w:tcBorders>
          </w:tcPr>
          <w:p>
            <w:pPr>
              <w:jc w:val="right"/>
              <w:ind w:right="154"/>
              <w:spacing w:after="0"/>
              <w:rPr>
                <w:sz w:val="20"/>
                <w:szCs w:val="20"/>
                <w:color w:val="auto"/>
              </w:rPr>
            </w:pPr>
            <w:r>
              <w:rPr>
                <w:rFonts w:ascii="Arial" w:cs="Arial" w:eastAsia="Arial" w:hAnsi="Arial"/>
                <w:sz w:val="13"/>
                <w:szCs w:val="13"/>
                <w:b w:val="1"/>
                <w:bCs w:val="1"/>
                <w:color w:val="520B90"/>
              </w:rPr>
              <w:t>($)</w:t>
            </w:r>
          </w:p>
        </w:tc>
        <w:tc>
          <w:tcPr>
            <w:tcW w:w="260" w:type="dxa"/>
            <w:vAlign w:val="bottom"/>
            <w:tcBorders>
              <w:bottom w:val="single" w:sz="8" w:color="520B90"/>
            </w:tcBorders>
          </w:tcPr>
          <w:p>
            <w:pPr>
              <w:spacing w:after="0"/>
              <w:rPr>
                <w:sz w:val="15"/>
                <w:szCs w:val="15"/>
                <w:color w:val="auto"/>
              </w:rPr>
            </w:pPr>
          </w:p>
        </w:tc>
        <w:tc>
          <w:tcPr>
            <w:tcW w:w="940" w:type="dxa"/>
            <w:vAlign w:val="bottom"/>
            <w:tcBorders>
              <w:bottom w:val="single" w:sz="8" w:color="520B90"/>
            </w:tcBorders>
          </w:tcPr>
          <w:p>
            <w:pPr>
              <w:jc w:val="center"/>
              <w:spacing w:after="0"/>
              <w:rPr>
                <w:sz w:val="20"/>
                <w:szCs w:val="20"/>
                <w:color w:val="auto"/>
              </w:rPr>
            </w:pPr>
            <w:r>
              <w:rPr>
                <w:rFonts w:ascii="Arial" w:cs="Arial" w:eastAsia="Arial" w:hAnsi="Arial"/>
                <w:sz w:val="13"/>
                <w:szCs w:val="13"/>
                <w:b w:val="1"/>
                <w:bCs w:val="1"/>
                <w:color w:val="520B90"/>
                <w:w w:val="98"/>
              </w:rPr>
              <w:t>(b)($)</w:t>
            </w:r>
          </w:p>
        </w:tc>
        <w:tc>
          <w:tcPr>
            <w:tcW w:w="1220" w:type="dxa"/>
            <w:vAlign w:val="bottom"/>
            <w:tcBorders>
              <w:bottom w:val="single" w:sz="8" w:color="520B90"/>
            </w:tcBorders>
          </w:tcPr>
          <w:p>
            <w:pPr>
              <w:jc w:val="center"/>
              <w:spacing w:after="0"/>
              <w:rPr>
                <w:sz w:val="20"/>
                <w:szCs w:val="20"/>
                <w:color w:val="auto"/>
              </w:rPr>
            </w:pPr>
            <w:r>
              <w:rPr>
                <w:rFonts w:ascii="Arial" w:cs="Arial" w:eastAsia="Arial" w:hAnsi="Arial"/>
                <w:sz w:val="13"/>
                <w:szCs w:val="13"/>
                <w:b w:val="1"/>
                <w:bCs w:val="1"/>
                <w:color w:val="520B90"/>
              </w:rPr>
              <w:t>($)</w:t>
            </w:r>
          </w:p>
        </w:tc>
        <w:tc>
          <w:tcPr>
            <w:tcW w:w="1060" w:type="dxa"/>
            <w:vAlign w:val="bottom"/>
            <w:tcBorders>
              <w:bottom w:val="single" w:sz="8" w:color="520B90"/>
            </w:tcBorders>
          </w:tcPr>
          <w:p>
            <w:pPr>
              <w:jc w:val="center"/>
              <w:ind w:right="74"/>
              <w:spacing w:after="0"/>
              <w:rPr>
                <w:sz w:val="20"/>
                <w:szCs w:val="20"/>
                <w:color w:val="auto"/>
              </w:rPr>
            </w:pPr>
            <w:r>
              <w:rPr>
                <w:rFonts w:ascii="Arial" w:cs="Arial" w:eastAsia="Arial" w:hAnsi="Arial"/>
                <w:sz w:val="13"/>
                <w:szCs w:val="13"/>
                <w:b w:val="1"/>
                <w:bCs w:val="1"/>
                <w:color w:val="520B90"/>
                <w:w w:val="98"/>
              </w:rPr>
              <w:t>(b)($)</w:t>
            </w:r>
          </w:p>
        </w:tc>
        <w:tc>
          <w:tcPr>
            <w:tcW w:w="1120" w:type="dxa"/>
            <w:vAlign w:val="bottom"/>
            <w:tcBorders>
              <w:bottom w:val="single" w:sz="8" w:color="520B90"/>
            </w:tcBorders>
          </w:tcPr>
          <w:p>
            <w:pPr>
              <w:jc w:val="right"/>
              <w:ind w:right="494"/>
              <w:spacing w:after="0"/>
              <w:rPr>
                <w:sz w:val="20"/>
                <w:szCs w:val="20"/>
                <w:color w:val="auto"/>
              </w:rPr>
            </w:pPr>
            <w:r>
              <w:rPr>
                <w:rFonts w:ascii="Arial" w:cs="Arial" w:eastAsia="Arial" w:hAnsi="Arial"/>
                <w:sz w:val="13"/>
                <w:szCs w:val="13"/>
                <w:b w:val="1"/>
                <w:bCs w:val="1"/>
                <w:color w:val="520B90"/>
              </w:rPr>
              <w:t>($)</w:t>
            </w:r>
          </w:p>
        </w:tc>
        <w:tc>
          <w:tcPr>
            <w:tcW w:w="860" w:type="dxa"/>
            <w:vAlign w:val="bottom"/>
            <w:tcBorders>
              <w:bottom w:val="single" w:sz="8" w:color="520B90"/>
            </w:tcBorders>
            <w:gridSpan w:val="2"/>
          </w:tcPr>
          <w:p>
            <w:pPr>
              <w:jc w:val="center"/>
              <w:spacing w:after="0"/>
              <w:rPr>
                <w:sz w:val="20"/>
                <w:szCs w:val="20"/>
                <w:color w:val="auto"/>
              </w:rPr>
            </w:pPr>
            <w:r>
              <w:rPr>
                <w:rFonts w:ascii="Arial" w:cs="Arial" w:eastAsia="Arial" w:hAnsi="Arial"/>
                <w:sz w:val="13"/>
                <w:szCs w:val="13"/>
                <w:b w:val="1"/>
                <w:bCs w:val="1"/>
                <w:color w:val="520B90"/>
              </w:rPr>
              <w:t>(b)($)</w:t>
            </w:r>
          </w:p>
        </w:tc>
        <w:tc>
          <w:tcPr>
            <w:tcW w:w="1140" w:type="dxa"/>
            <w:vAlign w:val="bottom"/>
            <w:tcBorders>
              <w:bottom w:val="single" w:sz="8" w:color="520B90"/>
            </w:tcBorders>
          </w:tcPr>
          <w:p>
            <w:pPr>
              <w:jc w:val="right"/>
              <w:ind w:right="434"/>
              <w:spacing w:after="0"/>
              <w:rPr>
                <w:sz w:val="20"/>
                <w:szCs w:val="20"/>
                <w:color w:val="auto"/>
              </w:rPr>
            </w:pPr>
            <w:r>
              <w:rPr>
                <w:rFonts w:ascii="Arial" w:cs="Arial" w:eastAsia="Arial" w:hAnsi="Arial"/>
                <w:sz w:val="13"/>
                <w:szCs w:val="13"/>
                <w:b w:val="1"/>
                <w:bCs w:val="1"/>
                <w:color w:val="520B90"/>
              </w:rPr>
              <w:t>($)</w:t>
            </w:r>
          </w:p>
        </w:tc>
        <w:tc>
          <w:tcPr>
            <w:tcW w:w="920" w:type="dxa"/>
            <w:vAlign w:val="bottom"/>
            <w:tcBorders>
              <w:bottom w:val="single" w:sz="8" w:color="520B90"/>
            </w:tcBorders>
          </w:tcPr>
          <w:p>
            <w:pPr>
              <w:jc w:val="center"/>
              <w:spacing w:after="0"/>
              <w:rPr>
                <w:sz w:val="20"/>
                <w:szCs w:val="20"/>
                <w:color w:val="auto"/>
              </w:rPr>
            </w:pPr>
            <w:r>
              <w:rPr>
                <w:rFonts w:ascii="Arial" w:cs="Arial" w:eastAsia="Arial" w:hAnsi="Arial"/>
                <w:sz w:val="13"/>
                <w:szCs w:val="13"/>
                <w:b w:val="1"/>
                <w:bCs w:val="1"/>
                <w:color w:val="520B90"/>
              </w:rPr>
              <w:t>(b)($)</w:t>
            </w:r>
          </w:p>
        </w:tc>
        <w:tc>
          <w:tcPr>
            <w:tcW w:w="0" w:type="dxa"/>
            <w:vAlign w:val="bottom"/>
          </w:tcPr>
          <w:p>
            <w:pPr>
              <w:spacing w:after="0"/>
              <w:rPr>
                <w:sz w:val="1"/>
                <w:szCs w:val="1"/>
                <w:color w:val="auto"/>
              </w:rPr>
            </w:pPr>
          </w:p>
        </w:tc>
      </w:tr>
      <w:tr>
        <w:trPr>
          <w:trHeight w:val="176"/>
        </w:trPr>
        <w:tc>
          <w:tcPr>
            <w:tcW w:w="540" w:type="dxa"/>
            <w:vAlign w:val="bottom"/>
            <w:tcBorders>
              <w:bottom w:val="single" w:sz="8" w:color="520B90"/>
            </w:tcBorders>
            <w:shd w:val="clear" w:color="auto" w:fill="E6E7E7"/>
          </w:tcPr>
          <w:p>
            <w:pPr>
              <w:jc w:val="center"/>
              <w:spacing w:after="0"/>
              <w:rPr>
                <w:sz w:val="20"/>
                <w:szCs w:val="20"/>
                <w:color w:val="auto"/>
              </w:rPr>
            </w:pPr>
            <w:r>
              <w:rPr>
                <w:rFonts w:ascii="Arial" w:cs="Arial" w:eastAsia="Arial" w:hAnsi="Arial"/>
                <w:sz w:val="13"/>
                <w:szCs w:val="13"/>
                <w:color w:val="auto"/>
              </w:rPr>
              <w:t>2025</w:t>
            </w:r>
          </w:p>
        </w:tc>
        <w:tc>
          <w:tcPr>
            <w:tcW w:w="1300" w:type="dxa"/>
            <w:vAlign w:val="bottom"/>
            <w:tcBorders>
              <w:bottom w:val="single" w:sz="8" w:color="520B90"/>
            </w:tcBorders>
            <w:gridSpan w:val="2"/>
            <w:shd w:val="clear" w:color="auto" w:fill="E6E7E7"/>
          </w:tcPr>
          <w:p>
            <w:pPr>
              <w:jc w:val="center"/>
              <w:ind w:right="160"/>
              <w:spacing w:after="0"/>
              <w:rPr>
                <w:sz w:val="20"/>
                <w:szCs w:val="20"/>
                <w:color w:val="auto"/>
              </w:rPr>
            </w:pPr>
            <w:r>
              <w:rPr>
                <w:rFonts w:ascii="Arial" w:cs="Arial" w:eastAsia="Arial" w:hAnsi="Arial"/>
                <w:sz w:val="13"/>
                <w:szCs w:val="13"/>
                <w:color w:val="auto"/>
              </w:rPr>
              <w:t>N/A</w:t>
            </w:r>
          </w:p>
        </w:tc>
        <w:tc>
          <w:tcPr>
            <w:tcW w:w="720" w:type="dxa"/>
            <w:vAlign w:val="bottom"/>
            <w:tcBorders>
              <w:bottom w:val="single" w:sz="8" w:color="520B90"/>
            </w:tcBorders>
            <w:shd w:val="clear" w:color="auto" w:fill="E6E7E7"/>
          </w:tcPr>
          <w:p>
            <w:pPr>
              <w:jc w:val="center"/>
              <w:ind w:left="74"/>
              <w:spacing w:after="0"/>
              <w:rPr>
                <w:sz w:val="20"/>
                <w:szCs w:val="20"/>
                <w:color w:val="auto"/>
              </w:rPr>
            </w:pPr>
            <w:r>
              <w:rPr>
                <w:rFonts w:ascii="Arial" w:cs="Arial" w:eastAsia="Arial" w:hAnsi="Arial"/>
                <w:sz w:val="13"/>
                <w:szCs w:val="13"/>
                <w:color w:val="auto"/>
              </w:rPr>
              <w:t>N/A</w:t>
            </w:r>
          </w:p>
        </w:tc>
        <w:tc>
          <w:tcPr>
            <w:tcW w:w="120" w:type="dxa"/>
            <w:vAlign w:val="bottom"/>
            <w:tcBorders>
              <w:bottom w:val="single" w:sz="8" w:color="520B90"/>
            </w:tcBorders>
            <w:shd w:val="clear" w:color="auto" w:fill="E6E7E7"/>
          </w:tcPr>
          <w:p>
            <w:pPr>
              <w:spacing w:after="0"/>
              <w:rPr>
                <w:sz w:val="15"/>
                <w:szCs w:val="15"/>
                <w:color w:val="auto"/>
              </w:rPr>
            </w:pPr>
          </w:p>
        </w:tc>
        <w:tc>
          <w:tcPr>
            <w:tcW w:w="1300" w:type="dxa"/>
            <w:vAlign w:val="bottom"/>
            <w:tcBorders>
              <w:bottom w:val="single" w:sz="8" w:color="520B90"/>
            </w:tcBorders>
            <w:gridSpan w:val="2"/>
            <w:shd w:val="clear" w:color="auto" w:fill="E6E7E7"/>
          </w:tcPr>
          <w:p>
            <w:pPr>
              <w:jc w:val="center"/>
              <w:ind w:left="134"/>
              <w:spacing w:after="0"/>
              <w:rPr>
                <w:sz w:val="20"/>
                <w:szCs w:val="20"/>
                <w:color w:val="auto"/>
              </w:rPr>
            </w:pPr>
            <w:r>
              <w:rPr>
                <w:rFonts w:ascii="Arial" w:cs="Arial" w:eastAsia="Arial" w:hAnsi="Arial"/>
                <w:sz w:val="13"/>
                <w:szCs w:val="13"/>
                <w:color w:val="auto"/>
              </w:rPr>
              <w:t>N/A</w:t>
            </w:r>
          </w:p>
        </w:tc>
        <w:tc>
          <w:tcPr>
            <w:tcW w:w="940" w:type="dxa"/>
            <w:vAlign w:val="bottom"/>
            <w:tcBorders>
              <w:bottom w:val="single" w:sz="8" w:color="520B90"/>
            </w:tcBorders>
            <w:shd w:val="clear" w:color="auto" w:fill="E6E7E7"/>
          </w:tcPr>
          <w:p>
            <w:pPr>
              <w:jc w:val="center"/>
              <w:spacing w:after="0"/>
              <w:rPr>
                <w:sz w:val="20"/>
                <w:szCs w:val="20"/>
                <w:color w:val="auto"/>
              </w:rPr>
            </w:pPr>
            <w:r>
              <w:rPr>
                <w:rFonts w:ascii="Arial" w:cs="Arial" w:eastAsia="Arial" w:hAnsi="Arial"/>
                <w:sz w:val="13"/>
                <w:szCs w:val="13"/>
                <w:color w:val="auto"/>
              </w:rPr>
              <w:t>N/A</w:t>
            </w:r>
          </w:p>
        </w:tc>
        <w:tc>
          <w:tcPr>
            <w:tcW w:w="1220" w:type="dxa"/>
            <w:vAlign w:val="bottom"/>
            <w:tcBorders>
              <w:bottom w:val="single" w:sz="8" w:color="520B90"/>
            </w:tcBorders>
            <w:shd w:val="clear" w:color="auto" w:fill="E6E7E7"/>
          </w:tcPr>
          <w:p>
            <w:pPr>
              <w:jc w:val="center"/>
              <w:ind w:right="14"/>
              <w:spacing w:after="0"/>
              <w:rPr>
                <w:sz w:val="20"/>
                <w:szCs w:val="20"/>
                <w:color w:val="auto"/>
              </w:rPr>
            </w:pPr>
            <w:r>
              <w:rPr>
                <w:rFonts w:ascii="Arial" w:cs="Arial" w:eastAsia="Arial" w:hAnsi="Arial"/>
                <w:sz w:val="13"/>
                <w:szCs w:val="13"/>
                <w:color w:val="auto"/>
              </w:rPr>
              <w:t>18,218,454</w:t>
            </w:r>
          </w:p>
        </w:tc>
        <w:tc>
          <w:tcPr>
            <w:tcW w:w="1060" w:type="dxa"/>
            <w:vAlign w:val="bottom"/>
            <w:tcBorders>
              <w:bottom w:val="single" w:sz="8" w:color="520B90"/>
            </w:tcBorders>
            <w:shd w:val="clear" w:color="auto" w:fill="E6E7E7"/>
          </w:tcPr>
          <w:p>
            <w:pPr>
              <w:jc w:val="right"/>
              <w:ind w:right="234"/>
              <w:spacing w:after="0"/>
              <w:rPr>
                <w:sz w:val="20"/>
                <w:szCs w:val="20"/>
                <w:color w:val="auto"/>
              </w:rPr>
            </w:pPr>
            <w:r>
              <w:rPr>
                <w:rFonts w:ascii="Arial" w:cs="Arial" w:eastAsia="Arial" w:hAnsi="Arial"/>
                <w:sz w:val="13"/>
                <w:szCs w:val="13"/>
                <w:color w:val="auto"/>
              </w:rPr>
              <w:t>8,879,235</w:t>
            </w:r>
          </w:p>
        </w:tc>
        <w:tc>
          <w:tcPr>
            <w:tcW w:w="1120" w:type="dxa"/>
            <w:vAlign w:val="bottom"/>
            <w:tcBorders>
              <w:bottom w:val="single" w:sz="8" w:color="520B90"/>
            </w:tcBorders>
            <w:shd w:val="clear" w:color="auto" w:fill="E6E7E7"/>
          </w:tcPr>
          <w:p>
            <w:pPr>
              <w:jc w:val="right"/>
              <w:ind w:right="234"/>
              <w:spacing w:after="0"/>
              <w:rPr>
                <w:sz w:val="20"/>
                <w:szCs w:val="20"/>
                <w:color w:val="auto"/>
              </w:rPr>
            </w:pPr>
            <w:r>
              <w:rPr>
                <w:rFonts w:ascii="Arial" w:cs="Arial" w:eastAsia="Arial" w:hAnsi="Arial"/>
                <w:sz w:val="13"/>
                <w:szCs w:val="13"/>
                <w:color w:val="auto"/>
              </w:rPr>
              <w:t>12,035,100</w:t>
            </w:r>
          </w:p>
        </w:tc>
        <w:tc>
          <w:tcPr>
            <w:tcW w:w="860" w:type="dxa"/>
            <w:vAlign w:val="bottom"/>
            <w:tcBorders>
              <w:bottom w:val="single" w:sz="8" w:color="520B90"/>
            </w:tcBorders>
            <w:gridSpan w:val="2"/>
            <w:shd w:val="clear" w:color="auto" w:fill="E6E7E7"/>
          </w:tcPr>
          <w:p>
            <w:pPr>
              <w:jc w:val="center"/>
              <w:spacing w:after="0"/>
              <w:rPr>
                <w:sz w:val="20"/>
                <w:szCs w:val="20"/>
                <w:color w:val="auto"/>
              </w:rPr>
            </w:pPr>
            <w:r>
              <w:rPr>
                <w:rFonts w:ascii="Arial" w:cs="Arial" w:eastAsia="Arial" w:hAnsi="Arial"/>
                <w:sz w:val="13"/>
                <w:szCs w:val="13"/>
                <w:color w:val="auto"/>
              </w:rPr>
              <w:t>10,430,174</w:t>
            </w:r>
          </w:p>
        </w:tc>
        <w:tc>
          <w:tcPr>
            <w:tcW w:w="1140" w:type="dxa"/>
            <w:vAlign w:val="bottom"/>
            <w:tcBorders>
              <w:bottom w:val="single" w:sz="8" w:color="520B90"/>
            </w:tcBorders>
            <w:shd w:val="clear" w:color="auto" w:fill="E6E7E7"/>
          </w:tcPr>
          <w:p>
            <w:pPr>
              <w:jc w:val="right"/>
              <w:ind w:right="174"/>
              <w:spacing w:after="0"/>
              <w:rPr>
                <w:sz w:val="20"/>
                <w:szCs w:val="20"/>
                <w:color w:val="auto"/>
              </w:rPr>
            </w:pPr>
            <w:r>
              <w:rPr>
                <w:rFonts w:ascii="Arial" w:cs="Arial" w:eastAsia="Arial" w:hAnsi="Arial"/>
                <w:sz w:val="13"/>
                <w:szCs w:val="13"/>
                <w:color w:val="auto"/>
              </w:rPr>
              <w:t>14,154,801</w:t>
            </w:r>
          </w:p>
        </w:tc>
        <w:tc>
          <w:tcPr>
            <w:tcW w:w="920" w:type="dxa"/>
            <w:vAlign w:val="bottom"/>
            <w:tcBorders>
              <w:bottom w:val="single" w:sz="8" w:color="520B90"/>
            </w:tcBorders>
            <w:shd w:val="clear" w:color="auto" w:fill="E6E7E7"/>
          </w:tcPr>
          <w:p>
            <w:pPr>
              <w:jc w:val="center"/>
              <w:spacing w:after="0"/>
              <w:rPr>
                <w:sz w:val="20"/>
                <w:szCs w:val="20"/>
                <w:color w:val="auto"/>
              </w:rPr>
            </w:pPr>
            <w:r>
              <w:rPr>
                <w:rFonts w:ascii="Arial" w:cs="Arial" w:eastAsia="Arial" w:hAnsi="Arial"/>
                <w:sz w:val="13"/>
                <w:szCs w:val="13"/>
                <w:color w:val="auto"/>
              </w:rPr>
              <w:t>13,866,051</w:t>
            </w:r>
          </w:p>
        </w:tc>
        <w:tc>
          <w:tcPr>
            <w:tcW w:w="0" w:type="dxa"/>
            <w:vAlign w:val="bottom"/>
          </w:tcPr>
          <w:p>
            <w:pPr>
              <w:spacing w:after="0"/>
              <w:rPr>
                <w:sz w:val="1"/>
                <w:szCs w:val="1"/>
                <w:color w:val="auto"/>
              </w:rPr>
            </w:pPr>
          </w:p>
        </w:tc>
      </w:tr>
      <w:tr>
        <w:trPr>
          <w:trHeight w:val="179"/>
        </w:trPr>
        <w:tc>
          <w:tcPr>
            <w:tcW w:w="540" w:type="dxa"/>
            <w:vAlign w:val="bottom"/>
            <w:tcBorders>
              <w:bottom w:val="single" w:sz="8" w:color="520B90"/>
            </w:tcBorders>
          </w:tcPr>
          <w:p>
            <w:pPr>
              <w:jc w:val="center"/>
              <w:spacing w:after="0"/>
              <w:rPr>
                <w:sz w:val="20"/>
                <w:szCs w:val="20"/>
                <w:color w:val="auto"/>
              </w:rPr>
            </w:pPr>
            <w:r>
              <w:rPr>
                <w:rFonts w:ascii="Arial" w:cs="Arial" w:eastAsia="Arial" w:hAnsi="Arial"/>
                <w:sz w:val="13"/>
                <w:szCs w:val="13"/>
                <w:color w:val="auto"/>
              </w:rPr>
              <w:t>2024</w:t>
            </w:r>
          </w:p>
        </w:tc>
        <w:tc>
          <w:tcPr>
            <w:tcW w:w="1300" w:type="dxa"/>
            <w:vAlign w:val="bottom"/>
            <w:tcBorders>
              <w:bottom w:val="single" w:sz="8" w:color="520B90"/>
            </w:tcBorders>
            <w:gridSpan w:val="2"/>
          </w:tcPr>
          <w:p>
            <w:pPr>
              <w:jc w:val="center"/>
              <w:ind w:right="140"/>
              <w:spacing w:after="0"/>
              <w:rPr>
                <w:sz w:val="20"/>
                <w:szCs w:val="20"/>
                <w:color w:val="auto"/>
              </w:rPr>
            </w:pPr>
            <w:r>
              <w:rPr>
                <w:rFonts w:ascii="Arial" w:cs="Arial" w:eastAsia="Arial" w:hAnsi="Arial"/>
                <w:sz w:val="13"/>
                <w:szCs w:val="13"/>
                <w:color w:val="auto"/>
              </w:rPr>
              <w:t>530,524</w:t>
            </w:r>
          </w:p>
        </w:tc>
        <w:tc>
          <w:tcPr>
            <w:tcW w:w="840" w:type="dxa"/>
            <w:vAlign w:val="bottom"/>
            <w:tcBorders>
              <w:bottom w:val="single" w:sz="8" w:color="520B90"/>
            </w:tcBorders>
            <w:gridSpan w:val="2"/>
          </w:tcPr>
          <w:p>
            <w:pPr>
              <w:jc w:val="center"/>
              <w:spacing w:after="0"/>
              <w:rPr>
                <w:sz w:val="20"/>
                <w:szCs w:val="20"/>
                <w:color w:val="auto"/>
              </w:rPr>
            </w:pPr>
            <w:r>
              <w:rPr>
                <w:rFonts w:ascii="Arial" w:cs="Arial" w:eastAsia="Arial" w:hAnsi="Arial"/>
                <w:sz w:val="13"/>
                <w:szCs w:val="13"/>
                <w:color w:val="auto"/>
                <w:w w:val="99"/>
              </w:rPr>
              <w:t>(4,626,095)</w:t>
            </w:r>
          </w:p>
        </w:tc>
        <w:tc>
          <w:tcPr>
            <w:tcW w:w="1040" w:type="dxa"/>
            <w:vAlign w:val="bottom"/>
            <w:tcBorders>
              <w:bottom w:val="single" w:sz="8" w:color="520B90"/>
            </w:tcBorders>
          </w:tcPr>
          <w:p>
            <w:pPr>
              <w:jc w:val="right"/>
              <w:spacing w:after="0"/>
              <w:rPr>
                <w:sz w:val="20"/>
                <w:szCs w:val="20"/>
                <w:color w:val="auto"/>
              </w:rPr>
            </w:pPr>
            <w:r>
              <w:rPr>
                <w:rFonts w:ascii="Arial" w:cs="Arial" w:eastAsia="Arial" w:hAnsi="Arial"/>
                <w:sz w:val="13"/>
                <w:szCs w:val="13"/>
                <w:color w:val="auto"/>
              </w:rPr>
              <w:t>5,661,834</w:t>
            </w:r>
          </w:p>
        </w:tc>
        <w:tc>
          <w:tcPr>
            <w:tcW w:w="260" w:type="dxa"/>
            <w:vAlign w:val="bottom"/>
            <w:tcBorders>
              <w:bottom w:val="single" w:sz="8" w:color="520B90"/>
            </w:tcBorders>
          </w:tcPr>
          <w:p>
            <w:pPr>
              <w:spacing w:after="0"/>
              <w:rPr>
                <w:sz w:val="15"/>
                <w:szCs w:val="15"/>
                <w:color w:val="auto"/>
              </w:rPr>
            </w:pPr>
          </w:p>
        </w:tc>
        <w:tc>
          <w:tcPr>
            <w:tcW w:w="940" w:type="dxa"/>
            <w:vAlign w:val="bottom"/>
            <w:tcBorders>
              <w:bottom w:val="single" w:sz="8" w:color="520B90"/>
            </w:tcBorders>
          </w:tcPr>
          <w:p>
            <w:pPr>
              <w:jc w:val="center"/>
              <w:spacing w:after="0"/>
              <w:rPr>
                <w:sz w:val="20"/>
                <w:szCs w:val="20"/>
                <w:color w:val="auto"/>
              </w:rPr>
            </w:pPr>
            <w:r>
              <w:rPr>
                <w:rFonts w:ascii="Arial" w:cs="Arial" w:eastAsia="Arial" w:hAnsi="Arial"/>
                <w:sz w:val="13"/>
                <w:szCs w:val="13"/>
                <w:color w:val="auto"/>
              </w:rPr>
              <w:t>5,285,414</w:t>
            </w:r>
          </w:p>
        </w:tc>
        <w:tc>
          <w:tcPr>
            <w:tcW w:w="1220" w:type="dxa"/>
            <w:vAlign w:val="bottom"/>
            <w:tcBorders>
              <w:bottom w:val="single" w:sz="8" w:color="520B90"/>
            </w:tcBorders>
          </w:tcPr>
          <w:p>
            <w:pPr>
              <w:jc w:val="center"/>
              <w:ind w:right="14"/>
              <w:spacing w:after="0"/>
              <w:rPr>
                <w:sz w:val="20"/>
                <w:szCs w:val="20"/>
                <w:color w:val="auto"/>
              </w:rPr>
            </w:pPr>
            <w:r>
              <w:rPr>
                <w:rFonts w:ascii="Arial" w:cs="Arial" w:eastAsia="Arial" w:hAnsi="Arial"/>
                <w:sz w:val="13"/>
                <w:szCs w:val="13"/>
                <w:color w:val="auto"/>
              </w:rPr>
              <w:t>16,441,775</w:t>
            </w:r>
          </w:p>
        </w:tc>
        <w:tc>
          <w:tcPr>
            <w:tcW w:w="1060" w:type="dxa"/>
            <w:vAlign w:val="bottom"/>
            <w:tcBorders>
              <w:bottom w:val="single" w:sz="8" w:color="520B90"/>
            </w:tcBorders>
          </w:tcPr>
          <w:p>
            <w:pPr>
              <w:jc w:val="right"/>
              <w:ind w:right="214"/>
              <w:spacing w:after="0"/>
              <w:rPr>
                <w:sz w:val="20"/>
                <w:szCs w:val="20"/>
                <w:color w:val="auto"/>
              </w:rPr>
            </w:pPr>
            <w:r>
              <w:rPr>
                <w:rFonts w:ascii="Arial" w:cs="Arial" w:eastAsia="Arial" w:hAnsi="Arial"/>
                <w:sz w:val="13"/>
                <w:szCs w:val="13"/>
                <w:color w:val="auto"/>
              </w:rPr>
              <w:t>14,593,917</w:t>
            </w:r>
          </w:p>
        </w:tc>
        <w:tc>
          <w:tcPr>
            <w:tcW w:w="1120" w:type="dxa"/>
            <w:vAlign w:val="bottom"/>
            <w:tcBorders>
              <w:bottom w:val="single" w:sz="8" w:color="520B90"/>
            </w:tcBorders>
          </w:tcPr>
          <w:p>
            <w:pPr>
              <w:jc w:val="center"/>
              <w:ind w:right="74"/>
              <w:spacing w:after="0"/>
              <w:rPr>
                <w:sz w:val="20"/>
                <w:szCs w:val="20"/>
                <w:color w:val="auto"/>
              </w:rPr>
            </w:pPr>
            <w:r>
              <w:rPr>
                <w:rFonts w:ascii="Arial" w:cs="Arial" w:eastAsia="Arial" w:hAnsi="Arial"/>
                <w:sz w:val="13"/>
                <w:szCs w:val="13"/>
                <w:color w:val="auto"/>
              </w:rPr>
              <w:t>N/A</w:t>
            </w:r>
          </w:p>
        </w:tc>
        <w:tc>
          <w:tcPr>
            <w:tcW w:w="860" w:type="dxa"/>
            <w:vAlign w:val="bottom"/>
            <w:tcBorders>
              <w:bottom w:val="single" w:sz="8" w:color="520B90"/>
            </w:tcBorders>
            <w:gridSpan w:val="2"/>
          </w:tcPr>
          <w:p>
            <w:pPr>
              <w:jc w:val="center"/>
              <w:spacing w:after="0"/>
              <w:rPr>
                <w:sz w:val="20"/>
                <w:szCs w:val="20"/>
                <w:color w:val="auto"/>
              </w:rPr>
            </w:pPr>
            <w:r>
              <w:rPr>
                <w:rFonts w:ascii="Arial" w:cs="Arial" w:eastAsia="Arial" w:hAnsi="Arial"/>
                <w:sz w:val="13"/>
                <w:szCs w:val="13"/>
                <w:color w:val="auto"/>
              </w:rPr>
              <w:t>N/A</w:t>
            </w:r>
          </w:p>
        </w:tc>
        <w:tc>
          <w:tcPr>
            <w:tcW w:w="1140" w:type="dxa"/>
            <w:vAlign w:val="bottom"/>
            <w:tcBorders>
              <w:bottom w:val="single" w:sz="8" w:color="520B90"/>
            </w:tcBorders>
          </w:tcPr>
          <w:p>
            <w:pPr>
              <w:jc w:val="center"/>
              <w:spacing w:after="0"/>
              <w:rPr>
                <w:sz w:val="20"/>
                <w:szCs w:val="20"/>
                <w:color w:val="auto"/>
              </w:rPr>
            </w:pPr>
            <w:r>
              <w:rPr>
                <w:rFonts w:ascii="Arial" w:cs="Arial" w:eastAsia="Arial" w:hAnsi="Arial"/>
                <w:sz w:val="13"/>
                <w:szCs w:val="13"/>
                <w:color w:val="auto"/>
              </w:rPr>
              <w:t>N/A</w:t>
            </w:r>
          </w:p>
        </w:tc>
        <w:tc>
          <w:tcPr>
            <w:tcW w:w="920" w:type="dxa"/>
            <w:vAlign w:val="bottom"/>
            <w:tcBorders>
              <w:bottom w:val="single" w:sz="8" w:color="520B90"/>
            </w:tcBorders>
          </w:tcPr>
          <w:p>
            <w:pPr>
              <w:jc w:val="center"/>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79"/>
        </w:trPr>
        <w:tc>
          <w:tcPr>
            <w:tcW w:w="540" w:type="dxa"/>
            <w:vAlign w:val="bottom"/>
            <w:tcBorders>
              <w:bottom w:val="single" w:sz="8" w:color="520B90"/>
            </w:tcBorders>
            <w:shd w:val="clear" w:color="auto" w:fill="E6E7E7"/>
          </w:tcPr>
          <w:p>
            <w:pPr>
              <w:jc w:val="center"/>
              <w:spacing w:after="0"/>
              <w:rPr>
                <w:sz w:val="20"/>
                <w:szCs w:val="20"/>
                <w:color w:val="auto"/>
              </w:rPr>
            </w:pPr>
            <w:r>
              <w:rPr>
                <w:rFonts w:ascii="Arial" w:cs="Arial" w:eastAsia="Arial" w:hAnsi="Arial"/>
                <w:sz w:val="13"/>
                <w:szCs w:val="13"/>
                <w:color w:val="auto"/>
              </w:rPr>
              <w:t>2023</w:t>
            </w:r>
          </w:p>
        </w:tc>
        <w:tc>
          <w:tcPr>
            <w:tcW w:w="1300" w:type="dxa"/>
            <w:vAlign w:val="bottom"/>
            <w:tcBorders>
              <w:bottom w:val="single" w:sz="8" w:color="520B90"/>
            </w:tcBorders>
            <w:gridSpan w:val="2"/>
            <w:shd w:val="clear" w:color="auto" w:fill="E6E7E7"/>
          </w:tcPr>
          <w:p>
            <w:pPr>
              <w:jc w:val="center"/>
              <w:ind w:right="160"/>
              <w:spacing w:after="0"/>
              <w:rPr>
                <w:sz w:val="20"/>
                <w:szCs w:val="20"/>
                <w:color w:val="auto"/>
              </w:rPr>
            </w:pPr>
            <w:r>
              <w:rPr>
                <w:rFonts w:ascii="Arial" w:cs="Arial" w:eastAsia="Arial" w:hAnsi="Arial"/>
                <w:sz w:val="13"/>
                <w:szCs w:val="13"/>
                <w:color w:val="auto"/>
              </w:rPr>
              <w:t>14,676,171</w:t>
            </w:r>
          </w:p>
        </w:tc>
        <w:tc>
          <w:tcPr>
            <w:tcW w:w="720" w:type="dxa"/>
            <w:vAlign w:val="bottom"/>
            <w:tcBorders>
              <w:bottom w:val="single" w:sz="8" w:color="520B90"/>
            </w:tcBorders>
            <w:shd w:val="clear" w:color="auto" w:fill="E6E7E7"/>
          </w:tcPr>
          <w:p>
            <w:pPr>
              <w:jc w:val="center"/>
              <w:ind w:left="74"/>
              <w:spacing w:after="0"/>
              <w:rPr>
                <w:sz w:val="20"/>
                <w:szCs w:val="20"/>
                <w:color w:val="auto"/>
              </w:rPr>
            </w:pPr>
            <w:r>
              <w:rPr>
                <w:rFonts w:ascii="Arial" w:cs="Arial" w:eastAsia="Arial" w:hAnsi="Arial"/>
                <w:sz w:val="13"/>
                <w:szCs w:val="13"/>
                <w:color w:val="auto"/>
              </w:rPr>
              <w:t>6,046,842</w:t>
            </w:r>
          </w:p>
        </w:tc>
        <w:tc>
          <w:tcPr>
            <w:tcW w:w="120" w:type="dxa"/>
            <w:vAlign w:val="bottom"/>
            <w:tcBorders>
              <w:bottom w:val="single" w:sz="8" w:color="520B90"/>
            </w:tcBorders>
            <w:shd w:val="clear" w:color="auto" w:fill="E6E7E7"/>
          </w:tcPr>
          <w:p>
            <w:pPr>
              <w:spacing w:after="0"/>
              <w:rPr>
                <w:sz w:val="15"/>
                <w:szCs w:val="15"/>
                <w:color w:val="auto"/>
              </w:rPr>
            </w:pPr>
          </w:p>
        </w:tc>
        <w:tc>
          <w:tcPr>
            <w:tcW w:w="1300" w:type="dxa"/>
            <w:vAlign w:val="bottom"/>
            <w:tcBorders>
              <w:bottom w:val="single" w:sz="8" w:color="520B90"/>
            </w:tcBorders>
            <w:gridSpan w:val="2"/>
            <w:shd w:val="clear" w:color="auto" w:fill="E6E7E7"/>
          </w:tcPr>
          <w:p>
            <w:pPr>
              <w:jc w:val="center"/>
              <w:ind w:left="134"/>
              <w:spacing w:after="0"/>
              <w:rPr>
                <w:sz w:val="20"/>
                <w:szCs w:val="20"/>
                <w:color w:val="auto"/>
              </w:rPr>
            </w:pPr>
            <w:r>
              <w:rPr>
                <w:rFonts w:ascii="Arial" w:cs="Arial" w:eastAsia="Arial" w:hAnsi="Arial"/>
                <w:sz w:val="13"/>
                <w:szCs w:val="13"/>
                <w:color w:val="auto"/>
              </w:rPr>
              <w:t>N/A</w:t>
            </w:r>
          </w:p>
        </w:tc>
        <w:tc>
          <w:tcPr>
            <w:tcW w:w="940" w:type="dxa"/>
            <w:vAlign w:val="bottom"/>
            <w:tcBorders>
              <w:bottom w:val="single" w:sz="8" w:color="520B90"/>
            </w:tcBorders>
            <w:shd w:val="clear" w:color="auto" w:fill="E6E7E7"/>
          </w:tcPr>
          <w:p>
            <w:pPr>
              <w:jc w:val="center"/>
              <w:spacing w:after="0"/>
              <w:rPr>
                <w:sz w:val="20"/>
                <w:szCs w:val="20"/>
                <w:color w:val="auto"/>
              </w:rPr>
            </w:pPr>
            <w:r>
              <w:rPr>
                <w:rFonts w:ascii="Arial" w:cs="Arial" w:eastAsia="Arial" w:hAnsi="Arial"/>
                <w:sz w:val="13"/>
                <w:szCs w:val="13"/>
                <w:color w:val="auto"/>
              </w:rPr>
              <w:t>N/A</w:t>
            </w:r>
          </w:p>
        </w:tc>
        <w:tc>
          <w:tcPr>
            <w:tcW w:w="1220" w:type="dxa"/>
            <w:vAlign w:val="bottom"/>
            <w:tcBorders>
              <w:bottom w:val="single" w:sz="8" w:color="520B90"/>
            </w:tcBorders>
            <w:shd w:val="clear" w:color="auto" w:fill="E6E7E7"/>
          </w:tcPr>
          <w:p>
            <w:pPr>
              <w:jc w:val="center"/>
              <w:ind w:right="14"/>
              <w:spacing w:after="0"/>
              <w:rPr>
                <w:sz w:val="20"/>
                <w:szCs w:val="20"/>
                <w:color w:val="auto"/>
              </w:rPr>
            </w:pPr>
            <w:r>
              <w:rPr>
                <w:rFonts w:ascii="Arial" w:cs="Arial" w:eastAsia="Arial" w:hAnsi="Arial"/>
                <w:sz w:val="13"/>
                <w:szCs w:val="13"/>
                <w:color w:val="auto"/>
              </w:rPr>
              <w:t>N/A</w:t>
            </w:r>
          </w:p>
        </w:tc>
        <w:tc>
          <w:tcPr>
            <w:tcW w:w="1060" w:type="dxa"/>
            <w:vAlign w:val="bottom"/>
            <w:tcBorders>
              <w:bottom w:val="single" w:sz="8" w:color="520B90"/>
            </w:tcBorders>
            <w:shd w:val="clear" w:color="auto" w:fill="E6E7E7"/>
          </w:tcPr>
          <w:p>
            <w:pPr>
              <w:jc w:val="center"/>
              <w:ind w:right="94"/>
              <w:spacing w:after="0"/>
              <w:rPr>
                <w:sz w:val="20"/>
                <w:szCs w:val="20"/>
                <w:color w:val="auto"/>
              </w:rPr>
            </w:pPr>
            <w:r>
              <w:rPr>
                <w:rFonts w:ascii="Arial" w:cs="Arial" w:eastAsia="Arial" w:hAnsi="Arial"/>
                <w:sz w:val="13"/>
                <w:szCs w:val="13"/>
                <w:color w:val="auto"/>
              </w:rPr>
              <w:t>N/A</w:t>
            </w:r>
          </w:p>
        </w:tc>
        <w:tc>
          <w:tcPr>
            <w:tcW w:w="1120" w:type="dxa"/>
            <w:vAlign w:val="bottom"/>
            <w:tcBorders>
              <w:bottom w:val="single" w:sz="8" w:color="520B90"/>
            </w:tcBorders>
            <w:shd w:val="clear" w:color="auto" w:fill="E6E7E7"/>
          </w:tcPr>
          <w:p>
            <w:pPr>
              <w:jc w:val="center"/>
              <w:ind w:right="74"/>
              <w:spacing w:after="0"/>
              <w:rPr>
                <w:sz w:val="20"/>
                <w:szCs w:val="20"/>
                <w:color w:val="auto"/>
              </w:rPr>
            </w:pPr>
            <w:r>
              <w:rPr>
                <w:rFonts w:ascii="Arial" w:cs="Arial" w:eastAsia="Arial" w:hAnsi="Arial"/>
                <w:sz w:val="13"/>
                <w:szCs w:val="13"/>
                <w:color w:val="auto"/>
              </w:rPr>
              <w:t>N/A</w:t>
            </w:r>
          </w:p>
        </w:tc>
        <w:tc>
          <w:tcPr>
            <w:tcW w:w="860" w:type="dxa"/>
            <w:vAlign w:val="bottom"/>
            <w:tcBorders>
              <w:bottom w:val="single" w:sz="8" w:color="520B90"/>
            </w:tcBorders>
            <w:gridSpan w:val="2"/>
            <w:shd w:val="clear" w:color="auto" w:fill="E6E7E7"/>
          </w:tcPr>
          <w:p>
            <w:pPr>
              <w:jc w:val="center"/>
              <w:spacing w:after="0"/>
              <w:rPr>
                <w:sz w:val="20"/>
                <w:szCs w:val="20"/>
                <w:color w:val="auto"/>
              </w:rPr>
            </w:pPr>
            <w:r>
              <w:rPr>
                <w:rFonts w:ascii="Arial" w:cs="Arial" w:eastAsia="Arial" w:hAnsi="Arial"/>
                <w:sz w:val="13"/>
                <w:szCs w:val="13"/>
                <w:color w:val="auto"/>
              </w:rPr>
              <w:t>N/A</w:t>
            </w:r>
          </w:p>
        </w:tc>
        <w:tc>
          <w:tcPr>
            <w:tcW w:w="1140" w:type="dxa"/>
            <w:vAlign w:val="bottom"/>
            <w:tcBorders>
              <w:bottom w:val="single" w:sz="8" w:color="520B90"/>
            </w:tcBorders>
            <w:shd w:val="clear" w:color="auto" w:fill="E6E7E7"/>
          </w:tcPr>
          <w:p>
            <w:pPr>
              <w:jc w:val="center"/>
              <w:spacing w:after="0"/>
              <w:rPr>
                <w:sz w:val="20"/>
                <w:szCs w:val="20"/>
                <w:color w:val="auto"/>
              </w:rPr>
            </w:pPr>
            <w:r>
              <w:rPr>
                <w:rFonts w:ascii="Arial" w:cs="Arial" w:eastAsia="Arial" w:hAnsi="Arial"/>
                <w:sz w:val="13"/>
                <w:szCs w:val="13"/>
                <w:color w:val="auto"/>
              </w:rPr>
              <w:t>N/A</w:t>
            </w:r>
          </w:p>
        </w:tc>
        <w:tc>
          <w:tcPr>
            <w:tcW w:w="920" w:type="dxa"/>
            <w:vAlign w:val="bottom"/>
            <w:tcBorders>
              <w:bottom w:val="single" w:sz="8" w:color="520B90"/>
            </w:tcBorders>
            <w:shd w:val="clear" w:color="auto" w:fill="E6E7E7"/>
          </w:tcPr>
          <w:p>
            <w:pPr>
              <w:jc w:val="center"/>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79"/>
        </w:trPr>
        <w:tc>
          <w:tcPr>
            <w:tcW w:w="540" w:type="dxa"/>
            <w:vAlign w:val="bottom"/>
            <w:tcBorders>
              <w:bottom w:val="single" w:sz="8" w:color="520B90"/>
            </w:tcBorders>
          </w:tcPr>
          <w:p>
            <w:pPr>
              <w:jc w:val="center"/>
              <w:spacing w:after="0"/>
              <w:rPr>
                <w:sz w:val="20"/>
                <w:szCs w:val="20"/>
                <w:color w:val="auto"/>
              </w:rPr>
            </w:pPr>
            <w:r>
              <w:rPr>
                <w:rFonts w:ascii="Arial" w:cs="Arial" w:eastAsia="Arial" w:hAnsi="Arial"/>
                <w:sz w:val="13"/>
                <w:szCs w:val="13"/>
                <w:color w:val="auto"/>
              </w:rPr>
              <w:t>2022</w:t>
            </w:r>
          </w:p>
        </w:tc>
        <w:tc>
          <w:tcPr>
            <w:tcW w:w="1300" w:type="dxa"/>
            <w:vAlign w:val="bottom"/>
            <w:tcBorders>
              <w:bottom w:val="single" w:sz="8" w:color="520B90"/>
            </w:tcBorders>
            <w:gridSpan w:val="2"/>
          </w:tcPr>
          <w:p>
            <w:pPr>
              <w:jc w:val="center"/>
              <w:ind w:right="160"/>
              <w:spacing w:after="0"/>
              <w:rPr>
                <w:sz w:val="20"/>
                <w:szCs w:val="20"/>
                <w:color w:val="auto"/>
              </w:rPr>
            </w:pPr>
            <w:r>
              <w:rPr>
                <w:rFonts w:ascii="Arial" w:cs="Arial" w:eastAsia="Arial" w:hAnsi="Arial"/>
                <w:sz w:val="13"/>
                <w:szCs w:val="13"/>
                <w:color w:val="auto"/>
              </w:rPr>
              <w:t>12,450,777</w:t>
            </w:r>
          </w:p>
        </w:tc>
        <w:tc>
          <w:tcPr>
            <w:tcW w:w="840" w:type="dxa"/>
            <w:vAlign w:val="bottom"/>
            <w:tcBorders>
              <w:bottom w:val="single" w:sz="8" w:color="520B90"/>
            </w:tcBorders>
            <w:gridSpan w:val="2"/>
          </w:tcPr>
          <w:p>
            <w:pPr>
              <w:jc w:val="center"/>
              <w:spacing w:after="0"/>
              <w:rPr>
                <w:sz w:val="20"/>
                <w:szCs w:val="20"/>
                <w:color w:val="auto"/>
              </w:rPr>
            </w:pPr>
            <w:r>
              <w:rPr>
                <w:rFonts w:ascii="Arial" w:cs="Arial" w:eastAsia="Arial" w:hAnsi="Arial"/>
                <w:sz w:val="13"/>
                <w:szCs w:val="13"/>
                <w:color w:val="auto"/>
              </w:rPr>
              <w:t>(23,064,859)</w:t>
            </w:r>
          </w:p>
        </w:tc>
        <w:tc>
          <w:tcPr>
            <w:tcW w:w="1300" w:type="dxa"/>
            <w:vAlign w:val="bottom"/>
            <w:tcBorders>
              <w:bottom w:val="single" w:sz="8" w:color="520B90"/>
            </w:tcBorders>
            <w:gridSpan w:val="2"/>
          </w:tcPr>
          <w:p>
            <w:pPr>
              <w:jc w:val="center"/>
              <w:ind w:left="134"/>
              <w:spacing w:after="0"/>
              <w:rPr>
                <w:sz w:val="20"/>
                <w:szCs w:val="20"/>
                <w:color w:val="auto"/>
              </w:rPr>
            </w:pPr>
            <w:r>
              <w:rPr>
                <w:rFonts w:ascii="Arial" w:cs="Arial" w:eastAsia="Arial" w:hAnsi="Arial"/>
                <w:sz w:val="13"/>
                <w:szCs w:val="13"/>
                <w:color w:val="auto"/>
              </w:rPr>
              <w:t>N/A</w:t>
            </w:r>
          </w:p>
        </w:tc>
        <w:tc>
          <w:tcPr>
            <w:tcW w:w="940" w:type="dxa"/>
            <w:vAlign w:val="bottom"/>
            <w:tcBorders>
              <w:bottom w:val="single" w:sz="8" w:color="520B90"/>
            </w:tcBorders>
          </w:tcPr>
          <w:p>
            <w:pPr>
              <w:jc w:val="center"/>
              <w:spacing w:after="0"/>
              <w:rPr>
                <w:sz w:val="20"/>
                <w:szCs w:val="20"/>
                <w:color w:val="auto"/>
              </w:rPr>
            </w:pPr>
            <w:r>
              <w:rPr>
                <w:rFonts w:ascii="Arial" w:cs="Arial" w:eastAsia="Arial" w:hAnsi="Arial"/>
                <w:sz w:val="13"/>
                <w:szCs w:val="13"/>
                <w:color w:val="auto"/>
              </w:rPr>
              <w:t>N/A</w:t>
            </w:r>
          </w:p>
        </w:tc>
        <w:tc>
          <w:tcPr>
            <w:tcW w:w="1220" w:type="dxa"/>
            <w:vAlign w:val="bottom"/>
            <w:tcBorders>
              <w:bottom w:val="single" w:sz="8" w:color="520B90"/>
            </w:tcBorders>
          </w:tcPr>
          <w:p>
            <w:pPr>
              <w:jc w:val="center"/>
              <w:ind w:right="14"/>
              <w:spacing w:after="0"/>
              <w:rPr>
                <w:sz w:val="20"/>
                <w:szCs w:val="20"/>
                <w:color w:val="auto"/>
              </w:rPr>
            </w:pPr>
            <w:r>
              <w:rPr>
                <w:rFonts w:ascii="Arial" w:cs="Arial" w:eastAsia="Arial" w:hAnsi="Arial"/>
                <w:sz w:val="13"/>
                <w:szCs w:val="13"/>
                <w:color w:val="auto"/>
              </w:rPr>
              <w:t>N/A</w:t>
            </w:r>
          </w:p>
        </w:tc>
        <w:tc>
          <w:tcPr>
            <w:tcW w:w="1060" w:type="dxa"/>
            <w:vAlign w:val="bottom"/>
            <w:tcBorders>
              <w:bottom w:val="single" w:sz="8" w:color="520B90"/>
            </w:tcBorders>
          </w:tcPr>
          <w:p>
            <w:pPr>
              <w:jc w:val="center"/>
              <w:ind w:right="94"/>
              <w:spacing w:after="0"/>
              <w:rPr>
                <w:sz w:val="20"/>
                <w:szCs w:val="20"/>
                <w:color w:val="auto"/>
              </w:rPr>
            </w:pPr>
            <w:r>
              <w:rPr>
                <w:rFonts w:ascii="Arial" w:cs="Arial" w:eastAsia="Arial" w:hAnsi="Arial"/>
                <w:sz w:val="13"/>
                <w:szCs w:val="13"/>
                <w:color w:val="auto"/>
              </w:rPr>
              <w:t>N/A</w:t>
            </w:r>
          </w:p>
        </w:tc>
        <w:tc>
          <w:tcPr>
            <w:tcW w:w="1120" w:type="dxa"/>
            <w:vAlign w:val="bottom"/>
            <w:tcBorders>
              <w:bottom w:val="single" w:sz="8" w:color="520B90"/>
            </w:tcBorders>
          </w:tcPr>
          <w:p>
            <w:pPr>
              <w:jc w:val="center"/>
              <w:ind w:right="74"/>
              <w:spacing w:after="0"/>
              <w:rPr>
                <w:sz w:val="20"/>
                <w:szCs w:val="20"/>
                <w:color w:val="auto"/>
              </w:rPr>
            </w:pPr>
            <w:r>
              <w:rPr>
                <w:rFonts w:ascii="Arial" w:cs="Arial" w:eastAsia="Arial" w:hAnsi="Arial"/>
                <w:sz w:val="13"/>
                <w:szCs w:val="13"/>
                <w:color w:val="auto"/>
              </w:rPr>
              <w:t>N/A</w:t>
            </w:r>
          </w:p>
        </w:tc>
        <w:tc>
          <w:tcPr>
            <w:tcW w:w="860" w:type="dxa"/>
            <w:vAlign w:val="bottom"/>
            <w:tcBorders>
              <w:bottom w:val="single" w:sz="8" w:color="520B90"/>
            </w:tcBorders>
            <w:gridSpan w:val="2"/>
          </w:tcPr>
          <w:p>
            <w:pPr>
              <w:jc w:val="center"/>
              <w:spacing w:after="0"/>
              <w:rPr>
                <w:sz w:val="20"/>
                <w:szCs w:val="20"/>
                <w:color w:val="auto"/>
              </w:rPr>
            </w:pPr>
            <w:r>
              <w:rPr>
                <w:rFonts w:ascii="Arial" w:cs="Arial" w:eastAsia="Arial" w:hAnsi="Arial"/>
                <w:sz w:val="13"/>
                <w:szCs w:val="13"/>
                <w:color w:val="auto"/>
              </w:rPr>
              <w:t>N/A</w:t>
            </w:r>
          </w:p>
        </w:tc>
        <w:tc>
          <w:tcPr>
            <w:tcW w:w="1140" w:type="dxa"/>
            <w:vAlign w:val="bottom"/>
            <w:tcBorders>
              <w:bottom w:val="single" w:sz="8" w:color="520B90"/>
            </w:tcBorders>
          </w:tcPr>
          <w:p>
            <w:pPr>
              <w:jc w:val="center"/>
              <w:spacing w:after="0"/>
              <w:rPr>
                <w:sz w:val="20"/>
                <w:szCs w:val="20"/>
                <w:color w:val="auto"/>
              </w:rPr>
            </w:pPr>
            <w:r>
              <w:rPr>
                <w:rFonts w:ascii="Arial" w:cs="Arial" w:eastAsia="Arial" w:hAnsi="Arial"/>
                <w:sz w:val="13"/>
                <w:szCs w:val="13"/>
                <w:color w:val="auto"/>
              </w:rPr>
              <w:t>N/A</w:t>
            </w:r>
          </w:p>
        </w:tc>
        <w:tc>
          <w:tcPr>
            <w:tcW w:w="920" w:type="dxa"/>
            <w:vAlign w:val="bottom"/>
            <w:tcBorders>
              <w:bottom w:val="single" w:sz="8" w:color="520B90"/>
            </w:tcBorders>
          </w:tcPr>
          <w:p>
            <w:pPr>
              <w:jc w:val="center"/>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79"/>
        </w:trPr>
        <w:tc>
          <w:tcPr>
            <w:tcW w:w="540" w:type="dxa"/>
            <w:vAlign w:val="bottom"/>
            <w:tcBorders>
              <w:bottom w:val="single" w:sz="8" w:color="520B90"/>
            </w:tcBorders>
            <w:shd w:val="clear" w:color="auto" w:fill="E6E7E7"/>
          </w:tcPr>
          <w:p>
            <w:pPr>
              <w:jc w:val="center"/>
              <w:spacing w:after="0"/>
              <w:rPr>
                <w:sz w:val="20"/>
                <w:szCs w:val="20"/>
                <w:color w:val="auto"/>
              </w:rPr>
            </w:pPr>
            <w:r>
              <w:rPr>
                <w:rFonts w:ascii="Arial" w:cs="Arial" w:eastAsia="Arial" w:hAnsi="Arial"/>
                <w:sz w:val="13"/>
                <w:szCs w:val="13"/>
                <w:color w:val="auto"/>
              </w:rPr>
              <w:t>2021</w:t>
            </w:r>
          </w:p>
        </w:tc>
        <w:tc>
          <w:tcPr>
            <w:tcW w:w="1300" w:type="dxa"/>
            <w:vAlign w:val="bottom"/>
            <w:tcBorders>
              <w:bottom w:val="single" w:sz="8" w:color="520B90"/>
            </w:tcBorders>
            <w:gridSpan w:val="2"/>
            <w:shd w:val="clear" w:color="auto" w:fill="E6E7E7"/>
          </w:tcPr>
          <w:p>
            <w:pPr>
              <w:jc w:val="center"/>
              <w:ind w:right="160"/>
              <w:spacing w:after="0"/>
              <w:rPr>
                <w:sz w:val="20"/>
                <w:szCs w:val="20"/>
                <w:color w:val="auto"/>
              </w:rPr>
            </w:pPr>
            <w:r>
              <w:rPr>
                <w:rFonts w:ascii="Arial" w:cs="Arial" w:eastAsia="Arial" w:hAnsi="Arial"/>
                <w:sz w:val="13"/>
                <w:szCs w:val="13"/>
                <w:color w:val="auto"/>
              </w:rPr>
              <w:t>14,553,510</w:t>
            </w:r>
          </w:p>
        </w:tc>
        <w:tc>
          <w:tcPr>
            <w:tcW w:w="840" w:type="dxa"/>
            <w:vAlign w:val="bottom"/>
            <w:tcBorders>
              <w:bottom w:val="single" w:sz="8" w:color="520B90"/>
            </w:tcBorders>
            <w:gridSpan w:val="2"/>
            <w:shd w:val="clear" w:color="auto" w:fill="E6E7E7"/>
          </w:tcPr>
          <w:p>
            <w:pPr>
              <w:jc w:val="center"/>
              <w:spacing w:after="0"/>
              <w:rPr>
                <w:sz w:val="20"/>
                <w:szCs w:val="20"/>
                <w:color w:val="auto"/>
              </w:rPr>
            </w:pPr>
            <w:r>
              <w:rPr>
                <w:rFonts w:ascii="Arial" w:cs="Arial" w:eastAsia="Arial" w:hAnsi="Arial"/>
                <w:sz w:val="13"/>
                <w:szCs w:val="13"/>
                <w:color w:val="auto"/>
              </w:rPr>
              <w:t>40,841,701</w:t>
            </w:r>
          </w:p>
        </w:tc>
        <w:tc>
          <w:tcPr>
            <w:tcW w:w="1300" w:type="dxa"/>
            <w:vAlign w:val="bottom"/>
            <w:tcBorders>
              <w:bottom w:val="single" w:sz="8" w:color="520B90"/>
            </w:tcBorders>
            <w:gridSpan w:val="2"/>
            <w:shd w:val="clear" w:color="auto" w:fill="E6E7E7"/>
          </w:tcPr>
          <w:p>
            <w:pPr>
              <w:jc w:val="center"/>
              <w:ind w:left="134"/>
              <w:spacing w:after="0"/>
              <w:rPr>
                <w:sz w:val="20"/>
                <w:szCs w:val="20"/>
                <w:color w:val="auto"/>
              </w:rPr>
            </w:pPr>
            <w:r>
              <w:rPr>
                <w:rFonts w:ascii="Arial" w:cs="Arial" w:eastAsia="Arial" w:hAnsi="Arial"/>
                <w:sz w:val="13"/>
                <w:szCs w:val="13"/>
                <w:color w:val="auto"/>
              </w:rPr>
              <w:t>N/A</w:t>
            </w:r>
          </w:p>
        </w:tc>
        <w:tc>
          <w:tcPr>
            <w:tcW w:w="940" w:type="dxa"/>
            <w:vAlign w:val="bottom"/>
            <w:tcBorders>
              <w:bottom w:val="single" w:sz="8" w:color="520B90"/>
            </w:tcBorders>
            <w:shd w:val="clear" w:color="auto" w:fill="E6E7E7"/>
          </w:tcPr>
          <w:p>
            <w:pPr>
              <w:jc w:val="center"/>
              <w:spacing w:after="0"/>
              <w:rPr>
                <w:sz w:val="20"/>
                <w:szCs w:val="20"/>
                <w:color w:val="auto"/>
              </w:rPr>
            </w:pPr>
            <w:r>
              <w:rPr>
                <w:rFonts w:ascii="Arial" w:cs="Arial" w:eastAsia="Arial" w:hAnsi="Arial"/>
                <w:sz w:val="13"/>
                <w:szCs w:val="13"/>
                <w:color w:val="auto"/>
              </w:rPr>
              <w:t>N/A</w:t>
            </w:r>
          </w:p>
        </w:tc>
        <w:tc>
          <w:tcPr>
            <w:tcW w:w="1220" w:type="dxa"/>
            <w:vAlign w:val="bottom"/>
            <w:tcBorders>
              <w:bottom w:val="single" w:sz="8" w:color="520B90"/>
            </w:tcBorders>
            <w:shd w:val="clear" w:color="auto" w:fill="E6E7E7"/>
          </w:tcPr>
          <w:p>
            <w:pPr>
              <w:jc w:val="center"/>
              <w:ind w:right="14"/>
              <w:spacing w:after="0"/>
              <w:rPr>
                <w:sz w:val="20"/>
                <w:szCs w:val="20"/>
                <w:color w:val="auto"/>
              </w:rPr>
            </w:pPr>
            <w:r>
              <w:rPr>
                <w:rFonts w:ascii="Arial" w:cs="Arial" w:eastAsia="Arial" w:hAnsi="Arial"/>
                <w:sz w:val="13"/>
                <w:szCs w:val="13"/>
                <w:color w:val="auto"/>
              </w:rPr>
              <w:t>N/A</w:t>
            </w:r>
          </w:p>
        </w:tc>
        <w:tc>
          <w:tcPr>
            <w:tcW w:w="1060" w:type="dxa"/>
            <w:vAlign w:val="bottom"/>
            <w:tcBorders>
              <w:bottom w:val="single" w:sz="8" w:color="520B90"/>
            </w:tcBorders>
            <w:shd w:val="clear" w:color="auto" w:fill="E6E7E7"/>
          </w:tcPr>
          <w:p>
            <w:pPr>
              <w:jc w:val="center"/>
              <w:ind w:right="94"/>
              <w:spacing w:after="0"/>
              <w:rPr>
                <w:sz w:val="20"/>
                <w:szCs w:val="20"/>
                <w:color w:val="auto"/>
              </w:rPr>
            </w:pPr>
            <w:r>
              <w:rPr>
                <w:rFonts w:ascii="Arial" w:cs="Arial" w:eastAsia="Arial" w:hAnsi="Arial"/>
                <w:sz w:val="13"/>
                <w:szCs w:val="13"/>
                <w:color w:val="auto"/>
              </w:rPr>
              <w:t>N/A</w:t>
            </w:r>
          </w:p>
        </w:tc>
        <w:tc>
          <w:tcPr>
            <w:tcW w:w="1120" w:type="dxa"/>
            <w:vAlign w:val="bottom"/>
            <w:tcBorders>
              <w:bottom w:val="single" w:sz="8" w:color="520B90"/>
            </w:tcBorders>
            <w:shd w:val="clear" w:color="auto" w:fill="E6E7E7"/>
          </w:tcPr>
          <w:p>
            <w:pPr>
              <w:jc w:val="center"/>
              <w:ind w:right="74"/>
              <w:spacing w:after="0"/>
              <w:rPr>
                <w:sz w:val="20"/>
                <w:szCs w:val="20"/>
                <w:color w:val="auto"/>
              </w:rPr>
            </w:pPr>
            <w:r>
              <w:rPr>
                <w:rFonts w:ascii="Arial" w:cs="Arial" w:eastAsia="Arial" w:hAnsi="Arial"/>
                <w:sz w:val="13"/>
                <w:szCs w:val="13"/>
                <w:color w:val="auto"/>
              </w:rPr>
              <w:t>N/A</w:t>
            </w:r>
          </w:p>
        </w:tc>
        <w:tc>
          <w:tcPr>
            <w:tcW w:w="860" w:type="dxa"/>
            <w:vAlign w:val="bottom"/>
            <w:tcBorders>
              <w:bottom w:val="single" w:sz="8" w:color="520B90"/>
            </w:tcBorders>
            <w:gridSpan w:val="2"/>
            <w:shd w:val="clear" w:color="auto" w:fill="E6E7E7"/>
          </w:tcPr>
          <w:p>
            <w:pPr>
              <w:jc w:val="center"/>
              <w:spacing w:after="0"/>
              <w:rPr>
                <w:sz w:val="20"/>
                <w:szCs w:val="20"/>
                <w:color w:val="auto"/>
              </w:rPr>
            </w:pPr>
            <w:r>
              <w:rPr>
                <w:rFonts w:ascii="Arial" w:cs="Arial" w:eastAsia="Arial" w:hAnsi="Arial"/>
                <w:sz w:val="13"/>
                <w:szCs w:val="13"/>
                <w:color w:val="auto"/>
              </w:rPr>
              <w:t>N/A</w:t>
            </w:r>
          </w:p>
        </w:tc>
        <w:tc>
          <w:tcPr>
            <w:tcW w:w="1140" w:type="dxa"/>
            <w:vAlign w:val="bottom"/>
            <w:tcBorders>
              <w:bottom w:val="single" w:sz="8" w:color="520B90"/>
            </w:tcBorders>
            <w:shd w:val="clear" w:color="auto" w:fill="E6E7E7"/>
          </w:tcPr>
          <w:p>
            <w:pPr>
              <w:jc w:val="center"/>
              <w:spacing w:after="0"/>
              <w:rPr>
                <w:sz w:val="20"/>
                <w:szCs w:val="20"/>
                <w:color w:val="auto"/>
              </w:rPr>
            </w:pPr>
            <w:r>
              <w:rPr>
                <w:rFonts w:ascii="Arial" w:cs="Arial" w:eastAsia="Arial" w:hAnsi="Arial"/>
                <w:sz w:val="13"/>
                <w:szCs w:val="13"/>
                <w:color w:val="auto"/>
              </w:rPr>
              <w:t>N/A</w:t>
            </w:r>
          </w:p>
        </w:tc>
        <w:tc>
          <w:tcPr>
            <w:tcW w:w="920" w:type="dxa"/>
            <w:vAlign w:val="bottom"/>
            <w:tcBorders>
              <w:bottom w:val="single" w:sz="8" w:color="520B90"/>
            </w:tcBorders>
            <w:shd w:val="clear" w:color="auto" w:fill="E6E7E7"/>
          </w:tcPr>
          <w:p>
            <w:pPr>
              <w:jc w:val="center"/>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488"/>
        </w:trPr>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20" w:type="dxa"/>
            <w:vAlign w:val="bottom"/>
            <w:gridSpan w:val="3"/>
          </w:tcPr>
          <w:p>
            <w:pPr>
              <w:jc w:val="center"/>
              <w:spacing w:after="0"/>
              <w:rPr>
                <w:sz w:val="20"/>
                <w:szCs w:val="20"/>
                <w:color w:val="auto"/>
              </w:rPr>
            </w:pPr>
            <w:r>
              <w:rPr>
                <w:rFonts w:ascii="Arial" w:cs="Arial" w:eastAsia="Arial" w:hAnsi="Arial"/>
                <w:sz w:val="13"/>
                <w:szCs w:val="13"/>
                <w:b w:val="1"/>
                <w:bCs w:val="1"/>
                <w:color w:val="520B90"/>
              </w:rPr>
              <w:t>Value of Initial Fixed $100 Investment</w:t>
            </w: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40" w:type="dxa"/>
            <w:vAlign w:val="bottom"/>
          </w:tcPr>
          <w:p>
            <w:pPr>
              <w:spacing w:after="0"/>
              <w:rPr>
                <w:sz w:val="16"/>
                <w:szCs w:val="16"/>
                <w:color w:val="auto"/>
              </w:rPr>
            </w:pPr>
          </w:p>
        </w:tc>
        <w:tc>
          <w:tcPr>
            <w:tcW w:w="2020" w:type="dxa"/>
            <w:vAlign w:val="bottom"/>
            <w:gridSpan w:val="3"/>
          </w:tcPr>
          <w:p>
            <w:pPr>
              <w:jc w:val="center"/>
              <w:ind w:right="74"/>
              <w:spacing w:after="0"/>
              <w:rPr>
                <w:sz w:val="20"/>
                <w:szCs w:val="20"/>
                <w:color w:val="auto"/>
              </w:rPr>
            </w:pPr>
            <w:r>
              <w:rPr>
                <w:rFonts w:ascii="Arial" w:cs="Arial" w:eastAsia="Arial" w:hAnsi="Arial"/>
                <w:sz w:val="13"/>
                <w:szCs w:val="13"/>
                <w:b w:val="1"/>
                <w:bCs w:val="1"/>
                <w:color w:val="520B90"/>
              </w:rPr>
              <w:t>Average Summary</w:t>
            </w:r>
          </w:p>
        </w:tc>
        <w:tc>
          <w:tcPr>
            <w:tcW w:w="120" w:type="dxa"/>
            <w:vAlign w:val="bottom"/>
          </w:tcPr>
          <w:p>
            <w:pPr>
              <w:spacing w:after="0"/>
              <w:rPr>
                <w:sz w:val="16"/>
                <w:szCs w:val="16"/>
                <w:color w:val="auto"/>
              </w:rPr>
            </w:pPr>
          </w:p>
        </w:tc>
        <w:tc>
          <w:tcPr>
            <w:tcW w:w="1040" w:type="dxa"/>
            <w:vAlign w:val="bottom"/>
          </w:tcPr>
          <w:p>
            <w:pPr>
              <w:jc w:val="center"/>
              <w:ind w:right="214"/>
              <w:spacing w:after="0"/>
              <w:rPr>
                <w:sz w:val="20"/>
                <w:szCs w:val="20"/>
                <w:color w:val="auto"/>
              </w:rPr>
            </w:pPr>
            <w:r>
              <w:rPr>
                <w:rFonts w:ascii="Arial" w:cs="Arial" w:eastAsia="Arial" w:hAnsi="Arial"/>
                <w:sz w:val="13"/>
                <w:szCs w:val="13"/>
                <w:b w:val="1"/>
                <w:bCs w:val="1"/>
                <w:color w:val="520B90"/>
              </w:rPr>
              <w:t>Average</w:t>
            </w:r>
          </w:p>
        </w:tc>
        <w:tc>
          <w:tcPr>
            <w:tcW w:w="260" w:type="dxa"/>
            <w:vAlign w:val="bottom"/>
            <w:tcBorders>
              <w:bottom w:val="single" w:sz="8" w:color="520B90"/>
            </w:tcBorders>
          </w:tcPr>
          <w:p>
            <w:pPr>
              <w:spacing w:after="0"/>
              <w:rPr>
                <w:sz w:val="16"/>
                <w:szCs w:val="16"/>
                <w:color w:val="auto"/>
              </w:rPr>
            </w:pPr>
          </w:p>
        </w:tc>
        <w:tc>
          <w:tcPr>
            <w:tcW w:w="2160" w:type="dxa"/>
            <w:vAlign w:val="bottom"/>
            <w:tcBorders>
              <w:bottom w:val="single" w:sz="8" w:color="520B90"/>
            </w:tcBorders>
            <w:gridSpan w:val="2"/>
          </w:tcPr>
          <w:p>
            <w:pPr>
              <w:jc w:val="center"/>
              <w:ind w:right="194"/>
              <w:spacing w:after="0" w:line="185" w:lineRule="exact"/>
              <w:rPr>
                <w:sz w:val="20"/>
                <w:szCs w:val="20"/>
                <w:color w:val="auto"/>
              </w:rPr>
            </w:pPr>
            <w:r>
              <w:rPr>
                <w:rFonts w:ascii="Arial" w:cs="Arial" w:eastAsia="Arial" w:hAnsi="Arial"/>
                <w:sz w:val="13"/>
                <w:szCs w:val="13"/>
                <w:b w:val="1"/>
                <w:bCs w:val="1"/>
                <w:color w:val="520B90"/>
                <w:w w:val="98"/>
              </w:rPr>
              <w:t>Based On</w:t>
            </w:r>
            <w:r>
              <w:rPr>
                <w:rFonts w:ascii="Arial" w:cs="Arial" w:eastAsia="Arial" w:hAnsi="Arial"/>
                <w:sz w:val="17"/>
                <w:szCs w:val="17"/>
                <w:b w:val="1"/>
                <w:bCs w:val="1"/>
                <w:color w:val="520B90"/>
                <w:w w:val="98"/>
                <w:vertAlign w:val="superscript"/>
              </w:rPr>
              <w:t>(c)</w:t>
            </w:r>
            <w:r>
              <w:rPr>
                <w:rFonts w:ascii="Arial" w:cs="Arial" w:eastAsia="Arial" w:hAnsi="Arial"/>
                <w:sz w:val="13"/>
                <w:szCs w:val="13"/>
                <w:b w:val="1"/>
                <w:bCs w:val="1"/>
                <w:color w:val="520B90"/>
                <w:w w:val="98"/>
              </w:rPr>
              <w:t>:</w:t>
            </w: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540" w:type="dxa"/>
            <w:vAlign w:val="bottom"/>
            <w:vMerge w:val="restart"/>
          </w:tcPr>
          <w:p>
            <w:pPr>
              <w:jc w:val="center"/>
              <w:spacing w:after="0"/>
              <w:rPr>
                <w:sz w:val="20"/>
                <w:szCs w:val="20"/>
                <w:color w:val="auto"/>
              </w:rPr>
            </w:pPr>
            <w:r>
              <w:rPr>
                <w:rFonts w:ascii="Arial" w:cs="Arial" w:eastAsia="Arial" w:hAnsi="Arial"/>
                <w:sz w:val="13"/>
                <w:szCs w:val="13"/>
                <w:b w:val="1"/>
                <w:bCs w:val="1"/>
                <w:color w:val="520B90"/>
                <w:w w:val="99"/>
              </w:rPr>
              <w:t>Year</w:t>
            </w:r>
          </w:p>
        </w:tc>
        <w:tc>
          <w:tcPr>
            <w:tcW w:w="2020" w:type="dxa"/>
            <w:vAlign w:val="bottom"/>
            <w:gridSpan w:val="3"/>
          </w:tcPr>
          <w:p>
            <w:pPr>
              <w:jc w:val="center"/>
              <w:ind w:right="74"/>
              <w:spacing w:after="0" w:line="126" w:lineRule="exact"/>
              <w:rPr>
                <w:sz w:val="20"/>
                <w:szCs w:val="20"/>
                <w:color w:val="auto"/>
              </w:rPr>
            </w:pPr>
            <w:r>
              <w:rPr>
                <w:rFonts w:ascii="Arial" w:cs="Arial" w:eastAsia="Arial" w:hAnsi="Arial"/>
                <w:sz w:val="13"/>
                <w:szCs w:val="13"/>
                <w:b w:val="1"/>
                <w:bCs w:val="1"/>
                <w:color w:val="520B90"/>
              </w:rPr>
              <w:t>Compensation Table Total</w:t>
            </w:r>
          </w:p>
        </w:tc>
        <w:tc>
          <w:tcPr>
            <w:tcW w:w="120" w:type="dxa"/>
            <w:vAlign w:val="bottom"/>
          </w:tcPr>
          <w:p>
            <w:pPr>
              <w:spacing w:after="0"/>
              <w:rPr>
                <w:sz w:val="10"/>
                <w:szCs w:val="10"/>
                <w:color w:val="auto"/>
              </w:rPr>
            </w:pPr>
          </w:p>
        </w:tc>
        <w:tc>
          <w:tcPr>
            <w:tcW w:w="1300" w:type="dxa"/>
            <w:vAlign w:val="bottom"/>
            <w:gridSpan w:val="2"/>
          </w:tcPr>
          <w:p>
            <w:pPr>
              <w:jc w:val="center"/>
              <w:ind w:right="514"/>
              <w:spacing w:after="0" w:line="126" w:lineRule="exact"/>
              <w:rPr>
                <w:sz w:val="20"/>
                <w:szCs w:val="20"/>
                <w:color w:val="auto"/>
              </w:rPr>
            </w:pPr>
            <w:r>
              <w:rPr>
                <w:rFonts w:ascii="Arial" w:cs="Arial" w:eastAsia="Arial" w:hAnsi="Arial"/>
                <w:sz w:val="13"/>
                <w:szCs w:val="13"/>
                <w:b w:val="1"/>
                <w:bCs w:val="1"/>
                <w:color w:val="520B90"/>
              </w:rPr>
              <w:t>CAP to</w:t>
            </w:r>
          </w:p>
        </w:tc>
        <w:tc>
          <w:tcPr>
            <w:tcW w:w="940" w:type="dxa"/>
            <w:vAlign w:val="bottom"/>
            <w:vMerge w:val="restart"/>
          </w:tcPr>
          <w:p>
            <w:pPr>
              <w:ind w:left="220"/>
              <w:spacing w:after="0"/>
              <w:rPr>
                <w:sz w:val="20"/>
                <w:szCs w:val="20"/>
                <w:color w:val="auto"/>
              </w:rPr>
            </w:pPr>
            <w:r>
              <w:rPr>
                <w:rFonts w:ascii="Arial" w:cs="Arial" w:eastAsia="Arial" w:hAnsi="Arial"/>
                <w:sz w:val="13"/>
                <w:szCs w:val="13"/>
                <w:b w:val="1"/>
                <w:bCs w:val="1"/>
                <w:color w:val="520B90"/>
              </w:rPr>
              <w:t>TSR</w:t>
            </w:r>
          </w:p>
        </w:tc>
        <w:tc>
          <w:tcPr>
            <w:tcW w:w="1220" w:type="dxa"/>
            <w:vAlign w:val="bottom"/>
            <w:vMerge w:val="restart"/>
          </w:tcPr>
          <w:p>
            <w:pPr>
              <w:jc w:val="center"/>
              <w:spacing w:after="0"/>
              <w:rPr>
                <w:sz w:val="20"/>
                <w:szCs w:val="20"/>
                <w:color w:val="auto"/>
              </w:rPr>
            </w:pPr>
            <w:r>
              <w:rPr>
                <w:rFonts w:ascii="Arial" w:cs="Arial" w:eastAsia="Arial" w:hAnsi="Arial"/>
                <w:sz w:val="13"/>
                <w:szCs w:val="13"/>
                <w:b w:val="1"/>
                <w:bCs w:val="1"/>
                <w:color w:val="520B90"/>
              </w:rPr>
              <w:t>Peer Group TSR</w:t>
            </w:r>
          </w:p>
        </w:tc>
        <w:tc>
          <w:tcPr>
            <w:tcW w:w="1060" w:type="dxa"/>
            <w:vAlign w:val="bottom"/>
          </w:tcPr>
          <w:p>
            <w:pPr>
              <w:ind w:left="300"/>
              <w:spacing w:after="0" w:line="126" w:lineRule="exact"/>
              <w:rPr>
                <w:sz w:val="20"/>
                <w:szCs w:val="20"/>
                <w:color w:val="auto"/>
              </w:rPr>
            </w:pPr>
            <w:r>
              <w:rPr>
                <w:rFonts w:ascii="Arial" w:cs="Arial" w:eastAsia="Arial" w:hAnsi="Arial"/>
                <w:sz w:val="13"/>
                <w:szCs w:val="13"/>
                <w:b w:val="1"/>
                <w:bCs w:val="1"/>
                <w:color w:val="520B90"/>
              </w:rPr>
              <w:t>Net Income</w:t>
            </w:r>
          </w:p>
        </w:tc>
        <w:tc>
          <w:tcPr>
            <w:tcW w:w="1980" w:type="dxa"/>
            <w:vAlign w:val="bottom"/>
            <w:gridSpan w:val="3"/>
            <w:vMerge w:val="restart"/>
          </w:tcPr>
          <w:p>
            <w:pPr>
              <w:jc w:val="center"/>
              <w:ind w:right="240"/>
              <w:spacing w:after="0"/>
              <w:rPr>
                <w:sz w:val="20"/>
                <w:szCs w:val="20"/>
                <w:color w:val="auto"/>
              </w:rPr>
            </w:pPr>
            <w:r>
              <w:rPr>
                <w:rFonts w:ascii="Arial" w:cs="Arial" w:eastAsia="Arial" w:hAnsi="Arial"/>
                <w:sz w:val="13"/>
                <w:szCs w:val="13"/>
                <w:b w:val="1"/>
                <w:bCs w:val="1"/>
                <w:color w:val="520B90"/>
              </w:rPr>
              <w:t>AFFO Per Share</w:t>
            </w:r>
          </w:p>
        </w:tc>
        <w:tc>
          <w:tcPr>
            <w:tcW w:w="1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540" w:type="dxa"/>
            <w:vAlign w:val="bottom"/>
            <w:vMerge w:val="continue"/>
          </w:tcPr>
          <w:p>
            <w:pPr>
              <w:spacing w:after="0"/>
              <w:rPr>
                <w:sz w:val="11"/>
                <w:szCs w:val="11"/>
                <w:color w:val="auto"/>
              </w:rPr>
            </w:pPr>
          </w:p>
        </w:tc>
        <w:tc>
          <w:tcPr>
            <w:tcW w:w="2020" w:type="dxa"/>
            <w:vAlign w:val="bottom"/>
            <w:gridSpan w:val="3"/>
          </w:tcPr>
          <w:p>
            <w:pPr>
              <w:jc w:val="center"/>
              <w:ind w:right="74"/>
              <w:spacing w:after="0" w:line="133" w:lineRule="exact"/>
              <w:rPr>
                <w:sz w:val="20"/>
                <w:szCs w:val="20"/>
                <w:color w:val="auto"/>
              </w:rPr>
            </w:pPr>
            <w:r>
              <w:rPr>
                <w:rFonts w:ascii="Arial" w:cs="Arial" w:eastAsia="Arial" w:hAnsi="Arial"/>
                <w:sz w:val="13"/>
                <w:szCs w:val="13"/>
                <w:b w:val="1"/>
                <w:bCs w:val="1"/>
                <w:color w:val="520B90"/>
              </w:rPr>
              <w:t>for Non-PEO NEOs</w:t>
            </w:r>
          </w:p>
        </w:tc>
        <w:tc>
          <w:tcPr>
            <w:tcW w:w="1420" w:type="dxa"/>
            <w:vAlign w:val="bottom"/>
            <w:gridSpan w:val="3"/>
          </w:tcPr>
          <w:p>
            <w:pPr>
              <w:jc w:val="center"/>
              <w:ind w:right="334"/>
              <w:spacing w:after="0" w:line="133" w:lineRule="exact"/>
              <w:rPr>
                <w:sz w:val="20"/>
                <w:szCs w:val="20"/>
                <w:color w:val="auto"/>
              </w:rPr>
            </w:pPr>
            <w:r>
              <w:rPr>
                <w:rFonts w:ascii="Arial" w:cs="Arial" w:eastAsia="Arial" w:hAnsi="Arial"/>
                <w:sz w:val="13"/>
                <w:szCs w:val="13"/>
                <w:b w:val="1"/>
                <w:bCs w:val="1"/>
                <w:color w:val="520B90"/>
              </w:rPr>
              <w:t>Non-PEO NEOs</w:t>
            </w:r>
          </w:p>
        </w:tc>
        <w:tc>
          <w:tcPr>
            <w:tcW w:w="94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060" w:type="dxa"/>
            <w:vAlign w:val="bottom"/>
          </w:tcPr>
          <w:p>
            <w:pPr>
              <w:ind w:left="280"/>
              <w:spacing w:after="0" w:line="133" w:lineRule="exact"/>
              <w:rPr>
                <w:sz w:val="20"/>
                <w:szCs w:val="20"/>
                <w:color w:val="auto"/>
              </w:rPr>
            </w:pPr>
            <w:r>
              <w:rPr>
                <w:rFonts w:ascii="Arial" w:cs="Arial" w:eastAsia="Arial" w:hAnsi="Arial"/>
                <w:sz w:val="13"/>
                <w:szCs w:val="13"/>
                <w:b w:val="1"/>
                <w:bCs w:val="1"/>
                <w:color w:val="520B90"/>
              </w:rPr>
              <w:t>(in millions)</w:t>
            </w:r>
          </w:p>
        </w:tc>
        <w:tc>
          <w:tcPr>
            <w:tcW w:w="1980" w:type="dxa"/>
            <w:vAlign w:val="bottom"/>
            <w:gridSpan w:val="3"/>
            <w:vMerge w:val="continue"/>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540" w:type="dxa"/>
            <w:vAlign w:val="bottom"/>
            <w:tcBorders>
              <w:bottom w:val="single" w:sz="8" w:color="520B90"/>
            </w:tcBorders>
          </w:tcPr>
          <w:p>
            <w:pPr>
              <w:jc w:val="center"/>
              <w:spacing w:after="0"/>
              <w:rPr>
                <w:sz w:val="20"/>
                <w:szCs w:val="20"/>
                <w:color w:val="auto"/>
              </w:rPr>
            </w:pPr>
            <w:r>
              <w:rPr>
                <w:rFonts w:ascii="Arial" w:cs="Arial" w:eastAsia="Arial" w:hAnsi="Arial"/>
                <w:sz w:val="13"/>
                <w:szCs w:val="13"/>
                <w:b w:val="1"/>
                <w:bCs w:val="1"/>
                <w:color w:val="520B90"/>
              </w:rPr>
              <w:t>(a)</w:t>
            </w:r>
          </w:p>
        </w:tc>
        <w:tc>
          <w:tcPr>
            <w:tcW w:w="1300" w:type="dxa"/>
            <w:vAlign w:val="bottom"/>
            <w:tcBorders>
              <w:bottom w:val="single" w:sz="8" w:color="520B90"/>
            </w:tcBorders>
            <w:gridSpan w:val="2"/>
          </w:tcPr>
          <w:p>
            <w:pPr>
              <w:jc w:val="center"/>
              <w:ind w:left="514"/>
              <w:spacing w:after="0"/>
              <w:rPr>
                <w:sz w:val="20"/>
                <w:szCs w:val="20"/>
                <w:color w:val="auto"/>
              </w:rPr>
            </w:pPr>
            <w:r>
              <w:rPr>
                <w:rFonts w:ascii="Arial" w:cs="Arial" w:eastAsia="Arial" w:hAnsi="Arial"/>
                <w:sz w:val="13"/>
                <w:szCs w:val="13"/>
                <w:b w:val="1"/>
                <w:bCs w:val="1"/>
                <w:color w:val="520B90"/>
              </w:rPr>
              <w:t>($)</w:t>
            </w:r>
          </w:p>
        </w:tc>
        <w:tc>
          <w:tcPr>
            <w:tcW w:w="720" w:type="dxa"/>
            <w:vAlign w:val="bottom"/>
            <w:tcBorders>
              <w:bottom w:val="single" w:sz="8" w:color="520B90"/>
            </w:tcBorders>
          </w:tcPr>
          <w:p>
            <w:pPr>
              <w:spacing w:after="0"/>
              <w:rPr>
                <w:sz w:val="15"/>
                <w:szCs w:val="15"/>
                <w:color w:val="auto"/>
              </w:rPr>
            </w:pPr>
          </w:p>
        </w:tc>
        <w:tc>
          <w:tcPr>
            <w:tcW w:w="120" w:type="dxa"/>
            <w:vAlign w:val="bottom"/>
            <w:tcBorders>
              <w:bottom w:val="single" w:sz="8" w:color="520B90"/>
            </w:tcBorders>
          </w:tcPr>
          <w:p>
            <w:pPr>
              <w:spacing w:after="0"/>
              <w:rPr>
                <w:sz w:val="15"/>
                <w:szCs w:val="15"/>
                <w:color w:val="auto"/>
              </w:rPr>
            </w:pPr>
          </w:p>
        </w:tc>
        <w:tc>
          <w:tcPr>
            <w:tcW w:w="1300" w:type="dxa"/>
            <w:vAlign w:val="bottom"/>
            <w:tcBorders>
              <w:bottom w:val="single" w:sz="8" w:color="520B90"/>
            </w:tcBorders>
            <w:gridSpan w:val="2"/>
          </w:tcPr>
          <w:p>
            <w:pPr>
              <w:jc w:val="center"/>
              <w:ind w:right="474"/>
              <w:spacing w:after="0"/>
              <w:rPr>
                <w:sz w:val="20"/>
                <w:szCs w:val="20"/>
                <w:color w:val="auto"/>
              </w:rPr>
            </w:pPr>
            <w:r>
              <w:rPr>
                <w:rFonts w:ascii="Arial" w:cs="Arial" w:eastAsia="Arial" w:hAnsi="Arial"/>
                <w:sz w:val="13"/>
                <w:szCs w:val="13"/>
                <w:b w:val="1"/>
                <w:bCs w:val="1"/>
                <w:color w:val="520B90"/>
                <w:w w:val="98"/>
              </w:rPr>
              <w:t>(b)($)</w:t>
            </w:r>
          </w:p>
        </w:tc>
        <w:tc>
          <w:tcPr>
            <w:tcW w:w="940" w:type="dxa"/>
            <w:vAlign w:val="bottom"/>
            <w:tcBorders>
              <w:bottom w:val="single" w:sz="8" w:color="520B90"/>
            </w:tcBorders>
          </w:tcPr>
          <w:p>
            <w:pPr>
              <w:jc w:val="center"/>
              <w:ind w:right="194"/>
              <w:spacing w:after="0"/>
              <w:rPr>
                <w:sz w:val="20"/>
                <w:szCs w:val="20"/>
                <w:color w:val="auto"/>
              </w:rPr>
            </w:pPr>
            <w:r>
              <w:rPr>
                <w:rFonts w:ascii="Arial" w:cs="Arial" w:eastAsia="Arial" w:hAnsi="Arial"/>
                <w:sz w:val="13"/>
                <w:szCs w:val="13"/>
                <w:b w:val="1"/>
                <w:bCs w:val="1"/>
                <w:color w:val="520B90"/>
              </w:rPr>
              <w:t>($)</w:t>
            </w:r>
          </w:p>
        </w:tc>
        <w:tc>
          <w:tcPr>
            <w:tcW w:w="1220" w:type="dxa"/>
            <w:vAlign w:val="bottom"/>
            <w:tcBorders>
              <w:bottom w:val="single" w:sz="8" w:color="520B90"/>
            </w:tcBorders>
          </w:tcPr>
          <w:p>
            <w:pPr>
              <w:jc w:val="center"/>
              <w:spacing w:after="0"/>
              <w:rPr>
                <w:sz w:val="20"/>
                <w:szCs w:val="20"/>
                <w:color w:val="auto"/>
              </w:rPr>
            </w:pPr>
            <w:r>
              <w:rPr>
                <w:rFonts w:ascii="Arial" w:cs="Arial" w:eastAsia="Arial" w:hAnsi="Arial"/>
                <w:sz w:val="13"/>
                <w:szCs w:val="13"/>
                <w:b w:val="1"/>
                <w:bCs w:val="1"/>
                <w:color w:val="520B90"/>
              </w:rPr>
              <w:t>(d)($)</w:t>
            </w:r>
          </w:p>
        </w:tc>
        <w:tc>
          <w:tcPr>
            <w:tcW w:w="1060" w:type="dxa"/>
            <w:vAlign w:val="bottom"/>
            <w:tcBorders>
              <w:bottom w:val="single" w:sz="8" w:color="520B90"/>
            </w:tcBorders>
          </w:tcPr>
          <w:p>
            <w:pPr>
              <w:jc w:val="center"/>
              <w:ind w:left="194"/>
              <w:spacing w:after="0"/>
              <w:rPr>
                <w:sz w:val="20"/>
                <w:szCs w:val="20"/>
                <w:color w:val="auto"/>
              </w:rPr>
            </w:pPr>
            <w:r>
              <w:rPr>
                <w:rFonts w:ascii="Arial" w:cs="Arial" w:eastAsia="Arial" w:hAnsi="Arial"/>
                <w:sz w:val="13"/>
                <w:szCs w:val="13"/>
                <w:b w:val="1"/>
                <w:bCs w:val="1"/>
                <w:color w:val="520B90"/>
              </w:rPr>
              <w:t>($)</w:t>
            </w:r>
          </w:p>
        </w:tc>
        <w:tc>
          <w:tcPr>
            <w:tcW w:w="1120" w:type="dxa"/>
            <w:vAlign w:val="bottom"/>
            <w:tcBorders>
              <w:bottom w:val="single" w:sz="8" w:color="520B90"/>
            </w:tcBorders>
          </w:tcPr>
          <w:p>
            <w:pPr>
              <w:jc w:val="center"/>
              <w:ind w:left="534"/>
              <w:spacing w:after="0"/>
              <w:rPr>
                <w:sz w:val="20"/>
                <w:szCs w:val="20"/>
                <w:color w:val="auto"/>
              </w:rPr>
            </w:pPr>
            <w:r>
              <w:rPr>
                <w:rFonts w:ascii="Arial" w:cs="Arial" w:eastAsia="Arial" w:hAnsi="Arial"/>
                <w:sz w:val="13"/>
                <w:szCs w:val="13"/>
                <w:b w:val="1"/>
                <w:bCs w:val="1"/>
                <w:color w:val="520B90"/>
              </w:rPr>
              <w:t>(e)($)</w:t>
            </w:r>
          </w:p>
        </w:tc>
        <w:tc>
          <w:tcPr>
            <w:tcW w:w="360" w:type="dxa"/>
            <w:vAlign w:val="bottom"/>
            <w:tcBorders>
              <w:bottom w:val="single" w:sz="8" w:color="520B90"/>
            </w:tcBorders>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 w:type="dxa"/>
            <w:vAlign w:val="bottom"/>
            <w:tcBorders>
              <w:bottom w:val="single" w:sz="8" w:color="520B90"/>
            </w:tcBorders>
            <w:shd w:val="clear" w:color="auto" w:fill="E6E7E7"/>
          </w:tcPr>
          <w:p>
            <w:pPr>
              <w:jc w:val="center"/>
              <w:spacing w:after="0"/>
              <w:rPr>
                <w:sz w:val="20"/>
                <w:szCs w:val="20"/>
                <w:color w:val="auto"/>
              </w:rPr>
            </w:pPr>
            <w:r>
              <w:rPr>
                <w:rFonts w:ascii="Arial" w:cs="Arial" w:eastAsia="Arial" w:hAnsi="Arial"/>
                <w:sz w:val="13"/>
                <w:szCs w:val="13"/>
                <w:color w:val="auto"/>
                <w:w w:val="96"/>
              </w:rPr>
              <w:t>2025</w:t>
            </w:r>
          </w:p>
        </w:tc>
        <w:tc>
          <w:tcPr>
            <w:tcW w:w="1300" w:type="dxa"/>
            <w:vAlign w:val="bottom"/>
            <w:tcBorders>
              <w:bottom w:val="single" w:sz="8" w:color="520B90"/>
            </w:tcBorders>
            <w:gridSpan w:val="2"/>
            <w:shd w:val="clear" w:color="auto" w:fill="E6E7E7"/>
          </w:tcPr>
          <w:p>
            <w:pPr>
              <w:jc w:val="center"/>
              <w:ind w:left="494"/>
              <w:spacing w:after="0"/>
              <w:rPr>
                <w:sz w:val="20"/>
                <w:szCs w:val="20"/>
                <w:color w:val="auto"/>
              </w:rPr>
            </w:pPr>
            <w:r>
              <w:rPr>
                <w:rFonts w:ascii="Arial" w:cs="Arial" w:eastAsia="Arial" w:hAnsi="Arial"/>
                <w:sz w:val="13"/>
                <w:szCs w:val="13"/>
                <w:color w:val="auto"/>
              </w:rPr>
              <w:t>6,838,616</w:t>
            </w:r>
          </w:p>
        </w:tc>
        <w:tc>
          <w:tcPr>
            <w:tcW w:w="720" w:type="dxa"/>
            <w:vAlign w:val="bottom"/>
            <w:tcBorders>
              <w:bottom w:val="single" w:sz="8" w:color="520B90"/>
            </w:tcBorders>
            <w:shd w:val="clear" w:color="auto" w:fill="E6E7E7"/>
          </w:tcPr>
          <w:p>
            <w:pPr>
              <w:spacing w:after="0"/>
              <w:rPr>
                <w:sz w:val="15"/>
                <w:szCs w:val="15"/>
                <w:color w:val="auto"/>
              </w:rPr>
            </w:pPr>
          </w:p>
        </w:tc>
        <w:tc>
          <w:tcPr>
            <w:tcW w:w="120" w:type="dxa"/>
            <w:vAlign w:val="bottom"/>
            <w:tcBorders>
              <w:bottom w:val="single" w:sz="8" w:color="520B90"/>
            </w:tcBorders>
            <w:shd w:val="clear" w:color="auto" w:fill="E6E7E7"/>
          </w:tcPr>
          <w:p>
            <w:pPr>
              <w:spacing w:after="0"/>
              <w:rPr>
                <w:sz w:val="15"/>
                <w:szCs w:val="15"/>
                <w:color w:val="auto"/>
              </w:rPr>
            </w:pPr>
          </w:p>
        </w:tc>
        <w:tc>
          <w:tcPr>
            <w:tcW w:w="1040" w:type="dxa"/>
            <w:vAlign w:val="bottom"/>
            <w:tcBorders>
              <w:bottom w:val="single" w:sz="8" w:color="520B90"/>
            </w:tcBorders>
            <w:shd w:val="clear" w:color="auto" w:fill="E6E7E7"/>
          </w:tcPr>
          <w:p>
            <w:pPr>
              <w:jc w:val="center"/>
              <w:ind w:right="214"/>
              <w:spacing w:after="0"/>
              <w:rPr>
                <w:sz w:val="20"/>
                <w:szCs w:val="20"/>
                <w:color w:val="auto"/>
              </w:rPr>
            </w:pPr>
            <w:r>
              <w:rPr>
                <w:rFonts w:ascii="Arial" w:cs="Arial" w:eastAsia="Arial" w:hAnsi="Arial"/>
                <w:sz w:val="13"/>
                <w:szCs w:val="13"/>
                <w:color w:val="auto"/>
              </w:rPr>
              <w:t>6,531,702</w:t>
            </w:r>
          </w:p>
        </w:tc>
        <w:tc>
          <w:tcPr>
            <w:tcW w:w="260" w:type="dxa"/>
            <w:vAlign w:val="bottom"/>
            <w:tcBorders>
              <w:bottom w:val="single" w:sz="8" w:color="520B90"/>
            </w:tcBorders>
            <w:shd w:val="clear" w:color="auto" w:fill="E6E7E7"/>
          </w:tcPr>
          <w:p>
            <w:pPr>
              <w:spacing w:after="0"/>
              <w:rPr>
                <w:sz w:val="15"/>
                <w:szCs w:val="15"/>
                <w:color w:val="auto"/>
              </w:rPr>
            </w:pPr>
          </w:p>
        </w:tc>
        <w:tc>
          <w:tcPr>
            <w:tcW w:w="940" w:type="dxa"/>
            <w:vAlign w:val="bottom"/>
            <w:tcBorders>
              <w:bottom w:val="single" w:sz="8" w:color="520B90"/>
            </w:tcBorders>
            <w:shd w:val="clear" w:color="auto" w:fill="E6E7E7"/>
          </w:tcPr>
          <w:p>
            <w:pPr>
              <w:jc w:val="center"/>
              <w:ind w:right="174"/>
              <w:spacing w:after="0"/>
              <w:rPr>
                <w:sz w:val="20"/>
                <w:szCs w:val="20"/>
                <w:color w:val="auto"/>
              </w:rPr>
            </w:pPr>
            <w:r>
              <w:rPr>
                <w:rFonts w:ascii="Arial" w:cs="Arial" w:eastAsia="Arial" w:hAnsi="Arial"/>
                <w:sz w:val="13"/>
                <w:szCs w:val="13"/>
                <w:color w:val="auto"/>
              </w:rPr>
              <w:t>70.38</w:t>
            </w:r>
          </w:p>
        </w:tc>
        <w:tc>
          <w:tcPr>
            <w:tcW w:w="1220" w:type="dxa"/>
            <w:vAlign w:val="bottom"/>
            <w:tcBorders>
              <w:bottom w:val="single" w:sz="8" w:color="520B90"/>
            </w:tcBorders>
            <w:shd w:val="clear" w:color="auto" w:fill="E6E7E7"/>
          </w:tcPr>
          <w:p>
            <w:pPr>
              <w:jc w:val="center"/>
              <w:spacing w:after="0"/>
              <w:rPr>
                <w:sz w:val="20"/>
                <w:szCs w:val="20"/>
                <w:color w:val="auto"/>
              </w:rPr>
            </w:pPr>
            <w:r>
              <w:rPr>
                <w:rFonts w:ascii="Arial" w:cs="Arial" w:eastAsia="Arial" w:hAnsi="Arial"/>
                <w:sz w:val="13"/>
                <w:szCs w:val="13"/>
                <w:color w:val="auto"/>
              </w:rPr>
              <w:t>126.71</w:t>
            </w:r>
          </w:p>
        </w:tc>
        <w:tc>
          <w:tcPr>
            <w:tcW w:w="1060" w:type="dxa"/>
            <w:vAlign w:val="bottom"/>
            <w:tcBorders>
              <w:bottom w:val="single" w:sz="8" w:color="520B90"/>
            </w:tcBorders>
            <w:shd w:val="clear" w:color="auto" w:fill="E6E7E7"/>
          </w:tcPr>
          <w:p>
            <w:pPr>
              <w:jc w:val="center"/>
              <w:ind w:left="174"/>
              <w:spacing w:after="0"/>
              <w:rPr>
                <w:sz w:val="20"/>
                <w:szCs w:val="20"/>
                <w:color w:val="auto"/>
              </w:rPr>
            </w:pPr>
            <w:r>
              <w:rPr>
                <w:rFonts w:ascii="Arial" w:cs="Arial" w:eastAsia="Arial" w:hAnsi="Arial"/>
                <w:sz w:val="13"/>
                <w:szCs w:val="13"/>
                <w:color w:val="auto"/>
              </w:rPr>
              <w:t>444</w:t>
            </w:r>
          </w:p>
        </w:tc>
        <w:tc>
          <w:tcPr>
            <w:tcW w:w="1120" w:type="dxa"/>
            <w:vAlign w:val="bottom"/>
            <w:tcBorders>
              <w:bottom w:val="single" w:sz="8" w:color="520B90"/>
            </w:tcBorders>
            <w:shd w:val="clear" w:color="auto" w:fill="E6E7E7"/>
          </w:tcPr>
          <w:p>
            <w:pPr>
              <w:jc w:val="center"/>
              <w:ind w:left="554"/>
              <w:spacing w:after="0"/>
              <w:rPr>
                <w:sz w:val="20"/>
                <w:szCs w:val="20"/>
                <w:color w:val="auto"/>
              </w:rPr>
            </w:pPr>
            <w:r>
              <w:rPr>
                <w:rFonts w:ascii="Arial" w:cs="Arial" w:eastAsia="Arial" w:hAnsi="Arial"/>
                <w:sz w:val="13"/>
                <w:szCs w:val="13"/>
                <w:color w:val="auto"/>
              </w:rPr>
              <w:t>4.36</w:t>
            </w:r>
          </w:p>
        </w:tc>
        <w:tc>
          <w:tcPr>
            <w:tcW w:w="360" w:type="dxa"/>
            <w:vAlign w:val="bottom"/>
            <w:tcBorders>
              <w:bottom w:val="single" w:sz="8" w:color="520B90"/>
            </w:tcBorders>
            <w:shd w:val="clear" w:color="auto" w:fill="E6E7E7"/>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40" w:type="dxa"/>
            <w:vAlign w:val="bottom"/>
            <w:tcBorders>
              <w:bottom w:val="single" w:sz="8" w:color="520B90"/>
            </w:tcBorders>
          </w:tcPr>
          <w:p>
            <w:pPr>
              <w:jc w:val="center"/>
              <w:spacing w:after="0"/>
              <w:rPr>
                <w:sz w:val="20"/>
                <w:szCs w:val="20"/>
                <w:color w:val="auto"/>
              </w:rPr>
            </w:pPr>
            <w:r>
              <w:rPr>
                <w:rFonts w:ascii="Arial" w:cs="Arial" w:eastAsia="Arial" w:hAnsi="Arial"/>
                <w:sz w:val="13"/>
                <w:szCs w:val="13"/>
                <w:color w:val="auto"/>
                <w:w w:val="96"/>
              </w:rPr>
              <w:t>2024</w:t>
            </w:r>
          </w:p>
        </w:tc>
        <w:tc>
          <w:tcPr>
            <w:tcW w:w="1300" w:type="dxa"/>
            <w:vAlign w:val="bottom"/>
            <w:tcBorders>
              <w:bottom w:val="single" w:sz="8" w:color="520B90"/>
            </w:tcBorders>
            <w:gridSpan w:val="2"/>
          </w:tcPr>
          <w:p>
            <w:pPr>
              <w:jc w:val="center"/>
              <w:ind w:left="494"/>
              <w:spacing w:after="0"/>
              <w:rPr>
                <w:sz w:val="20"/>
                <w:szCs w:val="20"/>
                <w:color w:val="auto"/>
              </w:rPr>
            </w:pPr>
            <w:r>
              <w:rPr>
                <w:rFonts w:ascii="Arial" w:cs="Arial" w:eastAsia="Arial" w:hAnsi="Arial"/>
                <w:sz w:val="13"/>
                <w:szCs w:val="13"/>
                <w:color w:val="auto"/>
              </w:rPr>
              <w:t>6,018,026</w:t>
            </w:r>
          </w:p>
        </w:tc>
        <w:tc>
          <w:tcPr>
            <w:tcW w:w="720" w:type="dxa"/>
            <w:vAlign w:val="bottom"/>
            <w:tcBorders>
              <w:bottom w:val="single" w:sz="8" w:color="520B90"/>
            </w:tcBorders>
          </w:tcPr>
          <w:p>
            <w:pPr>
              <w:spacing w:after="0"/>
              <w:rPr>
                <w:sz w:val="15"/>
                <w:szCs w:val="15"/>
                <w:color w:val="auto"/>
              </w:rPr>
            </w:pPr>
          </w:p>
        </w:tc>
        <w:tc>
          <w:tcPr>
            <w:tcW w:w="120" w:type="dxa"/>
            <w:vAlign w:val="bottom"/>
            <w:tcBorders>
              <w:bottom w:val="single" w:sz="8" w:color="520B90"/>
            </w:tcBorders>
          </w:tcPr>
          <w:p>
            <w:pPr>
              <w:spacing w:after="0"/>
              <w:rPr>
                <w:sz w:val="15"/>
                <w:szCs w:val="15"/>
                <w:color w:val="auto"/>
              </w:rPr>
            </w:pPr>
          </w:p>
        </w:tc>
        <w:tc>
          <w:tcPr>
            <w:tcW w:w="1040" w:type="dxa"/>
            <w:vAlign w:val="bottom"/>
            <w:tcBorders>
              <w:bottom w:val="single" w:sz="8" w:color="520B90"/>
            </w:tcBorders>
          </w:tcPr>
          <w:p>
            <w:pPr>
              <w:jc w:val="center"/>
              <w:ind w:right="214"/>
              <w:spacing w:after="0"/>
              <w:rPr>
                <w:sz w:val="20"/>
                <w:szCs w:val="20"/>
                <w:color w:val="auto"/>
              </w:rPr>
            </w:pPr>
            <w:r>
              <w:rPr>
                <w:rFonts w:ascii="Arial" w:cs="Arial" w:eastAsia="Arial" w:hAnsi="Arial"/>
                <w:sz w:val="13"/>
                <w:szCs w:val="13"/>
                <w:color w:val="auto"/>
              </w:rPr>
              <w:t>3,892,408</w:t>
            </w:r>
          </w:p>
        </w:tc>
        <w:tc>
          <w:tcPr>
            <w:tcW w:w="260" w:type="dxa"/>
            <w:vAlign w:val="bottom"/>
            <w:tcBorders>
              <w:bottom w:val="single" w:sz="8" w:color="520B90"/>
            </w:tcBorders>
          </w:tcPr>
          <w:p>
            <w:pPr>
              <w:spacing w:after="0"/>
              <w:rPr>
                <w:sz w:val="15"/>
                <w:szCs w:val="15"/>
                <w:color w:val="auto"/>
              </w:rPr>
            </w:pPr>
          </w:p>
        </w:tc>
        <w:tc>
          <w:tcPr>
            <w:tcW w:w="940" w:type="dxa"/>
            <w:vAlign w:val="bottom"/>
            <w:tcBorders>
              <w:bottom w:val="single" w:sz="8" w:color="520B90"/>
            </w:tcBorders>
          </w:tcPr>
          <w:p>
            <w:pPr>
              <w:jc w:val="center"/>
              <w:ind w:right="174"/>
              <w:spacing w:after="0"/>
              <w:rPr>
                <w:sz w:val="20"/>
                <w:szCs w:val="20"/>
                <w:color w:val="auto"/>
              </w:rPr>
            </w:pPr>
            <w:r>
              <w:rPr>
                <w:rFonts w:ascii="Arial" w:cs="Arial" w:eastAsia="Arial" w:hAnsi="Arial"/>
                <w:sz w:val="13"/>
                <w:szCs w:val="13"/>
                <w:color w:val="auto"/>
              </w:rPr>
              <w:t>68.35</w:t>
            </w:r>
          </w:p>
        </w:tc>
        <w:tc>
          <w:tcPr>
            <w:tcW w:w="1220" w:type="dxa"/>
            <w:vAlign w:val="bottom"/>
            <w:tcBorders>
              <w:bottom w:val="single" w:sz="8" w:color="520B90"/>
            </w:tcBorders>
          </w:tcPr>
          <w:p>
            <w:pPr>
              <w:jc w:val="center"/>
              <w:spacing w:after="0"/>
              <w:rPr>
                <w:sz w:val="20"/>
                <w:szCs w:val="20"/>
                <w:color w:val="auto"/>
              </w:rPr>
            </w:pPr>
            <w:r>
              <w:rPr>
                <w:rFonts w:ascii="Arial" w:cs="Arial" w:eastAsia="Arial" w:hAnsi="Arial"/>
                <w:sz w:val="13"/>
                <w:szCs w:val="13"/>
                <w:color w:val="auto"/>
              </w:rPr>
              <w:t>123.90</w:t>
            </w:r>
          </w:p>
        </w:tc>
        <w:tc>
          <w:tcPr>
            <w:tcW w:w="1060" w:type="dxa"/>
            <w:vAlign w:val="bottom"/>
            <w:tcBorders>
              <w:bottom w:val="single" w:sz="8" w:color="520B90"/>
            </w:tcBorders>
          </w:tcPr>
          <w:p>
            <w:pPr>
              <w:jc w:val="center"/>
              <w:ind w:left="174"/>
              <w:spacing w:after="0"/>
              <w:rPr>
                <w:sz w:val="20"/>
                <w:szCs w:val="20"/>
                <w:color w:val="auto"/>
              </w:rPr>
            </w:pPr>
            <w:r>
              <w:rPr>
                <w:rFonts w:ascii="Arial" w:cs="Arial" w:eastAsia="Arial" w:hAnsi="Arial"/>
                <w:sz w:val="13"/>
                <w:szCs w:val="13"/>
                <w:color w:val="auto"/>
              </w:rPr>
              <w:t>(3,903)</w:t>
            </w:r>
          </w:p>
        </w:tc>
        <w:tc>
          <w:tcPr>
            <w:tcW w:w="1120" w:type="dxa"/>
            <w:vAlign w:val="bottom"/>
            <w:tcBorders>
              <w:bottom w:val="single" w:sz="8" w:color="520B90"/>
            </w:tcBorders>
          </w:tcPr>
          <w:p>
            <w:pPr>
              <w:jc w:val="center"/>
              <w:ind w:left="554"/>
              <w:spacing w:after="0"/>
              <w:rPr>
                <w:sz w:val="20"/>
                <w:szCs w:val="20"/>
                <w:color w:val="auto"/>
              </w:rPr>
            </w:pPr>
            <w:r>
              <w:rPr>
                <w:rFonts w:ascii="Arial" w:cs="Arial" w:eastAsia="Arial" w:hAnsi="Arial"/>
                <w:sz w:val="13"/>
                <w:szCs w:val="13"/>
                <w:color w:val="auto"/>
              </w:rPr>
              <w:t>6.98</w:t>
            </w:r>
          </w:p>
        </w:tc>
        <w:tc>
          <w:tcPr>
            <w:tcW w:w="360" w:type="dxa"/>
            <w:vAlign w:val="bottom"/>
            <w:tcBorders>
              <w:bottom w:val="single" w:sz="8" w:color="520B90"/>
            </w:tcBorders>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40" w:type="dxa"/>
            <w:vAlign w:val="bottom"/>
            <w:tcBorders>
              <w:bottom w:val="single" w:sz="8" w:color="520B90"/>
            </w:tcBorders>
            <w:shd w:val="clear" w:color="auto" w:fill="E6E7E7"/>
          </w:tcPr>
          <w:p>
            <w:pPr>
              <w:jc w:val="center"/>
              <w:spacing w:after="0"/>
              <w:rPr>
                <w:sz w:val="20"/>
                <w:szCs w:val="20"/>
                <w:color w:val="auto"/>
              </w:rPr>
            </w:pPr>
            <w:r>
              <w:rPr>
                <w:rFonts w:ascii="Arial" w:cs="Arial" w:eastAsia="Arial" w:hAnsi="Arial"/>
                <w:sz w:val="13"/>
                <w:szCs w:val="13"/>
                <w:color w:val="auto"/>
                <w:w w:val="96"/>
              </w:rPr>
              <w:t>2023</w:t>
            </w:r>
          </w:p>
        </w:tc>
        <w:tc>
          <w:tcPr>
            <w:tcW w:w="1300" w:type="dxa"/>
            <w:vAlign w:val="bottom"/>
            <w:tcBorders>
              <w:bottom w:val="single" w:sz="8" w:color="520B90"/>
            </w:tcBorders>
            <w:gridSpan w:val="2"/>
            <w:shd w:val="clear" w:color="auto" w:fill="E6E7E7"/>
          </w:tcPr>
          <w:p>
            <w:pPr>
              <w:jc w:val="center"/>
              <w:ind w:left="494"/>
              <w:spacing w:after="0"/>
              <w:rPr>
                <w:sz w:val="20"/>
                <w:szCs w:val="20"/>
                <w:color w:val="auto"/>
              </w:rPr>
            </w:pPr>
            <w:r>
              <w:rPr>
                <w:rFonts w:ascii="Arial" w:cs="Arial" w:eastAsia="Arial" w:hAnsi="Arial"/>
                <w:sz w:val="13"/>
                <w:szCs w:val="13"/>
                <w:color w:val="auto"/>
              </w:rPr>
              <w:t>4,953,286</w:t>
            </w:r>
          </w:p>
        </w:tc>
        <w:tc>
          <w:tcPr>
            <w:tcW w:w="720" w:type="dxa"/>
            <w:vAlign w:val="bottom"/>
            <w:tcBorders>
              <w:bottom w:val="single" w:sz="8" w:color="520B90"/>
            </w:tcBorders>
            <w:shd w:val="clear" w:color="auto" w:fill="E6E7E7"/>
          </w:tcPr>
          <w:p>
            <w:pPr>
              <w:spacing w:after="0"/>
              <w:rPr>
                <w:sz w:val="15"/>
                <w:szCs w:val="15"/>
                <w:color w:val="auto"/>
              </w:rPr>
            </w:pPr>
          </w:p>
        </w:tc>
        <w:tc>
          <w:tcPr>
            <w:tcW w:w="120" w:type="dxa"/>
            <w:vAlign w:val="bottom"/>
            <w:tcBorders>
              <w:bottom w:val="single" w:sz="8" w:color="520B90"/>
            </w:tcBorders>
            <w:shd w:val="clear" w:color="auto" w:fill="E6E7E7"/>
          </w:tcPr>
          <w:p>
            <w:pPr>
              <w:spacing w:after="0"/>
              <w:rPr>
                <w:sz w:val="15"/>
                <w:szCs w:val="15"/>
                <w:color w:val="auto"/>
              </w:rPr>
            </w:pPr>
          </w:p>
        </w:tc>
        <w:tc>
          <w:tcPr>
            <w:tcW w:w="1040" w:type="dxa"/>
            <w:vAlign w:val="bottom"/>
            <w:tcBorders>
              <w:bottom w:val="single" w:sz="8" w:color="520B90"/>
            </w:tcBorders>
            <w:shd w:val="clear" w:color="auto" w:fill="E6E7E7"/>
          </w:tcPr>
          <w:p>
            <w:pPr>
              <w:jc w:val="center"/>
              <w:ind w:right="214"/>
              <w:spacing w:after="0"/>
              <w:rPr>
                <w:sz w:val="20"/>
                <w:szCs w:val="20"/>
                <w:color w:val="auto"/>
              </w:rPr>
            </w:pPr>
            <w:r>
              <w:rPr>
                <w:rFonts w:ascii="Arial" w:cs="Arial" w:eastAsia="Arial" w:hAnsi="Arial"/>
                <w:sz w:val="13"/>
                <w:szCs w:val="13"/>
                <w:color w:val="auto"/>
              </w:rPr>
              <w:t>1,950,170</w:t>
            </w:r>
          </w:p>
        </w:tc>
        <w:tc>
          <w:tcPr>
            <w:tcW w:w="260" w:type="dxa"/>
            <w:vAlign w:val="bottom"/>
            <w:tcBorders>
              <w:bottom w:val="single" w:sz="8" w:color="520B90"/>
            </w:tcBorders>
            <w:shd w:val="clear" w:color="auto" w:fill="E6E7E7"/>
          </w:tcPr>
          <w:p>
            <w:pPr>
              <w:spacing w:after="0"/>
              <w:rPr>
                <w:sz w:val="15"/>
                <w:szCs w:val="15"/>
                <w:color w:val="auto"/>
              </w:rPr>
            </w:pPr>
          </w:p>
        </w:tc>
        <w:tc>
          <w:tcPr>
            <w:tcW w:w="940" w:type="dxa"/>
            <w:vAlign w:val="bottom"/>
            <w:tcBorders>
              <w:bottom w:val="single" w:sz="8" w:color="520B90"/>
            </w:tcBorders>
            <w:shd w:val="clear" w:color="auto" w:fill="E6E7E7"/>
          </w:tcPr>
          <w:p>
            <w:pPr>
              <w:jc w:val="center"/>
              <w:ind w:right="174"/>
              <w:spacing w:after="0"/>
              <w:rPr>
                <w:sz w:val="20"/>
                <w:szCs w:val="20"/>
                <w:color w:val="auto"/>
              </w:rPr>
            </w:pPr>
            <w:r>
              <w:rPr>
                <w:rFonts w:ascii="Arial" w:cs="Arial" w:eastAsia="Arial" w:hAnsi="Arial"/>
                <w:sz w:val="13"/>
                <w:szCs w:val="13"/>
                <w:color w:val="auto"/>
              </w:rPr>
              <w:t>81.75</w:t>
            </w:r>
          </w:p>
        </w:tc>
        <w:tc>
          <w:tcPr>
            <w:tcW w:w="1220" w:type="dxa"/>
            <w:vAlign w:val="bottom"/>
            <w:tcBorders>
              <w:bottom w:val="single" w:sz="8" w:color="520B90"/>
            </w:tcBorders>
            <w:shd w:val="clear" w:color="auto" w:fill="E6E7E7"/>
          </w:tcPr>
          <w:p>
            <w:pPr>
              <w:jc w:val="center"/>
              <w:spacing w:after="0"/>
              <w:rPr>
                <w:sz w:val="20"/>
                <w:szCs w:val="20"/>
                <w:color w:val="auto"/>
              </w:rPr>
            </w:pPr>
            <w:r>
              <w:rPr>
                <w:rFonts w:ascii="Arial" w:cs="Arial" w:eastAsia="Arial" w:hAnsi="Arial"/>
                <w:sz w:val="13"/>
                <w:szCs w:val="13"/>
                <w:color w:val="auto"/>
                <w:w w:val="95"/>
              </w:rPr>
              <w:t>118.09</w:t>
            </w:r>
          </w:p>
        </w:tc>
        <w:tc>
          <w:tcPr>
            <w:tcW w:w="1060" w:type="dxa"/>
            <w:vAlign w:val="bottom"/>
            <w:tcBorders>
              <w:bottom w:val="single" w:sz="8" w:color="520B90"/>
            </w:tcBorders>
            <w:shd w:val="clear" w:color="auto" w:fill="E6E7E7"/>
          </w:tcPr>
          <w:p>
            <w:pPr>
              <w:jc w:val="center"/>
              <w:ind w:left="174"/>
              <w:spacing w:after="0"/>
              <w:rPr>
                <w:sz w:val="20"/>
                <w:szCs w:val="20"/>
                <w:color w:val="auto"/>
              </w:rPr>
            </w:pPr>
            <w:r>
              <w:rPr>
                <w:rFonts w:ascii="Arial" w:cs="Arial" w:eastAsia="Arial" w:hAnsi="Arial"/>
                <w:sz w:val="13"/>
                <w:szCs w:val="13"/>
                <w:color w:val="auto"/>
              </w:rPr>
              <w:t>1,502</w:t>
            </w:r>
          </w:p>
        </w:tc>
        <w:tc>
          <w:tcPr>
            <w:tcW w:w="1120" w:type="dxa"/>
            <w:vAlign w:val="bottom"/>
            <w:tcBorders>
              <w:bottom w:val="single" w:sz="8" w:color="520B90"/>
            </w:tcBorders>
            <w:shd w:val="clear" w:color="auto" w:fill="E6E7E7"/>
          </w:tcPr>
          <w:p>
            <w:pPr>
              <w:jc w:val="center"/>
              <w:ind w:left="554"/>
              <w:spacing w:after="0"/>
              <w:rPr>
                <w:sz w:val="20"/>
                <w:szCs w:val="20"/>
                <w:color w:val="auto"/>
              </w:rPr>
            </w:pPr>
            <w:r>
              <w:rPr>
                <w:rFonts w:ascii="Arial" w:cs="Arial" w:eastAsia="Arial" w:hAnsi="Arial"/>
                <w:sz w:val="13"/>
                <w:szCs w:val="13"/>
                <w:color w:val="auto"/>
              </w:rPr>
              <w:t>7.55</w:t>
            </w:r>
          </w:p>
        </w:tc>
        <w:tc>
          <w:tcPr>
            <w:tcW w:w="360" w:type="dxa"/>
            <w:vAlign w:val="bottom"/>
            <w:tcBorders>
              <w:bottom w:val="single" w:sz="8" w:color="520B90"/>
            </w:tcBorders>
            <w:shd w:val="clear" w:color="auto" w:fill="E6E7E7"/>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40" w:type="dxa"/>
            <w:vAlign w:val="bottom"/>
            <w:tcBorders>
              <w:bottom w:val="single" w:sz="8" w:color="520B90"/>
            </w:tcBorders>
          </w:tcPr>
          <w:p>
            <w:pPr>
              <w:jc w:val="center"/>
              <w:spacing w:after="0"/>
              <w:rPr>
                <w:sz w:val="20"/>
                <w:szCs w:val="20"/>
                <w:color w:val="auto"/>
              </w:rPr>
            </w:pPr>
            <w:r>
              <w:rPr>
                <w:rFonts w:ascii="Arial" w:cs="Arial" w:eastAsia="Arial" w:hAnsi="Arial"/>
                <w:sz w:val="13"/>
                <w:szCs w:val="13"/>
                <w:color w:val="auto"/>
                <w:w w:val="96"/>
              </w:rPr>
              <w:t>2022</w:t>
            </w:r>
          </w:p>
        </w:tc>
        <w:tc>
          <w:tcPr>
            <w:tcW w:w="1300" w:type="dxa"/>
            <w:vAlign w:val="bottom"/>
            <w:tcBorders>
              <w:bottom w:val="single" w:sz="8" w:color="520B90"/>
            </w:tcBorders>
            <w:gridSpan w:val="2"/>
          </w:tcPr>
          <w:p>
            <w:pPr>
              <w:jc w:val="center"/>
              <w:ind w:left="494"/>
              <w:spacing w:after="0"/>
              <w:rPr>
                <w:sz w:val="20"/>
                <w:szCs w:val="20"/>
                <w:color w:val="auto"/>
              </w:rPr>
            </w:pPr>
            <w:r>
              <w:rPr>
                <w:rFonts w:ascii="Arial" w:cs="Arial" w:eastAsia="Arial" w:hAnsi="Arial"/>
                <w:sz w:val="13"/>
                <w:szCs w:val="13"/>
                <w:color w:val="auto"/>
              </w:rPr>
              <w:t>4,159,022</w:t>
            </w:r>
          </w:p>
        </w:tc>
        <w:tc>
          <w:tcPr>
            <w:tcW w:w="720" w:type="dxa"/>
            <w:vAlign w:val="bottom"/>
            <w:tcBorders>
              <w:bottom w:val="single" w:sz="8" w:color="520B90"/>
            </w:tcBorders>
          </w:tcPr>
          <w:p>
            <w:pPr>
              <w:spacing w:after="0"/>
              <w:rPr>
                <w:sz w:val="15"/>
                <w:szCs w:val="15"/>
                <w:color w:val="auto"/>
              </w:rPr>
            </w:pPr>
          </w:p>
        </w:tc>
        <w:tc>
          <w:tcPr>
            <w:tcW w:w="120" w:type="dxa"/>
            <w:vAlign w:val="bottom"/>
            <w:tcBorders>
              <w:bottom w:val="single" w:sz="8" w:color="520B90"/>
            </w:tcBorders>
          </w:tcPr>
          <w:p>
            <w:pPr>
              <w:spacing w:after="0"/>
              <w:rPr>
                <w:sz w:val="15"/>
                <w:szCs w:val="15"/>
                <w:color w:val="auto"/>
              </w:rPr>
            </w:pPr>
          </w:p>
        </w:tc>
        <w:tc>
          <w:tcPr>
            <w:tcW w:w="1040" w:type="dxa"/>
            <w:vAlign w:val="bottom"/>
            <w:tcBorders>
              <w:bottom w:val="single" w:sz="8" w:color="520B90"/>
            </w:tcBorders>
          </w:tcPr>
          <w:p>
            <w:pPr>
              <w:jc w:val="center"/>
              <w:ind w:right="214"/>
              <w:spacing w:after="0"/>
              <w:rPr>
                <w:sz w:val="20"/>
                <w:szCs w:val="20"/>
                <w:color w:val="auto"/>
              </w:rPr>
            </w:pPr>
            <w:r>
              <w:rPr>
                <w:rFonts w:ascii="Arial" w:cs="Arial" w:eastAsia="Arial" w:hAnsi="Arial"/>
                <w:sz w:val="13"/>
                <w:szCs w:val="13"/>
                <w:color w:val="auto"/>
              </w:rPr>
              <w:t>(3,640,624)</w:t>
            </w:r>
          </w:p>
        </w:tc>
        <w:tc>
          <w:tcPr>
            <w:tcW w:w="260" w:type="dxa"/>
            <w:vAlign w:val="bottom"/>
            <w:tcBorders>
              <w:bottom w:val="single" w:sz="8" w:color="520B90"/>
            </w:tcBorders>
          </w:tcPr>
          <w:p>
            <w:pPr>
              <w:spacing w:after="0"/>
              <w:rPr>
                <w:sz w:val="15"/>
                <w:szCs w:val="15"/>
                <w:color w:val="auto"/>
              </w:rPr>
            </w:pPr>
          </w:p>
        </w:tc>
        <w:tc>
          <w:tcPr>
            <w:tcW w:w="940" w:type="dxa"/>
            <w:vAlign w:val="bottom"/>
            <w:tcBorders>
              <w:bottom w:val="single" w:sz="8" w:color="520B90"/>
            </w:tcBorders>
          </w:tcPr>
          <w:p>
            <w:pPr>
              <w:jc w:val="center"/>
              <w:ind w:right="174"/>
              <w:spacing w:after="0"/>
              <w:rPr>
                <w:sz w:val="20"/>
                <w:szCs w:val="20"/>
                <w:color w:val="auto"/>
              </w:rPr>
            </w:pPr>
            <w:r>
              <w:rPr>
                <w:rFonts w:ascii="Arial" w:cs="Arial" w:eastAsia="Arial" w:hAnsi="Arial"/>
                <w:sz w:val="13"/>
                <w:szCs w:val="13"/>
                <w:color w:val="auto"/>
              </w:rPr>
              <w:t>91.08</w:t>
            </w:r>
          </w:p>
        </w:tc>
        <w:tc>
          <w:tcPr>
            <w:tcW w:w="1220" w:type="dxa"/>
            <w:vAlign w:val="bottom"/>
            <w:tcBorders>
              <w:bottom w:val="single" w:sz="8" w:color="520B90"/>
            </w:tcBorders>
          </w:tcPr>
          <w:p>
            <w:pPr>
              <w:jc w:val="center"/>
              <w:spacing w:after="0"/>
              <w:rPr>
                <w:sz w:val="20"/>
                <w:szCs w:val="20"/>
                <w:color w:val="auto"/>
              </w:rPr>
            </w:pPr>
            <w:r>
              <w:rPr>
                <w:rFonts w:ascii="Arial" w:cs="Arial" w:eastAsia="Arial" w:hAnsi="Arial"/>
                <w:sz w:val="13"/>
                <w:szCs w:val="13"/>
                <w:color w:val="auto"/>
              </w:rPr>
              <w:t>106.05</w:t>
            </w:r>
          </w:p>
        </w:tc>
        <w:tc>
          <w:tcPr>
            <w:tcW w:w="1060" w:type="dxa"/>
            <w:vAlign w:val="bottom"/>
            <w:tcBorders>
              <w:bottom w:val="single" w:sz="8" w:color="520B90"/>
            </w:tcBorders>
          </w:tcPr>
          <w:p>
            <w:pPr>
              <w:jc w:val="center"/>
              <w:ind w:left="174"/>
              <w:spacing w:after="0"/>
              <w:rPr>
                <w:sz w:val="20"/>
                <w:szCs w:val="20"/>
                <w:color w:val="auto"/>
              </w:rPr>
            </w:pPr>
            <w:r>
              <w:rPr>
                <w:rFonts w:ascii="Arial" w:cs="Arial" w:eastAsia="Arial" w:hAnsi="Arial"/>
                <w:sz w:val="13"/>
                <w:szCs w:val="13"/>
                <w:color w:val="auto"/>
              </w:rPr>
              <w:t>1,675</w:t>
            </w:r>
          </w:p>
        </w:tc>
        <w:tc>
          <w:tcPr>
            <w:tcW w:w="1120" w:type="dxa"/>
            <w:vAlign w:val="bottom"/>
            <w:tcBorders>
              <w:bottom w:val="single" w:sz="8" w:color="520B90"/>
            </w:tcBorders>
          </w:tcPr>
          <w:p>
            <w:pPr>
              <w:jc w:val="center"/>
              <w:ind w:left="554"/>
              <w:spacing w:after="0"/>
              <w:rPr>
                <w:sz w:val="20"/>
                <w:szCs w:val="20"/>
                <w:color w:val="auto"/>
              </w:rPr>
            </w:pPr>
            <w:r>
              <w:rPr>
                <w:rFonts w:ascii="Arial" w:cs="Arial" w:eastAsia="Arial" w:hAnsi="Arial"/>
                <w:sz w:val="13"/>
                <w:szCs w:val="13"/>
                <w:color w:val="auto"/>
              </w:rPr>
              <w:t>7.38</w:t>
            </w:r>
          </w:p>
        </w:tc>
        <w:tc>
          <w:tcPr>
            <w:tcW w:w="360" w:type="dxa"/>
            <w:vAlign w:val="bottom"/>
            <w:tcBorders>
              <w:bottom w:val="single" w:sz="8" w:color="520B90"/>
            </w:tcBorders>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40" w:type="dxa"/>
            <w:vAlign w:val="bottom"/>
            <w:tcBorders>
              <w:bottom w:val="single" w:sz="8" w:color="520B90"/>
            </w:tcBorders>
            <w:shd w:val="clear" w:color="auto" w:fill="E6E7E7"/>
          </w:tcPr>
          <w:p>
            <w:pPr>
              <w:jc w:val="center"/>
              <w:spacing w:after="0"/>
              <w:rPr>
                <w:sz w:val="20"/>
                <w:szCs w:val="20"/>
                <w:color w:val="auto"/>
              </w:rPr>
            </w:pPr>
            <w:r>
              <w:rPr>
                <w:rFonts w:ascii="Arial" w:cs="Arial" w:eastAsia="Arial" w:hAnsi="Arial"/>
                <w:sz w:val="13"/>
                <w:szCs w:val="13"/>
                <w:color w:val="auto"/>
                <w:w w:val="96"/>
              </w:rPr>
              <w:t>2021</w:t>
            </w:r>
          </w:p>
        </w:tc>
        <w:tc>
          <w:tcPr>
            <w:tcW w:w="1300" w:type="dxa"/>
            <w:vAlign w:val="bottom"/>
            <w:tcBorders>
              <w:bottom w:val="single" w:sz="8" w:color="520B90"/>
            </w:tcBorders>
            <w:gridSpan w:val="2"/>
            <w:shd w:val="clear" w:color="auto" w:fill="E6E7E7"/>
          </w:tcPr>
          <w:p>
            <w:pPr>
              <w:jc w:val="center"/>
              <w:ind w:left="494"/>
              <w:spacing w:after="0"/>
              <w:rPr>
                <w:sz w:val="20"/>
                <w:szCs w:val="20"/>
                <w:color w:val="auto"/>
              </w:rPr>
            </w:pPr>
            <w:r>
              <w:rPr>
                <w:rFonts w:ascii="Arial" w:cs="Arial" w:eastAsia="Arial" w:hAnsi="Arial"/>
                <w:sz w:val="13"/>
                <w:szCs w:val="13"/>
                <w:color w:val="auto"/>
              </w:rPr>
              <w:t>4,453,786</w:t>
            </w:r>
          </w:p>
        </w:tc>
        <w:tc>
          <w:tcPr>
            <w:tcW w:w="720" w:type="dxa"/>
            <w:vAlign w:val="bottom"/>
            <w:tcBorders>
              <w:bottom w:val="single" w:sz="8" w:color="520B90"/>
            </w:tcBorders>
            <w:shd w:val="clear" w:color="auto" w:fill="E6E7E7"/>
          </w:tcPr>
          <w:p>
            <w:pPr>
              <w:spacing w:after="0"/>
              <w:rPr>
                <w:sz w:val="15"/>
                <w:szCs w:val="15"/>
                <w:color w:val="auto"/>
              </w:rPr>
            </w:pPr>
          </w:p>
        </w:tc>
        <w:tc>
          <w:tcPr>
            <w:tcW w:w="120" w:type="dxa"/>
            <w:vAlign w:val="bottom"/>
            <w:tcBorders>
              <w:bottom w:val="single" w:sz="8" w:color="520B90"/>
            </w:tcBorders>
            <w:shd w:val="clear" w:color="auto" w:fill="E6E7E7"/>
          </w:tcPr>
          <w:p>
            <w:pPr>
              <w:spacing w:after="0"/>
              <w:rPr>
                <w:sz w:val="15"/>
                <w:szCs w:val="15"/>
                <w:color w:val="auto"/>
              </w:rPr>
            </w:pPr>
          </w:p>
        </w:tc>
        <w:tc>
          <w:tcPr>
            <w:tcW w:w="1040" w:type="dxa"/>
            <w:vAlign w:val="bottom"/>
            <w:tcBorders>
              <w:bottom w:val="single" w:sz="8" w:color="520B90"/>
            </w:tcBorders>
            <w:shd w:val="clear" w:color="auto" w:fill="E6E7E7"/>
          </w:tcPr>
          <w:p>
            <w:pPr>
              <w:jc w:val="center"/>
              <w:ind w:right="214"/>
              <w:spacing w:after="0"/>
              <w:rPr>
                <w:sz w:val="20"/>
                <w:szCs w:val="20"/>
                <w:color w:val="auto"/>
              </w:rPr>
            </w:pPr>
            <w:r>
              <w:rPr>
                <w:rFonts w:ascii="Arial" w:cs="Arial" w:eastAsia="Arial" w:hAnsi="Arial"/>
                <w:sz w:val="13"/>
                <w:szCs w:val="13"/>
                <w:color w:val="auto"/>
                <w:w w:val="98"/>
              </w:rPr>
              <w:t>11,341,359</w:t>
            </w:r>
          </w:p>
        </w:tc>
        <w:tc>
          <w:tcPr>
            <w:tcW w:w="260" w:type="dxa"/>
            <w:vAlign w:val="bottom"/>
            <w:tcBorders>
              <w:bottom w:val="single" w:sz="8" w:color="520B90"/>
            </w:tcBorders>
            <w:shd w:val="clear" w:color="auto" w:fill="E6E7E7"/>
          </w:tcPr>
          <w:p>
            <w:pPr>
              <w:spacing w:after="0"/>
              <w:rPr>
                <w:sz w:val="15"/>
                <w:szCs w:val="15"/>
                <w:color w:val="auto"/>
              </w:rPr>
            </w:pPr>
          </w:p>
        </w:tc>
        <w:tc>
          <w:tcPr>
            <w:tcW w:w="940" w:type="dxa"/>
            <w:vAlign w:val="bottom"/>
            <w:tcBorders>
              <w:bottom w:val="single" w:sz="8" w:color="520B90"/>
            </w:tcBorders>
            <w:shd w:val="clear" w:color="auto" w:fill="E6E7E7"/>
          </w:tcPr>
          <w:p>
            <w:pPr>
              <w:jc w:val="center"/>
              <w:ind w:right="194"/>
              <w:spacing w:after="0"/>
              <w:rPr>
                <w:sz w:val="20"/>
                <w:szCs w:val="20"/>
                <w:color w:val="auto"/>
              </w:rPr>
            </w:pPr>
            <w:r>
              <w:rPr>
                <w:rFonts w:ascii="Arial" w:cs="Arial" w:eastAsia="Arial" w:hAnsi="Arial"/>
                <w:sz w:val="13"/>
                <w:szCs w:val="13"/>
                <w:color w:val="auto"/>
              </w:rPr>
              <w:t>135.08</w:t>
            </w:r>
          </w:p>
        </w:tc>
        <w:tc>
          <w:tcPr>
            <w:tcW w:w="1220" w:type="dxa"/>
            <w:vAlign w:val="bottom"/>
            <w:tcBorders>
              <w:bottom w:val="single" w:sz="8" w:color="520B90"/>
            </w:tcBorders>
            <w:shd w:val="clear" w:color="auto" w:fill="E6E7E7"/>
          </w:tcPr>
          <w:p>
            <w:pPr>
              <w:jc w:val="center"/>
              <w:spacing w:after="0"/>
              <w:rPr>
                <w:sz w:val="20"/>
                <w:szCs w:val="20"/>
                <w:color w:val="auto"/>
              </w:rPr>
            </w:pPr>
            <w:r>
              <w:rPr>
                <w:rFonts w:ascii="Arial" w:cs="Arial" w:eastAsia="Arial" w:hAnsi="Arial"/>
                <w:sz w:val="13"/>
                <w:szCs w:val="13"/>
                <w:color w:val="auto"/>
              </w:rPr>
              <w:t>141.30</w:t>
            </w:r>
          </w:p>
        </w:tc>
        <w:tc>
          <w:tcPr>
            <w:tcW w:w="1060" w:type="dxa"/>
            <w:vAlign w:val="bottom"/>
            <w:tcBorders>
              <w:bottom w:val="single" w:sz="8" w:color="520B90"/>
            </w:tcBorders>
            <w:shd w:val="clear" w:color="auto" w:fill="E6E7E7"/>
          </w:tcPr>
          <w:p>
            <w:pPr>
              <w:jc w:val="center"/>
              <w:ind w:left="174"/>
              <w:spacing w:after="0"/>
              <w:rPr>
                <w:sz w:val="20"/>
                <w:szCs w:val="20"/>
                <w:color w:val="auto"/>
              </w:rPr>
            </w:pPr>
            <w:r>
              <w:rPr>
                <w:rFonts w:ascii="Arial" w:cs="Arial" w:eastAsia="Arial" w:hAnsi="Arial"/>
                <w:sz w:val="13"/>
                <w:szCs w:val="13"/>
                <w:color w:val="auto"/>
              </w:rPr>
              <w:t>1,096</w:t>
            </w:r>
          </w:p>
        </w:tc>
        <w:tc>
          <w:tcPr>
            <w:tcW w:w="1120" w:type="dxa"/>
            <w:vAlign w:val="bottom"/>
            <w:tcBorders>
              <w:bottom w:val="single" w:sz="8" w:color="520B90"/>
            </w:tcBorders>
            <w:shd w:val="clear" w:color="auto" w:fill="E6E7E7"/>
          </w:tcPr>
          <w:p>
            <w:pPr>
              <w:jc w:val="center"/>
              <w:ind w:left="554"/>
              <w:spacing w:after="0"/>
              <w:rPr>
                <w:sz w:val="20"/>
                <w:szCs w:val="20"/>
                <w:color w:val="auto"/>
              </w:rPr>
            </w:pPr>
            <w:r>
              <w:rPr>
                <w:rFonts w:ascii="Arial" w:cs="Arial" w:eastAsia="Arial" w:hAnsi="Arial"/>
                <w:sz w:val="13"/>
                <w:szCs w:val="13"/>
                <w:color w:val="auto"/>
              </w:rPr>
              <w:t>6.95</w:t>
            </w:r>
          </w:p>
        </w:tc>
        <w:tc>
          <w:tcPr>
            <w:tcW w:w="360" w:type="dxa"/>
            <w:vAlign w:val="bottom"/>
            <w:tcBorders>
              <w:bottom w:val="single" w:sz="8" w:color="520B90"/>
            </w:tcBorders>
            <w:shd w:val="clear" w:color="auto" w:fill="E6E7E7"/>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5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320" w:hanging="314"/>
        <w:spacing w:after="0"/>
        <w:tabs>
          <w:tab w:leader="none" w:pos="32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The following table lists the PEO and non-PEO for each of the fiscal years 2025, 2024, 2023, 2022 and 2021:</w:t>
      </w:r>
    </w:p>
    <w:p>
      <w:pPr>
        <w:spacing w:after="0" w:line="28" w:lineRule="exact"/>
        <w:rPr>
          <w:sz w:val="20"/>
          <w:szCs w:val="20"/>
          <w:color w:val="auto"/>
        </w:rPr>
      </w:pPr>
    </w:p>
    <w:tbl>
      <w:tblPr>
        <w:tblLayout w:type="fixed"/>
        <w:tblInd w:w="330" w:type="dxa"/>
        <w:tblCellMar>
          <w:top w:w="0" w:type="dxa"/>
          <w:left w:w="0" w:type="dxa"/>
          <w:bottom w:w="0" w:type="dxa"/>
          <w:right w:w="0" w:type="dxa"/>
        </w:tblCellMar>
      </w:tblPr>
      <w:tr>
        <w:trPr>
          <w:trHeight w:val="180"/>
        </w:trPr>
        <w:tc>
          <w:tcPr>
            <w:tcW w:w="600" w:type="dxa"/>
            <w:vAlign w:val="bottom"/>
            <w:tcBorders>
              <w:top w:val="single" w:sz="8" w:color="D6D6D4"/>
              <w:left w:val="single" w:sz="8" w:color="D6D6D4"/>
              <w:bottom w:val="single" w:sz="8" w:color="520B90"/>
              <w:right w:val="single" w:sz="8" w:color="D6D6D4"/>
            </w:tcBorders>
          </w:tcPr>
          <w:p>
            <w:pPr>
              <w:ind w:left="40"/>
              <w:spacing w:after="0"/>
              <w:rPr>
                <w:sz w:val="20"/>
                <w:szCs w:val="20"/>
                <w:color w:val="auto"/>
              </w:rPr>
            </w:pPr>
            <w:r>
              <w:rPr>
                <w:rFonts w:ascii="Arial" w:cs="Arial" w:eastAsia="Arial" w:hAnsi="Arial"/>
                <w:sz w:val="11"/>
                <w:szCs w:val="11"/>
                <w:b w:val="1"/>
                <w:bCs w:val="1"/>
                <w:color w:val="520B90"/>
              </w:rPr>
              <w:t>Year</w:t>
            </w:r>
          </w:p>
        </w:tc>
        <w:tc>
          <w:tcPr>
            <w:tcW w:w="3440" w:type="dxa"/>
            <w:vAlign w:val="bottom"/>
            <w:tcBorders>
              <w:top w:val="single" w:sz="8" w:color="D6D6D4"/>
              <w:bottom w:val="single" w:sz="8" w:color="520B90"/>
              <w:right w:val="single" w:sz="8" w:color="D6D6D4"/>
            </w:tcBorders>
          </w:tcPr>
          <w:p>
            <w:pPr>
              <w:ind w:left="20"/>
              <w:spacing w:after="0"/>
              <w:rPr>
                <w:sz w:val="20"/>
                <w:szCs w:val="20"/>
                <w:color w:val="auto"/>
              </w:rPr>
            </w:pPr>
            <w:r>
              <w:rPr>
                <w:rFonts w:ascii="Arial" w:cs="Arial" w:eastAsia="Arial" w:hAnsi="Arial"/>
                <w:sz w:val="11"/>
                <w:szCs w:val="11"/>
                <w:b w:val="1"/>
                <w:bCs w:val="1"/>
                <w:color w:val="520B90"/>
              </w:rPr>
              <w:t>PEO</w:t>
            </w:r>
          </w:p>
        </w:tc>
        <w:tc>
          <w:tcPr>
            <w:tcW w:w="6500" w:type="dxa"/>
            <w:vAlign w:val="bottom"/>
            <w:tcBorders>
              <w:top w:val="single" w:sz="8" w:color="D6D6D4"/>
              <w:bottom w:val="single" w:sz="8" w:color="520B90"/>
              <w:right w:val="single" w:sz="8" w:color="D6D6D4"/>
            </w:tcBorders>
          </w:tcPr>
          <w:p>
            <w:pPr>
              <w:spacing w:after="0"/>
              <w:rPr>
                <w:sz w:val="20"/>
                <w:szCs w:val="20"/>
                <w:color w:val="auto"/>
              </w:rPr>
            </w:pPr>
            <w:r>
              <w:rPr>
                <w:rFonts w:ascii="Arial" w:cs="Arial" w:eastAsia="Arial" w:hAnsi="Arial"/>
                <w:sz w:val="11"/>
                <w:szCs w:val="11"/>
                <w:b w:val="1"/>
                <w:bCs w:val="1"/>
                <w:color w:val="520B90"/>
              </w:rPr>
              <w:t>Non-PEO NEOs</w:t>
            </w:r>
          </w:p>
        </w:tc>
        <w:tc>
          <w:tcPr>
            <w:tcW w:w="0" w:type="dxa"/>
            <w:vAlign w:val="bottom"/>
          </w:tcPr>
          <w:p>
            <w:pPr>
              <w:spacing w:after="0"/>
              <w:rPr>
                <w:sz w:val="1"/>
                <w:szCs w:val="1"/>
                <w:color w:val="auto"/>
              </w:rPr>
            </w:pPr>
          </w:p>
        </w:tc>
      </w:tr>
      <w:tr>
        <w:trPr>
          <w:trHeight w:val="123"/>
        </w:trPr>
        <w:tc>
          <w:tcPr>
            <w:tcW w:w="600" w:type="dxa"/>
            <w:vAlign w:val="bottom"/>
            <w:tcBorders>
              <w:left w:val="single" w:sz="8" w:color="D6D6D4"/>
              <w:right w:val="single" w:sz="8" w:color="D6D6D4"/>
            </w:tcBorders>
            <w:vMerge w:val="restart"/>
          </w:tcPr>
          <w:p>
            <w:pPr>
              <w:ind w:left="40"/>
              <w:spacing w:after="0"/>
              <w:rPr>
                <w:sz w:val="20"/>
                <w:szCs w:val="20"/>
                <w:color w:val="auto"/>
              </w:rPr>
            </w:pPr>
            <w:r>
              <w:rPr>
                <w:rFonts w:ascii="Arial" w:cs="Arial" w:eastAsia="Arial" w:hAnsi="Arial"/>
                <w:sz w:val="11"/>
                <w:szCs w:val="11"/>
                <w:color w:val="auto"/>
              </w:rPr>
              <w:t>2025</w:t>
            </w:r>
          </w:p>
        </w:tc>
        <w:tc>
          <w:tcPr>
            <w:tcW w:w="3440" w:type="dxa"/>
            <w:vAlign w:val="bottom"/>
            <w:tcBorders>
              <w:right w:val="single" w:sz="8" w:color="D6D6D4"/>
            </w:tcBorders>
          </w:tcPr>
          <w:p>
            <w:pPr>
              <w:ind w:left="20"/>
              <w:spacing w:after="0" w:line="123" w:lineRule="exact"/>
              <w:rPr>
                <w:sz w:val="20"/>
                <w:szCs w:val="20"/>
                <w:color w:val="auto"/>
              </w:rPr>
            </w:pPr>
            <w:r>
              <w:rPr>
                <w:rFonts w:ascii="Arial" w:cs="Arial" w:eastAsia="Arial" w:hAnsi="Arial"/>
                <w:sz w:val="11"/>
                <w:szCs w:val="11"/>
                <w:color w:val="auto"/>
              </w:rPr>
              <w:t>Steven J. Moskowitz, Daniel K. Schlanger and Christian H.</w:t>
            </w:r>
          </w:p>
        </w:tc>
        <w:tc>
          <w:tcPr>
            <w:tcW w:w="6500" w:type="dxa"/>
            <w:vAlign w:val="bottom"/>
            <w:tcBorders>
              <w:right w:val="single" w:sz="8" w:color="D6D6D4"/>
            </w:tcBorders>
            <w:vMerge w:val="restart"/>
          </w:tcPr>
          <w:p>
            <w:pPr>
              <w:spacing w:after="0"/>
              <w:rPr>
                <w:sz w:val="20"/>
                <w:szCs w:val="20"/>
                <w:color w:val="auto"/>
              </w:rPr>
            </w:pPr>
            <w:r>
              <w:rPr>
                <w:rFonts w:ascii="Arial" w:cs="Arial" w:eastAsia="Arial" w:hAnsi="Arial"/>
                <w:sz w:val="11"/>
                <w:szCs w:val="11"/>
                <w:color w:val="auto"/>
              </w:rPr>
              <w:t>Sunit S. Patel, Christopher D. Levendos, Edward B. Adams, Jr. and Catherine Piche</w:t>
            </w:r>
          </w:p>
        </w:tc>
        <w:tc>
          <w:tcPr>
            <w:tcW w:w="0" w:type="dxa"/>
            <w:vAlign w:val="bottom"/>
          </w:tcPr>
          <w:p>
            <w:pPr>
              <w:spacing w:after="0"/>
              <w:rPr>
                <w:sz w:val="1"/>
                <w:szCs w:val="1"/>
                <w:color w:val="auto"/>
              </w:rPr>
            </w:pPr>
          </w:p>
        </w:tc>
      </w:tr>
      <w:tr>
        <w:trPr>
          <w:trHeight w:val="110"/>
        </w:trPr>
        <w:tc>
          <w:tcPr>
            <w:tcW w:w="600" w:type="dxa"/>
            <w:vAlign w:val="bottom"/>
            <w:tcBorders>
              <w:left w:val="single" w:sz="8" w:color="D6D6D4"/>
              <w:right w:val="single" w:sz="8" w:color="D6D6D4"/>
            </w:tcBorders>
            <w:vMerge w:val="continue"/>
          </w:tcPr>
          <w:p>
            <w:pPr>
              <w:spacing w:after="0"/>
              <w:rPr>
                <w:sz w:val="9"/>
                <w:szCs w:val="9"/>
                <w:color w:val="auto"/>
              </w:rPr>
            </w:pPr>
          </w:p>
        </w:tc>
        <w:tc>
          <w:tcPr>
            <w:tcW w:w="3440" w:type="dxa"/>
            <w:vAlign w:val="bottom"/>
            <w:tcBorders>
              <w:right w:val="single" w:sz="8" w:color="D6D6D4"/>
            </w:tcBorders>
            <w:vMerge w:val="restart"/>
          </w:tcPr>
          <w:p>
            <w:pPr>
              <w:ind w:left="20"/>
              <w:spacing w:after="0"/>
              <w:rPr>
                <w:sz w:val="20"/>
                <w:szCs w:val="20"/>
                <w:color w:val="auto"/>
              </w:rPr>
            </w:pPr>
            <w:r>
              <w:rPr>
                <w:rFonts w:ascii="Arial" w:cs="Arial" w:eastAsia="Arial" w:hAnsi="Arial"/>
                <w:sz w:val="11"/>
                <w:szCs w:val="11"/>
                <w:color w:val="auto"/>
              </w:rPr>
              <w:t>Hillabrant</w:t>
            </w:r>
          </w:p>
        </w:tc>
        <w:tc>
          <w:tcPr>
            <w:tcW w:w="6500" w:type="dxa"/>
            <w:vAlign w:val="bottom"/>
            <w:tcBorders>
              <w:right w:val="single" w:sz="8" w:color="D6D6D4"/>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600" w:type="dxa"/>
            <w:vAlign w:val="bottom"/>
            <w:tcBorders>
              <w:left w:val="single" w:sz="8" w:color="D6D6D4"/>
              <w:bottom w:val="single" w:sz="8" w:color="D6D6D4"/>
              <w:right w:val="single" w:sz="8" w:color="D6D6D4"/>
            </w:tcBorders>
          </w:tcPr>
          <w:p>
            <w:pPr>
              <w:spacing w:after="0"/>
              <w:rPr>
                <w:sz w:val="3"/>
                <w:szCs w:val="3"/>
                <w:color w:val="auto"/>
              </w:rPr>
            </w:pPr>
          </w:p>
        </w:tc>
        <w:tc>
          <w:tcPr>
            <w:tcW w:w="3440" w:type="dxa"/>
            <w:vAlign w:val="bottom"/>
            <w:tcBorders>
              <w:bottom w:val="single" w:sz="8" w:color="D6D6D4"/>
              <w:right w:val="single" w:sz="8" w:color="D6D6D4"/>
            </w:tcBorders>
            <w:vMerge w:val="continue"/>
          </w:tcPr>
          <w:p>
            <w:pPr>
              <w:spacing w:after="0"/>
              <w:rPr>
                <w:sz w:val="3"/>
                <w:szCs w:val="3"/>
                <w:color w:val="auto"/>
              </w:rPr>
            </w:pPr>
          </w:p>
        </w:tc>
        <w:tc>
          <w:tcPr>
            <w:tcW w:w="6500" w:type="dxa"/>
            <w:vAlign w:val="bottom"/>
            <w:tcBorders>
              <w:bottom w:val="single" w:sz="8" w:color="D6D6D4"/>
              <w:right w:val="single" w:sz="8" w:color="D6D6D4"/>
            </w:tcBorders>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600" w:type="dxa"/>
            <w:vAlign w:val="bottom"/>
            <w:tcBorders>
              <w:left w:val="single" w:sz="8" w:color="D6D6D4"/>
              <w:bottom w:val="single" w:sz="8" w:color="D6D6D4"/>
              <w:right w:val="single" w:sz="8" w:color="D6D6D4"/>
            </w:tcBorders>
            <w:shd w:val="clear" w:color="auto" w:fill="E6E7E7"/>
          </w:tcPr>
          <w:p>
            <w:pPr>
              <w:ind w:left="40"/>
              <w:spacing w:after="0"/>
              <w:rPr>
                <w:sz w:val="20"/>
                <w:szCs w:val="20"/>
                <w:color w:val="auto"/>
              </w:rPr>
            </w:pPr>
            <w:r>
              <w:rPr>
                <w:rFonts w:ascii="Arial" w:cs="Arial" w:eastAsia="Arial" w:hAnsi="Arial"/>
                <w:sz w:val="11"/>
                <w:szCs w:val="11"/>
                <w:color w:val="auto"/>
              </w:rPr>
              <w:t>2024</w:t>
            </w:r>
          </w:p>
        </w:tc>
        <w:tc>
          <w:tcPr>
            <w:tcW w:w="3440" w:type="dxa"/>
            <w:vAlign w:val="bottom"/>
            <w:tcBorders>
              <w:bottom w:val="single" w:sz="8" w:color="D6D6D4"/>
              <w:right w:val="single" w:sz="8" w:color="D6D6D4"/>
            </w:tcBorders>
            <w:shd w:val="clear" w:color="auto" w:fill="E6E7E7"/>
          </w:tcPr>
          <w:p>
            <w:pPr>
              <w:ind w:left="20"/>
              <w:spacing w:after="0"/>
              <w:rPr>
                <w:sz w:val="20"/>
                <w:szCs w:val="20"/>
                <w:color w:val="auto"/>
              </w:rPr>
            </w:pPr>
            <w:r>
              <w:rPr>
                <w:rFonts w:ascii="Arial" w:cs="Arial" w:eastAsia="Arial" w:hAnsi="Arial"/>
                <w:sz w:val="11"/>
                <w:szCs w:val="11"/>
                <w:color w:val="auto"/>
              </w:rPr>
              <w:t>Jay A. Brown, Anthony J. Melone and Steven J. Moskowitz</w:t>
            </w:r>
          </w:p>
        </w:tc>
        <w:tc>
          <w:tcPr>
            <w:tcW w:w="6500" w:type="dxa"/>
            <w:vAlign w:val="bottom"/>
            <w:tcBorders>
              <w:bottom w:val="single" w:sz="8" w:color="D6D6D4"/>
              <w:right w:val="single" w:sz="8" w:color="D6D6D4"/>
            </w:tcBorders>
            <w:shd w:val="clear" w:color="auto" w:fill="E6E7E7"/>
          </w:tcPr>
          <w:p>
            <w:pPr>
              <w:spacing w:after="0"/>
              <w:rPr>
                <w:sz w:val="20"/>
                <w:szCs w:val="20"/>
                <w:color w:val="auto"/>
              </w:rPr>
            </w:pPr>
            <w:r>
              <w:rPr>
                <w:rFonts w:ascii="Arial" w:cs="Arial" w:eastAsia="Arial" w:hAnsi="Arial"/>
                <w:sz w:val="11"/>
                <w:szCs w:val="11"/>
                <w:color w:val="auto"/>
              </w:rPr>
              <w:t>Daniel K. Schlanger, Christopher D. Levendos, Edward B. Adams, Jr., Edmond Chan and Michael J. Kavanagh</w:t>
            </w:r>
          </w:p>
        </w:tc>
        <w:tc>
          <w:tcPr>
            <w:tcW w:w="0" w:type="dxa"/>
            <w:vAlign w:val="bottom"/>
          </w:tcPr>
          <w:p>
            <w:pPr>
              <w:spacing w:after="0"/>
              <w:rPr>
                <w:sz w:val="1"/>
                <w:szCs w:val="1"/>
                <w:color w:val="auto"/>
              </w:rPr>
            </w:pPr>
          </w:p>
        </w:tc>
      </w:tr>
      <w:tr>
        <w:trPr>
          <w:trHeight w:val="192"/>
        </w:trPr>
        <w:tc>
          <w:tcPr>
            <w:tcW w:w="600" w:type="dxa"/>
            <w:vAlign w:val="bottom"/>
            <w:tcBorders>
              <w:left w:val="single" w:sz="8" w:color="D6D6D4"/>
              <w:bottom w:val="single" w:sz="8" w:color="D6D6D4"/>
              <w:right w:val="single" w:sz="8" w:color="D6D6D4"/>
            </w:tcBorders>
          </w:tcPr>
          <w:p>
            <w:pPr>
              <w:ind w:left="40"/>
              <w:spacing w:after="0"/>
              <w:rPr>
                <w:sz w:val="20"/>
                <w:szCs w:val="20"/>
                <w:color w:val="auto"/>
              </w:rPr>
            </w:pPr>
            <w:r>
              <w:rPr>
                <w:rFonts w:ascii="Arial" w:cs="Arial" w:eastAsia="Arial" w:hAnsi="Arial"/>
                <w:sz w:val="11"/>
                <w:szCs w:val="11"/>
                <w:color w:val="auto"/>
              </w:rPr>
              <w:t>2023</w:t>
            </w:r>
          </w:p>
        </w:tc>
        <w:tc>
          <w:tcPr>
            <w:tcW w:w="3440" w:type="dxa"/>
            <w:vAlign w:val="bottom"/>
            <w:tcBorders>
              <w:bottom w:val="single" w:sz="8" w:color="D6D6D4"/>
              <w:right w:val="single" w:sz="8" w:color="D6D6D4"/>
            </w:tcBorders>
          </w:tcPr>
          <w:p>
            <w:pPr>
              <w:ind w:left="20"/>
              <w:spacing w:after="0"/>
              <w:rPr>
                <w:sz w:val="20"/>
                <w:szCs w:val="20"/>
                <w:color w:val="auto"/>
              </w:rPr>
            </w:pPr>
            <w:r>
              <w:rPr>
                <w:rFonts w:ascii="Arial" w:cs="Arial" w:eastAsia="Arial" w:hAnsi="Arial"/>
                <w:sz w:val="11"/>
                <w:szCs w:val="11"/>
                <w:color w:val="auto"/>
              </w:rPr>
              <w:t>Jay A. Brown</w:t>
            </w:r>
          </w:p>
        </w:tc>
        <w:tc>
          <w:tcPr>
            <w:tcW w:w="6500" w:type="dxa"/>
            <w:vAlign w:val="bottom"/>
            <w:tcBorders>
              <w:bottom w:val="single" w:sz="8" w:color="D6D6D4"/>
              <w:right w:val="single" w:sz="8" w:color="D6D6D4"/>
            </w:tcBorders>
          </w:tcPr>
          <w:p>
            <w:pPr>
              <w:spacing w:after="0"/>
              <w:rPr>
                <w:sz w:val="20"/>
                <w:szCs w:val="20"/>
                <w:color w:val="auto"/>
              </w:rPr>
            </w:pPr>
            <w:r>
              <w:rPr>
                <w:rFonts w:ascii="Arial" w:cs="Arial" w:eastAsia="Arial" w:hAnsi="Arial"/>
                <w:sz w:val="11"/>
                <w:szCs w:val="11"/>
                <w:color w:val="auto"/>
              </w:rPr>
              <w:t>Daniel K. Schlanger, Christopher D. Levendos, Michael J. Kavanagh, Edward B. Adams, Jr. and Catherine Piche</w:t>
            </w:r>
          </w:p>
        </w:tc>
        <w:tc>
          <w:tcPr>
            <w:tcW w:w="0" w:type="dxa"/>
            <w:vAlign w:val="bottom"/>
          </w:tcPr>
          <w:p>
            <w:pPr>
              <w:spacing w:after="0"/>
              <w:rPr>
                <w:sz w:val="1"/>
                <w:szCs w:val="1"/>
                <w:color w:val="auto"/>
              </w:rPr>
            </w:pPr>
          </w:p>
        </w:tc>
      </w:tr>
      <w:tr>
        <w:trPr>
          <w:trHeight w:val="192"/>
        </w:trPr>
        <w:tc>
          <w:tcPr>
            <w:tcW w:w="600" w:type="dxa"/>
            <w:vAlign w:val="bottom"/>
            <w:tcBorders>
              <w:left w:val="single" w:sz="8" w:color="D6D6D4"/>
              <w:bottom w:val="single" w:sz="8" w:color="D6D6D4"/>
              <w:right w:val="single" w:sz="8" w:color="D6D6D4"/>
            </w:tcBorders>
            <w:shd w:val="clear" w:color="auto" w:fill="E6E7E7"/>
          </w:tcPr>
          <w:p>
            <w:pPr>
              <w:ind w:left="40"/>
              <w:spacing w:after="0"/>
              <w:rPr>
                <w:sz w:val="20"/>
                <w:szCs w:val="20"/>
                <w:color w:val="auto"/>
              </w:rPr>
            </w:pPr>
            <w:r>
              <w:rPr>
                <w:rFonts w:ascii="Arial" w:cs="Arial" w:eastAsia="Arial" w:hAnsi="Arial"/>
                <w:sz w:val="11"/>
                <w:szCs w:val="11"/>
                <w:color w:val="auto"/>
              </w:rPr>
              <w:t>2022</w:t>
            </w:r>
          </w:p>
        </w:tc>
        <w:tc>
          <w:tcPr>
            <w:tcW w:w="3440" w:type="dxa"/>
            <w:vAlign w:val="bottom"/>
            <w:tcBorders>
              <w:bottom w:val="single" w:sz="8" w:color="D6D6D4"/>
              <w:right w:val="single" w:sz="8" w:color="D6D6D4"/>
            </w:tcBorders>
            <w:shd w:val="clear" w:color="auto" w:fill="E6E7E7"/>
          </w:tcPr>
          <w:p>
            <w:pPr>
              <w:ind w:left="20"/>
              <w:spacing w:after="0"/>
              <w:rPr>
                <w:sz w:val="20"/>
                <w:szCs w:val="20"/>
                <w:color w:val="auto"/>
              </w:rPr>
            </w:pPr>
            <w:r>
              <w:rPr>
                <w:rFonts w:ascii="Arial" w:cs="Arial" w:eastAsia="Arial" w:hAnsi="Arial"/>
                <w:sz w:val="11"/>
                <w:szCs w:val="11"/>
                <w:color w:val="auto"/>
              </w:rPr>
              <w:t>Jay A. Brown</w:t>
            </w:r>
          </w:p>
        </w:tc>
        <w:tc>
          <w:tcPr>
            <w:tcW w:w="6500" w:type="dxa"/>
            <w:vAlign w:val="bottom"/>
            <w:tcBorders>
              <w:bottom w:val="single" w:sz="8" w:color="D6D6D4"/>
              <w:right w:val="single" w:sz="8" w:color="D6D6D4"/>
            </w:tcBorders>
            <w:shd w:val="clear" w:color="auto" w:fill="E6E7E7"/>
          </w:tcPr>
          <w:p>
            <w:pPr>
              <w:spacing w:after="0"/>
              <w:rPr>
                <w:sz w:val="20"/>
                <w:szCs w:val="20"/>
                <w:color w:val="auto"/>
              </w:rPr>
            </w:pPr>
            <w:r>
              <w:rPr>
                <w:rFonts w:ascii="Arial" w:cs="Arial" w:eastAsia="Arial" w:hAnsi="Arial"/>
                <w:sz w:val="11"/>
                <w:szCs w:val="11"/>
                <w:color w:val="auto"/>
              </w:rPr>
              <w:t>Daniel K. Schlanger, Michael J. Kavanagh, Christopher D. Levendos and Catherine Piche</w:t>
            </w:r>
          </w:p>
        </w:tc>
        <w:tc>
          <w:tcPr>
            <w:tcW w:w="0" w:type="dxa"/>
            <w:vAlign w:val="bottom"/>
          </w:tcPr>
          <w:p>
            <w:pPr>
              <w:spacing w:after="0"/>
              <w:rPr>
                <w:sz w:val="1"/>
                <w:szCs w:val="1"/>
                <w:color w:val="auto"/>
              </w:rPr>
            </w:pPr>
          </w:p>
        </w:tc>
      </w:tr>
      <w:tr>
        <w:trPr>
          <w:trHeight w:val="192"/>
        </w:trPr>
        <w:tc>
          <w:tcPr>
            <w:tcW w:w="600" w:type="dxa"/>
            <w:vAlign w:val="bottom"/>
            <w:tcBorders>
              <w:left w:val="single" w:sz="8" w:color="D6D6D4"/>
              <w:bottom w:val="single" w:sz="8" w:color="D6D6D4"/>
              <w:right w:val="single" w:sz="8" w:color="D6D6D4"/>
            </w:tcBorders>
          </w:tcPr>
          <w:p>
            <w:pPr>
              <w:ind w:left="40"/>
              <w:spacing w:after="0"/>
              <w:rPr>
                <w:sz w:val="20"/>
                <w:szCs w:val="20"/>
                <w:color w:val="auto"/>
              </w:rPr>
            </w:pPr>
            <w:r>
              <w:rPr>
                <w:rFonts w:ascii="Arial" w:cs="Arial" w:eastAsia="Arial" w:hAnsi="Arial"/>
                <w:sz w:val="11"/>
                <w:szCs w:val="11"/>
                <w:color w:val="auto"/>
              </w:rPr>
              <w:t>2021</w:t>
            </w:r>
          </w:p>
        </w:tc>
        <w:tc>
          <w:tcPr>
            <w:tcW w:w="3440" w:type="dxa"/>
            <w:vAlign w:val="bottom"/>
            <w:tcBorders>
              <w:bottom w:val="single" w:sz="8" w:color="D6D6D4"/>
              <w:right w:val="single" w:sz="8" w:color="D6D6D4"/>
            </w:tcBorders>
          </w:tcPr>
          <w:p>
            <w:pPr>
              <w:ind w:left="20"/>
              <w:spacing w:after="0"/>
              <w:rPr>
                <w:sz w:val="20"/>
                <w:szCs w:val="20"/>
                <w:color w:val="auto"/>
              </w:rPr>
            </w:pPr>
            <w:r>
              <w:rPr>
                <w:rFonts w:ascii="Arial" w:cs="Arial" w:eastAsia="Arial" w:hAnsi="Arial"/>
                <w:sz w:val="11"/>
                <w:szCs w:val="11"/>
                <w:color w:val="auto"/>
              </w:rPr>
              <w:t>Jay A. Brown</w:t>
            </w:r>
          </w:p>
        </w:tc>
        <w:tc>
          <w:tcPr>
            <w:tcW w:w="6500" w:type="dxa"/>
            <w:vAlign w:val="bottom"/>
            <w:tcBorders>
              <w:bottom w:val="single" w:sz="8" w:color="D6D6D4"/>
              <w:right w:val="single" w:sz="8" w:color="D6D6D4"/>
            </w:tcBorders>
          </w:tcPr>
          <w:p>
            <w:pPr>
              <w:spacing w:after="0"/>
              <w:rPr>
                <w:sz w:val="20"/>
                <w:szCs w:val="20"/>
                <w:color w:val="auto"/>
              </w:rPr>
            </w:pPr>
            <w:r>
              <w:rPr>
                <w:rFonts w:ascii="Arial" w:cs="Arial" w:eastAsia="Arial" w:hAnsi="Arial"/>
                <w:sz w:val="11"/>
                <w:szCs w:val="11"/>
                <w:color w:val="auto"/>
              </w:rPr>
              <w:t>Daniel K. Schlanger, Michael J. Kavanagh, Kenneth J. Simon, Christopher D. Levendos and Robert C. Ackerman</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320" w:hanging="314"/>
        <w:spacing w:after="0"/>
        <w:tabs>
          <w:tab w:leader="none" w:pos="320" w:val="left"/>
        </w:tabs>
        <w:numPr>
          <w:ilvl w:val="0"/>
          <w:numId w:val="150"/>
        </w:numPr>
        <w:rPr>
          <w:rFonts w:ascii="Arial" w:cs="Arial" w:eastAsia="Arial" w:hAnsi="Arial"/>
          <w:sz w:val="13"/>
          <w:szCs w:val="13"/>
          <w:color w:val="auto"/>
        </w:rPr>
      </w:pPr>
      <w:r>
        <w:rPr>
          <w:rFonts w:ascii="Arial" w:cs="Arial" w:eastAsia="Arial" w:hAnsi="Arial"/>
          <w:sz w:val="13"/>
          <w:szCs w:val="13"/>
          <w:color w:val="auto"/>
        </w:rPr>
        <w:t>See CAP Reconciliation Tables below for information on adjustments made to the applicable total compensation disclosed in the Summary Compensation Table.</w:t>
      </w:r>
    </w:p>
    <w:p>
      <w:pPr>
        <w:spacing w:after="0" w:line="49" w:lineRule="exact"/>
        <w:rPr>
          <w:rFonts w:ascii="Arial" w:cs="Arial" w:eastAsia="Arial" w:hAnsi="Arial"/>
          <w:sz w:val="13"/>
          <w:szCs w:val="13"/>
          <w:color w:val="auto"/>
        </w:rPr>
      </w:pPr>
    </w:p>
    <w:p>
      <w:pPr>
        <w:ind w:left="320" w:hanging="314"/>
        <w:spacing w:after="0"/>
        <w:tabs>
          <w:tab w:leader="none" w:pos="320" w:val="left"/>
        </w:tabs>
        <w:numPr>
          <w:ilvl w:val="0"/>
          <w:numId w:val="150"/>
        </w:numPr>
        <w:rPr>
          <w:rFonts w:ascii="Arial" w:cs="Arial" w:eastAsia="Arial" w:hAnsi="Arial"/>
          <w:sz w:val="13"/>
          <w:szCs w:val="13"/>
          <w:color w:val="auto"/>
        </w:rPr>
      </w:pPr>
      <w:r>
        <w:rPr>
          <w:rFonts w:ascii="Arial" w:cs="Arial" w:eastAsia="Arial" w:hAnsi="Arial"/>
          <w:sz w:val="13"/>
          <w:szCs w:val="13"/>
          <w:color w:val="auto"/>
        </w:rPr>
        <w:t>Assumes an initial investment of $100.00 on December 31, 2020, and dividend reinvestment.</w:t>
      </w:r>
    </w:p>
    <w:p>
      <w:pPr>
        <w:spacing w:after="0" w:line="49" w:lineRule="exact"/>
        <w:rPr>
          <w:rFonts w:ascii="Arial" w:cs="Arial" w:eastAsia="Arial" w:hAnsi="Arial"/>
          <w:sz w:val="13"/>
          <w:szCs w:val="13"/>
          <w:color w:val="auto"/>
        </w:rPr>
      </w:pPr>
    </w:p>
    <w:p>
      <w:pPr>
        <w:ind w:left="320" w:hanging="314"/>
        <w:spacing w:after="0"/>
        <w:tabs>
          <w:tab w:leader="none" w:pos="320" w:val="left"/>
        </w:tabs>
        <w:numPr>
          <w:ilvl w:val="0"/>
          <w:numId w:val="150"/>
        </w:numPr>
        <w:rPr>
          <w:rFonts w:ascii="Arial" w:cs="Arial" w:eastAsia="Arial" w:hAnsi="Arial"/>
          <w:sz w:val="13"/>
          <w:szCs w:val="13"/>
          <w:color w:val="auto"/>
        </w:rPr>
      </w:pPr>
      <w:r>
        <w:rPr>
          <w:rFonts w:ascii="Arial" w:cs="Arial" w:eastAsia="Arial" w:hAnsi="Arial"/>
          <w:sz w:val="13"/>
          <w:szCs w:val="13"/>
          <w:color w:val="auto"/>
        </w:rPr>
        <w:t>The peer group used for purposes of this disclosure in each covered year is the FTSE NAREIT All Equity REITs Index.</w:t>
      </w:r>
    </w:p>
    <w:p>
      <w:pPr>
        <w:spacing w:after="0" w:line="35" w:lineRule="exact"/>
        <w:rPr>
          <w:rFonts w:ascii="Arial" w:cs="Arial" w:eastAsia="Arial" w:hAnsi="Arial"/>
          <w:sz w:val="13"/>
          <w:szCs w:val="13"/>
          <w:color w:val="auto"/>
        </w:rPr>
      </w:pPr>
    </w:p>
    <w:p>
      <w:pPr>
        <w:ind w:left="320" w:right="20" w:hanging="314"/>
        <w:spacing w:after="0" w:line="260" w:lineRule="auto"/>
        <w:tabs>
          <w:tab w:leader="none" w:pos="310" w:val="left"/>
        </w:tabs>
        <w:numPr>
          <w:ilvl w:val="0"/>
          <w:numId w:val="150"/>
        </w:numPr>
        <w:rPr>
          <w:rFonts w:ascii="Arial" w:cs="Arial" w:eastAsia="Arial" w:hAnsi="Arial"/>
          <w:sz w:val="13"/>
          <w:szCs w:val="13"/>
          <w:color w:val="auto"/>
        </w:rPr>
      </w:pPr>
      <w:r>
        <w:rPr>
          <w:rFonts w:ascii="Arial" w:cs="Arial" w:eastAsia="Arial" w:hAnsi="Arial"/>
          <w:sz w:val="13"/>
          <w:szCs w:val="13"/>
          <w:color w:val="auto"/>
        </w:rPr>
        <w:t>The Company has selected "AFFO per share" as the company-selected measure for purposes of this disclosure. We define AFFO per share as AFFO divided by diluted weighted-average common shares outstanding. We define AFFO as Funds from Operations ("FFO") before straight-lined revenues, straight-lined expenses, stock-based compensation expense, net, non-cash portion of tax provision, non-real estate related depreciation, amortization and accretion, amortization of non-cash interest expense, other (income) expense, (gains) losses on retirement of long-term obligations, net (gain) loss on interest rate swaps, (gains) losses on foreign currency swaps, impairment of available-for-sale securities, acquisition and integration costs, restructuring charges (credits), cumulative effect of a change in accounting principle and adjustments for noncontrolling interests, less sustaining capital expenditures. We define FFO as net income (loss) plus real estate related depreciation, amortization and accretion, asset write-down charges, goodwill impairment charges and net (income) loss from discontinued operations, less noncontrolling interest and cash paid for preferred stock dividends (in periods where applicable), and is a measure of funds from operations attributable to the Company's common stockholders.</w:t>
      </w:r>
    </w:p>
    <w:p>
      <w:pPr>
        <w:spacing w:after="0" w:line="358"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1" w:right="339" w:bottom="1440" w:gutter="0" w:footer="0" w:header="0"/>
        </w:sectPr>
      </w:pPr>
    </w:p>
    <w:bookmarkStart w:id="74" w:name="page75"/>
    <w:bookmarkEnd w:id="74"/>
    <w:p>
      <w:pPr>
        <w:ind w:left="640"/>
        <w:spacing w:after="0"/>
        <w:rPr>
          <w:sz w:val="20"/>
          <w:szCs w:val="20"/>
          <w:color w:val="auto"/>
        </w:rPr>
      </w:pPr>
      <w:r>
        <w:rPr>
          <w:rFonts w:ascii="Arial" w:cs="Arial" w:eastAsia="Arial" w:hAnsi="Arial"/>
          <w:sz w:val="18"/>
          <w:szCs w:val="18"/>
          <w:b w:val="1"/>
          <w:bCs w:val="1"/>
          <w:i w:val="1"/>
          <w:iCs w:val="1"/>
          <w:color w:val="auto"/>
        </w:rPr>
        <w:t>CAP Reconciliation Tables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The amounts deducted and added in calculating the CAP for the PEO or PEOs, as applicable, for 2021 through 2025 are as follows:</w:t>
      </w:r>
    </w:p>
    <w:p>
      <w:pPr>
        <w:sectPr>
          <w:pgSz w:w="11900" w:h="16838" w:orient="portrait"/>
          <w:cols w:equalWidth="0" w:num="1">
            <w:col w:w="11240"/>
          </w:cols>
          <w:pgMar w:left="320" w:top="1393" w:right="33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ind w:left="60" w:right="1020" w:hanging="40"/>
        <w:spacing w:after="0" w:line="364" w:lineRule="auto"/>
        <w:rPr>
          <w:sz w:val="20"/>
          <w:szCs w:val="20"/>
          <w:color w:val="auto"/>
        </w:rPr>
      </w:pPr>
      <w:r>
        <w:rPr>
          <w:rFonts w:ascii="Arial" w:cs="Arial" w:eastAsia="Arial" w:hAnsi="Arial"/>
          <w:sz w:val="11"/>
          <w:szCs w:val="11"/>
          <w:b w:val="1"/>
          <w:bCs w:val="1"/>
          <w:color w:val="auto"/>
        </w:rPr>
        <w:t xml:space="preserve">Summary Compensation Table Total </w:t>
      </w:r>
      <w:r>
        <w:rPr>
          <w:rFonts w:ascii="Arial" w:cs="Arial" w:eastAsia="Arial" w:hAnsi="Arial"/>
          <w:sz w:val="11"/>
          <w:szCs w:val="11"/>
          <w:b w:val="1"/>
          <w:bCs w:val="1"/>
          <w:i w:val="1"/>
          <w:iCs w:val="1"/>
          <w:color w:val="auto"/>
        </w:rPr>
        <w:t>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1941195" cy="12636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941195" cy="12636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-253365</wp:posOffset>
            </wp:positionV>
            <wp:extent cx="1941195" cy="12636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941195" cy="12636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1"/>
          <w:szCs w:val="11"/>
          <w:b w:val="1"/>
          <w:bCs w:val="1"/>
          <w:color w:val="auto"/>
        </w:rPr>
        <w:t xml:space="preserve">Deduct: </w:t>
      </w:r>
      <w:r>
        <w:rPr>
          <w:rFonts w:ascii="Arial" w:cs="Arial" w:eastAsia="Arial" w:hAnsi="Arial"/>
          <w:sz w:val="11"/>
          <w:szCs w:val="11"/>
          <w:color w:val="auto"/>
        </w:rPr>
        <w:t>Reported value of equity awards</w:t>
      </w:r>
      <w:r>
        <w:rPr>
          <w:rFonts w:ascii="Arial" w:cs="Arial" w:eastAsia="Arial" w:hAnsi="Arial"/>
          <w:sz w:val="14"/>
          <w:szCs w:val="14"/>
          <w:color w:val="auto"/>
          <w:vertAlign w:val="superscript"/>
        </w:rPr>
        <w:t>(a)</w:t>
      </w:r>
    </w:p>
    <w:p>
      <w:pPr>
        <w:spacing w:after="0" w:line="23" w:lineRule="exact"/>
        <w:rPr>
          <w:sz w:val="20"/>
          <w:szCs w:val="20"/>
          <w:color w:val="auto"/>
        </w:rPr>
      </w:pPr>
    </w:p>
    <w:p>
      <w:pPr>
        <w:ind w:left="120" w:right="160"/>
        <w:spacing w:after="0" w:line="233" w:lineRule="auto"/>
        <w:rPr>
          <w:sz w:val="20"/>
          <w:szCs w:val="20"/>
          <w:color w:val="auto"/>
        </w:rPr>
      </w:pPr>
      <w:r>
        <w:rPr>
          <w:rFonts w:ascii="Arial" w:cs="Arial" w:eastAsia="Arial" w:hAnsi="Arial"/>
          <w:sz w:val="11"/>
          <w:szCs w:val="11"/>
          <w:b w:val="1"/>
          <w:bCs w:val="1"/>
          <w:color w:val="auto"/>
        </w:rPr>
        <w:t xml:space="preserve">Add: </w:t>
      </w:r>
      <w:r>
        <w:rPr>
          <w:rFonts w:ascii="Arial" w:cs="Arial" w:eastAsia="Arial" w:hAnsi="Arial"/>
          <w:sz w:val="11"/>
          <w:szCs w:val="11"/>
          <w:color w:val="auto"/>
        </w:rPr>
        <w:t>Year end fair value of outstanding equity awards</w:t>
      </w:r>
      <w:r>
        <w:rPr>
          <w:rFonts w:ascii="Arial" w:cs="Arial" w:eastAsia="Arial" w:hAnsi="Arial"/>
          <w:sz w:val="11"/>
          <w:szCs w:val="11"/>
          <w:b w:val="1"/>
          <w:bCs w:val="1"/>
          <w:color w:val="auto"/>
        </w:rPr>
        <w:t xml:space="preserve"> </w:t>
      </w:r>
      <w:r>
        <w:rPr>
          <w:rFonts w:ascii="Arial" w:cs="Arial" w:eastAsia="Arial" w:hAnsi="Arial"/>
          <w:sz w:val="11"/>
          <w:szCs w:val="11"/>
          <w:color w:val="auto"/>
        </w:rPr>
        <w:t>granted in covered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1941195" cy="17653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941195" cy="176530"/>
                    </a:xfrm>
                    <a:prstGeom prst="rect">
                      <a:avLst/>
                    </a:prstGeom>
                    <a:noFill/>
                  </pic:spPr>
                </pic:pic>
              </a:graphicData>
            </a:graphic>
          </wp:anchor>
        </w:drawing>
      </w:r>
    </w:p>
    <w:p>
      <w:pPr>
        <w:ind w:left="120" w:right="80"/>
        <w:spacing w:after="0" w:line="248" w:lineRule="auto"/>
        <w:rPr>
          <w:sz w:val="20"/>
          <w:szCs w:val="20"/>
          <w:color w:val="auto"/>
        </w:rPr>
      </w:pPr>
      <w:r>
        <w:rPr>
          <w:rFonts w:ascii="Arial" w:cs="Arial" w:eastAsia="Arial" w:hAnsi="Arial"/>
          <w:sz w:val="11"/>
          <w:szCs w:val="11"/>
          <w:b w:val="1"/>
          <w:bCs w:val="1"/>
          <w:color w:val="auto"/>
        </w:rPr>
        <w:t xml:space="preserve">Add: </w:t>
      </w:r>
      <w:r>
        <w:rPr>
          <w:rFonts w:ascii="Arial" w:cs="Arial" w:eastAsia="Arial" w:hAnsi="Arial"/>
          <w:sz w:val="11"/>
          <w:szCs w:val="11"/>
          <w:color w:val="auto"/>
        </w:rPr>
        <w:t>Change in fair value of outstanding equity awards</w:t>
      </w:r>
      <w:r>
        <w:rPr>
          <w:rFonts w:ascii="Arial" w:cs="Arial" w:eastAsia="Arial" w:hAnsi="Arial"/>
          <w:sz w:val="11"/>
          <w:szCs w:val="11"/>
          <w:b w:val="1"/>
          <w:bCs w:val="1"/>
          <w:color w:val="auto"/>
        </w:rPr>
        <w:t xml:space="preserve"> </w:t>
      </w:r>
      <w:r>
        <w:rPr>
          <w:rFonts w:ascii="Arial" w:cs="Arial" w:eastAsia="Arial" w:hAnsi="Arial"/>
          <w:sz w:val="11"/>
          <w:szCs w:val="11"/>
          <w:color w:val="auto"/>
        </w:rPr>
        <w:t>granted in prior years and unvested at year end</w:t>
      </w:r>
    </w:p>
    <w:p>
      <w:pPr>
        <w:spacing w:after="0" w:line="17" w:lineRule="exact"/>
        <w:rPr>
          <w:sz w:val="20"/>
          <w:szCs w:val="20"/>
          <w:color w:val="auto"/>
        </w:rPr>
      </w:pPr>
    </w:p>
    <w:p>
      <w:pPr>
        <w:ind w:left="120" w:right="40"/>
        <w:spacing w:after="0" w:line="248" w:lineRule="auto"/>
        <w:rPr>
          <w:sz w:val="20"/>
          <w:szCs w:val="20"/>
          <w:color w:val="auto"/>
        </w:rPr>
      </w:pPr>
      <w:r>
        <w:rPr>
          <w:rFonts w:ascii="Arial" w:cs="Arial" w:eastAsia="Arial" w:hAnsi="Arial"/>
          <w:sz w:val="11"/>
          <w:szCs w:val="11"/>
          <w:b w:val="1"/>
          <w:bCs w:val="1"/>
          <w:color w:val="auto"/>
        </w:rPr>
        <w:t xml:space="preserve">Add: </w:t>
      </w:r>
      <w:r>
        <w:rPr>
          <w:rFonts w:ascii="Arial" w:cs="Arial" w:eastAsia="Arial" w:hAnsi="Arial"/>
          <w:sz w:val="11"/>
          <w:szCs w:val="11"/>
          <w:color w:val="auto"/>
        </w:rPr>
        <w:t>Fair value at vesting date of equity awards granted</w:t>
      </w:r>
      <w:r>
        <w:rPr>
          <w:rFonts w:ascii="Arial" w:cs="Arial" w:eastAsia="Arial" w:hAnsi="Arial"/>
          <w:sz w:val="11"/>
          <w:szCs w:val="11"/>
          <w:b w:val="1"/>
          <w:bCs w:val="1"/>
          <w:color w:val="auto"/>
        </w:rPr>
        <w:t xml:space="preserve"> </w:t>
      </w:r>
      <w:r>
        <w:rPr>
          <w:rFonts w:ascii="Arial" w:cs="Arial" w:eastAsia="Arial" w:hAnsi="Arial"/>
          <w:sz w:val="11"/>
          <w:szCs w:val="11"/>
          <w:color w:val="auto"/>
        </w:rPr>
        <w:t>and vested in covered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1941195" cy="17653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941195" cy="176530"/>
                    </a:xfrm>
                    <a:prstGeom prst="rect">
                      <a:avLst/>
                    </a:prstGeom>
                    <a:noFill/>
                  </pic:spPr>
                </pic:pic>
              </a:graphicData>
            </a:graphic>
          </wp:anchor>
        </w:drawing>
      </w:r>
    </w:p>
    <w:p>
      <w:pPr>
        <w:ind w:left="120" w:right="60"/>
        <w:spacing w:after="0" w:line="248" w:lineRule="auto"/>
        <w:rPr>
          <w:sz w:val="20"/>
          <w:szCs w:val="20"/>
          <w:color w:val="auto"/>
        </w:rPr>
      </w:pPr>
      <w:r>
        <w:rPr>
          <w:rFonts w:ascii="Arial" w:cs="Arial" w:eastAsia="Arial" w:hAnsi="Arial"/>
          <w:sz w:val="11"/>
          <w:szCs w:val="11"/>
          <w:b w:val="1"/>
          <w:bCs w:val="1"/>
          <w:color w:val="auto"/>
        </w:rPr>
        <w:t xml:space="preserve">Add: </w:t>
      </w:r>
      <w:r>
        <w:rPr>
          <w:rFonts w:ascii="Arial" w:cs="Arial" w:eastAsia="Arial" w:hAnsi="Arial"/>
          <w:sz w:val="11"/>
          <w:szCs w:val="11"/>
          <w:color w:val="auto"/>
        </w:rPr>
        <w:t>Change in vesting date fair value of equity awards</w:t>
      </w:r>
      <w:r>
        <w:rPr>
          <w:rFonts w:ascii="Arial" w:cs="Arial" w:eastAsia="Arial" w:hAnsi="Arial"/>
          <w:sz w:val="11"/>
          <w:szCs w:val="11"/>
          <w:b w:val="1"/>
          <w:bCs w:val="1"/>
          <w:color w:val="auto"/>
        </w:rPr>
        <w:t xml:space="preserve"> </w:t>
      </w:r>
      <w:r>
        <w:rPr>
          <w:rFonts w:ascii="Arial" w:cs="Arial" w:eastAsia="Arial" w:hAnsi="Arial"/>
          <w:sz w:val="11"/>
          <w:szCs w:val="11"/>
          <w:color w:val="auto"/>
        </w:rPr>
        <w:t>granted in prior years that vested in covered year</w:t>
      </w:r>
    </w:p>
    <w:p>
      <w:pPr>
        <w:spacing w:after="0" w:line="17" w:lineRule="exact"/>
        <w:rPr>
          <w:sz w:val="20"/>
          <w:szCs w:val="20"/>
          <w:color w:val="auto"/>
        </w:rPr>
      </w:pPr>
    </w:p>
    <w:p>
      <w:pPr>
        <w:ind w:left="120"/>
        <w:spacing w:after="0" w:line="248" w:lineRule="auto"/>
        <w:rPr>
          <w:sz w:val="20"/>
          <w:szCs w:val="20"/>
          <w:color w:val="auto"/>
        </w:rPr>
      </w:pPr>
      <w:r>
        <w:rPr>
          <w:rFonts w:ascii="Arial" w:cs="Arial" w:eastAsia="Arial" w:hAnsi="Arial"/>
          <w:sz w:val="11"/>
          <w:szCs w:val="11"/>
          <w:b w:val="1"/>
          <w:bCs w:val="1"/>
          <w:color w:val="auto"/>
        </w:rPr>
        <w:t>Subtract</w:t>
      </w:r>
      <w:r>
        <w:rPr>
          <w:rFonts w:ascii="Arial" w:cs="Arial" w:eastAsia="Arial" w:hAnsi="Arial"/>
          <w:sz w:val="11"/>
          <w:szCs w:val="11"/>
          <w:color w:val="auto"/>
        </w:rPr>
        <w:t>: Fair value at end of prior year of equity awards</w:t>
      </w:r>
      <w:r>
        <w:rPr>
          <w:rFonts w:ascii="Arial" w:cs="Arial" w:eastAsia="Arial" w:hAnsi="Arial"/>
          <w:sz w:val="11"/>
          <w:szCs w:val="11"/>
          <w:b w:val="1"/>
          <w:bCs w:val="1"/>
          <w:color w:val="auto"/>
        </w:rPr>
        <w:t xml:space="preserve"> </w:t>
      </w:r>
      <w:r>
        <w:rPr>
          <w:rFonts w:ascii="Arial" w:cs="Arial" w:eastAsia="Arial" w:hAnsi="Arial"/>
          <w:sz w:val="11"/>
          <w:szCs w:val="11"/>
          <w:color w:val="auto"/>
        </w:rPr>
        <w:t>that failed to meet vesting conditions in covered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1941195" cy="25209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941195" cy="252095"/>
                    </a:xfrm>
                    <a:prstGeom prst="rect">
                      <a:avLst/>
                    </a:prstGeom>
                    <a:noFill/>
                  </pic:spPr>
                </pic:pic>
              </a:graphicData>
            </a:graphic>
          </wp:anchor>
        </w:drawing>
      </w:r>
    </w:p>
    <w:p>
      <w:pPr>
        <w:ind w:left="120" w:right="20"/>
        <w:spacing w:after="0" w:line="221" w:lineRule="auto"/>
        <w:rPr>
          <w:sz w:val="20"/>
          <w:szCs w:val="20"/>
          <w:color w:val="auto"/>
        </w:rPr>
      </w:pPr>
      <w:r>
        <w:rPr>
          <w:rFonts w:ascii="Arial" w:cs="Arial" w:eastAsia="Arial" w:hAnsi="Arial"/>
          <w:sz w:val="11"/>
          <w:szCs w:val="11"/>
          <w:b w:val="1"/>
          <w:bCs w:val="1"/>
          <w:color w:val="auto"/>
        </w:rPr>
        <w:t xml:space="preserve">Add: </w:t>
      </w:r>
      <w:r>
        <w:rPr>
          <w:rFonts w:ascii="Arial" w:cs="Arial" w:eastAsia="Arial" w:hAnsi="Arial"/>
          <w:sz w:val="11"/>
          <w:szCs w:val="11"/>
          <w:color w:val="auto"/>
        </w:rPr>
        <w:t>Value of dividends paid during the covered year on</w:t>
      </w:r>
      <w:r>
        <w:rPr>
          <w:rFonts w:ascii="Arial" w:cs="Arial" w:eastAsia="Arial" w:hAnsi="Arial"/>
          <w:sz w:val="11"/>
          <w:szCs w:val="11"/>
          <w:b w:val="1"/>
          <w:bCs w:val="1"/>
          <w:color w:val="auto"/>
        </w:rPr>
        <w:t xml:space="preserve"> </w:t>
      </w:r>
      <w:r>
        <w:rPr>
          <w:rFonts w:ascii="Arial" w:cs="Arial" w:eastAsia="Arial" w:hAnsi="Arial"/>
          <w:sz w:val="11"/>
          <w:szCs w:val="11"/>
          <w:color w:val="auto"/>
        </w:rPr>
        <w:t>outstanding and unvested equity awards not otherwise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reflected</w:t>
      </w:r>
      <w:r>
        <w:rPr>
          <w:rFonts w:ascii="Arial" w:cs="Arial" w:eastAsia="Arial" w:hAnsi="Arial"/>
          <w:sz w:val="14"/>
          <w:szCs w:val="14"/>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1941195"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941195" cy="8255"/>
                    </a:xfrm>
                    <a:prstGeom prst="rect">
                      <a:avLst/>
                    </a:prstGeom>
                    <a:noFill/>
                  </pic:spPr>
                </pic:pic>
              </a:graphicData>
            </a:graphic>
          </wp:anchor>
        </w:drawing>
      </w:r>
    </w:p>
    <w:p>
      <w:pPr>
        <w:spacing w:after="0" w:line="8" w:lineRule="exact"/>
        <w:rPr>
          <w:sz w:val="20"/>
          <w:szCs w:val="20"/>
          <w:color w:val="auto"/>
        </w:rPr>
      </w:pPr>
    </w:p>
    <w:p>
      <w:pPr>
        <w:ind w:left="60"/>
        <w:spacing w:after="0"/>
        <w:rPr>
          <w:sz w:val="20"/>
          <w:szCs w:val="20"/>
          <w:color w:val="auto"/>
        </w:rPr>
      </w:pPr>
      <w:r>
        <w:rPr>
          <w:rFonts w:ascii="Arial" w:cs="Arial" w:eastAsia="Arial" w:hAnsi="Arial"/>
          <w:sz w:val="11"/>
          <w:szCs w:val="11"/>
          <w:b w:val="1"/>
          <w:bCs w:val="1"/>
          <w:i w:val="1"/>
          <w:iCs w:val="1"/>
          <w:color w:val="auto"/>
        </w:rPr>
        <w:t>Total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19050</wp:posOffset>
            </wp:positionV>
            <wp:extent cx="1941195" cy="14287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941195" cy="142875"/>
                    </a:xfrm>
                    <a:prstGeom prst="rect">
                      <a:avLst/>
                    </a:prstGeom>
                    <a:noFill/>
                  </pic:spPr>
                </pic:pic>
              </a:graphicData>
            </a:graphic>
          </wp:anchor>
        </w:drawing>
      </w:r>
    </w:p>
    <w:p>
      <w:pPr>
        <w:spacing w:after="0" w:line="67"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520B90"/>
        </w:rPr>
        <w:t>Compensation Actually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26670</wp:posOffset>
            </wp:positionV>
            <wp:extent cx="1941195"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9411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135890</wp:posOffset>
            </wp:positionV>
            <wp:extent cx="70612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061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3"/>
        </w:trPr>
        <w:tc>
          <w:tcPr>
            <w:tcW w:w="8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1"/>
                <w:szCs w:val="11"/>
                <w:b w:val="1"/>
                <w:bCs w:val="1"/>
                <w:color w:val="520B90"/>
              </w:rPr>
              <w:t>2025</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jc w:val="right"/>
              <w:ind w:right="163"/>
              <w:spacing w:after="0"/>
              <w:rPr>
                <w:sz w:val="20"/>
                <w:szCs w:val="20"/>
                <w:color w:val="auto"/>
              </w:rPr>
            </w:pPr>
            <w:r>
              <w:rPr>
                <w:rFonts w:ascii="Arial" w:cs="Arial" w:eastAsia="Arial" w:hAnsi="Arial"/>
                <w:sz w:val="11"/>
                <w:szCs w:val="11"/>
                <w:b w:val="1"/>
                <w:bCs w:val="1"/>
                <w:color w:val="520B90"/>
              </w:rPr>
              <w:t>2024</w:t>
            </w:r>
          </w:p>
        </w:tc>
        <w:tc>
          <w:tcPr>
            <w:tcW w:w="880" w:type="dxa"/>
            <w:vAlign w:val="bottom"/>
          </w:tcPr>
          <w:p>
            <w:pPr>
              <w:spacing w:after="0"/>
              <w:rPr>
                <w:sz w:val="14"/>
                <w:szCs w:val="14"/>
                <w:color w:val="auto"/>
              </w:rPr>
            </w:pPr>
          </w:p>
        </w:tc>
        <w:tc>
          <w:tcPr>
            <w:tcW w:w="980" w:type="dxa"/>
            <w:vAlign w:val="bottom"/>
            <w:gridSpan w:val="2"/>
          </w:tcPr>
          <w:p>
            <w:pPr>
              <w:jc w:val="center"/>
              <w:ind w:left="43"/>
              <w:spacing w:after="0"/>
              <w:rPr>
                <w:sz w:val="20"/>
                <w:szCs w:val="20"/>
                <w:color w:val="auto"/>
              </w:rPr>
            </w:pPr>
            <w:r>
              <w:rPr>
                <w:rFonts w:ascii="Arial" w:cs="Arial" w:eastAsia="Arial" w:hAnsi="Arial"/>
                <w:sz w:val="11"/>
                <w:szCs w:val="11"/>
                <w:b w:val="1"/>
                <w:bCs w:val="1"/>
                <w:color w:val="520B90"/>
                <w:w w:val="97"/>
              </w:rPr>
              <w:t>2023</w:t>
            </w:r>
          </w:p>
        </w:tc>
        <w:tc>
          <w:tcPr>
            <w:tcW w:w="980" w:type="dxa"/>
            <w:vAlign w:val="bottom"/>
            <w:gridSpan w:val="2"/>
          </w:tcPr>
          <w:p>
            <w:pPr>
              <w:jc w:val="center"/>
              <w:ind w:left="43"/>
              <w:spacing w:after="0"/>
              <w:rPr>
                <w:sz w:val="20"/>
                <w:szCs w:val="20"/>
                <w:color w:val="auto"/>
              </w:rPr>
            </w:pPr>
            <w:r>
              <w:rPr>
                <w:rFonts w:ascii="Arial" w:cs="Arial" w:eastAsia="Arial" w:hAnsi="Arial"/>
                <w:sz w:val="11"/>
                <w:szCs w:val="11"/>
                <w:b w:val="1"/>
                <w:bCs w:val="1"/>
                <w:color w:val="520B90"/>
                <w:w w:val="97"/>
              </w:rPr>
              <w:t>2022</w:t>
            </w:r>
          </w:p>
        </w:tc>
        <w:tc>
          <w:tcPr>
            <w:tcW w:w="980" w:type="dxa"/>
            <w:vAlign w:val="bottom"/>
            <w:gridSpan w:val="2"/>
          </w:tcPr>
          <w:p>
            <w:pPr>
              <w:jc w:val="center"/>
              <w:ind w:left="43"/>
              <w:spacing w:after="0"/>
              <w:rPr>
                <w:sz w:val="20"/>
                <w:szCs w:val="20"/>
                <w:color w:val="auto"/>
              </w:rPr>
            </w:pPr>
            <w:r>
              <w:rPr>
                <w:rFonts w:ascii="Arial" w:cs="Arial" w:eastAsia="Arial" w:hAnsi="Arial"/>
                <w:sz w:val="11"/>
                <w:szCs w:val="11"/>
                <w:b w:val="1"/>
                <w:bCs w:val="1"/>
                <w:color w:val="520B90"/>
                <w:w w:val="97"/>
              </w:rPr>
              <w:t>2021</w:t>
            </w:r>
          </w:p>
        </w:tc>
      </w:tr>
      <w:tr>
        <w:trPr>
          <w:trHeight w:val="165"/>
        </w:trPr>
        <w:tc>
          <w:tcPr>
            <w:tcW w:w="880" w:type="dxa"/>
            <w:vAlign w:val="bottom"/>
            <w:tcBorders>
              <w:top w:val="single" w:sz="8" w:color="520B90"/>
              <w:bottom w:val="single" w:sz="8" w:color="520B90"/>
            </w:tcBorders>
          </w:tcPr>
          <w:p>
            <w:pPr>
              <w:ind w:left="140"/>
              <w:spacing w:after="0"/>
              <w:rPr>
                <w:sz w:val="20"/>
                <w:szCs w:val="20"/>
                <w:color w:val="auto"/>
              </w:rPr>
            </w:pPr>
            <w:r>
              <w:rPr>
                <w:rFonts w:ascii="Arial" w:cs="Arial" w:eastAsia="Arial" w:hAnsi="Arial"/>
                <w:sz w:val="11"/>
                <w:szCs w:val="11"/>
                <w:b w:val="1"/>
                <w:bCs w:val="1"/>
                <w:color w:val="520B90"/>
              </w:rPr>
              <w:t>Moskowitz</w:t>
            </w:r>
          </w:p>
        </w:tc>
        <w:tc>
          <w:tcPr>
            <w:tcW w:w="820" w:type="dxa"/>
            <w:vAlign w:val="bottom"/>
            <w:tcBorders>
              <w:top w:val="single" w:sz="8" w:color="520B90"/>
              <w:bottom w:val="single" w:sz="8" w:color="520B90"/>
            </w:tcBorders>
          </w:tcPr>
          <w:p>
            <w:pPr>
              <w:ind w:left="120"/>
              <w:spacing w:after="0"/>
              <w:rPr>
                <w:sz w:val="20"/>
                <w:szCs w:val="20"/>
                <w:color w:val="auto"/>
              </w:rPr>
            </w:pPr>
            <w:r>
              <w:rPr>
                <w:rFonts w:ascii="Arial" w:cs="Arial" w:eastAsia="Arial" w:hAnsi="Arial"/>
                <w:sz w:val="11"/>
                <w:szCs w:val="11"/>
                <w:b w:val="1"/>
                <w:bCs w:val="1"/>
                <w:color w:val="520B90"/>
              </w:rPr>
              <w:t>Schlanger</w:t>
            </w:r>
          </w:p>
        </w:tc>
        <w:tc>
          <w:tcPr>
            <w:tcW w:w="880" w:type="dxa"/>
            <w:vAlign w:val="bottom"/>
            <w:tcBorders>
              <w:top w:val="single" w:sz="8" w:color="520B90"/>
              <w:bottom w:val="single" w:sz="8" w:color="520B90"/>
            </w:tcBorders>
          </w:tcPr>
          <w:p>
            <w:pPr>
              <w:ind w:left="180"/>
              <w:spacing w:after="0"/>
              <w:rPr>
                <w:sz w:val="20"/>
                <w:szCs w:val="20"/>
                <w:color w:val="auto"/>
              </w:rPr>
            </w:pPr>
            <w:r>
              <w:rPr>
                <w:rFonts w:ascii="Arial" w:cs="Arial" w:eastAsia="Arial" w:hAnsi="Arial"/>
                <w:sz w:val="11"/>
                <w:szCs w:val="11"/>
                <w:b w:val="1"/>
                <w:bCs w:val="1"/>
                <w:color w:val="520B90"/>
              </w:rPr>
              <w:t>Hillabrant</w:t>
            </w:r>
          </w:p>
        </w:tc>
        <w:tc>
          <w:tcPr>
            <w:tcW w:w="80" w:type="dxa"/>
            <w:vAlign w:val="bottom"/>
          </w:tcPr>
          <w:p>
            <w:pPr>
              <w:spacing w:after="0"/>
              <w:rPr>
                <w:sz w:val="14"/>
                <w:szCs w:val="14"/>
                <w:color w:val="auto"/>
              </w:rPr>
            </w:pPr>
          </w:p>
        </w:tc>
        <w:tc>
          <w:tcPr>
            <w:tcW w:w="800" w:type="dxa"/>
            <w:vAlign w:val="bottom"/>
            <w:tcBorders>
              <w:top w:val="single" w:sz="8" w:color="520B90"/>
              <w:bottom w:val="single" w:sz="8" w:color="520B90"/>
            </w:tcBorders>
          </w:tcPr>
          <w:p>
            <w:pPr>
              <w:ind w:left="220"/>
              <w:spacing w:after="0"/>
              <w:rPr>
                <w:sz w:val="20"/>
                <w:szCs w:val="20"/>
                <w:color w:val="auto"/>
              </w:rPr>
            </w:pPr>
            <w:r>
              <w:rPr>
                <w:rFonts w:ascii="Arial" w:cs="Arial" w:eastAsia="Arial" w:hAnsi="Arial"/>
                <w:sz w:val="11"/>
                <w:szCs w:val="11"/>
                <w:b w:val="1"/>
                <w:bCs w:val="1"/>
                <w:color w:val="520B90"/>
              </w:rPr>
              <w:t>Brown</w:t>
            </w:r>
          </w:p>
        </w:tc>
        <w:tc>
          <w:tcPr>
            <w:tcW w:w="800" w:type="dxa"/>
            <w:vAlign w:val="bottom"/>
            <w:tcBorders>
              <w:top w:val="single" w:sz="8" w:color="520B90"/>
              <w:bottom w:val="single" w:sz="8" w:color="520B90"/>
            </w:tcBorders>
          </w:tcPr>
          <w:p>
            <w:pPr>
              <w:jc w:val="right"/>
              <w:ind w:right="143"/>
              <w:spacing w:after="0"/>
              <w:rPr>
                <w:sz w:val="20"/>
                <w:szCs w:val="20"/>
                <w:color w:val="auto"/>
              </w:rPr>
            </w:pPr>
            <w:r>
              <w:rPr>
                <w:rFonts w:ascii="Arial" w:cs="Arial" w:eastAsia="Arial" w:hAnsi="Arial"/>
                <w:sz w:val="11"/>
                <w:szCs w:val="11"/>
                <w:b w:val="1"/>
                <w:bCs w:val="1"/>
                <w:color w:val="520B90"/>
              </w:rPr>
              <w:t>Melone</w:t>
            </w:r>
          </w:p>
        </w:tc>
        <w:tc>
          <w:tcPr>
            <w:tcW w:w="880" w:type="dxa"/>
            <w:vAlign w:val="bottom"/>
            <w:tcBorders>
              <w:top w:val="single" w:sz="8" w:color="520B90"/>
              <w:bottom w:val="single" w:sz="8" w:color="520B90"/>
            </w:tcBorders>
          </w:tcPr>
          <w:p>
            <w:pPr>
              <w:ind w:left="160"/>
              <w:spacing w:after="0"/>
              <w:rPr>
                <w:sz w:val="20"/>
                <w:szCs w:val="20"/>
                <w:color w:val="auto"/>
              </w:rPr>
            </w:pPr>
            <w:r>
              <w:rPr>
                <w:rFonts w:ascii="Arial" w:cs="Arial" w:eastAsia="Arial" w:hAnsi="Arial"/>
                <w:sz w:val="11"/>
                <w:szCs w:val="11"/>
                <w:b w:val="1"/>
                <w:bCs w:val="1"/>
                <w:color w:val="520B90"/>
              </w:rPr>
              <w:t>Moskowitz</w:t>
            </w:r>
          </w:p>
        </w:tc>
        <w:tc>
          <w:tcPr>
            <w:tcW w:w="100" w:type="dxa"/>
            <w:vAlign w:val="bottom"/>
          </w:tcPr>
          <w:p>
            <w:pPr>
              <w:spacing w:after="0"/>
              <w:rPr>
                <w:sz w:val="14"/>
                <w:szCs w:val="14"/>
                <w:color w:val="auto"/>
              </w:rPr>
            </w:pPr>
          </w:p>
        </w:tc>
        <w:tc>
          <w:tcPr>
            <w:tcW w:w="880" w:type="dxa"/>
            <w:vAlign w:val="bottom"/>
            <w:tcBorders>
              <w:top w:val="single" w:sz="8" w:color="520B90"/>
              <w:bottom w:val="single" w:sz="8" w:color="520B90"/>
            </w:tcBorders>
          </w:tcPr>
          <w:p>
            <w:pPr>
              <w:ind w:left="260"/>
              <w:spacing w:after="0"/>
              <w:rPr>
                <w:sz w:val="20"/>
                <w:szCs w:val="20"/>
                <w:color w:val="auto"/>
              </w:rPr>
            </w:pPr>
            <w:r>
              <w:rPr>
                <w:rFonts w:ascii="Arial" w:cs="Arial" w:eastAsia="Arial" w:hAnsi="Arial"/>
                <w:sz w:val="11"/>
                <w:szCs w:val="11"/>
                <w:b w:val="1"/>
                <w:bCs w:val="1"/>
                <w:color w:val="520B90"/>
              </w:rPr>
              <w:t>Brown</w:t>
            </w:r>
          </w:p>
        </w:tc>
        <w:tc>
          <w:tcPr>
            <w:tcW w:w="100" w:type="dxa"/>
            <w:vAlign w:val="bottom"/>
          </w:tcPr>
          <w:p>
            <w:pPr>
              <w:spacing w:after="0"/>
              <w:rPr>
                <w:sz w:val="14"/>
                <w:szCs w:val="14"/>
                <w:color w:val="auto"/>
              </w:rPr>
            </w:pPr>
          </w:p>
        </w:tc>
        <w:tc>
          <w:tcPr>
            <w:tcW w:w="880" w:type="dxa"/>
            <w:vAlign w:val="bottom"/>
            <w:tcBorders>
              <w:top w:val="single" w:sz="8" w:color="520B90"/>
              <w:bottom w:val="single" w:sz="8" w:color="520B90"/>
            </w:tcBorders>
          </w:tcPr>
          <w:p>
            <w:pPr>
              <w:ind w:left="260"/>
              <w:spacing w:after="0"/>
              <w:rPr>
                <w:sz w:val="20"/>
                <w:szCs w:val="20"/>
                <w:color w:val="auto"/>
              </w:rPr>
            </w:pPr>
            <w:r>
              <w:rPr>
                <w:rFonts w:ascii="Arial" w:cs="Arial" w:eastAsia="Arial" w:hAnsi="Arial"/>
                <w:sz w:val="11"/>
                <w:szCs w:val="11"/>
                <w:b w:val="1"/>
                <w:bCs w:val="1"/>
                <w:color w:val="520B90"/>
              </w:rPr>
              <w:t>Brown</w:t>
            </w:r>
          </w:p>
        </w:tc>
        <w:tc>
          <w:tcPr>
            <w:tcW w:w="100" w:type="dxa"/>
            <w:vAlign w:val="bottom"/>
          </w:tcPr>
          <w:p>
            <w:pPr>
              <w:spacing w:after="0"/>
              <w:rPr>
                <w:sz w:val="14"/>
                <w:szCs w:val="14"/>
                <w:color w:val="auto"/>
              </w:rPr>
            </w:pPr>
          </w:p>
        </w:tc>
        <w:tc>
          <w:tcPr>
            <w:tcW w:w="880" w:type="dxa"/>
            <w:vAlign w:val="bottom"/>
            <w:tcBorders>
              <w:top w:val="single" w:sz="8" w:color="520B90"/>
              <w:bottom w:val="single" w:sz="8" w:color="520B90"/>
            </w:tcBorders>
          </w:tcPr>
          <w:p>
            <w:pPr>
              <w:ind w:left="260"/>
              <w:spacing w:after="0"/>
              <w:rPr>
                <w:sz w:val="20"/>
                <w:szCs w:val="20"/>
                <w:color w:val="auto"/>
              </w:rPr>
            </w:pPr>
            <w:r>
              <w:rPr>
                <w:rFonts w:ascii="Arial" w:cs="Arial" w:eastAsia="Arial" w:hAnsi="Arial"/>
                <w:sz w:val="11"/>
                <w:szCs w:val="11"/>
                <w:b w:val="1"/>
                <w:bCs w:val="1"/>
                <w:color w:val="520B90"/>
              </w:rPr>
              <w:t>Brown</w:t>
            </w:r>
          </w:p>
        </w:tc>
      </w:tr>
      <w:tr>
        <w:trPr>
          <w:trHeight w:val="164"/>
        </w:trPr>
        <w:tc>
          <w:tcPr>
            <w:tcW w:w="880" w:type="dxa"/>
            <w:vAlign w:val="bottom"/>
            <w:tcBorders>
              <w:bottom w:val="single" w:sz="8" w:color="520B90"/>
            </w:tcBorders>
            <w:shd w:val="clear" w:color="auto" w:fill="E6E7E7"/>
          </w:tcPr>
          <w:p>
            <w:pPr>
              <w:jc w:val="center"/>
              <w:spacing w:after="0"/>
              <w:rPr>
                <w:sz w:val="20"/>
                <w:szCs w:val="20"/>
                <w:color w:val="auto"/>
              </w:rPr>
            </w:pPr>
            <w:r>
              <w:rPr>
                <w:rFonts w:ascii="Arial" w:cs="Arial" w:eastAsia="Arial" w:hAnsi="Arial"/>
                <w:sz w:val="11"/>
                <w:szCs w:val="11"/>
                <w:color w:val="auto"/>
              </w:rPr>
              <w:t>18,218,454</w:t>
            </w:r>
          </w:p>
        </w:tc>
        <w:tc>
          <w:tcPr>
            <w:tcW w:w="820" w:type="dxa"/>
            <w:vAlign w:val="bottom"/>
            <w:tcBorders>
              <w:bottom w:val="single" w:sz="8" w:color="520B90"/>
            </w:tcBorders>
            <w:shd w:val="clear" w:color="auto" w:fill="E6E7E7"/>
          </w:tcPr>
          <w:p>
            <w:pPr>
              <w:jc w:val="center"/>
              <w:spacing w:after="0"/>
              <w:rPr>
                <w:sz w:val="20"/>
                <w:szCs w:val="20"/>
                <w:color w:val="auto"/>
              </w:rPr>
            </w:pPr>
            <w:r>
              <w:rPr>
                <w:rFonts w:ascii="Arial" w:cs="Arial" w:eastAsia="Arial" w:hAnsi="Arial"/>
                <w:sz w:val="11"/>
                <w:szCs w:val="11"/>
                <w:color w:val="auto"/>
              </w:rPr>
              <w:t>12,035,100</w:t>
            </w:r>
          </w:p>
        </w:tc>
        <w:tc>
          <w:tcPr>
            <w:tcW w:w="880" w:type="dxa"/>
            <w:vAlign w:val="bottom"/>
            <w:tcBorders>
              <w:bottom w:val="single" w:sz="8" w:color="520B90"/>
            </w:tcBorders>
            <w:shd w:val="clear" w:color="auto" w:fill="E6E7E7"/>
          </w:tcPr>
          <w:p>
            <w:pPr>
              <w:jc w:val="center"/>
              <w:spacing w:after="0"/>
              <w:rPr>
                <w:sz w:val="20"/>
                <w:szCs w:val="20"/>
                <w:color w:val="auto"/>
              </w:rPr>
            </w:pPr>
            <w:r>
              <w:rPr>
                <w:rFonts w:ascii="Arial" w:cs="Arial" w:eastAsia="Arial" w:hAnsi="Arial"/>
                <w:sz w:val="11"/>
                <w:szCs w:val="11"/>
                <w:color w:val="auto"/>
              </w:rPr>
              <w:t>14,154,801</w:t>
            </w:r>
          </w:p>
        </w:tc>
        <w:tc>
          <w:tcPr>
            <w:tcW w:w="80" w:type="dxa"/>
            <w:vAlign w:val="bottom"/>
          </w:tcPr>
          <w:p>
            <w:pPr>
              <w:spacing w:after="0"/>
              <w:rPr>
                <w:sz w:val="14"/>
                <w:szCs w:val="14"/>
                <w:color w:val="auto"/>
              </w:rPr>
            </w:pPr>
          </w:p>
        </w:tc>
        <w:tc>
          <w:tcPr>
            <w:tcW w:w="800" w:type="dxa"/>
            <w:vAlign w:val="bottom"/>
            <w:tcBorders>
              <w:bottom w:val="single" w:sz="8" w:color="520B90"/>
            </w:tcBorders>
            <w:shd w:val="clear" w:color="auto" w:fill="E6E7E7"/>
          </w:tcPr>
          <w:p>
            <w:pPr>
              <w:jc w:val="center"/>
              <w:spacing w:after="0"/>
              <w:rPr>
                <w:sz w:val="20"/>
                <w:szCs w:val="20"/>
                <w:color w:val="auto"/>
              </w:rPr>
            </w:pPr>
            <w:r>
              <w:rPr>
                <w:rFonts w:ascii="Arial" w:cs="Arial" w:eastAsia="Arial" w:hAnsi="Arial"/>
                <w:sz w:val="11"/>
                <w:szCs w:val="11"/>
                <w:color w:val="auto"/>
              </w:rPr>
              <w:t>530,524</w:t>
            </w:r>
          </w:p>
        </w:tc>
        <w:tc>
          <w:tcPr>
            <w:tcW w:w="800" w:type="dxa"/>
            <w:vAlign w:val="bottom"/>
            <w:tcBorders>
              <w:bottom w:val="single" w:sz="8" w:color="520B90"/>
            </w:tcBorders>
            <w:shd w:val="clear" w:color="auto" w:fill="E6E7E7"/>
          </w:tcPr>
          <w:p>
            <w:pPr>
              <w:jc w:val="center"/>
              <w:spacing w:after="0"/>
              <w:rPr>
                <w:sz w:val="20"/>
                <w:szCs w:val="20"/>
                <w:color w:val="auto"/>
              </w:rPr>
            </w:pPr>
            <w:r>
              <w:rPr>
                <w:rFonts w:ascii="Arial" w:cs="Arial" w:eastAsia="Arial" w:hAnsi="Arial"/>
                <w:sz w:val="11"/>
                <w:szCs w:val="11"/>
                <w:color w:val="auto"/>
              </w:rPr>
              <w:t>5,661,834</w:t>
            </w:r>
          </w:p>
        </w:tc>
        <w:tc>
          <w:tcPr>
            <w:tcW w:w="880" w:type="dxa"/>
            <w:vAlign w:val="bottom"/>
            <w:tcBorders>
              <w:bottom w:val="single" w:sz="8" w:color="520B90"/>
            </w:tcBorders>
            <w:shd w:val="clear" w:color="auto" w:fill="E6E7E7"/>
          </w:tcPr>
          <w:p>
            <w:pPr>
              <w:jc w:val="center"/>
              <w:spacing w:after="0"/>
              <w:rPr>
                <w:sz w:val="20"/>
                <w:szCs w:val="20"/>
                <w:color w:val="auto"/>
              </w:rPr>
            </w:pPr>
            <w:r>
              <w:rPr>
                <w:rFonts w:ascii="Arial" w:cs="Arial" w:eastAsia="Arial" w:hAnsi="Arial"/>
                <w:sz w:val="11"/>
                <w:szCs w:val="11"/>
                <w:color w:val="auto"/>
              </w:rPr>
              <w:t>16,441,775</w:t>
            </w:r>
          </w:p>
        </w:tc>
        <w:tc>
          <w:tcPr>
            <w:tcW w:w="100" w:type="dxa"/>
            <w:vAlign w:val="bottom"/>
          </w:tcPr>
          <w:p>
            <w:pPr>
              <w:spacing w:after="0"/>
              <w:rPr>
                <w:sz w:val="14"/>
                <w:szCs w:val="14"/>
                <w:color w:val="auto"/>
              </w:rPr>
            </w:pPr>
          </w:p>
        </w:tc>
        <w:tc>
          <w:tcPr>
            <w:tcW w:w="880" w:type="dxa"/>
            <w:vAlign w:val="bottom"/>
            <w:tcBorders>
              <w:bottom w:val="single" w:sz="8" w:color="520B90"/>
            </w:tcBorders>
            <w:shd w:val="clear" w:color="auto" w:fill="E6E7E7"/>
          </w:tcPr>
          <w:p>
            <w:pPr>
              <w:jc w:val="center"/>
              <w:spacing w:after="0"/>
              <w:rPr>
                <w:sz w:val="20"/>
                <w:szCs w:val="20"/>
                <w:color w:val="auto"/>
              </w:rPr>
            </w:pPr>
            <w:r>
              <w:rPr>
                <w:rFonts w:ascii="Arial" w:cs="Arial" w:eastAsia="Arial" w:hAnsi="Arial"/>
                <w:sz w:val="11"/>
                <w:szCs w:val="11"/>
                <w:color w:val="auto"/>
              </w:rPr>
              <w:t>14,676,171</w:t>
            </w:r>
          </w:p>
        </w:tc>
        <w:tc>
          <w:tcPr>
            <w:tcW w:w="100" w:type="dxa"/>
            <w:vAlign w:val="bottom"/>
          </w:tcPr>
          <w:p>
            <w:pPr>
              <w:spacing w:after="0"/>
              <w:rPr>
                <w:sz w:val="14"/>
                <w:szCs w:val="14"/>
                <w:color w:val="auto"/>
              </w:rPr>
            </w:pPr>
          </w:p>
        </w:tc>
        <w:tc>
          <w:tcPr>
            <w:tcW w:w="880" w:type="dxa"/>
            <w:vAlign w:val="bottom"/>
            <w:tcBorders>
              <w:bottom w:val="single" w:sz="8" w:color="520B90"/>
            </w:tcBorders>
            <w:shd w:val="clear" w:color="auto" w:fill="E6E7E7"/>
          </w:tcPr>
          <w:p>
            <w:pPr>
              <w:jc w:val="center"/>
              <w:spacing w:after="0"/>
              <w:rPr>
                <w:sz w:val="20"/>
                <w:szCs w:val="20"/>
                <w:color w:val="auto"/>
              </w:rPr>
            </w:pPr>
            <w:r>
              <w:rPr>
                <w:rFonts w:ascii="Arial" w:cs="Arial" w:eastAsia="Arial" w:hAnsi="Arial"/>
                <w:sz w:val="11"/>
                <w:szCs w:val="11"/>
                <w:color w:val="auto"/>
              </w:rPr>
              <w:t>12,450,777</w:t>
            </w:r>
          </w:p>
        </w:tc>
        <w:tc>
          <w:tcPr>
            <w:tcW w:w="100" w:type="dxa"/>
            <w:vAlign w:val="bottom"/>
          </w:tcPr>
          <w:p>
            <w:pPr>
              <w:spacing w:after="0"/>
              <w:rPr>
                <w:sz w:val="14"/>
                <w:szCs w:val="14"/>
                <w:color w:val="auto"/>
              </w:rPr>
            </w:pPr>
          </w:p>
        </w:tc>
        <w:tc>
          <w:tcPr>
            <w:tcW w:w="880" w:type="dxa"/>
            <w:vAlign w:val="bottom"/>
            <w:tcBorders>
              <w:bottom w:val="single" w:sz="8" w:color="520B90"/>
            </w:tcBorders>
            <w:shd w:val="clear" w:color="auto" w:fill="E6E7E7"/>
          </w:tcPr>
          <w:p>
            <w:pPr>
              <w:jc w:val="center"/>
              <w:spacing w:after="0"/>
              <w:rPr>
                <w:sz w:val="20"/>
                <w:szCs w:val="20"/>
                <w:color w:val="auto"/>
              </w:rPr>
            </w:pPr>
            <w:r>
              <w:rPr>
                <w:rFonts w:ascii="Arial" w:cs="Arial" w:eastAsia="Arial" w:hAnsi="Arial"/>
                <w:sz w:val="11"/>
                <w:szCs w:val="11"/>
                <w:color w:val="auto"/>
              </w:rPr>
              <w:t>14,553,510</w:t>
            </w:r>
          </w:p>
        </w:tc>
      </w:tr>
      <w:tr>
        <w:trPr>
          <w:trHeight w:val="179"/>
        </w:trPr>
        <w:tc>
          <w:tcPr>
            <w:tcW w:w="880" w:type="dxa"/>
            <w:vAlign w:val="bottom"/>
            <w:tcBorders>
              <w:bottom w:val="single" w:sz="8" w:color="520B90"/>
            </w:tcBorders>
          </w:tcPr>
          <w:p>
            <w:pPr>
              <w:spacing w:after="0"/>
              <w:rPr>
                <w:sz w:val="15"/>
                <w:szCs w:val="15"/>
                <w:color w:val="auto"/>
              </w:rPr>
            </w:pPr>
          </w:p>
        </w:tc>
        <w:tc>
          <w:tcPr>
            <w:tcW w:w="820" w:type="dxa"/>
            <w:vAlign w:val="bottom"/>
            <w:tcBorders>
              <w:bottom w:val="single" w:sz="8" w:color="520B90"/>
            </w:tcBorders>
          </w:tcPr>
          <w:p>
            <w:pPr>
              <w:spacing w:after="0"/>
              <w:rPr>
                <w:sz w:val="15"/>
                <w:szCs w:val="15"/>
                <w:color w:val="auto"/>
              </w:rPr>
            </w:pPr>
          </w:p>
        </w:tc>
        <w:tc>
          <w:tcPr>
            <w:tcW w:w="880" w:type="dxa"/>
            <w:vAlign w:val="bottom"/>
            <w:tcBorders>
              <w:bottom w:val="single" w:sz="8" w:color="520B90"/>
            </w:tcBorders>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bottom w:val="single" w:sz="8" w:color="520B90"/>
            </w:tcBorders>
          </w:tcPr>
          <w:p>
            <w:pPr>
              <w:spacing w:after="0"/>
              <w:rPr>
                <w:sz w:val="15"/>
                <w:szCs w:val="15"/>
                <w:color w:val="auto"/>
              </w:rPr>
            </w:pPr>
          </w:p>
        </w:tc>
        <w:tc>
          <w:tcPr>
            <w:tcW w:w="800" w:type="dxa"/>
            <w:vAlign w:val="bottom"/>
            <w:tcBorders>
              <w:bottom w:val="single" w:sz="8" w:color="520B90"/>
            </w:tcBorders>
          </w:tcPr>
          <w:p>
            <w:pPr>
              <w:spacing w:after="0"/>
              <w:rPr>
                <w:sz w:val="15"/>
                <w:szCs w:val="15"/>
                <w:color w:val="auto"/>
              </w:rPr>
            </w:pPr>
          </w:p>
        </w:tc>
        <w:tc>
          <w:tcPr>
            <w:tcW w:w="880" w:type="dxa"/>
            <w:vAlign w:val="bottom"/>
            <w:tcBorders>
              <w:bottom w:val="single" w:sz="8" w:color="520B90"/>
            </w:tcBorders>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bottom w:val="single" w:sz="8" w:color="520B90"/>
            </w:tcBorders>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bottom w:val="single" w:sz="8" w:color="520B90"/>
            </w:tcBorders>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bottom w:val="single" w:sz="8" w:color="520B90"/>
            </w:tcBorders>
          </w:tcPr>
          <w:p>
            <w:pPr>
              <w:spacing w:after="0"/>
              <w:rPr>
                <w:sz w:val="15"/>
                <w:szCs w:val="15"/>
                <w:color w:val="auto"/>
              </w:rPr>
            </w:pPr>
          </w:p>
        </w:tc>
      </w:tr>
      <w:tr>
        <w:trPr>
          <w:trHeight w:val="172"/>
        </w:trPr>
        <w:tc>
          <w:tcPr>
            <w:tcW w:w="880" w:type="dxa"/>
            <w:vAlign w:val="bottom"/>
            <w:shd w:val="clear" w:color="auto" w:fill="E6E7E7"/>
          </w:tcPr>
          <w:p>
            <w:pPr>
              <w:jc w:val="center"/>
              <w:spacing w:after="0"/>
              <w:rPr>
                <w:sz w:val="20"/>
                <w:szCs w:val="20"/>
                <w:color w:val="auto"/>
              </w:rPr>
            </w:pPr>
            <w:r>
              <w:rPr>
                <w:rFonts w:ascii="Arial" w:cs="Arial" w:eastAsia="Arial" w:hAnsi="Arial"/>
                <w:sz w:val="11"/>
                <w:szCs w:val="11"/>
                <w:color w:val="auto"/>
              </w:rPr>
              <w:t>(12,504,484)</w:t>
            </w:r>
          </w:p>
        </w:tc>
        <w:tc>
          <w:tcPr>
            <w:tcW w:w="820" w:type="dxa"/>
            <w:vAlign w:val="bottom"/>
            <w:shd w:val="clear" w:color="auto" w:fill="E6E7E7"/>
          </w:tcPr>
          <w:p>
            <w:pPr>
              <w:jc w:val="center"/>
              <w:spacing w:after="0"/>
              <w:rPr>
                <w:sz w:val="20"/>
                <w:szCs w:val="20"/>
                <w:color w:val="auto"/>
              </w:rPr>
            </w:pPr>
            <w:r>
              <w:rPr>
                <w:rFonts w:ascii="Arial" w:cs="Arial" w:eastAsia="Arial" w:hAnsi="Arial"/>
                <w:sz w:val="11"/>
                <w:szCs w:val="11"/>
                <w:color w:val="auto"/>
              </w:rPr>
              <w:t>(9,885,430)</w:t>
            </w:r>
          </w:p>
        </w:tc>
        <w:tc>
          <w:tcPr>
            <w:tcW w:w="880" w:type="dxa"/>
            <w:vAlign w:val="bottom"/>
            <w:shd w:val="clear" w:color="auto" w:fill="E6E7E7"/>
          </w:tcPr>
          <w:p>
            <w:pPr>
              <w:jc w:val="center"/>
              <w:spacing w:after="0"/>
              <w:rPr>
                <w:sz w:val="20"/>
                <w:szCs w:val="20"/>
                <w:color w:val="auto"/>
              </w:rPr>
            </w:pPr>
            <w:r>
              <w:rPr>
                <w:rFonts w:ascii="Arial" w:cs="Arial" w:eastAsia="Arial" w:hAnsi="Arial"/>
                <w:sz w:val="11"/>
                <w:szCs w:val="11"/>
                <w:color w:val="auto"/>
              </w:rPr>
              <w:t>(12,147,036)</w:t>
            </w:r>
          </w:p>
        </w:tc>
        <w:tc>
          <w:tcPr>
            <w:tcW w:w="80" w:type="dxa"/>
            <w:vAlign w:val="bottom"/>
          </w:tcPr>
          <w:p>
            <w:pPr>
              <w:spacing w:after="0"/>
              <w:rPr>
                <w:sz w:val="14"/>
                <w:szCs w:val="14"/>
                <w:color w:val="auto"/>
              </w:rPr>
            </w:pPr>
          </w:p>
        </w:tc>
        <w:tc>
          <w:tcPr>
            <w:tcW w:w="800" w:type="dxa"/>
            <w:vAlign w:val="bottom"/>
            <w:shd w:val="clear" w:color="auto" w:fill="E6E7E7"/>
          </w:tcPr>
          <w:p>
            <w:pPr>
              <w:jc w:val="center"/>
              <w:spacing w:after="0"/>
              <w:rPr>
                <w:sz w:val="20"/>
                <w:szCs w:val="20"/>
                <w:color w:val="auto"/>
              </w:rPr>
            </w:pPr>
            <w:r>
              <w:rPr>
                <w:rFonts w:ascii="Arial" w:cs="Arial" w:eastAsia="Arial" w:hAnsi="Arial"/>
                <w:sz w:val="11"/>
                <w:szCs w:val="11"/>
                <w:color w:val="auto"/>
              </w:rPr>
              <w:t>—</w:t>
            </w:r>
          </w:p>
        </w:tc>
        <w:tc>
          <w:tcPr>
            <w:tcW w:w="800" w:type="dxa"/>
            <w:vAlign w:val="bottom"/>
            <w:shd w:val="clear" w:color="auto" w:fill="E6E7E7"/>
          </w:tcPr>
          <w:p>
            <w:pPr>
              <w:jc w:val="center"/>
              <w:spacing w:after="0"/>
              <w:rPr>
                <w:sz w:val="20"/>
                <w:szCs w:val="20"/>
                <w:color w:val="auto"/>
              </w:rPr>
            </w:pPr>
            <w:r>
              <w:rPr>
                <w:rFonts w:ascii="Arial" w:cs="Arial" w:eastAsia="Arial" w:hAnsi="Arial"/>
                <w:sz w:val="11"/>
                <w:szCs w:val="11"/>
                <w:color w:val="auto"/>
              </w:rPr>
              <w:t>(4,329,906)</w:t>
            </w:r>
          </w:p>
        </w:tc>
        <w:tc>
          <w:tcPr>
            <w:tcW w:w="880" w:type="dxa"/>
            <w:vAlign w:val="bottom"/>
            <w:shd w:val="clear" w:color="auto" w:fill="E6E7E7"/>
          </w:tcPr>
          <w:p>
            <w:pPr>
              <w:jc w:val="center"/>
              <w:spacing w:after="0"/>
              <w:rPr>
                <w:sz w:val="20"/>
                <w:szCs w:val="20"/>
                <w:color w:val="auto"/>
              </w:rPr>
            </w:pPr>
            <w:r>
              <w:rPr>
                <w:rFonts w:ascii="Arial" w:cs="Arial" w:eastAsia="Arial" w:hAnsi="Arial"/>
                <w:sz w:val="11"/>
                <w:szCs w:val="11"/>
                <w:color w:val="auto"/>
              </w:rPr>
              <w:t>(14,566,409)</w:t>
            </w:r>
          </w:p>
        </w:tc>
        <w:tc>
          <w:tcPr>
            <w:tcW w:w="100" w:type="dxa"/>
            <w:vAlign w:val="bottom"/>
          </w:tcPr>
          <w:p>
            <w:pPr>
              <w:spacing w:after="0"/>
              <w:rPr>
                <w:sz w:val="14"/>
                <w:szCs w:val="14"/>
                <w:color w:val="auto"/>
              </w:rPr>
            </w:pPr>
          </w:p>
        </w:tc>
        <w:tc>
          <w:tcPr>
            <w:tcW w:w="880" w:type="dxa"/>
            <w:vAlign w:val="bottom"/>
            <w:shd w:val="clear" w:color="auto" w:fill="E6E7E7"/>
          </w:tcPr>
          <w:p>
            <w:pPr>
              <w:jc w:val="center"/>
              <w:spacing w:after="0"/>
              <w:rPr>
                <w:sz w:val="20"/>
                <w:szCs w:val="20"/>
                <w:color w:val="auto"/>
              </w:rPr>
            </w:pPr>
            <w:r>
              <w:rPr>
                <w:rFonts w:ascii="Arial" w:cs="Arial" w:eastAsia="Arial" w:hAnsi="Arial"/>
                <w:sz w:val="11"/>
                <w:szCs w:val="11"/>
                <w:color w:val="auto"/>
              </w:rPr>
              <w:t>(12,020,551)</w:t>
            </w:r>
          </w:p>
        </w:tc>
        <w:tc>
          <w:tcPr>
            <w:tcW w:w="100" w:type="dxa"/>
            <w:vAlign w:val="bottom"/>
          </w:tcPr>
          <w:p>
            <w:pPr>
              <w:spacing w:after="0"/>
              <w:rPr>
                <w:sz w:val="14"/>
                <w:szCs w:val="14"/>
                <w:color w:val="auto"/>
              </w:rPr>
            </w:pPr>
          </w:p>
        </w:tc>
        <w:tc>
          <w:tcPr>
            <w:tcW w:w="880" w:type="dxa"/>
            <w:vAlign w:val="bottom"/>
            <w:shd w:val="clear" w:color="auto" w:fill="E6E7E7"/>
          </w:tcPr>
          <w:p>
            <w:pPr>
              <w:jc w:val="center"/>
              <w:spacing w:after="0"/>
              <w:rPr>
                <w:sz w:val="20"/>
                <w:szCs w:val="20"/>
                <w:color w:val="auto"/>
              </w:rPr>
            </w:pPr>
            <w:r>
              <w:rPr>
                <w:rFonts w:ascii="Arial" w:cs="Arial" w:eastAsia="Arial" w:hAnsi="Arial"/>
                <w:sz w:val="11"/>
                <w:szCs w:val="11"/>
                <w:color w:val="auto"/>
              </w:rPr>
              <w:t>(8,739,976)</w:t>
            </w:r>
          </w:p>
        </w:tc>
        <w:tc>
          <w:tcPr>
            <w:tcW w:w="100" w:type="dxa"/>
            <w:vAlign w:val="bottom"/>
          </w:tcPr>
          <w:p>
            <w:pPr>
              <w:spacing w:after="0"/>
              <w:rPr>
                <w:sz w:val="14"/>
                <w:szCs w:val="14"/>
                <w:color w:val="auto"/>
              </w:rPr>
            </w:pPr>
          </w:p>
        </w:tc>
        <w:tc>
          <w:tcPr>
            <w:tcW w:w="880" w:type="dxa"/>
            <w:vAlign w:val="bottom"/>
            <w:shd w:val="clear" w:color="auto" w:fill="E6E7E7"/>
          </w:tcPr>
          <w:p>
            <w:pPr>
              <w:jc w:val="center"/>
              <w:spacing w:after="0"/>
              <w:rPr>
                <w:sz w:val="20"/>
                <w:szCs w:val="20"/>
                <w:color w:val="auto"/>
              </w:rPr>
            </w:pPr>
            <w:r>
              <w:rPr>
                <w:rFonts w:ascii="Arial" w:cs="Arial" w:eastAsia="Arial" w:hAnsi="Arial"/>
                <w:sz w:val="11"/>
                <w:szCs w:val="11"/>
                <w:color w:val="auto"/>
              </w:rPr>
              <w:t>(10,504,164)</w:t>
            </w:r>
          </w:p>
        </w:tc>
      </w:tr>
      <w:tr>
        <w:trPr>
          <w:trHeight w:val="208"/>
        </w:trPr>
        <w:tc>
          <w:tcPr>
            <w:tcW w:w="880" w:type="dxa"/>
            <w:vAlign w:val="bottom"/>
          </w:tcPr>
          <w:p>
            <w:pPr>
              <w:jc w:val="center"/>
              <w:spacing w:after="0"/>
              <w:rPr>
                <w:sz w:val="20"/>
                <w:szCs w:val="20"/>
                <w:color w:val="auto"/>
              </w:rPr>
            </w:pPr>
            <w:r>
              <w:rPr>
                <w:rFonts w:ascii="Arial" w:cs="Arial" w:eastAsia="Arial" w:hAnsi="Arial"/>
                <w:sz w:val="11"/>
                <w:szCs w:val="11"/>
                <w:color w:val="auto"/>
              </w:rPr>
              <w:t>3,213,450</w:t>
            </w:r>
          </w:p>
        </w:tc>
        <w:tc>
          <w:tcPr>
            <w:tcW w:w="820" w:type="dxa"/>
            <w:vAlign w:val="bottom"/>
          </w:tcPr>
          <w:p>
            <w:pPr>
              <w:jc w:val="center"/>
              <w:spacing w:after="0"/>
              <w:rPr>
                <w:sz w:val="20"/>
                <w:szCs w:val="20"/>
                <w:color w:val="auto"/>
              </w:rPr>
            </w:pPr>
            <w:r>
              <w:rPr>
                <w:rFonts w:ascii="Arial" w:cs="Arial" w:eastAsia="Arial" w:hAnsi="Arial"/>
                <w:sz w:val="11"/>
                <w:szCs w:val="11"/>
                <w:color w:val="auto"/>
              </w:rPr>
              <w:t>8,176,911</w:t>
            </w:r>
          </w:p>
        </w:tc>
        <w:tc>
          <w:tcPr>
            <w:tcW w:w="880" w:type="dxa"/>
            <w:vAlign w:val="bottom"/>
          </w:tcPr>
          <w:p>
            <w:pPr>
              <w:jc w:val="center"/>
              <w:spacing w:after="0"/>
              <w:rPr>
                <w:sz w:val="20"/>
                <w:szCs w:val="20"/>
                <w:color w:val="auto"/>
              </w:rPr>
            </w:pPr>
            <w:r>
              <w:rPr>
                <w:rFonts w:ascii="Arial" w:cs="Arial" w:eastAsia="Arial" w:hAnsi="Arial"/>
                <w:sz w:val="11"/>
                <w:szCs w:val="11"/>
                <w:color w:val="auto"/>
              </w:rPr>
              <w:t>11,527,476</w:t>
            </w:r>
          </w:p>
        </w:tc>
        <w:tc>
          <w:tcPr>
            <w:tcW w:w="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1"/>
                <w:szCs w:val="11"/>
                <w:color w:val="auto"/>
              </w:rPr>
              <w:t>—</w:t>
            </w:r>
          </w:p>
        </w:tc>
        <w:tc>
          <w:tcPr>
            <w:tcW w:w="800" w:type="dxa"/>
            <w:vAlign w:val="bottom"/>
          </w:tcPr>
          <w:p>
            <w:pPr>
              <w:jc w:val="center"/>
              <w:spacing w:after="0"/>
              <w:rPr>
                <w:sz w:val="20"/>
                <w:szCs w:val="20"/>
                <w:color w:val="auto"/>
              </w:rPr>
            </w:pPr>
            <w:r>
              <w:rPr>
                <w:rFonts w:ascii="Arial" w:cs="Arial" w:eastAsia="Arial" w:hAnsi="Arial"/>
                <w:sz w:val="11"/>
                <w:szCs w:val="11"/>
                <w:color w:val="auto"/>
              </w:rPr>
              <w:t>—</w:t>
            </w:r>
          </w:p>
        </w:tc>
        <w:tc>
          <w:tcPr>
            <w:tcW w:w="880" w:type="dxa"/>
            <w:vAlign w:val="bottom"/>
          </w:tcPr>
          <w:p>
            <w:pPr>
              <w:jc w:val="center"/>
              <w:spacing w:after="0"/>
              <w:rPr>
                <w:sz w:val="20"/>
                <w:szCs w:val="20"/>
                <w:color w:val="auto"/>
              </w:rPr>
            </w:pPr>
            <w:r>
              <w:rPr>
                <w:rFonts w:ascii="Arial" w:cs="Arial" w:eastAsia="Arial" w:hAnsi="Arial"/>
                <w:sz w:val="11"/>
                <w:szCs w:val="11"/>
                <w:color w:val="auto"/>
              </w:rPr>
              <w:t>11,968,032</w:t>
            </w:r>
          </w:p>
        </w:tc>
        <w:tc>
          <w:tcPr>
            <w:tcW w:w="980" w:type="dxa"/>
            <w:vAlign w:val="bottom"/>
            <w:gridSpan w:val="2"/>
          </w:tcPr>
          <w:p>
            <w:pPr>
              <w:jc w:val="center"/>
              <w:ind w:left="43"/>
              <w:spacing w:after="0"/>
              <w:rPr>
                <w:sz w:val="20"/>
                <w:szCs w:val="20"/>
                <w:color w:val="auto"/>
              </w:rPr>
            </w:pPr>
            <w:r>
              <w:rPr>
                <w:rFonts w:ascii="Arial" w:cs="Arial" w:eastAsia="Arial" w:hAnsi="Arial"/>
                <w:sz w:val="11"/>
                <w:szCs w:val="11"/>
                <w:color w:val="auto"/>
              </w:rPr>
              <w:t>8,126,778</w:t>
            </w:r>
          </w:p>
        </w:tc>
        <w:tc>
          <w:tcPr>
            <w:tcW w:w="980" w:type="dxa"/>
            <w:vAlign w:val="bottom"/>
            <w:gridSpan w:val="2"/>
          </w:tcPr>
          <w:p>
            <w:pPr>
              <w:jc w:val="center"/>
              <w:ind w:left="43"/>
              <w:spacing w:after="0"/>
              <w:rPr>
                <w:sz w:val="20"/>
                <w:szCs w:val="20"/>
                <w:color w:val="auto"/>
              </w:rPr>
            </w:pPr>
            <w:r>
              <w:rPr>
                <w:rFonts w:ascii="Arial" w:cs="Arial" w:eastAsia="Arial" w:hAnsi="Arial"/>
                <w:sz w:val="11"/>
                <w:szCs w:val="11"/>
                <w:color w:val="auto"/>
              </w:rPr>
              <w:t>5,571,608</w:t>
            </w:r>
          </w:p>
        </w:tc>
        <w:tc>
          <w:tcPr>
            <w:tcW w:w="980" w:type="dxa"/>
            <w:vAlign w:val="bottom"/>
            <w:gridSpan w:val="2"/>
          </w:tcPr>
          <w:p>
            <w:pPr>
              <w:jc w:val="center"/>
              <w:ind w:left="43"/>
              <w:spacing w:after="0"/>
              <w:rPr>
                <w:sz w:val="20"/>
                <w:szCs w:val="20"/>
                <w:color w:val="auto"/>
              </w:rPr>
            </w:pPr>
            <w:r>
              <w:rPr>
                <w:rFonts w:ascii="Arial" w:cs="Arial" w:eastAsia="Arial" w:hAnsi="Arial"/>
                <w:sz w:val="11"/>
                <w:szCs w:val="11"/>
                <w:color w:val="auto"/>
              </w:rPr>
              <w:t>15,297,424</w:t>
            </w:r>
          </w:p>
        </w:tc>
      </w:tr>
      <w:tr>
        <w:trPr>
          <w:trHeight w:val="70"/>
        </w:trPr>
        <w:tc>
          <w:tcPr>
            <w:tcW w:w="8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80" w:type="dxa"/>
            <w:vAlign w:val="bottom"/>
            <w:gridSpan w:val="2"/>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980" w:type="dxa"/>
            <w:vAlign w:val="bottom"/>
            <w:gridSpan w:val="2"/>
          </w:tcPr>
          <w:p>
            <w:pPr>
              <w:spacing w:after="0"/>
              <w:rPr>
                <w:sz w:val="6"/>
                <w:szCs w:val="6"/>
                <w:color w:val="auto"/>
              </w:rPr>
            </w:pPr>
          </w:p>
        </w:tc>
        <w:tc>
          <w:tcPr>
            <w:tcW w:w="980" w:type="dxa"/>
            <w:vAlign w:val="bottom"/>
            <w:gridSpan w:val="2"/>
          </w:tcPr>
          <w:p>
            <w:pPr>
              <w:spacing w:after="0"/>
              <w:rPr>
                <w:sz w:val="6"/>
                <w:szCs w:val="6"/>
                <w:color w:val="auto"/>
              </w:rPr>
            </w:pPr>
          </w:p>
        </w:tc>
        <w:tc>
          <w:tcPr>
            <w:tcW w:w="980" w:type="dxa"/>
            <w:vAlign w:val="bottom"/>
            <w:gridSpan w:val="2"/>
          </w:tcPr>
          <w:p>
            <w:pPr>
              <w:spacing w:after="0"/>
              <w:rPr>
                <w:sz w:val="6"/>
                <w:szCs w:val="6"/>
                <w:color w:val="auto"/>
              </w:rPr>
            </w:pPr>
          </w:p>
        </w:tc>
      </w:tr>
      <w:tr>
        <w:trPr>
          <w:trHeight w:val="208"/>
        </w:trPr>
        <w:tc>
          <w:tcPr>
            <w:tcW w:w="880" w:type="dxa"/>
            <w:vAlign w:val="bottom"/>
            <w:shd w:val="clear" w:color="auto" w:fill="E6E7E7"/>
          </w:tcPr>
          <w:p>
            <w:pPr>
              <w:jc w:val="center"/>
              <w:spacing w:after="0"/>
              <w:rPr>
                <w:sz w:val="20"/>
                <w:szCs w:val="20"/>
                <w:color w:val="auto"/>
              </w:rPr>
            </w:pPr>
            <w:r>
              <w:rPr>
                <w:rFonts w:ascii="Arial" w:cs="Arial" w:eastAsia="Arial" w:hAnsi="Arial"/>
                <w:sz w:val="11"/>
                <w:szCs w:val="11"/>
                <w:color w:val="auto"/>
              </w:rPr>
              <w:t>(746,385)</w:t>
            </w:r>
          </w:p>
        </w:tc>
        <w:tc>
          <w:tcPr>
            <w:tcW w:w="820" w:type="dxa"/>
            <w:vAlign w:val="bottom"/>
            <w:shd w:val="clear" w:color="auto" w:fill="E6E7E7"/>
          </w:tcPr>
          <w:p>
            <w:pPr>
              <w:jc w:val="center"/>
              <w:spacing w:after="0"/>
              <w:rPr>
                <w:sz w:val="20"/>
                <w:szCs w:val="20"/>
                <w:color w:val="auto"/>
              </w:rPr>
            </w:pPr>
            <w:r>
              <w:rPr>
                <w:rFonts w:ascii="Arial" w:cs="Arial" w:eastAsia="Arial" w:hAnsi="Arial"/>
                <w:sz w:val="11"/>
                <w:szCs w:val="11"/>
                <w:color w:val="auto"/>
              </w:rPr>
              <w:t>(322,700)</w:t>
            </w:r>
          </w:p>
        </w:tc>
        <w:tc>
          <w:tcPr>
            <w:tcW w:w="880" w:type="dxa"/>
            <w:vAlign w:val="bottom"/>
            <w:shd w:val="clear" w:color="auto" w:fill="E6E7E7"/>
          </w:tcPr>
          <w:p>
            <w:pPr>
              <w:jc w:val="center"/>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800" w:type="dxa"/>
            <w:vAlign w:val="bottom"/>
            <w:shd w:val="clear" w:color="auto" w:fill="E6E7E7"/>
          </w:tcPr>
          <w:p>
            <w:pPr>
              <w:jc w:val="center"/>
              <w:spacing w:after="0"/>
              <w:rPr>
                <w:sz w:val="20"/>
                <w:szCs w:val="20"/>
                <w:color w:val="auto"/>
              </w:rPr>
            </w:pPr>
            <w:r>
              <w:rPr>
                <w:rFonts w:ascii="Arial" w:cs="Arial" w:eastAsia="Arial" w:hAnsi="Arial"/>
                <w:sz w:val="11"/>
                <w:szCs w:val="11"/>
                <w:color w:val="auto"/>
              </w:rPr>
              <w:t>(5,012,606)</w:t>
            </w:r>
          </w:p>
        </w:tc>
        <w:tc>
          <w:tcPr>
            <w:tcW w:w="800" w:type="dxa"/>
            <w:vAlign w:val="bottom"/>
            <w:shd w:val="clear" w:color="auto" w:fill="E6E7E7"/>
          </w:tcPr>
          <w:p>
            <w:pPr>
              <w:jc w:val="center"/>
              <w:spacing w:after="0"/>
              <w:rPr>
                <w:sz w:val="20"/>
                <w:szCs w:val="20"/>
                <w:color w:val="auto"/>
              </w:rPr>
            </w:pPr>
            <w:r>
              <w:rPr>
                <w:rFonts w:ascii="Arial" w:cs="Arial" w:eastAsia="Arial" w:hAnsi="Arial"/>
                <w:sz w:val="11"/>
                <w:szCs w:val="11"/>
                <w:color w:val="auto"/>
              </w:rPr>
              <w:t>—</w:t>
            </w:r>
          </w:p>
        </w:tc>
        <w:tc>
          <w:tcPr>
            <w:tcW w:w="880" w:type="dxa"/>
            <w:vAlign w:val="bottom"/>
            <w:shd w:val="clear" w:color="auto" w:fill="E6E7E7"/>
          </w:tcPr>
          <w:p>
            <w:pPr>
              <w:jc w:val="center"/>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880" w:type="dxa"/>
            <w:vAlign w:val="bottom"/>
            <w:shd w:val="clear" w:color="auto" w:fill="E6E7E7"/>
          </w:tcPr>
          <w:p>
            <w:pPr>
              <w:jc w:val="center"/>
              <w:spacing w:after="0"/>
              <w:rPr>
                <w:sz w:val="20"/>
                <w:szCs w:val="20"/>
                <w:color w:val="auto"/>
              </w:rPr>
            </w:pPr>
            <w:r>
              <w:rPr>
                <w:rFonts w:ascii="Arial" w:cs="Arial" w:eastAsia="Arial" w:hAnsi="Arial"/>
                <w:sz w:val="11"/>
                <w:szCs w:val="11"/>
                <w:color w:val="auto"/>
              </w:rPr>
              <w:t>(5,212,168)</w:t>
            </w:r>
          </w:p>
        </w:tc>
        <w:tc>
          <w:tcPr>
            <w:tcW w:w="100" w:type="dxa"/>
            <w:vAlign w:val="bottom"/>
          </w:tcPr>
          <w:p>
            <w:pPr>
              <w:spacing w:after="0"/>
              <w:rPr>
                <w:sz w:val="18"/>
                <w:szCs w:val="18"/>
                <w:color w:val="auto"/>
              </w:rPr>
            </w:pPr>
          </w:p>
        </w:tc>
        <w:tc>
          <w:tcPr>
            <w:tcW w:w="880" w:type="dxa"/>
            <w:vAlign w:val="bottom"/>
            <w:shd w:val="clear" w:color="auto" w:fill="E6E7E7"/>
          </w:tcPr>
          <w:p>
            <w:pPr>
              <w:jc w:val="center"/>
              <w:spacing w:after="0"/>
              <w:rPr>
                <w:sz w:val="20"/>
                <w:szCs w:val="20"/>
                <w:color w:val="auto"/>
              </w:rPr>
            </w:pPr>
            <w:r>
              <w:rPr>
                <w:rFonts w:ascii="Arial" w:cs="Arial" w:eastAsia="Arial" w:hAnsi="Arial"/>
                <w:sz w:val="11"/>
                <w:szCs w:val="11"/>
                <w:color w:val="auto"/>
              </w:rPr>
              <w:t>(26,050,018)</w:t>
            </w:r>
          </w:p>
        </w:tc>
        <w:tc>
          <w:tcPr>
            <w:tcW w:w="100" w:type="dxa"/>
            <w:vAlign w:val="bottom"/>
          </w:tcPr>
          <w:p>
            <w:pPr>
              <w:spacing w:after="0"/>
              <w:rPr>
                <w:sz w:val="18"/>
                <w:szCs w:val="18"/>
                <w:color w:val="auto"/>
              </w:rPr>
            </w:pPr>
          </w:p>
        </w:tc>
        <w:tc>
          <w:tcPr>
            <w:tcW w:w="880" w:type="dxa"/>
            <w:vAlign w:val="bottom"/>
            <w:shd w:val="clear" w:color="auto" w:fill="E6E7E7"/>
          </w:tcPr>
          <w:p>
            <w:pPr>
              <w:jc w:val="center"/>
              <w:spacing w:after="0"/>
              <w:rPr>
                <w:sz w:val="20"/>
                <w:szCs w:val="20"/>
                <w:color w:val="auto"/>
              </w:rPr>
            </w:pPr>
            <w:r>
              <w:rPr>
                <w:rFonts w:ascii="Arial" w:cs="Arial" w:eastAsia="Arial" w:hAnsi="Arial"/>
                <w:sz w:val="11"/>
                <w:szCs w:val="11"/>
                <w:color w:val="auto"/>
              </w:rPr>
              <w:t>18,685,093</w:t>
            </w:r>
          </w:p>
        </w:tc>
      </w:tr>
      <w:tr>
        <w:trPr>
          <w:trHeight w:val="70"/>
        </w:trPr>
        <w:tc>
          <w:tcPr>
            <w:tcW w:w="880" w:type="dxa"/>
            <w:vAlign w:val="bottom"/>
            <w:shd w:val="clear" w:color="auto" w:fill="E6E7E7"/>
          </w:tcPr>
          <w:p>
            <w:pPr>
              <w:spacing w:after="0"/>
              <w:rPr>
                <w:sz w:val="6"/>
                <w:szCs w:val="6"/>
                <w:color w:val="auto"/>
              </w:rPr>
            </w:pPr>
          </w:p>
        </w:tc>
        <w:tc>
          <w:tcPr>
            <w:tcW w:w="820" w:type="dxa"/>
            <w:vAlign w:val="bottom"/>
            <w:shd w:val="clear" w:color="auto" w:fill="E6E7E7"/>
          </w:tcPr>
          <w:p>
            <w:pPr>
              <w:spacing w:after="0"/>
              <w:rPr>
                <w:sz w:val="6"/>
                <w:szCs w:val="6"/>
                <w:color w:val="auto"/>
              </w:rPr>
            </w:pPr>
          </w:p>
        </w:tc>
        <w:tc>
          <w:tcPr>
            <w:tcW w:w="880" w:type="dxa"/>
            <w:vAlign w:val="bottom"/>
            <w:shd w:val="clear" w:color="auto" w:fill="E6E7E7"/>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shd w:val="clear" w:color="auto" w:fill="E6E7E7"/>
          </w:tcPr>
          <w:p>
            <w:pPr>
              <w:spacing w:after="0"/>
              <w:rPr>
                <w:sz w:val="6"/>
                <w:szCs w:val="6"/>
                <w:color w:val="auto"/>
              </w:rPr>
            </w:pPr>
          </w:p>
        </w:tc>
        <w:tc>
          <w:tcPr>
            <w:tcW w:w="800" w:type="dxa"/>
            <w:vAlign w:val="bottom"/>
            <w:shd w:val="clear" w:color="auto" w:fill="E6E7E7"/>
          </w:tcPr>
          <w:p>
            <w:pPr>
              <w:spacing w:after="0"/>
              <w:rPr>
                <w:sz w:val="6"/>
                <w:szCs w:val="6"/>
                <w:color w:val="auto"/>
              </w:rPr>
            </w:pPr>
          </w:p>
        </w:tc>
        <w:tc>
          <w:tcPr>
            <w:tcW w:w="880" w:type="dxa"/>
            <w:vAlign w:val="bottom"/>
            <w:shd w:val="clear" w:color="auto" w:fill="E6E7E7"/>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shd w:val="clear" w:color="auto" w:fill="E6E7E7"/>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shd w:val="clear" w:color="auto" w:fill="E6E7E7"/>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shd w:val="clear" w:color="auto" w:fill="E6E7E7"/>
          </w:tcPr>
          <w:p>
            <w:pPr>
              <w:spacing w:after="0"/>
              <w:rPr>
                <w:sz w:val="6"/>
                <w:szCs w:val="6"/>
                <w:color w:val="auto"/>
              </w:rPr>
            </w:pPr>
          </w:p>
        </w:tc>
      </w:tr>
      <w:tr>
        <w:trPr>
          <w:trHeight w:val="208"/>
        </w:trPr>
        <w:tc>
          <w:tcPr>
            <w:tcW w:w="880" w:type="dxa"/>
            <w:vAlign w:val="bottom"/>
          </w:tcPr>
          <w:p>
            <w:pPr>
              <w:jc w:val="center"/>
              <w:spacing w:after="0"/>
              <w:rPr>
                <w:sz w:val="20"/>
                <w:szCs w:val="20"/>
                <w:color w:val="auto"/>
              </w:rPr>
            </w:pPr>
            <w:r>
              <w:rPr>
                <w:rFonts w:ascii="Arial" w:cs="Arial" w:eastAsia="Arial" w:hAnsi="Arial"/>
                <w:sz w:val="11"/>
                <w:szCs w:val="11"/>
                <w:color w:val="auto"/>
              </w:rPr>
              <w:t>—</w:t>
            </w:r>
          </w:p>
        </w:tc>
        <w:tc>
          <w:tcPr>
            <w:tcW w:w="820" w:type="dxa"/>
            <w:vAlign w:val="bottom"/>
          </w:tcPr>
          <w:p>
            <w:pPr>
              <w:jc w:val="center"/>
              <w:spacing w:after="0"/>
              <w:rPr>
                <w:sz w:val="20"/>
                <w:szCs w:val="20"/>
                <w:color w:val="auto"/>
              </w:rPr>
            </w:pPr>
            <w:r>
              <w:rPr>
                <w:rFonts w:ascii="Arial" w:cs="Arial" w:eastAsia="Arial" w:hAnsi="Arial"/>
                <w:sz w:val="11"/>
                <w:szCs w:val="11"/>
                <w:color w:val="auto"/>
              </w:rPr>
              <w:t>—</w:t>
            </w:r>
          </w:p>
        </w:tc>
        <w:tc>
          <w:tcPr>
            <w:tcW w:w="880" w:type="dxa"/>
            <w:vAlign w:val="bottom"/>
          </w:tcPr>
          <w:p>
            <w:pPr>
              <w:jc w:val="center"/>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1"/>
                <w:szCs w:val="11"/>
                <w:color w:val="auto"/>
              </w:rPr>
              <w:t>—</w:t>
            </w:r>
          </w:p>
        </w:tc>
        <w:tc>
          <w:tcPr>
            <w:tcW w:w="800" w:type="dxa"/>
            <w:vAlign w:val="bottom"/>
          </w:tcPr>
          <w:p>
            <w:pPr>
              <w:jc w:val="center"/>
              <w:spacing w:after="0"/>
              <w:rPr>
                <w:sz w:val="20"/>
                <w:szCs w:val="20"/>
                <w:color w:val="auto"/>
              </w:rPr>
            </w:pPr>
            <w:r>
              <w:rPr>
                <w:rFonts w:ascii="Arial" w:cs="Arial" w:eastAsia="Arial" w:hAnsi="Arial"/>
                <w:sz w:val="11"/>
                <w:szCs w:val="11"/>
                <w:color w:val="auto"/>
              </w:rPr>
              <w:t>3,892,345</w:t>
            </w:r>
          </w:p>
        </w:tc>
        <w:tc>
          <w:tcPr>
            <w:tcW w:w="880" w:type="dxa"/>
            <w:vAlign w:val="bottom"/>
          </w:tcPr>
          <w:p>
            <w:pPr>
              <w:jc w:val="center"/>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1"/>
                <w:szCs w:val="11"/>
                <w:color w:val="auto"/>
              </w:rPr>
              <w:t>—</w:t>
            </w:r>
          </w:p>
        </w:tc>
      </w:tr>
      <w:tr>
        <w:trPr>
          <w:trHeight w:val="70"/>
        </w:trPr>
        <w:tc>
          <w:tcPr>
            <w:tcW w:w="8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80" w:type="dxa"/>
            <w:vAlign w:val="bottom"/>
            <w:gridSpan w:val="2"/>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980" w:type="dxa"/>
            <w:vAlign w:val="bottom"/>
            <w:gridSpan w:val="2"/>
          </w:tcPr>
          <w:p>
            <w:pPr>
              <w:spacing w:after="0"/>
              <w:rPr>
                <w:sz w:val="6"/>
                <w:szCs w:val="6"/>
                <w:color w:val="auto"/>
              </w:rPr>
            </w:pPr>
          </w:p>
        </w:tc>
        <w:tc>
          <w:tcPr>
            <w:tcW w:w="980" w:type="dxa"/>
            <w:vAlign w:val="bottom"/>
            <w:gridSpan w:val="2"/>
          </w:tcPr>
          <w:p>
            <w:pPr>
              <w:spacing w:after="0"/>
              <w:rPr>
                <w:sz w:val="6"/>
                <w:szCs w:val="6"/>
                <w:color w:val="auto"/>
              </w:rPr>
            </w:pPr>
          </w:p>
        </w:tc>
        <w:tc>
          <w:tcPr>
            <w:tcW w:w="980" w:type="dxa"/>
            <w:vAlign w:val="bottom"/>
            <w:gridSpan w:val="2"/>
          </w:tcPr>
          <w:p>
            <w:pPr>
              <w:spacing w:after="0"/>
              <w:rPr>
                <w:sz w:val="6"/>
                <w:szCs w:val="6"/>
                <w:color w:val="auto"/>
              </w:rPr>
            </w:pPr>
          </w:p>
        </w:tc>
      </w:tr>
      <w:tr>
        <w:trPr>
          <w:trHeight w:val="208"/>
        </w:trPr>
        <w:tc>
          <w:tcPr>
            <w:tcW w:w="880" w:type="dxa"/>
            <w:vAlign w:val="bottom"/>
            <w:shd w:val="clear" w:color="auto" w:fill="E6E7E7"/>
          </w:tcPr>
          <w:p>
            <w:pPr>
              <w:jc w:val="center"/>
              <w:spacing w:after="0"/>
              <w:rPr>
                <w:sz w:val="20"/>
                <w:szCs w:val="20"/>
                <w:color w:val="auto"/>
              </w:rPr>
            </w:pPr>
            <w:r>
              <w:rPr>
                <w:rFonts w:ascii="Arial" w:cs="Arial" w:eastAsia="Arial" w:hAnsi="Arial"/>
                <w:sz w:val="11"/>
                <w:szCs w:val="11"/>
                <w:color w:val="auto"/>
              </w:rPr>
              <w:t>28,614</w:t>
            </w:r>
          </w:p>
        </w:tc>
        <w:tc>
          <w:tcPr>
            <w:tcW w:w="820" w:type="dxa"/>
            <w:vAlign w:val="bottom"/>
            <w:shd w:val="clear" w:color="auto" w:fill="E6E7E7"/>
          </w:tcPr>
          <w:p>
            <w:pPr>
              <w:jc w:val="center"/>
              <w:spacing w:after="0"/>
              <w:rPr>
                <w:sz w:val="20"/>
                <w:szCs w:val="20"/>
                <w:color w:val="auto"/>
              </w:rPr>
            </w:pPr>
            <w:r>
              <w:rPr>
                <w:rFonts w:ascii="Arial" w:cs="Arial" w:eastAsia="Arial" w:hAnsi="Arial"/>
                <w:sz w:val="11"/>
                <w:szCs w:val="11"/>
                <w:color w:val="auto"/>
              </w:rPr>
              <w:t>(16,139)</w:t>
            </w:r>
          </w:p>
        </w:tc>
        <w:tc>
          <w:tcPr>
            <w:tcW w:w="880" w:type="dxa"/>
            <w:vAlign w:val="bottom"/>
            <w:shd w:val="clear" w:color="auto" w:fill="E6E7E7"/>
          </w:tcPr>
          <w:p>
            <w:pPr>
              <w:jc w:val="center"/>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800" w:type="dxa"/>
            <w:vAlign w:val="bottom"/>
            <w:shd w:val="clear" w:color="auto" w:fill="E6E7E7"/>
          </w:tcPr>
          <w:p>
            <w:pPr>
              <w:jc w:val="center"/>
              <w:spacing w:after="0"/>
              <w:rPr>
                <w:sz w:val="20"/>
                <w:szCs w:val="20"/>
                <w:color w:val="auto"/>
              </w:rPr>
            </w:pPr>
            <w:r>
              <w:rPr>
                <w:rFonts w:ascii="Arial" w:cs="Arial" w:eastAsia="Arial" w:hAnsi="Arial"/>
                <w:sz w:val="11"/>
                <w:szCs w:val="11"/>
                <w:color w:val="auto"/>
              </w:rPr>
              <w:t>(185,304)</w:t>
            </w:r>
          </w:p>
        </w:tc>
        <w:tc>
          <w:tcPr>
            <w:tcW w:w="800" w:type="dxa"/>
            <w:vAlign w:val="bottom"/>
            <w:shd w:val="clear" w:color="auto" w:fill="E6E7E7"/>
          </w:tcPr>
          <w:p>
            <w:pPr>
              <w:jc w:val="center"/>
              <w:spacing w:after="0"/>
              <w:rPr>
                <w:sz w:val="20"/>
                <w:szCs w:val="20"/>
                <w:color w:val="auto"/>
              </w:rPr>
            </w:pPr>
            <w:r>
              <w:rPr>
                <w:rFonts w:ascii="Arial" w:cs="Arial" w:eastAsia="Arial" w:hAnsi="Arial"/>
                <w:sz w:val="11"/>
                <w:szCs w:val="11"/>
                <w:color w:val="auto"/>
              </w:rPr>
              <w:t>—</w:t>
            </w:r>
          </w:p>
        </w:tc>
        <w:tc>
          <w:tcPr>
            <w:tcW w:w="880" w:type="dxa"/>
            <w:vAlign w:val="bottom"/>
            <w:shd w:val="clear" w:color="auto" w:fill="E6E7E7"/>
          </w:tcPr>
          <w:p>
            <w:pPr>
              <w:jc w:val="center"/>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880" w:type="dxa"/>
            <w:vAlign w:val="bottom"/>
            <w:shd w:val="clear" w:color="auto" w:fill="E6E7E7"/>
          </w:tcPr>
          <w:p>
            <w:pPr>
              <w:jc w:val="center"/>
              <w:spacing w:after="0"/>
              <w:rPr>
                <w:sz w:val="20"/>
                <w:szCs w:val="20"/>
                <w:color w:val="auto"/>
              </w:rPr>
            </w:pPr>
            <w:r>
              <w:rPr>
                <w:rFonts w:ascii="Arial" w:cs="Arial" w:eastAsia="Arial" w:hAnsi="Arial"/>
                <w:sz w:val="11"/>
                <w:szCs w:val="11"/>
                <w:color w:val="auto"/>
              </w:rPr>
              <w:t>191,010</w:t>
            </w:r>
          </w:p>
        </w:tc>
        <w:tc>
          <w:tcPr>
            <w:tcW w:w="100" w:type="dxa"/>
            <w:vAlign w:val="bottom"/>
          </w:tcPr>
          <w:p>
            <w:pPr>
              <w:spacing w:after="0"/>
              <w:rPr>
                <w:sz w:val="18"/>
                <w:szCs w:val="18"/>
                <w:color w:val="auto"/>
              </w:rPr>
            </w:pPr>
          </w:p>
        </w:tc>
        <w:tc>
          <w:tcPr>
            <w:tcW w:w="880" w:type="dxa"/>
            <w:vAlign w:val="bottom"/>
            <w:shd w:val="clear" w:color="auto" w:fill="E6E7E7"/>
          </w:tcPr>
          <w:p>
            <w:pPr>
              <w:jc w:val="center"/>
              <w:spacing w:after="0"/>
              <w:rPr>
                <w:sz w:val="20"/>
                <w:szCs w:val="20"/>
                <w:color w:val="auto"/>
              </w:rPr>
            </w:pPr>
            <w:r>
              <w:rPr>
                <w:rFonts w:ascii="Arial" w:cs="Arial" w:eastAsia="Arial" w:hAnsi="Arial"/>
                <w:sz w:val="11"/>
                <w:szCs w:val="11"/>
                <w:color w:val="auto"/>
              </w:rPr>
              <w:t>(5,966,179)</w:t>
            </w:r>
          </w:p>
        </w:tc>
        <w:tc>
          <w:tcPr>
            <w:tcW w:w="100" w:type="dxa"/>
            <w:vAlign w:val="bottom"/>
          </w:tcPr>
          <w:p>
            <w:pPr>
              <w:spacing w:after="0"/>
              <w:rPr>
                <w:sz w:val="18"/>
                <w:szCs w:val="18"/>
                <w:color w:val="auto"/>
              </w:rPr>
            </w:pPr>
          </w:p>
        </w:tc>
        <w:tc>
          <w:tcPr>
            <w:tcW w:w="880" w:type="dxa"/>
            <w:vAlign w:val="bottom"/>
            <w:shd w:val="clear" w:color="auto" w:fill="E6E7E7"/>
          </w:tcPr>
          <w:p>
            <w:pPr>
              <w:jc w:val="center"/>
              <w:spacing w:after="0"/>
              <w:rPr>
                <w:sz w:val="20"/>
                <w:szCs w:val="20"/>
                <w:color w:val="auto"/>
              </w:rPr>
            </w:pPr>
            <w:r>
              <w:rPr>
                <w:rFonts w:ascii="Arial" w:cs="Arial" w:eastAsia="Arial" w:hAnsi="Arial"/>
                <w:sz w:val="11"/>
                <w:szCs w:val="11"/>
                <w:color w:val="auto"/>
              </w:rPr>
              <w:t>759,162</w:t>
            </w:r>
          </w:p>
        </w:tc>
      </w:tr>
      <w:tr>
        <w:trPr>
          <w:trHeight w:val="70"/>
        </w:trPr>
        <w:tc>
          <w:tcPr>
            <w:tcW w:w="880" w:type="dxa"/>
            <w:vAlign w:val="bottom"/>
            <w:shd w:val="clear" w:color="auto" w:fill="E6E7E7"/>
          </w:tcPr>
          <w:p>
            <w:pPr>
              <w:spacing w:after="0"/>
              <w:rPr>
                <w:sz w:val="6"/>
                <w:szCs w:val="6"/>
                <w:color w:val="auto"/>
              </w:rPr>
            </w:pPr>
          </w:p>
        </w:tc>
        <w:tc>
          <w:tcPr>
            <w:tcW w:w="820" w:type="dxa"/>
            <w:vAlign w:val="bottom"/>
            <w:shd w:val="clear" w:color="auto" w:fill="E6E7E7"/>
          </w:tcPr>
          <w:p>
            <w:pPr>
              <w:spacing w:after="0"/>
              <w:rPr>
                <w:sz w:val="6"/>
                <w:szCs w:val="6"/>
                <w:color w:val="auto"/>
              </w:rPr>
            </w:pPr>
          </w:p>
        </w:tc>
        <w:tc>
          <w:tcPr>
            <w:tcW w:w="880" w:type="dxa"/>
            <w:vAlign w:val="bottom"/>
            <w:shd w:val="clear" w:color="auto" w:fill="E6E7E7"/>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shd w:val="clear" w:color="auto" w:fill="E6E7E7"/>
          </w:tcPr>
          <w:p>
            <w:pPr>
              <w:spacing w:after="0"/>
              <w:rPr>
                <w:sz w:val="6"/>
                <w:szCs w:val="6"/>
                <w:color w:val="auto"/>
              </w:rPr>
            </w:pPr>
          </w:p>
        </w:tc>
        <w:tc>
          <w:tcPr>
            <w:tcW w:w="800" w:type="dxa"/>
            <w:vAlign w:val="bottom"/>
            <w:shd w:val="clear" w:color="auto" w:fill="E6E7E7"/>
          </w:tcPr>
          <w:p>
            <w:pPr>
              <w:spacing w:after="0"/>
              <w:rPr>
                <w:sz w:val="6"/>
                <w:szCs w:val="6"/>
                <w:color w:val="auto"/>
              </w:rPr>
            </w:pPr>
          </w:p>
        </w:tc>
        <w:tc>
          <w:tcPr>
            <w:tcW w:w="880" w:type="dxa"/>
            <w:vAlign w:val="bottom"/>
            <w:shd w:val="clear" w:color="auto" w:fill="E6E7E7"/>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shd w:val="clear" w:color="auto" w:fill="E6E7E7"/>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shd w:val="clear" w:color="auto" w:fill="E6E7E7"/>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shd w:val="clear" w:color="auto" w:fill="E6E7E7"/>
          </w:tcPr>
          <w:p>
            <w:pPr>
              <w:spacing w:after="0"/>
              <w:rPr>
                <w:sz w:val="6"/>
                <w:szCs w:val="6"/>
                <w:color w:val="auto"/>
              </w:rPr>
            </w:pPr>
          </w:p>
        </w:tc>
      </w:tr>
      <w:tr>
        <w:trPr>
          <w:trHeight w:val="208"/>
        </w:trPr>
        <w:tc>
          <w:tcPr>
            <w:tcW w:w="880" w:type="dxa"/>
            <w:vAlign w:val="bottom"/>
          </w:tcPr>
          <w:p>
            <w:pPr>
              <w:jc w:val="center"/>
              <w:spacing w:after="0"/>
              <w:rPr>
                <w:sz w:val="20"/>
                <w:szCs w:val="20"/>
                <w:color w:val="auto"/>
              </w:rPr>
            </w:pPr>
            <w:r>
              <w:rPr>
                <w:rFonts w:ascii="Arial" w:cs="Arial" w:eastAsia="Arial" w:hAnsi="Arial"/>
                <w:sz w:val="11"/>
                <w:szCs w:val="11"/>
                <w:color w:val="auto"/>
              </w:rPr>
              <w:t>—</w:t>
            </w:r>
          </w:p>
        </w:tc>
        <w:tc>
          <w:tcPr>
            <w:tcW w:w="820" w:type="dxa"/>
            <w:vAlign w:val="bottom"/>
          </w:tcPr>
          <w:p>
            <w:pPr>
              <w:jc w:val="center"/>
              <w:spacing w:after="0"/>
              <w:rPr>
                <w:sz w:val="20"/>
                <w:szCs w:val="20"/>
                <w:color w:val="auto"/>
              </w:rPr>
            </w:pPr>
            <w:r>
              <w:rPr>
                <w:rFonts w:ascii="Arial" w:cs="Arial" w:eastAsia="Arial" w:hAnsi="Arial"/>
                <w:sz w:val="11"/>
                <w:szCs w:val="11"/>
                <w:color w:val="auto"/>
              </w:rPr>
              <w:t>—</w:t>
            </w:r>
          </w:p>
        </w:tc>
        <w:tc>
          <w:tcPr>
            <w:tcW w:w="880" w:type="dxa"/>
            <w:vAlign w:val="bottom"/>
          </w:tcPr>
          <w:p>
            <w:pPr>
              <w:jc w:val="center"/>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1"/>
                <w:szCs w:val="11"/>
                <w:color w:val="auto"/>
              </w:rPr>
              <w:t>—</w:t>
            </w:r>
          </w:p>
        </w:tc>
        <w:tc>
          <w:tcPr>
            <w:tcW w:w="800" w:type="dxa"/>
            <w:vAlign w:val="bottom"/>
          </w:tcPr>
          <w:p>
            <w:pPr>
              <w:jc w:val="center"/>
              <w:spacing w:after="0"/>
              <w:rPr>
                <w:sz w:val="20"/>
                <w:szCs w:val="20"/>
                <w:color w:val="auto"/>
              </w:rPr>
            </w:pPr>
            <w:r>
              <w:rPr>
                <w:rFonts w:ascii="Arial" w:cs="Arial" w:eastAsia="Arial" w:hAnsi="Arial"/>
                <w:sz w:val="11"/>
                <w:szCs w:val="11"/>
                <w:color w:val="auto"/>
              </w:rPr>
              <w:t>—</w:t>
            </w:r>
          </w:p>
        </w:tc>
        <w:tc>
          <w:tcPr>
            <w:tcW w:w="880" w:type="dxa"/>
            <w:vAlign w:val="bottom"/>
          </w:tcPr>
          <w:p>
            <w:pPr>
              <w:jc w:val="center"/>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1"/>
                <w:szCs w:val="11"/>
                <w:color w:val="auto"/>
              </w:rPr>
              <w:t>—</w:t>
            </w:r>
          </w:p>
        </w:tc>
      </w:tr>
      <w:tr>
        <w:trPr>
          <w:trHeight w:val="70"/>
        </w:trPr>
        <w:tc>
          <w:tcPr>
            <w:tcW w:w="8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80" w:type="dxa"/>
            <w:vAlign w:val="bottom"/>
            <w:gridSpan w:val="2"/>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980" w:type="dxa"/>
            <w:vAlign w:val="bottom"/>
            <w:gridSpan w:val="2"/>
          </w:tcPr>
          <w:p>
            <w:pPr>
              <w:spacing w:after="0"/>
              <w:rPr>
                <w:sz w:val="6"/>
                <w:szCs w:val="6"/>
                <w:color w:val="auto"/>
              </w:rPr>
            </w:pPr>
          </w:p>
        </w:tc>
        <w:tc>
          <w:tcPr>
            <w:tcW w:w="980" w:type="dxa"/>
            <w:vAlign w:val="bottom"/>
            <w:gridSpan w:val="2"/>
          </w:tcPr>
          <w:p>
            <w:pPr>
              <w:spacing w:after="0"/>
              <w:rPr>
                <w:sz w:val="6"/>
                <w:szCs w:val="6"/>
                <w:color w:val="auto"/>
              </w:rPr>
            </w:pPr>
          </w:p>
        </w:tc>
        <w:tc>
          <w:tcPr>
            <w:tcW w:w="980" w:type="dxa"/>
            <w:vAlign w:val="bottom"/>
            <w:gridSpan w:val="2"/>
          </w:tcPr>
          <w:p>
            <w:pPr>
              <w:spacing w:after="0"/>
              <w:rPr>
                <w:sz w:val="6"/>
                <w:szCs w:val="6"/>
                <w:color w:val="auto"/>
              </w:rPr>
            </w:pPr>
          </w:p>
        </w:tc>
      </w:tr>
      <w:tr>
        <w:trPr>
          <w:trHeight w:val="261"/>
        </w:trPr>
        <w:tc>
          <w:tcPr>
            <w:tcW w:w="880" w:type="dxa"/>
            <w:vAlign w:val="bottom"/>
            <w:shd w:val="clear" w:color="auto" w:fill="E6E7E7"/>
          </w:tcPr>
          <w:p>
            <w:pPr>
              <w:jc w:val="center"/>
              <w:spacing w:after="0"/>
              <w:rPr>
                <w:sz w:val="20"/>
                <w:szCs w:val="20"/>
                <w:color w:val="auto"/>
              </w:rPr>
            </w:pPr>
            <w:r>
              <w:rPr>
                <w:rFonts w:ascii="Arial" w:cs="Arial" w:eastAsia="Arial" w:hAnsi="Arial"/>
                <w:sz w:val="11"/>
                <w:szCs w:val="11"/>
                <w:color w:val="auto"/>
              </w:rPr>
              <w:t>669,586</w:t>
            </w:r>
          </w:p>
        </w:tc>
        <w:tc>
          <w:tcPr>
            <w:tcW w:w="820" w:type="dxa"/>
            <w:vAlign w:val="bottom"/>
            <w:shd w:val="clear" w:color="auto" w:fill="E6E7E7"/>
          </w:tcPr>
          <w:p>
            <w:pPr>
              <w:jc w:val="center"/>
              <w:spacing w:after="0"/>
              <w:rPr>
                <w:sz w:val="20"/>
                <w:szCs w:val="20"/>
                <w:color w:val="auto"/>
              </w:rPr>
            </w:pPr>
            <w:r>
              <w:rPr>
                <w:rFonts w:ascii="Arial" w:cs="Arial" w:eastAsia="Arial" w:hAnsi="Arial"/>
                <w:sz w:val="11"/>
                <w:szCs w:val="11"/>
                <w:color w:val="auto"/>
              </w:rPr>
              <w:t>442,432</w:t>
            </w:r>
          </w:p>
        </w:tc>
        <w:tc>
          <w:tcPr>
            <w:tcW w:w="880" w:type="dxa"/>
            <w:vAlign w:val="bottom"/>
            <w:shd w:val="clear" w:color="auto" w:fill="E6E7E7"/>
          </w:tcPr>
          <w:p>
            <w:pPr>
              <w:jc w:val="center"/>
              <w:spacing w:after="0"/>
              <w:rPr>
                <w:sz w:val="20"/>
                <w:szCs w:val="20"/>
                <w:color w:val="auto"/>
              </w:rPr>
            </w:pPr>
            <w:r>
              <w:rPr>
                <w:rFonts w:ascii="Arial" w:cs="Arial" w:eastAsia="Arial" w:hAnsi="Arial"/>
                <w:sz w:val="11"/>
                <w:szCs w:val="11"/>
                <w:color w:val="auto"/>
              </w:rPr>
              <w:t>330,810</w:t>
            </w:r>
          </w:p>
        </w:tc>
        <w:tc>
          <w:tcPr>
            <w:tcW w:w="80" w:type="dxa"/>
            <w:vAlign w:val="bottom"/>
          </w:tcPr>
          <w:p>
            <w:pPr>
              <w:spacing w:after="0"/>
              <w:rPr>
                <w:sz w:val="22"/>
                <w:szCs w:val="22"/>
                <w:color w:val="auto"/>
              </w:rPr>
            </w:pPr>
          </w:p>
        </w:tc>
        <w:tc>
          <w:tcPr>
            <w:tcW w:w="800" w:type="dxa"/>
            <w:vAlign w:val="bottom"/>
            <w:shd w:val="clear" w:color="auto" w:fill="E6E7E7"/>
          </w:tcPr>
          <w:p>
            <w:pPr>
              <w:jc w:val="center"/>
              <w:spacing w:after="0"/>
              <w:rPr>
                <w:sz w:val="20"/>
                <w:szCs w:val="20"/>
                <w:color w:val="auto"/>
              </w:rPr>
            </w:pPr>
            <w:r>
              <w:rPr>
                <w:rFonts w:ascii="Arial" w:cs="Arial" w:eastAsia="Arial" w:hAnsi="Arial"/>
                <w:sz w:val="11"/>
                <w:szCs w:val="11"/>
                <w:color w:val="auto"/>
              </w:rPr>
              <w:t>41,291</w:t>
            </w:r>
          </w:p>
        </w:tc>
        <w:tc>
          <w:tcPr>
            <w:tcW w:w="800" w:type="dxa"/>
            <w:vAlign w:val="bottom"/>
            <w:shd w:val="clear" w:color="auto" w:fill="E6E7E7"/>
          </w:tcPr>
          <w:p>
            <w:pPr>
              <w:jc w:val="center"/>
              <w:spacing w:after="0"/>
              <w:rPr>
                <w:sz w:val="20"/>
                <w:szCs w:val="20"/>
                <w:color w:val="auto"/>
              </w:rPr>
            </w:pPr>
            <w:r>
              <w:rPr>
                <w:rFonts w:ascii="Arial" w:cs="Arial" w:eastAsia="Arial" w:hAnsi="Arial"/>
                <w:sz w:val="11"/>
                <w:szCs w:val="11"/>
                <w:color w:val="auto"/>
              </w:rPr>
              <w:t>61,141</w:t>
            </w:r>
          </w:p>
        </w:tc>
        <w:tc>
          <w:tcPr>
            <w:tcW w:w="880" w:type="dxa"/>
            <w:vAlign w:val="bottom"/>
            <w:shd w:val="clear" w:color="auto" w:fill="E6E7E7"/>
          </w:tcPr>
          <w:p>
            <w:pPr>
              <w:jc w:val="center"/>
              <w:spacing w:after="0"/>
              <w:rPr>
                <w:sz w:val="20"/>
                <w:szCs w:val="20"/>
                <w:color w:val="auto"/>
              </w:rPr>
            </w:pPr>
            <w:r>
              <w:rPr>
                <w:rFonts w:ascii="Arial" w:cs="Arial" w:eastAsia="Arial" w:hAnsi="Arial"/>
                <w:sz w:val="11"/>
                <w:szCs w:val="11"/>
                <w:color w:val="auto"/>
              </w:rPr>
              <w:t>750,519</w:t>
            </w:r>
          </w:p>
        </w:tc>
        <w:tc>
          <w:tcPr>
            <w:tcW w:w="100" w:type="dxa"/>
            <w:vAlign w:val="bottom"/>
          </w:tcPr>
          <w:p>
            <w:pPr>
              <w:spacing w:after="0"/>
              <w:rPr>
                <w:sz w:val="22"/>
                <w:szCs w:val="22"/>
                <w:color w:val="auto"/>
              </w:rPr>
            </w:pPr>
          </w:p>
        </w:tc>
        <w:tc>
          <w:tcPr>
            <w:tcW w:w="880" w:type="dxa"/>
            <w:vAlign w:val="bottom"/>
            <w:shd w:val="clear" w:color="auto" w:fill="E6E7E7"/>
          </w:tcPr>
          <w:p>
            <w:pPr>
              <w:jc w:val="center"/>
              <w:spacing w:after="0"/>
              <w:rPr>
                <w:sz w:val="20"/>
                <w:szCs w:val="20"/>
                <w:color w:val="auto"/>
              </w:rPr>
            </w:pPr>
            <w:r>
              <w:rPr>
                <w:rFonts w:ascii="Arial" w:cs="Arial" w:eastAsia="Arial" w:hAnsi="Arial"/>
                <w:sz w:val="11"/>
                <w:szCs w:val="11"/>
                <w:color w:val="auto"/>
              </w:rPr>
              <w:t>285,603</w:t>
            </w:r>
          </w:p>
        </w:tc>
        <w:tc>
          <w:tcPr>
            <w:tcW w:w="100" w:type="dxa"/>
            <w:vAlign w:val="bottom"/>
          </w:tcPr>
          <w:p>
            <w:pPr>
              <w:spacing w:after="0"/>
              <w:rPr>
                <w:sz w:val="22"/>
                <w:szCs w:val="22"/>
                <w:color w:val="auto"/>
              </w:rPr>
            </w:pPr>
          </w:p>
        </w:tc>
        <w:tc>
          <w:tcPr>
            <w:tcW w:w="880" w:type="dxa"/>
            <w:vAlign w:val="bottom"/>
            <w:shd w:val="clear" w:color="auto" w:fill="E6E7E7"/>
          </w:tcPr>
          <w:p>
            <w:pPr>
              <w:jc w:val="center"/>
              <w:spacing w:after="0"/>
              <w:rPr>
                <w:sz w:val="20"/>
                <w:szCs w:val="20"/>
                <w:color w:val="auto"/>
              </w:rPr>
            </w:pPr>
            <w:r>
              <w:rPr>
                <w:rFonts w:ascii="Arial" w:cs="Arial" w:eastAsia="Arial" w:hAnsi="Arial"/>
                <w:sz w:val="11"/>
                <w:szCs w:val="11"/>
                <w:color w:val="auto"/>
              </w:rPr>
              <w:t>(331,071)</w:t>
            </w:r>
          </w:p>
        </w:tc>
        <w:tc>
          <w:tcPr>
            <w:tcW w:w="100" w:type="dxa"/>
            <w:vAlign w:val="bottom"/>
          </w:tcPr>
          <w:p>
            <w:pPr>
              <w:spacing w:after="0"/>
              <w:rPr>
                <w:sz w:val="22"/>
                <w:szCs w:val="22"/>
                <w:color w:val="auto"/>
              </w:rPr>
            </w:pPr>
          </w:p>
        </w:tc>
        <w:tc>
          <w:tcPr>
            <w:tcW w:w="880" w:type="dxa"/>
            <w:vAlign w:val="bottom"/>
            <w:shd w:val="clear" w:color="auto" w:fill="E6E7E7"/>
          </w:tcPr>
          <w:p>
            <w:pPr>
              <w:jc w:val="center"/>
              <w:spacing w:after="0"/>
              <w:rPr>
                <w:sz w:val="20"/>
                <w:szCs w:val="20"/>
                <w:color w:val="auto"/>
              </w:rPr>
            </w:pPr>
            <w:r>
              <w:rPr>
                <w:rFonts w:ascii="Arial" w:cs="Arial" w:eastAsia="Arial" w:hAnsi="Arial"/>
                <w:sz w:val="11"/>
                <w:szCs w:val="11"/>
                <w:color w:val="auto"/>
              </w:rPr>
              <w:t>2,050,676</w:t>
            </w:r>
          </w:p>
        </w:tc>
      </w:tr>
      <w:tr>
        <w:trPr>
          <w:trHeight w:val="136"/>
        </w:trPr>
        <w:tc>
          <w:tcPr>
            <w:tcW w:w="880" w:type="dxa"/>
            <w:vAlign w:val="bottom"/>
            <w:tcBorders>
              <w:bottom w:val="single" w:sz="8" w:color="520B90"/>
            </w:tcBorders>
            <w:shd w:val="clear" w:color="auto" w:fill="E6E7E7"/>
          </w:tcPr>
          <w:p>
            <w:pPr>
              <w:spacing w:after="0"/>
              <w:rPr>
                <w:sz w:val="11"/>
                <w:szCs w:val="11"/>
                <w:color w:val="auto"/>
              </w:rPr>
            </w:pPr>
          </w:p>
        </w:tc>
        <w:tc>
          <w:tcPr>
            <w:tcW w:w="820" w:type="dxa"/>
            <w:vAlign w:val="bottom"/>
            <w:tcBorders>
              <w:bottom w:val="single" w:sz="8" w:color="520B90"/>
            </w:tcBorders>
            <w:shd w:val="clear" w:color="auto" w:fill="E6E7E7"/>
          </w:tcPr>
          <w:p>
            <w:pPr>
              <w:spacing w:after="0"/>
              <w:rPr>
                <w:sz w:val="11"/>
                <w:szCs w:val="11"/>
                <w:color w:val="auto"/>
              </w:rPr>
            </w:pPr>
          </w:p>
        </w:tc>
        <w:tc>
          <w:tcPr>
            <w:tcW w:w="880" w:type="dxa"/>
            <w:vAlign w:val="bottom"/>
            <w:tcBorders>
              <w:bottom w:val="single" w:sz="8" w:color="520B90"/>
            </w:tcBorders>
            <w:shd w:val="clear" w:color="auto" w:fill="E6E7E7"/>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Borders>
              <w:bottom w:val="single" w:sz="8" w:color="520B90"/>
            </w:tcBorders>
            <w:shd w:val="clear" w:color="auto" w:fill="E6E7E7"/>
          </w:tcPr>
          <w:p>
            <w:pPr>
              <w:spacing w:after="0"/>
              <w:rPr>
                <w:sz w:val="11"/>
                <w:szCs w:val="11"/>
                <w:color w:val="auto"/>
              </w:rPr>
            </w:pPr>
          </w:p>
        </w:tc>
        <w:tc>
          <w:tcPr>
            <w:tcW w:w="800" w:type="dxa"/>
            <w:vAlign w:val="bottom"/>
            <w:tcBorders>
              <w:bottom w:val="single" w:sz="8" w:color="520B90"/>
            </w:tcBorders>
            <w:shd w:val="clear" w:color="auto" w:fill="E6E7E7"/>
          </w:tcPr>
          <w:p>
            <w:pPr>
              <w:spacing w:after="0"/>
              <w:rPr>
                <w:sz w:val="11"/>
                <w:szCs w:val="11"/>
                <w:color w:val="auto"/>
              </w:rPr>
            </w:pPr>
          </w:p>
        </w:tc>
        <w:tc>
          <w:tcPr>
            <w:tcW w:w="880" w:type="dxa"/>
            <w:vAlign w:val="bottom"/>
            <w:tcBorders>
              <w:bottom w:val="single" w:sz="8" w:color="520B90"/>
            </w:tcBorders>
            <w:shd w:val="clear" w:color="auto" w:fill="E6E7E7"/>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Borders>
              <w:bottom w:val="single" w:sz="8" w:color="520B90"/>
            </w:tcBorders>
            <w:shd w:val="clear" w:color="auto" w:fill="E6E7E7"/>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Borders>
              <w:bottom w:val="single" w:sz="8" w:color="520B90"/>
            </w:tcBorders>
            <w:shd w:val="clear" w:color="auto" w:fill="E6E7E7"/>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Borders>
              <w:bottom w:val="single" w:sz="8" w:color="520B90"/>
            </w:tcBorders>
            <w:shd w:val="clear" w:color="auto" w:fill="E6E7E7"/>
          </w:tcPr>
          <w:p>
            <w:pPr>
              <w:spacing w:after="0"/>
              <w:rPr>
                <w:sz w:val="11"/>
                <w:szCs w:val="11"/>
                <w:color w:val="auto"/>
              </w:rPr>
            </w:pPr>
          </w:p>
        </w:tc>
      </w:tr>
      <w:tr>
        <w:trPr>
          <w:trHeight w:val="159"/>
        </w:trPr>
        <w:tc>
          <w:tcPr>
            <w:tcW w:w="880" w:type="dxa"/>
            <w:vAlign w:val="bottom"/>
          </w:tcPr>
          <w:p>
            <w:pPr>
              <w:jc w:val="center"/>
              <w:spacing w:after="0"/>
              <w:rPr>
                <w:sz w:val="20"/>
                <w:szCs w:val="20"/>
                <w:color w:val="auto"/>
              </w:rPr>
            </w:pPr>
            <w:r>
              <w:rPr>
                <w:rFonts w:ascii="Arial" w:cs="Arial" w:eastAsia="Arial" w:hAnsi="Arial"/>
                <w:sz w:val="11"/>
                <w:szCs w:val="11"/>
                <w:color w:val="auto"/>
              </w:rPr>
              <w:t>(9,339,219)</w:t>
            </w:r>
          </w:p>
        </w:tc>
        <w:tc>
          <w:tcPr>
            <w:tcW w:w="820" w:type="dxa"/>
            <w:vAlign w:val="bottom"/>
          </w:tcPr>
          <w:p>
            <w:pPr>
              <w:jc w:val="center"/>
              <w:spacing w:after="0"/>
              <w:rPr>
                <w:sz w:val="20"/>
                <w:szCs w:val="20"/>
                <w:color w:val="auto"/>
              </w:rPr>
            </w:pPr>
            <w:r>
              <w:rPr>
                <w:rFonts w:ascii="Arial" w:cs="Arial" w:eastAsia="Arial" w:hAnsi="Arial"/>
                <w:sz w:val="11"/>
                <w:szCs w:val="11"/>
                <w:color w:val="auto"/>
              </w:rPr>
              <w:t>(1,604,926)</w:t>
            </w:r>
          </w:p>
        </w:tc>
        <w:tc>
          <w:tcPr>
            <w:tcW w:w="880" w:type="dxa"/>
            <w:vAlign w:val="bottom"/>
          </w:tcPr>
          <w:p>
            <w:pPr>
              <w:jc w:val="center"/>
              <w:spacing w:after="0"/>
              <w:rPr>
                <w:sz w:val="20"/>
                <w:szCs w:val="20"/>
                <w:color w:val="auto"/>
              </w:rPr>
            </w:pPr>
            <w:r>
              <w:rPr>
                <w:rFonts w:ascii="Arial" w:cs="Arial" w:eastAsia="Arial" w:hAnsi="Arial"/>
                <w:sz w:val="11"/>
                <w:szCs w:val="11"/>
                <w:color w:val="auto"/>
              </w:rPr>
              <w:t>(288,750)</w:t>
            </w:r>
          </w:p>
        </w:tc>
        <w:tc>
          <w:tcPr>
            <w:tcW w:w="880" w:type="dxa"/>
            <w:vAlign w:val="bottom"/>
            <w:gridSpan w:val="2"/>
          </w:tcPr>
          <w:p>
            <w:pPr>
              <w:jc w:val="center"/>
              <w:ind w:left="43"/>
              <w:spacing w:after="0"/>
              <w:rPr>
                <w:sz w:val="20"/>
                <w:szCs w:val="20"/>
                <w:color w:val="auto"/>
              </w:rPr>
            </w:pPr>
            <w:r>
              <w:rPr>
                <w:rFonts w:ascii="Arial" w:cs="Arial" w:eastAsia="Arial" w:hAnsi="Arial"/>
                <w:sz w:val="11"/>
                <w:szCs w:val="11"/>
                <w:color w:val="auto"/>
              </w:rPr>
              <w:t>(5,156,619)</w:t>
            </w:r>
          </w:p>
        </w:tc>
        <w:tc>
          <w:tcPr>
            <w:tcW w:w="800" w:type="dxa"/>
            <w:vAlign w:val="bottom"/>
          </w:tcPr>
          <w:p>
            <w:pPr>
              <w:jc w:val="center"/>
              <w:spacing w:after="0"/>
              <w:rPr>
                <w:sz w:val="20"/>
                <w:szCs w:val="20"/>
                <w:color w:val="auto"/>
              </w:rPr>
            </w:pPr>
            <w:r>
              <w:rPr>
                <w:rFonts w:ascii="Arial" w:cs="Arial" w:eastAsia="Arial" w:hAnsi="Arial"/>
                <w:sz w:val="11"/>
                <w:szCs w:val="11"/>
                <w:color w:val="auto"/>
              </w:rPr>
              <w:t>(376,420)</w:t>
            </w:r>
          </w:p>
        </w:tc>
        <w:tc>
          <w:tcPr>
            <w:tcW w:w="880" w:type="dxa"/>
            <w:vAlign w:val="bottom"/>
          </w:tcPr>
          <w:p>
            <w:pPr>
              <w:jc w:val="center"/>
              <w:spacing w:after="0"/>
              <w:rPr>
                <w:sz w:val="20"/>
                <w:szCs w:val="20"/>
                <w:color w:val="auto"/>
              </w:rPr>
            </w:pPr>
            <w:r>
              <w:rPr>
                <w:rFonts w:ascii="Arial" w:cs="Arial" w:eastAsia="Arial" w:hAnsi="Arial"/>
                <w:sz w:val="11"/>
                <w:szCs w:val="11"/>
                <w:color w:val="auto"/>
              </w:rPr>
              <w:t>(1,847,858)</w:t>
            </w:r>
          </w:p>
        </w:tc>
        <w:tc>
          <w:tcPr>
            <w:tcW w:w="980" w:type="dxa"/>
            <w:vAlign w:val="bottom"/>
            <w:gridSpan w:val="2"/>
          </w:tcPr>
          <w:p>
            <w:pPr>
              <w:jc w:val="center"/>
              <w:ind w:left="43"/>
              <w:spacing w:after="0"/>
              <w:rPr>
                <w:sz w:val="20"/>
                <w:szCs w:val="20"/>
                <w:color w:val="auto"/>
              </w:rPr>
            </w:pPr>
            <w:r>
              <w:rPr>
                <w:rFonts w:ascii="Arial" w:cs="Arial" w:eastAsia="Arial" w:hAnsi="Arial"/>
                <w:sz w:val="11"/>
                <w:szCs w:val="11"/>
                <w:color w:val="auto"/>
              </w:rPr>
              <w:t>(8,629,328)</w:t>
            </w:r>
          </w:p>
        </w:tc>
        <w:tc>
          <w:tcPr>
            <w:tcW w:w="980" w:type="dxa"/>
            <w:vAlign w:val="bottom"/>
            <w:gridSpan w:val="2"/>
          </w:tcPr>
          <w:p>
            <w:pPr>
              <w:jc w:val="center"/>
              <w:ind w:left="43"/>
              <w:spacing w:after="0"/>
              <w:rPr>
                <w:sz w:val="20"/>
                <w:szCs w:val="20"/>
                <w:color w:val="auto"/>
              </w:rPr>
            </w:pPr>
            <w:r>
              <w:rPr>
                <w:rFonts w:ascii="Arial" w:cs="Arial" w:eastAsia="Arial" w:hAnsi="Arial"/>
                <w:sz w:val="11"/>
                <w:szCs w:val="11"/>
                <w:color w:val="auto"/>
              </w:rPr>
              <w:t>(35,515,636)</w:t>
            </w:r>
          </w:p>
        </w:tc>
        <w:tc>
          <w:tcPr>
            <w:tcW w:w="980" w:type="dxa"/>
            <w:vAlign w:val="bottom"/>
            <w:gridSpan w:val="2"/>
          </w:tcPr>
          <w:p>
            <w:pPr>
              <w:jc w:val="center"/>
              <w:ind w:left="43"/>
              <w:spacing w:after="0"/>
              <w:rPr>
                <w:sz w:val="20"/>
                <w:szCs w:val="20"/>
                <w:color w:val="auto"/>
              </w:rPr>
            </w:pPr>
            <w:r>
              <w:rPr>
                <w:rFonts w:ascii="Arial" w:cs="Arial" w:eastAsia="Arial" w:hAnsi="Arial"/>
                <w:sz w:val="11"/>
                <w:szCs w:val="11"/>
                <w:color w:val="auto"/>
              </w:rPr>
              <w:t>26,288,191</w:t>
            </w:r>
          </w:p>
        </w:tc>
      </w:tr>
      <w:tr>
        <w:trPr>
          <w:trHeight w:val="20"/>
        </w:trPr>
        <w:tc>
          <w:tcPr>
            <w:tcW w:w="880" w:type="dxa"/>
            <w:vAlign w:val="bottom"/>
            <w:tcBorders>
              <w:top w:val="single" w:sz="8" w:color="520B90"/>
              <w:bottom w:val="single" w:sz="8" w:color="520B90"/>
            </w:tcBorders>
          </w:tcPr>
          <w:p>
            <w:pPr>
              <w:spacing w:after="0" w:line="20" w:lineRule="exact"/>
              <w:rPr>
                <w:sz w:val="1"/>
                <w:szCs w:val="1"/>
                <w:color w:val="auto"/>
              </w:rPr>
            </w:pPr>
          </w:p>
        </w:tc>
        <w:tc>
          <w:tcPr>
            <w:tcW w:w="820" w:type="dxa"/>
            <w:vAlign w:val="bottom"/>
            <w:tcBorders>
              <w:top w:val="single" w:sz="8" w:color="520B90"/>
              <w:bottom w:val="single" w:sz="8" w:color="520B90"/>
            </w:tcBorders>
          </w:tcPr>
          <w:p>
            <w:pPr>
              <w:spacing w:after="0" w:line="20" w:lineRule="exact"/>
              <w:rPr>
                <w:sz w:val="1"/>
                <w:szCs w:val="1"/>
                <w:color w:val="auto"/>
              </w:rPr>
            </w:pPr>
          </w:p>
        </w:tc>
        <w:tc>
          <w:tcPr>
            <w:tcW w:w="880" w:type="dxa"/>
            <w:vAlign w:val="bottom"/>
            <w:tcBorders>
              <w:top w:val="single" w:sz="8" w:color="520B90"/>
              <w:bottom w:val="single" w:sz="8" w:color="520B9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520B90"/>
              <w:bottom w:val="single" w:sz="8" w:color="520B90"/>
            </w:tcBorders>
          </w:tcPr>
          <w:p>
            <w:pPr>
              <w:spacing w:after="0" w:line="20" w:lineRule="exact"/>
              <w:rPr>
                <w:sz w:val="1"/>
                <w:szCs w:val="1"/>
                <w:color w:val="auto"/>
              </w:rPr>
            </w:pPr>
          </w:p>
        </w:tc>
        <w:tc>
          <w:tcPr>
            <w:tcW w:w="800" w:type="dxa"/>
            <w:vAlign w:val="bottom"/>
            <w:tcBorders>
              <w:top w:val="single" w:sz="8" w:color="520B90"/>
              <w:bottom w:val="single" w:sz="8" w:color="520B90"/>
            </w:tcBorders>
          </w:tcPr>
          <w:p>
            <w:pPr>
              <w:spacing w:after="0" w:line="20" w:lineRule="exact"/>
              <w:rPr>
                <w:sz w:val="1"/>
                <w:szCs w:val="1"/>
                <w:color w:val="auto"/>
              </w:rPr>
            </w:pPr>
          </w:p>
        </w:tc>
        <w:tc>
          <w:tcPr>
            <w:tcW w:w="880" w:type="dxa"/>
            <w:vAlign w:val="bottom"/>
            <w:tcBorders>
              <w:top w:val="single" w:sz="8" w:color="520B90"/>
              <w:bottom w:val="single" w:sz="8" w:color="520B9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520B90"/>
              <w:bottom w:val="single" w:sz="8" w:color="520B9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520B90"/>
              <w:bottom w:val="single" w:sz="8" w:color="520B9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520B90"/>
              <w:bottom w:val="single" w:sz="8" w:color="520B90"/>
            </w:tcBorders>
          </w:tcPr>
          <w:p>
            <w:pPr>
              <w:spacing w:after="0" w:line="20" w:lineRule="exact"/>
              <w:rPr>
                <w:sz w:val="1"/>
                <w:szCs w:val="1"/>
                <w:color w:val="auto"/>
              </w:rPr>
            </w:pPr>
          </w:p>
        </w:tc>
      </w:tr>
      <w:tr>
        <w:trPr>
          <w:trHeight w:val="165"/>
        </w:trPr>
        <w:tc>
          <w:tcPr>
            <w:tcW w:w="880" w:type="dxa"/>
            <w:vAlign w:val="bottom"/>
            <w:tcBorders>
              <w:bottom w:val="single" w:sz="8" w:color="520B90"/>
            </w:tcBorders>
            <w:shd w:val="clear" w:color="auto" w:fill="E6E7E7"/>
          </w:tcPr>
          <w:p>
            <w:pPr>
              <w:jc w:val="center"/>
              <w:spacing w:after="0"/>
              <w:rPr>
                <w:sz w:val="20"/>
                <w:szCs w:val="20"/>
                <w:color w:val="auto"/>
              </w:rPr>
            </w:pPr>
            <w:r>
              <w:rPr>
                <w:rFonts w:ascii="Arial" w:cs="Arial" w:eastAsia="Arial" w:hAnsi="Arial"/>
                <w:sz w:val="11"/>
                <w:szCs w:val="11"/>
                <w:color w:val="auto"/>
              </w:rPr>
              <w:t>8,879,235</w:t>
            </w:r>
          </w:p>
        </w:tc>
        <w:tc>
          <w:tcPr>
            <w:tcW w:w="820" w:type="dxa"/>
            <w:vAlign w:val="bottom"/>
            <w:tcBorders>
              <w:bottom w:val="single" w:sz="8" w:color="520B90"/>
            </w:tcBorders>
            <w:shd w:val="clear" w:color="auto" w:fill="E6E7E7"/>
          </w:tcPr>
          <w:p>
            <w:pPr>
              <w:jc w:val="center"/>
              <w:spacing w:after="0"/>
              <w:rPr>
                <w:sz w:val="20"/>
                <w:szCs w:val="20"/>
                <w:color w:val="auto"/>
              </w:rPr>
            </w:pPr>
            <w:r>
              <w:rPr>
                <w:rFonts w:ascii="Arial" w:cs="Arial" w:eastAsia="Arial" w:hAnsi="Arial"/>
                <w:sz w:val="11"/>
                <w:szCs w:val="11"/>
                <w:color w:val="auto"/>
              </w:rPr>
              <w:t>10,430,174</w:t>
            </w:r>
          </w:p>
        </w:tc>
        <w:tc>
          <w:tcPr>
            <w:tcW w:w="880" w:type="dxa"/>
            <w:vAlign w:val="bottom"/>
            <w:tcBorders>
              <w:bottom w:val="single" w:sz="8" w:color="520B90"/>
            </w:tcBorders>
            <w:shd w:val="clear" w:color="auto" w:fill="E6E7E7"/>
          </w:tcPr>
          <w:p>
            <w:pPr>
              <w:jc w:val="center"/>
              <w:spacing w:after="0"/>
              <w:rPr>
                <w:sz w:val="20"/>
                <w:szCs w:val="20"/>
                <w:color w:val="auto"/>
              </w:rPr>
            </w:pPr>
            <w:r>
              <w:rPr>
                <w:rFonts w:ascii="Arial" w:cs="Arial" w:eastAsia="Arial" w:hAnsi="Arial"/>
                <w:sz w:val="11"/>
                <w:szCs w:val="11"/>
                <w:color w:val="auto"/>
              </w:rPr>
              <w:t>13,866,051</w:t>
            </w:r>
          </w:p>
        </w:tc>
        <w:tc>
          <w:tcPr>
            <w:tcW w:w="80" w:type="dxa"/>
            <w:vAlign w:val="bottom"/>
          </w:tcPr>
          <w:p>
            <w:pPr>
              <w:spacing w:after="0"/>
              <w:rPr>
                <w:sz w:val="14"/>
                <w:szCs w:val="14"/>
                <w:color w:val="auto"/>
              </w:rPr>
            </w:pPr>
          </w:p>
        </w:tc>
        <w:tc>
          <w:tcPr>
            <w:tcW w:w="800" w:type="dxa"/>
            <w:vAlign w:val="bottom"/>
            <w:tcBorders>
              <w:bottom w:val="single" w:sz="8" w:color="520B90"/>
            </w:tcBorders>
            <w:shd w:val="clear" w:color="auto" w:fill="E6E7E7"/>
          </w:tcPr>
          <w:p>
            <w:pPr>
              <w:jc w:val="center"/>
              <w:spacing w:after="0"/>
              <w:rPr>
                <w:sz w:val="20"/>
                <w:szCs w:val="20"/>
                <w:color w:val="auto"/>
              </w:rPr>
            </w:pPr>
            <w:r>
              <w:rPr>
                <w:rFonts w:ascii="Arial" w:cs="Arial" w:eastAsia="Arial" w:hAnsi="Arial"/>
                <w:sz w:val="11"/>
                <w:szCs w:val="11"/>
                <w:color w:val="auto"/>
              </w:rPr>
              <w:t>(4,626,095)</w:t>
            </w:r>
          </w:p>
        </w:tc>
        <w:tc>
          <w:tcPr>
            <w:tcW w:w="800" w:type="dxa"/>
            <w:vAlign w:val="bottom"/>
            <w:tcBorders>
              <w:bottom w:val="single" w:sz="8" w:color="520B90"/>
            </w:tcBorders>
            <w:shd w:val="clear" w:color="auto" w:fill="E6E7E7"/>
          </w:tcPr>
          <w:p>
            <w:pPr>
              <w:jc w:val="center"/>
              <w:spacing w:after="0"/>
              <w:rPr>
                <w:sz w:val="20"/>
                <w:szCs w:val="20"/>
                <w:color w:val="auto"/>
              </w:rPr>
            </w:pPr>
            <w:r>
              <w:rPr>
                <w:rFonts w:ascii="Arial" w:cs="Arial" w:eastAsia="Arial" w:hAnsi="Arial"/>
                <w:sz w:val="11"/>
                <w:szCs w:val="11"/>
                <w:color w:val="auto"/>
              </w:rPr>
              <w:t>5,285,414</w:t>
            </w:r>
          </w:p>
        </w:tc>
        <w:tc>
          <w:tcPr>
            <w:tcW w:w="880" w:type="dxa"/>
            <w:vAlign w:val="bottom"/>
            <w:tcBorders>
              <w:bottom w:val="single" w:sz="8" w:color="520B90"/>
            </w:tcBorders>
            <w:shd w:val="clear" w:color="auto" w:fill="E6E7E7"/>
          </w:tcPr>
          <w:p>
            <w:pPr>
              <w:jc w:val="center"/>
              <w:spacing w:after="0"/>
              <w:rPr>
                <w:sz w:val="20"/>
                <w:szCs w:val="20"/>
                <w:color w:val="auto"/>
              </w:rPr>
            </w:pPr>
            <w:r>
              <w:rPr>
                <w:rFonts w:ascii="Arial" w:cs="Arial" w:eastAsia="Arial" w:hAnsi="Arial"/>
                <w:sz w:val="11"/>
                <w:szCs w:val="11"/>
                <w:color w:val="auto"/>
              </w:rPr>
              <w:t>14,593,917</w:t>
            </w:r>
          </w:p>
        </w:tc>
        <w:tc>
          <w:tcPr>
            <w:tcW w:w="100" w:type="dxa"/>
            <w:vAlign w:val="bottom"/>
          </w:tcPr>
          <w:p>
            <w:pPr>
              <w:spacing w:after="0"/>
              <w:rPr>
                <w:sz w:val="14"/>
                <w:szCs w:val="14"/>
                <w:color w:val="auto"/>
              </w:rPr>
            </w:pPr>
          </w:p>
        </w:tc>
        <w:tc>
          <w:tcPr>
            <w:tcW w:w="880" w:type="dxa"/>
            <w:vAlign w:val="bottom"/>
            <w:tcBorders>
              <w:bottom w:val="single" w:sz="8" w:color="520B90"/>
            </w:tcBorders>
            <w:shd w:val="clear" w:color="auto" w:fill="E6E7E7"/>
          </w:tcPr>
          <w:p>
            <w:pPr>
              <w:jc w:val="center"/>
              <w:spacing w:after="0"/>
              <w:rPr>
                <w:sz w:val="20"/>
                <w:szCs w:val="20"/>
                <w:color w:val="auto"/>
              </w:rPr>
            </w:pPr>
            <w:r>
              <w:rPr>
                <w:rFonts w:ascii="Arial" w:cs="Arial" w:eastAsia="Arial" w:hAnsi="Arial"/>
                <w:sz w:val="11"/>
                <w:szCs w:val="11"/>
                <w:color w:val="auto"/>
              </w:rPr>
              <w:t>6,046,843</w:t>
            </w:r>
          </w:p>
        </w:tc>
        <w:tc>
          <w:tcPr>
            <w:tcW w:w="100" w:type="dxa"/>
            <w:vAlign w:val="bottom"/>
          </w:tcPr>
          <w:p>
            <w:pPr>
              <w:spacing w:after="0"/>
              <w:rPr>
                <w:sz w:val="14"/>
                <w:szCs w:val="14"/>
                <w:color w:val="auto"/>
              </w:rPr>
            </w:pPr>
          </w:p>
        </w:tc>
        <w:tc>
          <w:tcPr>
            <w:tcW w:w="880" w:type="dxa"/>
            <w:vAlign w:val="bottom"/>
            <w:tcBorders>
              <w:bottom w:val="single" w:sz="8" w:color="520B90"/>
            </w:tcBorders>
            <w:shd w:val="clear" w:color="auto" w:fill="E6E7E7"/>
          </w:tcPr>
          <w:p>
            <w:pPr>
              <w:jc w:val="center"/>
              <w:spacing w:after="0"/>
              <w:rPr>
                <w:sz w:val="20"/>
                <w:szCs w:val="20"/>
                <w:color w:val="auto"/>
              </w:rPr>
            </w:pPr>
            <w:r>
              <w:rPr>
                <w:rFonts w:ascii="Arial" w:cs="Arial" w:eastAsia="Arial" w:hAnsi="Arial"/>
                <w:sz w:val="11"/>
                <w:szCs w:val="11"/>
                <w:color w:val="auto"/>
              </w:rPr>
              <w:t>(23,064,859)</w:t>
            </w:r>
          </w:p>
        </w:tc>
        <w:tc>
          <w:tcPr>
            <w:tcW w:w="100" w:type="dxa"/>
            <w:vAlign w:val="bottom"/>
          </w:tcPr>
          <w:p>
            <w:pPr>
              <w:spacing w:after="0"/>
              <w:rPr>
                <w:sz w:val="14"/>
                <w:szCs w:val="14"/>
                <w:color w:val="auto"/>
              </w:rPr>
            </w:pPr>
          </w:p>
        </w:tc>
        <w:tc>
          <w:tcPr>
            <w:tcW w:w="880" w:type="dxa"/>
            <w:vAlign w:val="bottom"/>
            <w:tcBorders>
              <w:bottom w:val="single" w:sz="8" w:color="520B90"/>
            </w:tcBorders>
            <w:shd w:val="clear" w:color="auto" w:fill="E6E7E7"/>
          </w:tcPr>
          <w:p>
            <w:pPr>
              <w:jc w:val="center"/>
              <w:spacing w:after="0"/>
              <w:rPr>
                <w:sz w:val="20"/>
                <w:szCs w:val="20"/>
                <w:color w:val="auto"/>
              </w:rPr>
            </w:pPr>
            <w:r>
              <w:rPr>
                <w:rFonts w:ascii="Arial" w:cs="Arial" w:eastAsia="Arial" w:hAnsi="Arial"/>
                <w:sz w:val="11"/>
                <w:szCs w:val="11"/>
                <w:color w:val="auto"/>
              </w:rPr>
              <w:t>40,841,701</w:t>
            </w:r>
          </w:p>
        </w:tc>
      </w:tr>
    </w:tbl>
    <w:p>
      <w:pPr>
        <w:spacing w:after="0" w:line="200" w:lineRule="exact"/>
        <w:rPr>
          <w:sz w:val="20"/>
          <w:szCs w:val="20"/>
          <w:color w:val="auto"/>
        </w:rPr>
      </w:pPr>
    </w:p>
    <w:p>
      <w:pPr>
        <w:sectPr>
          <w:pgSz w:w="11900" w:h="16838" w:orient="portrait"/>
          <w:cols w:equalWidth="0" w:num="2">
            <w:col w:w="3020" w:space="140"/>
            <w:col w:w="8080"/>
          </w:cols>
          <w:pgMar w:left="320" w:top="1393" w:right="339" w:bottom="1440" w:gutter="0" w:footer="0" w:header="0"/>
          <w:type w:val="continuous"/>
        </w:sectPr>
      </w:pPr>
    </w:p>
    <w:p>
      <w:pPr>
        <w:spacing w:after="0" w:line="105" w:lineRule="exact"/>
        <w:rPr>
          <w:sz w:val="20"/>
          <w:szCs w:val="20"/>
          <w:color w:val="auto"/>
        </w:rPr>
      </w:pPr>
    </w:p>
    <w:p>
      <w:pPr>
        <w:ind w:left="320" w:hanging="314"/>
        <w:spacing w:after="0"/>
        <w:tabs>
          <w:tab w:leader="none" w:pos="320" w:val="left"/>
        </w:tabs>
        <w:numPr>
          <w:ilvl w:val="0"/>
          <w:numId w:val="151"/>
        </w:numPr>
        <w:rPr>
          <w:rFonts w:ascii="Arial" w:cs="Arial" w:eastAsia="Arial" w:hAnsi="Arial"/>
          <w:sz w:val="13"/>
          <w:szCs w:val="13"/>
          <w:color w:val="auto"/>
        </w:rPr>
      </w:pPr>
      <w:r>
        <w:rPr>
          <w:rFonts w:ascii="Arial" w:cs="Arial" w:eastAsia="Arial" w:hAnsi="Arial"/>
          <w:sz w:val="13"/>
          <w:szCs w:val="13"/>
          <w:color w:val="auto"/>
        </w:rPr>
        <w:t>Represents the grant date fair value of equity awards reflected in the "Stock Awards" columns in the Summary Compensation Table for the covered year.</w:t>
      </w:r>
    </w:p>
    <w:p>
      <w:pPr>
        <w:spacing w:after="0" w:line="49" w:lineRule="exact"/>
        <w:rPr>
          <w:rFonts w:ascii="Arial" w:cs="Arial" w:eastAsia="Arial" w:hAnsi="Arial"/>
          <w:sz w:val="13"/>
          <w:szCs w:val="13"/>
          <w:color w:val="auto"/>
        </w:rPr>
      </w:pPr>
    </w:p>
    <w:p>
      <w:pPr>
        <w:ind w:left="320" w:right="100" w:hanging="314"/>
        <w:spacing w:after="0" w:line="293" w:lineRule="auto"/>
        <w:tabs>
          <w:tab w:leader="none" w:pos="310" w:val="left"/>
        </w:tabs>
        <w:numPr>
          <w:ilvl w:val="0"/>
          <w:numId w:val="151"/>
        </w:numPr>
        <w:rPr>
          <w:rFonts w:ascii="Arial" w:cs="Arial" w:eastAsia="Arial" w:hAnsi="Arial"/>
          <w:sz w:val="13"/>
          <w:szCs w:val="13"/>
          <w:color w:val="auto"/>
        </w:rPr>
      </w:pPr>
      <w:r>
        <w:rPr>
          <w:rFonts w:ascii="Arial" w:cs="Arial" w:eastAsia="Arial" w:hAnsi="Arial"/>
          <w:sz w:val="13"/>
          <w:szCs w:val="13"/>
          <w:color w:val="auto"/>
        </w:rPr>
        <w:t>Represents dividend equivalents accrued during the applicable year, as adjusted for the number of RSUs projected to be earned as of the end of each such year. The Company does not pay dividend equivalents prior to the vesting of RSUs and payment of such amounts is in all cases contingent on the vesting of the underlying RSUs.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amounts deducted and added in calculating the average CAP for all other NEOs as a group for 2021 through 2025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380" w:type="dxa"/>
            <w:vAlign w:val="bottom"/>
          </w:tcPr>
          <w:p>
            <w:pPr>
              <w:spacing w:after="0"/>
              <w:rPr>
                <w:sz w:val="15"/>
                <w:szCs w:val="15"/>
                <w:color w:val="auto"/>
              </w:rPr>
            </w:pPr>
          </w:p>
        </w:tc>
        <w:tc>
          <w:tcPr>
            <w:tcW w:w="1180" w:type="dxa"/>
            <w:vAlign w:val="bottom"/>
            <w:gridSpan w:val="2"/>
          </w:tcPr>
          <w:p>
            <w:pPr>
              <w:jc w:val="right"/>
              <w:ind w:right="334"/>
              <w:spacing w:after="0"/>
              <w:rPr>
                <w:sz w:val="20"/>
                <w:szCs w:val="20"/>
                <w:color w:val="auto"/>
              </w:rPr>
            </w:pPr>
            <w:r>
              <w:rPr>
                <w:rFonts w:ascii="Arial" w:cs="Arial" w:eastAsia="Arial" w:hAnsi="Arial"/>
                <w:sz w:val="13"/>
                <w:szCs w:val="13"/>
                <w:b w:val="1"/>
                <w:bCs w:val="1"/>
                <w:color w:val="520B90"/>
              </w:rPr>
              <w:t>2025</w:t>
            </w:r>
          </w:p>
        </w:tc>
        <w:tc>
          <w:tcPr>
            <w:tcW w:w="1180" w:type="dxa"/>
            <w:vAlign w:val="bottom"/>
            <w:gridSpan w:val="2"/>
          </w:tcPr>
          <w:p>
            <w:pPr>
              <w:jc w:val="right"/>
              <w:ind w:right="334"/>
              <w:spacing w:after="0"/>
              <w:rPr>
                <w:sz w:val="20"/>
                <w:szCs w:val="20"/>
                <w:color w:val="auto"/>
              </w:rPr>
            </w:pPr>
            <w:r>
              <w:rPr>
                <w:rFonts w:ascii="Arial" w:cs="Arial" w:eastAsia="Arial" w:hAnsi="Arial"/>
                <w:sz w:val="13"/>
                <w:szCs w:val="13"/>
                <w:b w:val="1"/>
                <w:bCs w:val="1"/>
                <w:color w:val="520B90"/>
              </w:rPr>
              <w:t>2024</w:t>
            </w:r>
          </w:p>
        </w:tc>
        <w:tc>
          <w:tcPr>
            <w:tcW w:w="1180" w:type="dxa"/>
            <w:vAlign w:val="bottom"/>
            <w:gridSpan w:val="2"/>
          </w:tcPr>
          <w:p>
            <w:pPr>
              <w:jc w:val="right"/>
              <w:ind w:right="334"/>
              <w:spacing w:after="0"/>
              <w:rPr>
                <w:sz w:val="20"/>
                <w:szCs w:val="20"/>
                <w:color w:val="auto"/>
              </w:rPr>
            </w:pPr>
            <w:r>
              <w:rPr>
                <w:rFonts w:ascii="Arial" w:cs="Arial" w:eastAsia="Arial" w:hAnsi="Arial"/>
                <w:sz w:val="13"/>
                <w:szCs w:val="13"/>
                <w:b w:val="1"/>
                <w:bCs w:val="1"/>
                <w:color w:val="520B90"/>
              </w:rPr>
              <w:t>2023</w:t>
            </w:r>
          </w:p>
        </w:tc>
        <w:tc>
          <w:tcPr>
            <w:tcW w:w="1160" w:type="dxa"/>
            <w:vAlign w:val="bottom"/>
            <w:gridSpan w:val="2"/>
          </w:tcPr>
          <w:p>
            <w:pPr>
              <w:jc w:val="right"/>
              <w:ind w:right="334"/>
              <w:spacing w:after="0"/>
              <w:rPr>
                <w:sz w:val="20"/>
                <w:szCs w:val="20"/>
                <w:color w:val="auto"/>
              </w:rPr>
            </w:pPr>
            <w:r>
              <w:rPr>
                <w:rFonts w:ascii="Arial" w:cs="Arial" w:eastAsia="Arial" w:hAnsi="Arial"/>
                <w:sz w:val="13"/>
                <w:szCs w:val="13"/>
                <w:b w:val="1"/>
                <w:bCs w:val="1"/>
                <w:color w:val="520B90"/>
              </w:rPr>
              <w:t>2022</w:t>
            </w:r>
          </w:p>
        </w:tc>
        <w:tc>
          <w:tcPr>
            <w:tcW w:w="1160" w:type="dxa"/>
            <w:vAlign w:val="bottom"/>
            <w:gridSpan w:val="2"/>
          </w:tcPr>
          <w:p>
            <w:pPr>
              <w:jc w:val="right"/>
              <w:ind w:right="314"/>
              <w:spacing w:after="0"/>
              <w:rPr>
                <w:sz w:val="20"/>
                <w:szCs w:val="20"/>
                <w:color w:val="auto"/>
              </w:rPr>
            </w:pPr>
            <w:r>
              <w:rPr>
                <w:rFonts w:ascii="Arial" w:cs="Arial" w:eastAsia="Arial" w:hAnsi="Arial"/>
                <w:sz w:val="13"/>
                <w:szCs w:val="13"/>
                <w:b w:val="1"/>
                <w:bCs w:val="1"/>
                <w:color w:val="520B90"/>
              </w:rPr>
              <w:t>2021</w:t>
            </w:r>
          </w:p>
        </w:tc>
      </w:tr>
      <w:tr>
        <w:trPr>
          <w:trHeight w:val="179"/>
        </w:trPr>
        <w:tc>
          <w:tcPr>
            <w:tcW w:w="5380" w:type="dxa"/>
            <w:vAlign w:val="bottom"/>
            <w:tcBorders>
              <w:top w:val="single" w:sz="8" w:color="520B90"/>
              <w:bottom w:val="single" w:sz="8" w:color="520B90"/>
            </w:tcBorders>
            <w:shd w:val="clear" w:color="auto" w:fill="E6E7E7"/>
          </w:tcPr>
          <w:p>
            <w:pPr>
              <w:ind w:left="20"/>
              <w:spacing w:after="0"/>
              <w:rPr>
                <w:sz w:val="20"/>
                <w:szCs w:val="20"/>
                <w:color w:val="auto"/>
              </w:rPr>
            </w:pPr>
            <w:r>
              <w:rPr>
                <w:rFonts w:ascii="Arial" w:cs="Arial" w:eastAsia="Arial" w:hAnsi="Arial"/>
                <w:sz w:val="13"/>
                <w:szCs w:val="13"/>
                <w:b w:val="1"/>
                <w:bCs w:val="1"/>
                <w:color w:val="auto"/>
              </w:rPr>
              <w:t>Summary Compensation Table Total</w:t>
            </w:r>
          </w:p>
        </w:tc>
        <w:tc>
          <w:tcPr>
            <w:tcW w:w="100" w:type="dxa"/>
            <w:vAlign w:val="bottom"/>
          </w:tcPr>
          <w:p>
            <w:pPr>
              <w:spacing w:after="0"/>
              <w:rPr>
                <w:sz w:val="15"/>
                <w:szCs w:val="15"/>
                <w:color w:val="auto"/>
              </w:rPr>
            </w:pPr>
          </w:p>
        </w:tc>
        <w:tc>
          <w:tcPr>
            <w:tcW w:w="1080" w:type="dxa"/>
            <w:vAlign w:val="bottom"/>
            <w:tcBorders>
              <w:top w:val="single" w:sz="8" w:color="520B90"/>
              <w:bottom w:val="single" w:sz="8" w:color="520B90"/>
            </w:tcBorders>
            <w:shd w:val="clear" w:color="auto" w:fill="E6E7E7"/>
          </w:tcPr>
          <w:p>
            <w:pPr>
              <w:jc w:val="right"/>
              <w:ind w:right="194"/>
              <w:spacing w:after="0"/>
              <w:rPr>
                <w:sz w:val="20"/>
                <w:szCs w:val="20"/>
                <w:color w:val="auto"/>
              </w:rPr>
            </w:pPr>
            <w:r>
              <w:rPr>
                <w:rFonts w:ascii="Arial" w:cs="Arial" w:eastAsia="Arial" w:hAnsi="Arial"/>
                <w:sz w:val="13"/>
                <w:szCs w:val="13"/>
                <w:color w:val="auto"/>
              </w:rPr>
              <w:t>6,838,616</w:t>
            </w:r>
          </w:p>
        </w:tc>
        <w:tc>
          <w:tcPr>
            <w:tcW w:w="80" w:type="dxa"/>
            <w:vAlign w:val="bottom"/>
          </w:tcPr>
          <w:p>
            <w:pPr>
              <w:spacing w:after="0"/>
              <w:rPr>
                <w:sz w:val="15"/>
                <w:szCs w:val="15"/>
                <w:color w:val="auto"/>
              </w:rPr>
            </w:pPr>
          </w:p>
        </w:tc>
        <w:tc>
          <w:tcPr>
            <w:tcW w:w="1100" w:type="dxa"/>
            <w:vAlign w:val="bottom"/>
            <w:tcBorders>
              <w:top w:val="single" w:sz="8" w:color="520B90"/>
              <w:bottom w:val="single" w:sz="8" w:color="520B90"/>
            </w:tcBorders>
            <w:shd w:val="clear" w:color="auto" w:fill="E6E7E7"/>
          </w:tcPr>
          <w:p>
            <w:pPr>
              <w:jc w:val="right"/>
              <w:ind w:right="194"/>
              <w:spacing w:after="0"/>
              <w:rPr>
                <w:sz w:val="20"/>
                <w:szCs w:val="20"/>
                <w:color w:val="auto"/>
              </w:rPr>
            </w:pPr>
            <w:r>
              <w:rPr>
                <w:rFonts w:ascii="Arial" w:cs="Arial" w:eastAsia="Arial" w:hAnsi="Arial"/>
                <w:sz w:val="13"/>
                <w:szCs w:val="13"/>
                <w:color w:val="auto"/>
              </w:rPr>
              <w:t>6,018,026</w:t>
            </w:r>
          </w:p>
        </w:tc>
        <w:tc>
          <w:tcPr>
            <w:tcW w:w="80" w:type="dxa"/>
            <w:vAlign w:val="bottom"/>
          </w:tcPr>
          <w:p>
            <w:pPr>
              <w:spacing w:after="0"/>
              <w:rPr>
                <w:sz w:val="15"/>
                <w:szCs w:val="15"/>
                <w:color w:val="auto"/>
              </w:rPr>
            </w:pPr>
          </w:p>
        </w:tc>
        <w:tc>
          <w:tcPr>
            <w:tcW w:w="1100" w:type="dxa"/>
            <w:vAlign w:val="bottom"/>
            <w:tcBorders>
              <w:top w:val="single" w:sz="8" w:color="520B90"/>
              <w:bottom w:val="single" w:sz="8" w:color="520B90"/>
            </w:tcBorders>
            <w:shd w:val="clear" w:color="auto" w:fill="E6E7E7"/>
          </w:tcPr>
          <w:p>
            <w:pPr>
              <w:jc w:val="right"/>
              <w:ind w:right="194"/>
              <w:spacing w:after="0"/>
              <w:rPr>
                <w:sz w:val="20"/>
                <w:szCs w:val="20"/>
                <w:color w:val="auto"/>
              </w:rPr>
            </w:pPr>
            <w:r>
              <w:rPr>
                <w:rFonts w:ascii="Arial" w:cs="Arial" w:eastAsia="Arial" w:hAnsi="Arial"/>
                <w:sz w:val="13"/>
                <w:szCs w:val="13"/>
                <w:color w:val="auto"/>
              </w:rPr>
              <w:t>4,953,286</w:t>
            </w:r>
          </w:p>
        </w:tc>
        <w:tc>
          <w:tcPr>
            <w:tcW w:w="80" w:type="dxa"/>
            <w:vAlign w:val="bottom"/>
          </w:tcPr>
          <w:p>
            <w:pPr>
              <w:spacing w:after="0"/>
              <w:rPr>
                <w:sz w:val="15"/>
                <w:szCs w:val="15"/>
                <w:color w:val="auto"/>
              </w:rPr>
            </w:pPr>
          </w:p>
        </w:tc>
        <w:tc>
          <w:tcPr>
            <w:tcW w:w="1080" w:type="dxa"/>
            <w:vAlign w:val="bottom"/>
            <w:tcBorders>
              <w:top w:val="single" w:sz="8" w:color="520B90"/>
              <w:bottom w:val="single" w:sz="8" w:color="520B90"/>
            </w:tcBorders>
            <w:shd w:val="clear" w:color="auto" w:fill="E6E7E7"/>
          </w:tcPr>
          <w:p>
            <w:pPr>
              <w:jc w:val="right"/>
              <w:ind w:right="174"/>
              <w:spacing w:after="0"/>
              <w:rPr>
                <w:sz w:val="20"/>
                <w:szCs w:val="20"/>
                <w:color w:val="auto"/>
              </w:rPr>
            </w:pPr>
            <w:r>
              <w:rPr>
                <w:rFonts w:ascii="Arial" w:cs="Arial" w:eastAsia="Arial" w:hAnsi="Arial"/>
                <w:sz w:val="13"/>
                <w:szCs w:val="13"/>
                <w:color w:val="auto"/>
              </w:rPr>
              <w:t>4,159,022</w:t>
            </w:r>
          </w:p>
        </w:tc>
        <w:tc>
          <w:tcPr>
            <w:tcW w:w="100" w:type="dxa"/>
            <w:vAlign w:val="bottom"/>
          </w:tcPr>
          <w:p>
            <w:pPr>
              <w:spacing w:after="0"/>
              <w:rPr>
                <w:sz w:val="15"/>
                <w:szCs w:val="15"/>
                <w:color w:val="auto"/>
              </w:rPr>
            </w:pPr>
          </w:p>
        </w:tc>
        <w:tc>
          <w:tcPr>
            <w:tcW w:w="1060" w:type="dxa"/>
            <w:vAlign w:val="bottom"/>
            <w:tcBorders>
              <w:top w:val="single" w:sz="8" w:color="520B90"/>
              <w:bottom w:val="single" w:sz="8" w:color="520B90"/>
            </w:tcBorders>
            <w:shd w:val="clear" w:color="auto" w:fill="E6E7E7"/>
          </w:tcPr>
          <w:p>
            <w:pPr>
              <w:jc w:val="right"/>
              <w:ind w:right="174"/>
              <w:spacing w:after="0"/>
              <w:rPr>
                <w:sz w:val="20"/>
                <w:szCs w:val="20"/>
                <w:color w:val="auto"/>
              </w:rPr>
            </w:pPr>
            <w:r>
              <w:rPr>
                <w:rFonts w:ascii="Arial" w:cs="Arial" w:eastAsia="Arial" w:hAnsi="Arial"/>
                <w:sz w:val="13"/>
                <w:szCs w:val="13"/>
                <w:color w:val="auto"/>
              </w:rPr>
              <w:t>4,453,786</w:t>
            </w:r>
          </w:p>
        </w:tc>
      </w:tr>
      <w:tr>
        <w:trPr>
          <w:trHeight w:val="176"/>
        </w:trPr>
        <w:tc>
          <w:tcPr>
            <w:tcW w:w="5380" w:type="dxa"/>
            <w:vAlign w:val="bottom"/>
          </w:tcPr>
          <w:p>
            <w:pPr>
              <w:ind w:left="60"/>
              <w:spacing w:after="0"/>
              <w:rPr>
                <w:sz w:val="20"/>
                <w:szCs w:val="20"/>
                <w:color w:val="auto"/>
              </w:rPr>
            </w:pPr>
            <w:r>
              <w:rPr>
                <w:rFonts w:ascii="Arial" w:cs="Arial" w:eastAsia="Arial" w:hAnsi="Arial"/>
                <w:sz w:val="13"/>
                <w:szCs w:val="13"/>
                <w:b w:val="1"/>
                <w:bCs w:val="1"/>
                <w:i w:val="1"/>
                <w:iCs w:val="1"/>
                <w:color w:val="auto"/>
              </w:rPr>
              <w:t>Adjustments</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3411855" cy="13462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3411855" cy="13462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type w:val="continuous"/>
        </w:sectPr>
      </w:pPr>
    </w:p>
    <w:p>
      <w:pPr>
        <w:spacing w:after="0" w:line="25"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 xml:space="preserve">Deduct: </w:t>
      </w:r>
      <w:r>
        <w:rPr>
          <w:rFonts w:ascii="Arial" w:cs="Arial" w:eastAsia="Arial" w:hAnsi="Arial"/>
          <w:sz w:val="13"/>
          <w:szCs w:val="13"/>
          <w:color w:val="auto"/>
        </w:rPr>
        <w:t>Reported value of equity awards</w:t>
      </w:r>
      <w:r>
        <w:rPr>
          <w:rFonts w:ascii="Arial" w:cs="Arial" w:eastAsia="Arial" w:hAnsi="Arial"/>
          <w:sz w:val="17"/>
          <w:szCs w:val="17"/>
          <w:color w:val="auto"/>
          <w:vertAlign w:val="superscript"/>
        </w:rPr>
        <w:t>(a)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 xml:space="preserve">Add: </w:t>
      </w:r>
      <w:r>
        <w:rPr>
          <w:rFonts w:ascii="Arial" w:cs="Arial" w:eastAsia="Arial" w:hAnsi="Arial"/>
          <w:sz w:val="13"/>
          <w:szCs w:val="13"/>
          <w:color w:val="auto"/>
        </w:rPr>
        <w:t>Year end fair value of outstanding equity awards granted in covered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3411855" cy="20193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3411855" cy="201930"/>
                    </a:xfrm>
                    <a:prstGeom prst="rect">
                      <a:avLst/>
                    </a:prstGeom>
                    <a:noFill/>
                  </pic:spPr>
                </pic:pic>
              </a:graphicData>
            </a:graphic>
          </wp:anchor>
        </w:drawing>
      </w:r>
    </w:p>
    <w:p>
      <w:pPr>
        <w:spacing w:after="0" w:line="4" w:lineRule="exact"/>
        <w:rPr>
          <w:sz w:val="20"/>
          <w:szCs w:val="20"/>
          <w:color w:val="auto"/>
        </w:rPr>
      </w:pPr>
    </w:p>
    <w:p>
      <w:pPr>
        <w:ind w:left="120"/>
        <w:spacing w:after="0" w:line="251" w:lineRule="auto"/>
        <w:rPr>
          <w:sz w:val="20"/>
          <w:szCs w:val="20"/>
          <w:color w:val="auto"/>
        </w:rPr>
      </w:pPr>
      <w:r>
        <w:rPr>
          <w:rFonts w:ascii="Arial" w:cs="Arial" w:eastAsia="Arial" w:hAnsi="Arial"/>
          <w:sz w:val="13"/>
          <w:szCs w:val="13"/>
          <w:b w:val="1"/>
          <w:bCs w:val="1"/>
          <w:color w:val="auto"/>
        </w:rPr>
        <w:t>Add</w:t>
      </w:r>
      <w:r>
        <w:rPr>
          <w:rFonts w:ascii="Arial" w:cs="Arial" w:eastAsia="Arial" w:hAnsi="Arial"/>
          <w:sz w:val="13"/>
          <w:szCs w:val="13"/>
          <w:color w:val="auto"/>
        </w:rPr>
        <w:t>: Change in fair value of outstanding equity awards granted in prior years and</w:t>
      </w:r>
      <w:r>
        <w:rPr>
          <w:rFonts w:ascii="Arial" w:cs="Arial" w:eastAsia="Arial" w:hAnsi="Arial"/>
          <w:sz w:val="13"/>
          <w:szCs w:val="13"/>
          <w:b w:val="1"/>
          <w:bCs w:val="1"/>
          <w:color w:val="auto"/>
        </w:rPr>
        <w:t xml:space="preserve"> </w:t>
      </w:r>
      <w:r>
        <w:rPr>
          <w:rFonts w:ascii="Arial" w:cs="Arial" w:eastAsia="Arial" w:hAnsi="Arial"/>
          <w:sz w:val="13"/>
          <w:szCs w:val="13"/>
          <w:color w:val="auto"/>
        </w:rPr>
        <w:t>unvested at year end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1080" w:type="dxa"/>
            <w:vAlign w:val="bottom"/>
            <w:tcBorders>
              <w:top w:val="single" w:sz="8" w:color="520B90"/>
            </w:tcBorders>
            <w:shd w:val="clear" w:color="auto" w:fill="E6E7E7"/>
          </w:tcPr>
          <w:p>
            <w:pPr>
              <w:jc w:val="center"/>
              <w:spacing w:after="0"/>
              <w:rPr>
                <w:sz w:val="20"/>
                <w:szCs w:val="20"/>
                <w:color w:val="auto"/>
              </w:rPr>
            </w:pPr>
            <w:r>
              <w:rPr>
                <w:rFonts w:ascii="Arial" w:cs="Arial" w:eastAsia="Arial" w:hAnsi="Arial"/>
                <w:sz w:val="13"/>
                <w:szCs w:val="13"/>
                <w:color w:val="auto"/>
              </w:rPr>
              <w:t>(5,463,793)</w:t>
            </w:r>
          </w:p>
        </w:tc>
        <w:tc>
          <w:tcPr>
            <w:tcW w:w="80" w:type="dxa"/>
            <w:vAlign w:val="bottom"/>
          </w:tcPr>
          <w:p>
            <w:pPr>
              <w:spacing w:after="0"/>
              <w:rPr>
                <w:sz w:val="17"/>
                <w:szCs w:val="17"/>
                <w:color w:val="auto"/>
              </w:rPr>
            </w:pPr>
          </w:p>
        </w:tc>
        <w:tc>
          <w:tcPr>
            <w:tcW w:w="1100" w:type="dxa"/>
            <w:vAlign w:val="bottom"/>
            <w:tcBorders>
              <w:top w:val="single" w:sz="8" w:color="520B90"/>
            </w:tcBorders>
            <w:shd w:val="clear" w:color="auto" w:fill="E6E7E7"/>
          </w:tcPr>
          <w:p>
            <w:pPr>
              <w:jc w:val="right"/>
              <w:ind w:right="134"/>
              <w:spacing w:after="0"/>
              <w:rPr>
                <w:sz w:val="20"/>
                <w:szCs w:val="20"/>
                <w:color w:val="auto"/>
              </w:rPr>
            </w:pPr>
            <w:r>
              <w:rPr>
                <w:rFonts w:ascii="Arial" w:cs="Arial" w:eastAsia="Arial" w:hAnsi="Arial"/>
                <w:sz w:val="13"/>
                <w:szCs w:val="13"/>
                <w:color w:val="auto"/>
              </w:rPr>
              <w:t>(4,762,218)</w:t>
            </w:r>
          </w:p>
        </w:tc>
        <w:tc>
          <w:tcPr>
            <w:tcW w:w="80" w:type="dxa"/>
            <w:vAlign w:val="bottom"/>
          </w:tcPr>
          <w:p>
            <w:pPr>
              <w:spacing w:after="0"/>
              <w:rPr>
                <w:sz w:val="17"/>
                <w:szCs w:val="17"/>
                <w:color w:val="auto"/>
              </w:rPr>
            </w:pPr>
          </w:p>
        </w:tc>
        <w:tc>
          <w:tcPr>
            <w:tcW w:w="1100" w:type="dxa"/>
            <w:vAlign w:val="bottom"/>
            <w:tcBorders>
              <w:top w:val="single" w:sz="8" w:color="520B90"/>
            </w:tcBorders>
            <w:shd w:val="clear" w:color="auto" w:fill="E6E7E7"/>
          </w:tcPr>
          <w:p>
            <w:pPr>
              <w:jc w:val="right"/>
              <w:ind w:right="154"/>
              <w:spacing w:after="0"/>
              <w:rPr>
                <w:sz w:val="20"/>
                <w:szCs w:val="20"/>
                <w:color w:val="auto"/>
              </w:rPr>
            </w:pPr>
            <w:r>
              <w:rPr>
                <w:rFonts w:ascii="Arial" w:cs="Arial" w:eastAsia="Arial" w:hAnsi="Arial"/>
                <w:sz w:val="13"/>
                <w:szCs w:val="13"/>
                <w:color w:val="auto"/>
              </w:rPr>
              <w:t>(4,008,976)</w:t>
            </w:r>
          </w:p>
        </w:tc>
        <w:tc>
          <w:tcPr>
            <w:tcW w:w="80" w:type="dxa"/>
            <w:vAlign w:val="bottom"/>
          </w:tcPr>
          <w:p>
            <w:pPr>
              <w:spacing w:after="0"/>
              <w:rPr>
                <w:sz w:val="17"/>
                <w:szCs w:val="17"/>
                <w:color w:val="auto"/>
              </w:rPr>
            </w:pPr>
          </w:p>
        </w:tc>
        <w:tc>
          <w:tcPr>
            <w:tcW w:w="1080" w:type="dxa"/>
            <w:vAlign w:val="bottom"/>
            <w:tcBorders>
              <w:top w:val="single" w:sz="8" w:color="520B90"/>
            </w:tcBorders>
            <w:shd w:val="clear" w:color="auto" w:fill="E6E7E7"/>
          </w:tcPr>
          <w:p>
            <w:pPr>
              <w:jc w:val="right"/>
              <w:ind w:right="134"/>
              <w:spacing w:after="0"/>
              <w:rPr>
                <w:sz w:val="20"/>
                <w:szCs w:val="20"/>
                <w:color w:val="auto"/>
              </w:rPr>
            </w:pPr>
            <w:r>
              <w:rPr>
                <w:rFonts w:ascii="Arial" w:cs="Arial" w:eastAsia="Arial" w:hAnsi="Arial"/>
                <w:sz w:val="13"/>
                <w:szCs w:val="13"/>
                <w:color w:val="auto"/>
              </w:rPr>
              <w:t>(2,716,863)</w:t>
            </w:r>
          </w:p>
        </w:tc>
        <w:tc>
          <w:tcPr>
            <w:tcW w:w="100" w:type="dxa"/>
            <w:vAlign w:val="bottom"/>
          </w:tcPr>
          <w:p>
            <w:pPr>
              <w:spacing w:after="0"/>
              <w:rPr>
                <w:sz w:val="17"/>
                <w:szCs w:val="17"/>
                <w:color w:val="auto"/>
              </w:rPr>
            </w:pPr>
          </w:p>
        </w:tc>
        <w:tc>
          <w:tcPr>
            <w:tcW w:w="1060" w:type="dxa"/>
            <w:vAlign w:val="bottom"/>
            <w:tcBorders>
              <w:top w:val="single" w:sz="8" w:color="520B90"/>
            </w:tcBorders>
            <w:shd w:val="clear" w:color="auto" w:fill="E6E7E7"/>
          </w:tcPr>
          <w:p>
            <w:pPr>
              <w:jc w:val="right"/>
              <w:ind w:right="134"/>
              <w:spacing w:after="0"/>
              <w:rPr>
                <w:sz w:val="20"/>
                <w:szCs w:val="20"/>
                <w:color w:val="auto"/>
              </w:rPr>
            </w:pPr>
            <w:r>
              <w:rPr>
                <w:rFonts w:ascii="Arial" w:cs="Arial" w:eastAsia="Arial" w:hAnsi="Arial"/>
                <w:sz w:val="13"/>
                <w:szCs w:val="13"/>
                <w:color w:val="auto"/>
              </w:rPr>
              <w:t>(2,919,983)</w:t>
            </w:r>
          </w:p>
        </w:tc>
      </w:tr>
      <w:tr>
        <w:trPr>
          <w:trHeight w:val="180"/>
        </w:trPr>
        <w:tc>
          <w:tcPr>
            <w:tcW w:w="1080" w:type="dxa"/>
            <w:vAlign w:val="bottom"/>
          </w:tcPr>
          <w:p>
            <w:pPr>
              <w:jc w:val="center"/>
              <w:spacing w:after="0"/>
              <w:rPr>
                <w:sz w:val="20"/>
                <w:szCs w:val="20"/>
                <w:color w:val="auto"/>
              </w:rPr>
            </w:pPr>
            <w:r>
              <w:rPr>
                <w:rFonts w:ascii="Arial" w:cs="Arial" w:eastAsia="Arial" w:hAnsi="Arial"/>
                <w:sz w:val="13"/>
                <w:szCs w:val="13"/>
                <w:color w:val="auto"/>
              </w:rPr>
              <w:t>5,011,199</w:t>
            </w:r>
          </w:p>
        </w:tc>
        <w:tc>
          <w:tcPr>
            <w:tcW w:w="1180" w:type="dxa"/>
            <w:vAlign w:val="bottom"/>
            <w:gridSpan w:val="2"/>
          </w:tcPr>
          <w:p>
            <w:pPr>
              <w:jc w:val="right"/>
              <w:ind w:right="194"/>
              <w:spacing w:after="0"/>
              <w:rPr>
                <w:sz w:val="20"/>
                <w:szCs w:val="20"/>
                <w:color w:val="auto"/>
              </w:rPr>
            </w:pPr>
            <w:r>
              <w:rPr>
                <w:rFonts w:ascii="Arial" w:cs="Arial" w:eastAsia="Arial" w:hAnsi="Arial"/>
                <w:sz w:val="13"/>
                <w:szCs w:val="13"/>
                <w:color w:val="auto"/>
              </w:rPr>
              <w:t>3,124,046</w:t>
            </w:r>
          </w:p>
        </w:tc>
        <w:tc>
          <w:tcPr>
            <w:tcW w:w="1180" w:type="dxa"/>
            <w:vAlign w:val="bottom"/>
            <w:gridSpan w:val="2"/>
          </w:tcPr>
          <w:p>
            <w:pPr>
              <w:jc w:val="right"/>
              <w:ind w:right="194"/>
              <w:spacing w:after="0"/>
              <w:rPr>
                <w:sz w:val="20"/>
                <w:szCs w:val="20"/>
                <w:color w:val="auto"/>
              </w:rPr>
            </w:pPr>
            <w:r>
              <w:rPr>
                <w:rFonts w:ascii="Arial" w:cs="Arial" w:eastAsia="Arial" w:hAnsi="Arial"/>
                <w:sz w:val="13"/>
                <w:szCs w:val="13"/>
                <w:color w:val="auto"/>
              </w:rPr>
              <w:t>2,162,156</w:t>
            </w:r>
          </w:p>
        </w:tc>
        <w:tc>
          <w:tcPr>
            <w:tcW w:w="1160" w:type="dxa"/>
            <w:vAlign w:val="bottom"/>
            <w:gridSpan w:val="2"/>
          </w:tcPr>
          <w:p>
            <w:pPr>
              <w:jc w:val="right"/>
              <w:ind w:right="174"/>
              <w:spacing w:after="0"/>
              <w:rPr>
                <w:sz w:val="20"/>
                <w:szCs w:val="20"/>
                <w:color w:val="auto"/>
              </w:rPr>
            </w:pPr>
            <w:r>
              <w:rPr>
                <w:rFonts w:ascii="Arial" w:cs="Arial" w:eastAsia="Arial" w:hAnsi="Arial"/>
                <w:sz w:val="13"/>
                <w:szCs w:val="13"/>
                <w:color w:val="auto"/>
              </w:rPr>
              <w:t>1,731,958</w:t>
            </w:r>
          </w:p>
        </w:tc>
        <w:tc>
          <w:tcPr>
            <w:tcW w:w="1160" w:type="dxa"/>
            <w:vAlign w:val="bottom"/>
            <w:gridSpan w:val="2"/>
          </w:tcPr>
          <w:p>
            <w:pPr>
              <w:jc w:val="right"/>
              <w:ind w:right="174"/>
              <w:spacing w:after="0"/>
              <w:rPr>
                <w:sz w:val="20"/>
                <w:szCs w:val="20"/>
                <w:color w:val="auto"/>
              </w:rPr>
            </w:pPr>
            <w:r>
              <w:rPr>
                <w:rFonts w:ascii="Arial" w:cs="Arial" w:eastAsia="Arial" w:hAnsi="Arial"/>
                <w:sz w:val="13"/>
                <w:szCs w:val="13"/>
                <w:color w:val="auto"/>
              </w:rPr>
              <w:t>4,252,427</w:t>
            </w:r>
          </w:p>
        </w:tc>
      </w:tr>
      <w:tr>
        <w:trPr>
          <w:trHeight w:val="246"/>
        </w:trPr>
        <w:tc>
          <w:tcPr>
            <w:tcW w:w="1080" w:type="dxa"/>
            <w:vAlign w:val="bottom"/>
            <w:shd w:val="clear" w:color="auto" w:fill="E6E7E7"/>
          </w:tcPr>
          <w:p>
            <w:pPr>
              <w:jc w:val="center"/>
              <w:spacing w:after="0"/>
              <w:rPr>
                <w:sz w:val="20"/>
                <w:szCs w:val="20"/>
                <w:color w:val="auto"/>
              </w:rPr>
            </w:pPr>
            <w:r>
              <w:rPr>
                <w:rFonts w:ascii="Arial" w:cs="Arial" w:eastAsia="Arial" w:hAnsi="Arial"/>
                <w:sz w:val="13"/>
                <w:szCs w:val="13"/>
                <w:color w:val="auto"/>
              </w:rPr>
              <w:t>(145,807)</w:t>
            </w:r>
          </w:p>
        </w:tc>
        <w:tc>
          <w:tcPr>
            <w:tcW w:w="80" w:type="dxa"/>
            <w:vAlign w:val="bottom"/>
          </w:tcPr>
          <w:p>
            <w:pPr>
              <w:spacing w:after="0"/>
              <w:rPr>
                <w:sz w:val="21"/>
                <w:szCs w:val="21"/>
                <w:color w:val="auto"/>
              </w:rPr>
            </w:pPr>
          </w:p>
        </w:tc>
        <w:tc>
          <w:tcPr>
            <w:tcW w:w="1100" w:type="dxa"/>
            <w:vAlign w:val="bottom"/>
            <w:shd w:val="clear" w:color="auto" w:fill="E6E7E7"/>
          </w:tcPr>
          <w:p>
            <w:pPr>
              <w:jc w:val="right"/>
              <w:ind w:right="134"/>
              <w:spacing w:after="0"/>
              <w:rPr>
                <w:sz w:val="20"/>
                <w:szCs w:val="20"/>
                <w:color w:val="auto"/>
              </w:rPr>
            </w:pPr>
            <w:r>
              <w:rPr>
                <w:rFonts w:ascii="Arial" w:cs="Arial" w:eastAsia="Arial" w:hAnsi="Arial"/>
                <w:sz w:val="13"/>
                <w:szCs w:val="13"/>
                <w:color w:val="auto"/>
              </w:rPr>
              <w:t>(1,176,483)</w:t>
            </w:r>
          </w:p>
        </w:tc>
        <w:tc>
          <w:tcPr>
            <w:tcW w:w="80" w:type="dxa"/>
            <w:vAlign w:val="bottom"/>
          </w:tcPr>
          <w:p>
            <w:pPr>
              <w:spacing w:after="0"/>
              <w:rPr>
                <w:sz w:val="21"/>
                <w:szCs w:val="21"/>
                <w:color w:val="auto"/>
              </w:rPr>
            </w:pPr>
          </w:p>
        </w:tc>
        <w:tc>
          <w:tcPr>
            <w:tcW w:w="1100" w:type="dxa"/>
            <w:vAlign w:val="bottom"/>
            <w:shd w:val="clear" w:color="auto" w:fill="E6E7E7"/>
          </w:tcPr>
          <w:p>
            <w:pPr>
              <w:jc w:val="right"/>
              <w:ind w:right="154"/>
              <w:spacing w:after="0"/>
              <w:rPr>
                <w:sz w:val="20"/>
                <w:szCs w:val="20"/>
                <w:color w:val="auto"/>
              </w:rPr>
            </w:pPr>
            <w:r>
              <w:rPr>
                <w:rFonts w:ascii="Arial" w:cs="Arial" w:eastAsia="Arial" w:hAnsi="Arial"/>
                <w:sz w:val="13"/>
                <w:szCs w:val="13"/>
                <w:color w:val="auto"/>
              </w:rPr>
              <w:t>(1,038,953)</w:t>
            </w:r>
          </w:p>
        </w:tc>
        <w:tc>
          <w:tcPr>
            <w:tcW w:w="80" w:type="dxa"/>
            <w:vAlign w:val="bottom"/>
          </w:tcPr>
          <w:p>
            <w:pPr>
              <w:spacing w:after="0"/>
              <w:rPr>
                <w:sz w:val="21"/>
                <w:szCs w:val="21"/>
                <w:color w:val="auto"/>
              </w:rPr>
            </w:pPr>
          </w:p>
        </w:tc>
        <w:tc>
          <w:tcPr>
            <w:tcW w:w="1080" w:type="dxa"/>
            <w:vAlign w:val="bottom"/>
            <w:shd w:val="clear" w:color="auto" w:fill="E6E7E7"/>
          </w:tcPr>
          <w:p>
            <w:pPr>
              <w:jc w:val="right"/>
              <w:ind w:right="134"/>
              <w:spacing w:after="0"/>
              <w:rPr>
                <w:sz w:val="20"/>
                <w:szCs w:val="20"/>
                <w:color w:val="auto"/>
              </w:rPr>
            </w:pPr>
            <w:r>
              <w:rPr>
                <w:rFonts w:ascii="Arial" w:cs="Arial" w:eastAsia="Arial" w:hAnsi="Arial"/>
                <w:sz w:val="13"/>
                <w:szCs w:val="13"/>
                <w:color w:val="auto"/>
              </w:rPr>
              <w:t>(5,537,606)</w:t>
            </w:r>
          </w:p>
        </w:tc>
        <w:tc>
          <w:tcPr>
            <w:tcW w:w="100" w:type="dxa"/>
            <w:vAlign w:val="bottom"/>
          </w:tcPr>
          <w:p>
            <w:pPr>
              <w:spacing w:after="0"/>
              <w:rPr>
                <w:sz w:val="21"/>
                <w:szCs w:val="21"/>
                <w:color w:val="auto"/>
              </w:rPr>
            </w:pPr>
          </w:p>
        </w:tc>
        <w:tc>
          <w:tcPr>
            <w:tcW w:w="1060" w:type="dxa"/>
            <w:vAlign w:val="bottom"/>
            <w:shd w:val="clear" w:color="auto" w:fill="E6E7E7"/>
          </w:tcPr>
          <w:p>
            <w:pPr>
              <w:jc w:val="right"/>
              <w:ind w:right="174"/>
              <w:spacing w:after="0"/>
              <w:rPr>
                <w:sz w:val="20"/>
                <w:szCs w:val="20"/>
                <w:color w:val="auto"/>
              </w:rPr>
            </w:pPr>
            <w:r>
              <w:rPr>
                <w:rFonts w:ascii="Arial" w:cs="Arial" w:eastAsia="Arial" w:hAnsi="Arial"/>
                <w:sz w:val="13"/>
                <w:szCs w:val="13"/>
                <w:color w:val="auto"/>
              </w:rPr>
              <w:t>4,791,205</w:t>
            </w:r>
          </w:p>
        </w:tc>
      </w:tr>
      <w:tr>
        <w:trPr>
          <w:trHeight w:val="77"/>
        </w:trPr>
        <w:tc>
          <w:tcPr>
            <w:tcW w:w="1080" w:type="dxa"/>
            <w:vAlign w:val="bottom"/>
            <w:shd w:val="clear" w:color="auto" w:fill="E6E7E7"/>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shd w:val="clear" w:color="auto" w:fill="E6E7E7"/>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shd w:val="clear" w:color="auto" w:fill="E6E7E7"/>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shd w:val="clear" w:color="auto" w:fill="E6E7E7"/>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shd w:val="clear" w:color="auto" w:fill="E6E7E7"/>
          </w:tcPr>
          <w:p>
            <w:pPr>
              <w:spacing w:after="0"/>
              <w:rPr>
                <w:sz w:val="6"/>
                <w:szCs w:val="6"/>
                <w:color w:val="auto"/>
              </w:rPr>
            </w:pPr>
          </w:p>
        </w:tc>
      </w:tr>
    </w:tbl>
    <w:p>
      <w:pPr>
        <w:spacing w:after="0" w:line="1" w:lineRule="exact"/>
        <w:rPr>
          <w:sz w:val="20"/>
          <w:szCs w:val="20"/>
          <w:color w:val="auto"/>
        </w:rPr>
      </w:pPr>
    </w:p>
    <w:p>
      <w:pPr>
        <w:sectPr>
          <w:pgSz w:w="11900" w:h="16838" w:orient="portrait"/>
          <w:cols w:equalWidth="0" w:num="2">
            <w:col w:w="4900" w:space="580"/>
            <w:col w:w="5760"/>
          </w:cols>
          <w:pgMar w:left="320" w:top="1393" w:right="33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5380" w:type="dxa"/>
            <w:vAlign w:val="bottom"/>
          </w:tcPr>
          <w:p>
            <w:pPr>
              <w:ind w:left="120"/>
              <w:spacing w:after="0"/>
              <w:rPr>
                <w:sz w:val="20"/>
                <w:szCs w:val="20"/>
                <w:color w:val="auto"/>
              </w:rPr>
            </w:pPr>
            <w:r>
              <w:rPr>
                <w:rFonts w:ascii="Arial" w:cs="Arial" w:eastAsia="Arial" w:hAnsi="Arial"/>
                <w:sz w:val="13"/>
                <w:szCs w:val="13"/>
                <w:b w:val="1"/>
                <w:bCs w:val="1"/>
                <w:color w:val="auto"/>
              </w:rPr>
              <w:t xml:space="preserve">Add: </w:t>
            </w:r>
            <w:r>
              <w:rPr>
                <w:rFonts w:ascii="Arial" w:cs="Arial" w:eastAsia="Arial" w:hAnsi="Arial"/>
                <w:sz w:val="13"/>
                <w:szCs w:val="13"/>
                <w:color w:val="auto"/>
              </w:rPr>
              <w:t>Fair value at vesting date of equity awards granted and vested in covered year</w:t>
            </w:r>
          </w:p>
        </w:tc>
        <w:tc>
          <w:tcPr>
            <w:tcW w:w="1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center"/>
              <w:ind w:left="34"/>
              <w:spacing w:after="0"/>
              <w:rPr>
                <w:sz w:val="20"/>
                <w:szCs w:val="20"/>
                <w:color w:val="auto"/>
              </w:rPr>
            </w:pPr>
            <w:r>
              <w:rPr>
                <w:rFonts w:ascii="Arial" w:cs="Arial" w:eastAsia="Arial" w:hAnsi="Arial"/>
                <w:sz w:val="13"/>
                <w:szCs w:val="13"/>
                <w:color w:val="auto"/>
              </w:rPr>
              <w:t>488,222</w:t>
            </w:r>
          </w:p>
        </w:tc>
        <w:tc>
          <w:tcPr>
            <w:tcW w:w="8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5380" w:type="dxa"/>
            <w:vAlign w:val="bottom"/>
            <w:shd w:val="clear" w:color="auto" w:fill="E6E7E7"/>
          </w:tcPr>
          <w:p>
            <w:pPr>
              <w:ind w:left="120"/>
              <w:spacing w:after="0" w:line="136" w:lineRule="exact"/>
              <w:rPr>
                <w:sz w:val="20"/>
                <w:szCs w:val="20"/>
                <w:color w:val="auto"/>
              </w:rPr>
            </w:pPr>
            <w:r>
              <w:rPr>
                <w:rFonts w:ascii="Arial" w:cs="Arial" w:eastAsia="Arial" w:hAnsi="Arial"/>
                <w:sz w:val="13"/>
                <w:szCs w:val="13"/>
                <w:b w:val="1"/>
                <w:bCs w:val="1"/>
                <w:color w:val="auto"/>
              </w:rPr>
              <w:t xml:space="preserve">Add: </w:t>
            </w:r>
            <w:r>
              <w:rPr>
                <w:rFonts w:ascii="Arial" w:cs="Arial" w:eastAsia="Arial" w:hAnsi="Arial"/>
                <w:sz w:val="13"/>
                <w:szCs w:val="13"/>
                <w:color w:val="auto"/>
              </w:rPr>
              <w:t>Change in vesting date fair value of equity awards granted in prior years that</w:t>
            </w:r>
          </w:p>
        </w:tc>
        <w:tc>
          <w:tcPr>
            <w:tcW w:w="100" w:type="dxa"/>
            <w:vAlign w:val="bottom"/>
          </w:tcPr>
          <w:p>
            <w:pPr>
              <w:spacing w:after="0"/>
              <w:rPr>
                <w:sz w:val="11"/>
                <w:szCs w:val="11"/>
                <w:color w:val="auto"/>
              </w:rPr>
            </w:pPr>
          </w:p>
        </w:tc>
        <w:tc>
          <w:tcPr>
            <w:tcW w:w="108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(9,109)</w:t>
            </w:r>
          </w:p>
        </w:tc>
        <w:tc>
          <w:tcPr>
            <w:tcW w:w="80" w:type="dxa"/>
            <w:vAlign w:val="bottom"/>
          </w:tcPr>
          <w:p>
            <w:pPr>
              <w:spacing w:after="0"/>
              <w:rPr>
                <w:sz w:val="11"/>
                <w:szCs w:val="11"/>
                <w:color w:val="auto"/>
              </w:rPr>
            </w:pPr>
          </w:p>
        </w:tc>
        <w:tc>
          <w:tcPr>
            <w:tcW w:w="110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(41,733)</w:t>
            </w:r>
          </w:p>
        </w:tc>
        <w:tc>
          <w:tcPr>
            <w:tcW w:w="80" w:type="dxa"/>
            <w:vAlign w:val="bottom"/>
          </w:tcPr>
          <w:p>
            <w:pPr>
              <w:spacing w:after="0"/>
              <w:rPr>
                <w:sz w:val="11"/>
                <w:szCs w:val="11"/>
                <w:color w:val="auto"/>
              </w:rPr>
            </w:pPr>
          </w:p>
        </w:tc>
        <w:tc>
          <w:tcPr>
            <w:tcW w:w="110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15,856</w:t>
            </w:r>
          </w:p>
        </w:tc>
        <w:tc>
          <w:tcPr>
            <w:tcW w:w="80" w:type="dxa"/>
            <w:vAlign w:val="bottom"/>
          </w:tcPr>
          <w:p>
            <w:pPr>
              <w:spacing w:after="0"/>
              <w:rPr>
                <w:sz w:val="11"/>
                <w:szCs w:val="11"/>
                <w:color w:val="auto"/>
              </w:rPr>
            </w:pPr>
          </w:p>
        </w:tc>
        <w:tc>
          <w:tcPr>
            <w:tcW w:w="108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(1,249,038)</w:t>
            </w:r>
          </w:p>
        </w:tc>
        <w:tc>
          <w:tcPr>
            <w:tcW w:w="100" w:type="dxa"/>
            <w:vAlign w:val="bottom"/>
          </w:tcPr>
          <w:p>
            <w:pPr>
              <w:spacing w:after="0"/>
              <w:rPr>
                <w:sz w:val="11"/>
                <w:szCs w:val="11"/>
                <w:color w:val="auto"/>
              </w:rPr>
            </w:pPr>
          </w:p>
        </w:tc>
        <w:tc>
          <w:tcPr>
            <w:tcW w:w="106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227,065</w:t>
            </w:r>
          </w:p>
        </w:tc>
        <w:tc>
          <w:tcPr>
            <w:tcW w:w="0" w:type="dxa"/>
            <w:vAlign w:val="bottom"/>
          </w:tcPr>
          <w:p>
            <w:pPr>
              <w:spacing w:after="0"/>
              <w:rPr>
                <w:sz w:val="1"/>
                <w:szCs w:val="1"/>
                <w:color w:val="auto"/>
              </w:rPr>
            </w:pPr>
          </w:p>
        </w:tc>
      </w:tr>
      <w:tr>
        <w:trPr>
          <w:trHeight w:val="108"/>
        </w:trPr>
        <w:tc>
          <w:tcPr>
            <w:tcW w:w="5380" w:type="dxa"/>
            <w:vAlign w:val="bottom"/>
            <w:vMerge w:val="restart"/>
            <w:shd w:val="clear" w:color="auto" w:fill="E6E7E7"/>
          </w:tcPr>
          <w:p>
            <w:pPr>
              <w:ind w:left="120"/>
              <w:spacing w:after="0"/>
              <w:rPr>
                <w:sz w:val="20"/>
                <w:szCs w:val="20"/>
                <w:color w:val="auto"/>
              </w:rPr>
            </w:pPr>
            <w:r>
              <w:rPr>
                <w:rFonts w:ascii="Arial" w:cs="Arial" w:eastAsia="Arial" w:hAnsi="Arial"/>
                <w:sz w:val="13"/>
                <w:szCs w:val="13"/>
                <w:color w:val="auto"/>
              </w:rPr>
              <w:t>vested in covered year</w:t>
            </w:r>
          </w:p>
        </w:tc>
        <w:tc>
          <w:tcPr>
            <w:tcW w:w="100" w:type="dxa"/>
            <w:vAlign w:val="bottom"/>
          </w:tcPr>
          <w:p>
            <w:pPr>
              <w:spacing w:after="0"/>
              <w:rPr>
                <w:sz w:val="9"/>
                <w:szCs w:val="9"/>
                <w:color w:val="auto"/>
              </w:rPr>
            </w:pPr>
          </w:p>
        </w:tc>
        <w:tc>
          <w:tcPr>
            <w:tcW w:w="1080" w:type="dxa"/>
            <w:vAlign w:val="bottom"/>
            <w:vMerge w:val="continue"/>
            <w:shd w:val="clear" w:color="auto" w:fill="E6E7E7"/>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vMerge w:val="continue"/>
            <w:shd w:val="clear" w:color="auto" w:fill="E6E7E7"/>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vMerge w:val="continue"/>
            <w:shd w:val="clear" w:color="auto" w:fill="E6E7E7"/>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vMerge w:val="continue"/>
            <w:shd w:val="clear" w:color="auto" w:fill="E6E7E7"/>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vMerge w:val="continue"/>
            <w:shd w:val="clear" w:color="auto" w:fill="E6E7E7"/>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5380" w:type="dxa"/>
            <w:vAlign w:val="bottom"/>
            <w:vMerge w:val="continue"/>
            <w:shd w:val="clear" w:color="auto" w:fill="E6E7E7"/>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shd w:val="clear" w:color="auto" w:fill="E6E7E7"/>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shd w:val="clear" w:color="auto" w:fill="E6E7E7"/>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shd w:val="clear" w:color="auto" w:fill="E6E7E7"/>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shd w:val="clear" w:color="auto" w:fill="E6E7E7"/>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shd w:val="clear" w:color="auto" w:fill="E6E7E7"/>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5380" w:type="dxa"/>
            <w:vAlign w:val="bottom"/>
          </w:tcPr>
          <w:p>
            <w:pPr>
              <w:ind w:left="120"/>
              <w:spacing w:after="0" w:line="133" w:lineRule="exact"/>
              <w:rPr>
                <w:sz w:val="20"/>
                <w:szCs w:val="20"/>
                <w:color w:val="auto"/>
              </w:rPr>
            </w:pPr>
            <w:r>
              <w:rPr>
                <w:rFonts w:ascii="Arial" w:cs="Arial" w:eastAsia="Arial" w:hAnsi="Arial"/>
                <w:sz w:val="13"/>
                <w:szCs w:val="13"/>
                <w:b w:val="1"/>
                <w:bCs w:val="1"/>
                <w:color w:val="auto"/>
              </w:rPr>
              <w:t xml:space="preserve">Subtract: </w:t>
            </w:r>
            <w:r>
              <w:rPr>
                <w:rFonts w:ascii="Arial" w:cs="Arial" w:eastAsia="Arial" w:hAnsi="Arial"/>
                <w:sz w:val="13"/>
                <w:szCs w:val="13"/>
                <w:color w:val="auto"/>
              </w:rPr>
              <w:t>Fair value at end of prior year of equity awards that failed to meet vesting</w:t>
            </w:r>
          </w:p>
        </w:tc>
        <w:tc>
          <w:tcPr>
            <w:tcW w:w="100" w:type="dxa"/>
            <w:vAlign w:val="bottom"/>
          </w:tcPr>
          <w:p>
            <w:pPr>
              <w:spacing w:after="0"/>
              <w:rPr>
                <w:sz w:val="11"/>
                <w:szCs w:val="11"/>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1180" w:type="dxa"/>
            <w:vAlign w:val="bottom"/>
            <w:gridSpan w:val="2"/>
            <w:vMerge w:val="restart"/>
          </w:tcPr>
          <w:p>
            <w:pPr>
              <w:jc w:val="center"/>
              <w:ind w:left="14"/>
              <w:spacing w:after="0"/>
              <w:rPr>
                <w:sz w:val="20"/>
                <w:szCs w:val="20"/>
                <w:color w:val="auto"/>
              </w:rPr>
            </w:pPr>
            <w:r>
              <w:rPr>
                <w:rFonts w:ascii="Arial" w:cs="Arial" w:eastAsia="Arial" w:hAnsi="Arial"/>
                <w:sz w:val="13"/>
                <w:szCs w:val="13"/>
                <w:color w:val="auto"/>
              </w:rPr>
              <w:t>(218,074)</w:t>
            </w:r>
          </w:p>
        </w:tc>
        <w:tc>
          <w:tcPr>
            <w:tcW w:w="80" w:type="dxa"/>
            <w:vAlign w:val="bottom"/>
          </w:tcPr>
          <w:p>
            <w:pPr>
              <w:spacing w:after="0"/>
              <w:rPr>
                <w:sz w:val="11"/>
                <w:szCs w:val="11"/>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1"/>
                <w:szCs w:val="11"/>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8"/>
        </w:trPr>
        <w:tc>
          <w:tcPr>
            <w:tcW w:w="5380" w:type="dxa"/>
            <w:vAlign w:val="bottom"/>
            <w:vMerge w:val="restart"/>
          </w:tcPr>
          <w:p>
            <w:pPr>
              <w:ind w:left="120"/>
              <w:spacing w:after="0"/>
              <w:rPr>
                <w:sz w:val="20"/>
                <w:szCs w:val="20"/>
                <w:color w:val="auto"/>
              </w:rPr>
            </w:pPr>
            <w:r>
              <w:rPr>
                <w:rFonts w:ascii="Arial" w:cs="Arial" w:eastAsia="Arial" w:hAnsi="Arial"/>
                <w:sz w:val="13"/>
                <w:szCs w:val="13"/>
                <w:color w:val="auto"/>
              </w:rPr>
              <w:t>conditions in covered year</w:t>
            </w:r>
          </w:p>
        </w:tc>
        <w:tc>
          <w:tcPr>
            <w:tcW w:w="10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5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5380" w:type="dxa"/>
            <w:vAlign w:val="bottom"/>
            <w:shd w:val="clear" w:color="auto" w:fill="E6E7E7"/>
          </w:tcPr>
          <w:p>
            <w:pPr>
              <w:ind w:left="120"/>
              <w:spacing w:after="0" w:line="138" w:lineRule="exact"/>
              <w:rPr>
                <w:sz w:val="20"/>
                <w:szCs w:val="20"/>
                <w:color w:val="auto"/>
              </w:rPr>
            </w:pPr>
            <w:r>
              <w:rPr>
                <w:rFonts w:ascii="Arial" w:cs="Arial" w:eastAsia="Arial" w:hAnsi="Arial"/>
                <w:sz w:val="13"/>
                <w:szCs w:val="13"/>
                <w:b w:val="1"/>
                <w:bCs w:val="1"/>
                <w:color w:val="auto"/>
              </w:rPr>
              <w:t xml:space="preserve">Add: </w:t>
            </w:r>
            <w:r>
              <w:rPr>
                <w:rFonts w:ascii="Arial" w:cs="Arial" w:eastAsia="Arial" w:hAnsi="Arial"/>
                <w:sz w:val="13"/>
                <w:szCs w:val="13"/>
                <w:color w:val="auto"/>
              </w:rPr>
              <w:t>Value of dividends paid during the covered year on outstanding and unvested</w:t>
            </w:r>
          </w:p>
        </w:tc>
        <w:tc>
          <w:tcPr>
            <w:tcW w:w="100" w:type="dxa"/>
            <w:vAlign w:val="bottom"/>
          </w:tcPr>
          <w:p>
            <w:pPr>
              <w:spacing w:after="0"/>
              <w:rPr>
                <w:sz w:val="11"/>
                <w:szCs w:val="11"/>
                <w:color w:val="auto"/>
              </w:rPr>
            </w:pPr>
          </w:p>
        </w:tc>
        <w:tc>
          <w:tcPr>
            <w:tcW w:w="108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300,596</w:t>
            </w:r>
          </w:p>
        </w:tc>
        <w:tc>
          <w:tcPr>
            <w:tcW w:w="80" w:type="dxa"/>
            <w:vAlign w:val="bottom"/>
          </w:tcPr>
          <w:p>
            <w:pPr>
              <w:spacing w:after="0"/>
              <w:rPr>
                <w:sz w:val="11"/>
                <w:szCs w:val="11"/>
                <w:color w:val="auto"/>
              </w:rPr>
            </w:pPr>
          </w:p>
        </w:tc>
        <w:tc>
          <w:tcPr>
            <w:tcW w:w="110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242,548</w:t>
            </w:r>
          </w:p>
        </w:tc>
        <w:tc>
          <w:tcPr>
            <w:tcW w:w="80" w:type="dxa"/>
            <w:vAlign w:val="bottom"/>
          </w:tcPr>
          <w:p>
            <w:pPr>
              <w:spacing w:after="0"/>
              <w:rPr>
                <w:sz w:val="11"/>
                <w:szCs w:val="11"/>
                <w:color w:val="auto"/>
              </w:rPr>
            </w:pPr>
          </w:p>
        </w:tc>
        <w:tc>
          <w:tcPr>
            <w:tcW w:w="110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84,875</w:t>
            </w:r>
          </w:p>
        </w:tc>
        <w:tc>
          <w:tcPr>
            <w:tcW w:w="80" w:type="dxa"/>
            <w:vAlign w:val="bottom"/>
          </w:tcPr>
          <w:p>
            <w:pPr>
              <w:spacing w:after="0"/>
              <w:rPr>
                <w:sz w:val="11"/>
                <w:szCs w:val="11"/>
                <w:color w:val="auto"/>
              </w:rPr>
            </w:pPr>
          </w:p>
        </w:tc>
        <w:tc>
          <w:tcPr>
            <w:tcW w:w="108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w w:val="99"/>
              </w:rPr>
              <w:t>(28,098)</w:t>
            </w:r>
          </w:p>
        </w:tc>
        <w:tc>
          <w:tcPr>
            <w:tcW w:w="100" w:type="dxa"/>
            <w:vAlign w:val="bottom"/>
          </w:tcPr>
          <w:p>
            <w:pPr>
              <w:spacing w:after="0"/>
              <w:rPr>
                <w:sz w:val="11"/>
                <w:szCs w:val="11"/>
                <w:color w:val="auto"/>
              </w:rPr>
            </w:pPr>
          </w:p>
        </w:tc>
        <w:tc>
          <w:tcPr>
            <w:tcW w:w="1060" w:type="dxa"/>
            <w:vAlign w:val="bottom"/>
            <w:vMerge w:val="restart"/>
            <w:shd w:val="clear" w:color="auto" w:fill="E6E7E7"/>
          </w:tcPr>
          <w:p>
            <w:pPr>
              <w:jc w:val="center"/>
              <w:spacing w:after="0"/>
              <w:rPr>
                <w:sz w:val="20"/>
                <w:szCs w:val="20"/>
                <w:color w:val="auto"/>
              </w:rPr>
            </w:pPr>
            <w:r>
              <w:rPr>
                <w:rFonts w:ascii="Arial" w:cs="Arial" w:eastAsia="Arial" w:hAnsi="Arial"/>
                <w:sz w:val="13"/>
                <w:szCs w:val="13"/>
                <w:color w:val="auto"/>
              </w:rPr>
              <w:t>536,859</w:t>
            </w:r>
          </w:p>
        </w:tc>
        <w:tc>
          <w:tcPr>
            <w:tcW w:w="0" w:type="dxa"/>
            <w:vAlign w:val="bottom"/>
          </w:tcPr>
          <w:p>
            <w:pPr>
              <w:spacing w:after="0"/>
              <w:rPr>
                <w:sz w:val="1"/>
                <w:szCs w:val="1"/>
                <w:color w:val="auto"/>
              </w:rPr>
            </w:pPr>
          </w:p>
        </w:tc>
      </w:tr>
      <w:tr>
        <w:trPr>
          <w:trHeight w:val="185"/>
        </w:trPr>
        <w:tc>
          <w:tcPr>
            <w:tcW w:w="5380" w:type="dxa"/>
            <w:vAlign w:val="bottom"/>
            <w:tcBorders>
              <w:bottom w:val="single" w:sz="8" w:color="520B90"/>
            </w:tcBorders>
            <w:shd w:val="clear" w:color="auto" w:fill="E6E7E7"/>
          </w:tcPr>
          <w:p>
            <w:pPr>
              <w:ind w:left="120"/>
              <w:spacing w:after="0" w:line="185" w:lineRule="exact"/>
              <w:rPr>
                <w:sz w:val="20"/>
                <w:szCs w:val="20"/>
                <w:color w:val="auto"/>
              </w:rPr>
            </w:pPr>
            <w:r>
              <w:rPr>
                <w:rFonts w:ascii="Arial" w:cs="Arial" w:eastAsia="Arial" w:hAnsi="Arial"/>
                <w:sz w:val="13"/>
                <w:szCs w:val="13"/>
                <w:color w:val="auto"/>
              </w:rPr>
              <w:t>equity awards not otherwise reflected</w:t>
            </w:r>
            <w:r>
              <w:rPr>
                <w:rFonts w:ascii="Arial" w:cs="Arial" w:eastAsia="Arial" w:hAnsi="Arial"/>
                <w:sz w:val="17"/>
                <w:szCs w:val="17"/>
                <w:color w:val="auto"/>
                <w:vertAlign w:val="superscript"/>
              </w:rPr>
              <w:t>(b)</w:t>
            </w:r>
          </w:p>
        </w:tc>
        <w:tc>
          <w:tcPr>
            <w:tcW w:w="100" w:type="dxa"/>
            <w:vAlign w:val="bottom"/>
          </w:tcPr>
          <w:p>
            <w:pPr>
              <w:spacing w:after="0"/>
              <w:rPr>
                <w:sz w:val="16"/>
                <w:szCs w:val="16"/>
                <w:color w:val="auto"/>
              </w:rPr>
            </w:pPr>
          </w:p>
        </w:tc>
        <w:tc>
          <w:tcPr>
            <w:tcW w:w="1080" w:type="dxa"/>
            <w:vAlign w:val="bottom"/>
            <w:tcBorders>
              <w:bottom w:val="single" w:sz="8" w:color="520B90"/>
            </w:tcBorders>
            <w:vMerge w:val="continue"/>
            <w:shd w:val="clear" w:color="auto" w:fill="E6E7E7"/>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Borders>
              <w:bottom w:val="single" w:sz="8" w:color="520B90"/>
            </w:tcBorders>
            <w:vMerge w:val="continue"/>
            <w:shd w:val="clear" w:color="auto" w:fill="E6E7E7"/>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Borders>
              <w:bottom w:val="single" w:sz="8" w:color="520B90"/>
            </w:tcBorders>
            <w:vMerge w:val="continue"/>
            <w:shd w:val="clear" w:color="auto" w:fill="E6E7E7"/>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Borders>
              <w:bottom w:val="single" w:sz="8" w:color="520B90"/>
            </w:tcBorders>
            <w:vMerge w:val="continue"/>
            <w:shd w:val="clear" w:color="auto" w:fill="E6E7E7"/>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520B90"/>
            </w:tcBorders>
            <w:vMerge w:val="continue"/>
            <w:shd w:val="clear" w:color="auto" w:fill="E6E7E7"/>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380" w:type="dxa"/>
            <w:vAlign w:val="bottom"/>
          </w:tcPr>
          <w:p>
            <w:pPr>
              <w:ind w:left="60"/>
              <w:spacing w:after="0"/>
              <w:rPr>
                <w:sz w:val="20"/>
                <w:szCs w:val="20"/>
                <w:color w:val="auto"/>
              </w:rPr>
            </w:pPr>
            <w:r>
              <w:rPr>
                <w:rFonts w:ascii="Arial" w:cs="Arial" w:eastAsia="Arial" w:hAnsi="Arial"/>
                <w:sz w:val="13"/>
                <w:szCs w:val="13"/>
                <w:b w:val="1"/>
                <w:bCs w:val="1"/>
                <w:i w:val="1"/>
                <w:iCs w:val="1"/>
                <w:color w:val="auto"/>
              </w:rPr>
              <w:t>Total Adjustments</w:t>
            </w:r>
          </w:p>
        </w:tc>
        <w:tc>
          <w:tcPr>
            <w:tcW w:w="1180" w:type="dxa"/>
            <w:vAlign w:val="bottom"/>
            <w:gridSpan w:val="2"/>
          </w:tcPr>
          <w:p>
            <w:pPr>
              <w:jc w:val="center"/>
              <w:ind w:left="34"/>
              <w:spacing w:after="0"/>
              <w:rPr>
                <w:sz w:val="20"/>
                <w:szCs w:val="20"/>
                <w:color w:val="auto"/>
              </w:rPr>
            </w:pPr>
            <w:r>
              <w:rPr>
                <w:rFonts w:ascii="Arial" w:cs="Arial" w:eastAsia="Arial" w:hAnsi="Arial"/>
                <w:sz w:val="13"/>
                <w:szCs w:val="13"/>
                <w:color w:val="auto"/>
              </w:rPr>
              <w:t>(306,914)</w:t>
            </w:r>
          </w:p>
        </w:tc>
        <w:tc>
          <w:tcPr>
            <w:tcW w:w="1180" w:type="dxa"/>
            <w:vAlign w:val="bottom"/>
            <w:gridSpan w:val="2"/>
          </w:tcPr>
          <w:p>
            <w:pPr>
              <w:jc w:val="center"/>
              <w:ind w:left="34"/>
              <w:spacing w:after="0"/>
              <w:rPr>
                <w:sz w:val="20"/>
                <w:szCs w:val="20"/>
                <w:color w:val="auto"/>
              </w:rPr>
            </w:pPr>
            <w:r>
              <w:rPr>
                <w:rFonts w:ascii="Arial" w:cs="Arial" w:eastAsia="Arial" w:hAnsi="Arial"/>
                <w:sz w:val="13"/>
                <w:szCs w:val="13"/>
                <w:color w:val="auto"/>
              </w:rPr>
              <w:t>(2,125,618)</w:t>
            </w:r>
          </w:p>
        </w:tc>
        <w:tc>
          <w:tcPr>
            <w:tcW w:w="1180" w:type="dxa"/>
            <w:vAlign w:val="bottom"/>
            <w:gridSpan w:val="2"/>
          </w:tcPr>
          <w:p>
            <w:pPr>
              <w:jc w:val="center"/>
              <w:ind w:left="14"/>
              <w:spacing w:after="0"/>
              <w:rPr>
                <w:sz w:val="20"/>
                <w:szCs w:val="20"/>
                <w:color w:val="auto"/>
              </w:rPr>
            </w:pPr>
            <w:r>
              <w:rPr>
                <w:rFonts w:ascii="Arial" w:cs="Arial" w:eastAsia="Arial" w:hAnsi="Arial"/>
                <w:sz w:val="13"/>
                <w:szCs w:val="13"/>
                <w:color w:val="auto"/>
                <w:w w:val="99"/>
              </w:rPr>
              <w:t>(3,003,116)</w:t>
            </w:r>
          </w:p>
        </w:tc>
        <w:tc>
          <w:tcPr>
            <w:tcW w:w="1160" w:type="dxa"/>
            <w:vAlign w:val="bottom"/>
            <w:gridSpan w:val="2"/>
          </w:tcPr>
          <w:p>
            <w:pPr>
              <w:jc w:val="center"/>
              <w:ind w:left="14"/>
              <w:spacing w:after="0"/>
              <w:rPr>
                <w:sz w:val="20"/>
                <w:szCs w:val="20"/>
                <w:color w:val="auto"/>
              </w:rPr>
            </w:pPr>
            <w:r>
              <w:rPr>
                <w:rFonts w:ascii="Arial" w:cs="Arial" w:eastAsia="Arial" w:hAnsi="Arial"/>
                <w:sz w:val="13"/>
                <w:szCs w:val="13"/>
                <w:color w:val="auto"/>
              </w:rPr>
              <w:t>(7,799,647)</w:t>
            </w:r>
          </w:p>
        </w:tc>
        <w:tc>
          <w:tcPr>
            <w:tcW w:w="1160" w:type="dxa"/>
            <w:vAlign w:val="bottom"/>
            <w:gridSpan w:val="2"/>
          </w:tcPr>
          <w:p>
            <w:pPr>
              <w:jc w:val="center"/>
              <w:ind w:left="34"/>
              <w:spacing w:after="0"/>
              <w:rPr>
                <w:sz w:val="20"/>
                <w:szCs w:val="20"/>
                <w:color w:val="auto"/>
              </w:rPr>
            </w:pPr>
            <w:r>
              <w:rPr>
                <w:rFonts w:ascii="Arial" w:cs="Arial" w:eastAsia="Arial" w:hAnsi="Arial"/>
                <w:sz w:val="13"/>
                <w:szCs w:val="13"/>
                <w:color w:val="auto"/>
              </w:rPr>
              <w:t>6,887,573</w:t>
            </w:r>
          </w:p>
        </w:tc>
        <w:tc>
          <w:tcPr>
            <w:tcW w:w="0" w:type="dxa"/>
            <w:vAlign w:val="bottom"/>
          </w:tcPr>
          <w:p>
            <w:pPr>
              <w:spacing w:after="0"/>
              <w:rPr>
                <w:sz w:val="1"/>
                <w:szCs w:val="1"/>
                <w:color w:val="auto"/>
              </w:rPr>
            </w:pPr>
          </w:p>
        </w:tc>
      </w:tr>
      <w:tr>
        <w:trPr>
          <w:trHeight w:val="20"/>
        </w:trPr>
        <w:tc>
          <w:tcPr>
            <w:tcW w:w="5380" w:type="dxa"/>
            <w:vAlign w:val="bottom"/>
            <w:tcBorders>
              <w:top w:val="single" w:sz="8" w:color="520B90"/>
              <w:bottom w:val="single" w:sz="8" w:color="520B9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520B90"/>
              <w:bottom w:val="single" w:sz="8" w:color="520B9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520B90"/>
              <w:bottom w:val="single" w:sz="8" w:color="520B9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520B90"/>
              <w:bottom w:val="single" w:sz="8" w:color="520B9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520B90"/>
              <w:bottom w:val="single" w:sz="8" w:color="520B9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520B90"/>
              <w:bottom w:val="single" w:sz="8" w:color="520B9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380" w:type="dxa"/>
            <w:vAlign w:val="bottom"/>
            <w:tcBorders>
              <w:bottom w:val="single" w:sz="8" w:color="520B90"/>
            </w:tcBorders>
            <w:shd w:val="clear" w:color="auto" w:fill="E6E7E7"/>
          </w:tcPr>
          <w:p>
            <w:pPr>
              <w:ind w:left="20"/>
              <w:spacing w:after="0"/>
              <w:rPr>
                <w:sz w:val="20"/>
                <w:szCs w:val="20"/>
                <w:color w:val="auto"/>
              </w:rPr>
            </w:pPr>
            <w:r>
              <w:rPr>
                <w:rFonts w:ascii="Arial" w:cs="Arial" w:eastAsia="Arial" w:hAnsi="Arial"/>
                <w:sz w:val="13"/>
                <w:szCs w:val="13"/>
                <w:b w:val="1"/>
                <w:bCs w:val="1"/>
                <w:color w:val="520B90"/>
              </w:rPr>
              <w:t>Compensation Actually Paid</w:t>
            </w:r>
          </w:p>
        </w:tc>
        <w:tc>
          <w:tcPr>
            <w:tcW w:w="100" w:type="dxa"/>
            <w:vAlign w:val="bottom"/>
          </w:tcPr>
          <w:p>
            <w:pPr>
              <w:spacing w:after="0"/>
              <w:rPr>
                <w:sz w:val="15"/>
                <w:szCs w:val="15"/>
                <w:color w:val="auto"/>
              </w:rPr>
            </w:pPr>
          </w:p>
        </w:tc>
        <w:tc>
          <w:tcPr>
            <w:tcW w:w="1080" w:type="dxa"/>
            <w:vAlign w:val="bottom"/>
            <w:tcBorders>
              <w:bottom w:val="single" w:sz="8" w:color="520B90"/>
            </w:tcBorders>
            <w:shd w:val="clear" w:color="auto" w:fill="E6E7E7"/>
          </w:tcPr>
          <w:p>
            <w:pPr>
              <w:jc w:val="center"/>
              <w:spacing w:after="0"/>
              <w:rPr>
                <w:sz w:val="20"/>
                <w:szCs w:val="20"/>
                <w:color w:val="auto"/>
              </w:rPr>
            </w:pPr>
            <w:r>
              <w:rPr>
                <w:rFonts w:ascii="Arial" w:cs="Arial" w:eastAsia="Arial" w:hAnsi="Arial"/>
                <w:sz w:val="13"/>
                <w:szCs w:val="13"/>
                <w:color w:val="auto"/>
              </w:rPr>
              <w:t>6,531,702</w:t>
            </w:r>
          </w:p>
        </w:tc>
        <w:tc>
          <w:tcPr>
            <w:tcW w:w="80" w:type="dxa"/>
            <w:vAlign w:val="bottom"/>
          </w:tcPr>
          <w:p>
            <w:pPr>
              <w:spacing w:after="0"/>
              <w:rPr>
                <w:sz w:val="15"/>
                <w:szCs w:val="15"/>
                <w:color w:val="auto"/>
              </w:rPr>
            </w:pPr>
          </w:p>
        </w:tc>
        <w:tc>
          <w:tcPr>
            <w:tcW w:w="1100" w:type="dxa"/>
            <w:vAlign w:val="bottom"/>
            <w:tcBorders>
              <w:bottom w:val="single" w:sz="8" w:color="520B90"/>
            </w:tcBorders>
            <w:shd w:val="clear" w:color="auto" w:fill="E6E7E7"/>
          </w:tcPr>
          <w:p>
            <w:pPr>
              <w:jc w:val="center"/>
              <w:spacing w:after="0"/>
              <w:rPr>
                <w:sz w:val="20"/>
                <w:szCs w:val="20"/>
                <w:color w:val="auto"/>
              </w:rPr>
            </w:pPr>
            <w:r>
              <w:rPr>
                <w:rFonts w:ascii="Arial" w:cs="Arial" w:eastAsia="Arial" w:hAnsi="Arial"/>
                <w:sz w:val="13"/>
                <w:szCs w:val="13"/>
                <w:color w:val="auto"/>
              </w:rPr>
              <w:t>3,892,408</w:t>
            </w:r>
          </w:p>
        </w:tc>
        <w:tc>
          <w:tcPr>
            <w:tcW w:w="80" w:type="dxa"/>
            <w:vAlign w:val="bottom"/>
          </w:tcPr>
          <w:p>
            <w:pPr>
              <w:spacing w:after="0"/>
              <w:rPr>
                <w:sz w:val="15"/>
                <w:szCs w:val="15"/>
                <w:color w:val="auto"/>
              </w:rPr>
            </w:pPr>
          </w:p>
        </w:tc>
        <w:tc>
          <w:tcPr>
            <w:tcW w:w="1100" w:type="dxa"/>
            <w:vAlign w:val="bottom"/>
            <w:tcBorders>
              <w:bottom w:val="single" w:sz="8" w:color="520B90"/>
            </w:tcBorders>
            <w:shd w:val="clear" w:color="auto" w:fill="E6E7E7"/>
          </w:tcPr>
          <w:p>
            <w:pPr>
              <w:jc w:val="center"/>
              <w:spacing w:after="0"/>
              <w:rPr>
                <w:sz w:val="20"/>
                <w:szCs w:val="20"/>
                <w:color w:val="auto"/>
              </w:rPr>
            </w:pPr>
            <w:r>
              <w:rPr>
                <w:rFonts w:ascii="Arial" w:cs="Arial" w:eastAsia="Arial" w:hAnsi="Arial"/>
                <w:sz w:val="13"/>
                <w:szCs w:val="13"/>
                <w:color w:val="auto"/>
              </w:rPr>
              <w:t>1,950,170</w:t>
            </w:r>
          </w:p>
        </w:tc>
        <w:tc>
          <w:tcPr>
            <w:tcW w:w="80" w:type="dxa"/>
            <w:vAlign w:val="bottom"/>
          </w:tcPr>
          <w:p>
            <w:pPr>
              <w:spacing w:after="0"/>
              <w:rPr>
                <w:sz w:val="15"/>
                <w:szCs w:val="15"/>
                <w:color w:val="auto"/>
              </w:rPr>
            </w:pPr>
          </w:p>
        </w:tc>
        <w:tc>
          <w:tcPr>
            <w:tcW w:w="1080" w:type="dxa"/>
            <w:vAlign w:val="bottom"/>
            <w:tcBorders>
              <w:bottom w:val="single" w:sz="8" w:color="520B90"/>
            </w:tcBorders>
            <w:shd w:val="clear" w:color="auto" w:fill="E6E7E7"/>
          </w:tcPr>
          <w:p>
            <w:pPr>
              <w:jc w:val="center"/>
              <w:spacing w:after="0"/>
              <w:rPr>
                <w:sz w:val="20"/>
                <w:szCs w:val="20"/>
                <w:color w:val="auto"/>
              </w:rPr>
            </w:pPr>
            <w:r>
              <w:rPr>
                <w:rFonts w:ascii="Arial" w:cs="Arial" w:eastAsia="Arial" w:hAnsi="Arial"/>
                <w:sz w:val="13"/>
                <w:szCs w:val="13"/>
                <w:color w:val="auto"/>
              </w:rPr>
              <w:t>(3,640,624)</w:t>
            </w:r>
          </w:p>
        </w:tc>
        <w:tc>
          <w:tcPr>
            <w:tcW w:w="100" w:type="dxa"/>
            <w:vAlign w:val="bottom"/>
          </w:tcPr>
          <w:p>
            <w:pPr>
              <w:spacing w:after="0"/>
              <w:rPr>
                <w:sz w:val="15"/>
                <w:szCs w:val="15"/>
                <w:color w:val="auto"/>
              </w:rPr>
            </w:pPr>
          </w:p>
        </w:tc>
        <w:tc>
          <w:tcPr>
            <w:tcW w:w="1060" w:type="dxa"/>
            <w:vAlign w:val="bottom"/>
            <w:tcBorders>
              <w:bottom w:val="single" w:sz="8" w:color="520B90"/>
            </w:tcBorders>
            <w:shd w:val="clear" w:color="auto" w:fill="E6E7E7"/>
          </w:tcPr>
          <w:p>
            <w:pPr>
              <w:jc w:val="center"/>
              <w:spacing w:after="0"/>
              <w:rPr>
                <w:sz w:val="20"/>
                <w:szCs w:val="20"/>
                <w:color w:val="auto"/>
              </w:rPr>
            </w:pPr>
            <w:r>
              <w:rPr>
                <w:rFonts w:ascii="Arial" w:cs="Arial" w:eastAsia="Arial" w:hAnsi="Arial"/>
                <w:sz w:val="13"/>
                <w:szCs w:val="13"/>
                <w:color w:val="auto"/>
              </w:rPr>
              <w:t>11,341,359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134620</wp:posOffset>
            </wp:positionV>
            <wp:extent cx="70612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06120" cy="8255"/>
                    </a:xfrm>
                    <a:prstGeom prst="rect">
                      <a:avLst/>
                    </a:prstGeom>
                    <a:noFill/>
                  </pic:spPr>
                </pic:pic>
              </a:graphicData>
            </a:graphic>
          </wp:anchor>
        </w:drawing>
      </w:r>
    </w:p>
    <w:p>
      <w:pPr>
        <w:spacing w:after="0" w:line="325" w:lineRule="exact"/>
        <w:rPr>
          <w:sz w:val="20"/>
          <w:szCs w:val="20"/>
          <w:color w:val="auto"/>
        </w:rPr>
      </w:pPr>
    </w:p>
    <w:p>
      <w:pPr>
        <w:ind w:left="320" w:hanging="314"/>
        <w:spacing w:after="0"/>
        <w:tabs>
          <w:tab w:leader="none" w:pos="320" w:val="left"/>
        </w:tabs>
        <w:numPr>
          <w:ilvl w:val="0"/>
          <w:numId w:val="152"/>
        </w:numPr>
        <w:rPr>
          <w:rFonts w:ascii="Arial" w:cs="Arial" w:eastAsia="Arial" w:hAnsi="Arial"/>
          <w:sz w:val="13"/>
          <w:szCs w:val="13"/>
          <w:color w:val="auto"/>
        </w:rPr>
      </w:pPr>
      <w:r>
        <w:rPr>
          <w:rFonts w:ascii="Arial" w:cs="Arial" w:eastAsia="Arial" w:hAnsi="Arial"/>
          <w:sz w:val="13"/>
          <w:szCs w:val="13"/>
          <w:color w:val="auto"/>
        </w:rPr>
        <w:t>Represents the grant date fair value of equity awards reflected in the "Stock Awards" columns in the Summary Compensation Table for the covered year.</w:t>
      </w:r>
    </w:p>
    <w:p>
      <w:pPr>
        <w:spacing w:after="0" w:line="35" w:lineRule="exact"/>
        <w:rPr>
          <w:rFonts w:ascii="Arial" w:cs="Arial" w:eastAsia="Arial" w:hAnsi="Arial"/>
          <w:sz w:val="13"/>
          <w:szCs w:val="13"/>
          <w:color w:val="auto"/>
        </w:rPr>
      </w:pPr>
    </w:p>
    <w:p>
      <w:pPr>
        <w:ind w:left="320" w:right="100" w:hanging="314"/>
        <w:spacing w:after="0" w:line="293" w:lineRule="auto"/>
        <w:tabs>
          <w:tab w:leader="none" w:pos="310" w:val="left"/>
        </w:tabs>
        <w:numPr>
          <w:ilvl w:val="0"/>
          <w:numId w:val="152"/>
        </w:numPr>
        <w:rPr>
          <w:rFonts w:ascii="Arial" w:cs="Arial" w:eastAsia="Arial" w:hAnsi="Arial"/>
          <w:sz w:val="13"/>
          <w:szCs w:val="13"/>
          <w:color w:val="auto"/>
        </w:rPr>
      </w:pPr>
      <w:r>
        <w:rPr>
          <w:rFonts w:ascii="Arial" w:cs="Arial" w:eastAsia="Arial" w:hAnsi="Arial"/>
          <w:sz w:val="13"/>
          <w:szCs w:val="13"/>
          <w:color w:val="auto"/>
        </w:rPr>
        <w:t>Represents dividend equivalents accrued during the applicable year, as adjusted for the number of RSUs projected to be earned as of the end of each such year. The Company does not pay dividend equivalents prior to the vesting of RSUs, and payment of such amounts is in all cases contingent on the vesting of the underlying RSUs.</w:t>
      </w:r>
    </w:p>
    <w:p>
      <w:pPr>
        <w:spacing w:after="0" w:line="336"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type w:val="continuous"/>
        </w:sectPr>
      </w:pPr>
    </w:p>
    <w:bookmarkStart w:id="75" w:name="page76"/>
    <w:bookmarkEnd w:id="75"/>
    <w:p>
      <w:pPr>
        <w:ind w:left="640"/>
        <w:spacing w:after="0"/>
        <w:rPr>
          <w:sz w:val="20"/>
          <w:szCs w:val="20"/>
          <w:color w:val="auto"/>
        </w:rPr>
      </w:pPr>
      <w:r>
        <w:rPr>
          <w:rFonts w:ascii="Arial" w:cs="Arial" w:eastAsia="Arial" w:hAnsi="Arial"/>
          <w:sz w:val="18"/>
          <w:szCs w:val="18"/>
          <w:b w:val="1"/>
          <w:bCs w:val="1"/>
          <w:i w:val="1"/>
          <w:iCs w:val="1"/>
          <w:color w:val="auto"/>
        </w:rPr>
        <w:t>Alignment Analysis</w:t>
      </w:r>
    </w:p>
    <w:p>
      <w:pPr>
        <w:spacing w:after="0" w:line="164"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As discussed in "IV. Executive Compensation—Compensation Discussion and Analysis," equity awards represent the largest component of our total compensation program for executives. Fluctuations in our stock price can have a meaningful impact on CAP. This impact is magnified by the Company's selection of TSR (on a relative basis with respect to years 2021 through 2024 and, with respect to years 2021 through 2023, also on an absolute basis) as a performance criterion for a large portion of such equity awards during the applicable periods presented.</w:t>
      </w:r>
    </w:p>
    <w:p>
      <w:pPr>
        <w:spacing w:after="0" w:line="113"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In 2025, our stock price declined more sharply than the broader U.S. equity market. This decline resulted in (1) a decrease in the overall value of all outstanding Time RSUs and performance-based RSUs; and (2) the value of performance-based RSUs held by our NEOs at the end of 2025 being significantly lower than the value of such RSUs at the beginning of 2025. The contrasting increase in overall average PEO CAP in 2025 primarily reflects one-time compensation arrangements related to leadership transitions, such as compensating an interim CEO, including with the Promotion RSU grant awarded to Mr. Schlanger, and attracting a new CEO to join our Company, including with the Make-Whole RSU grant awarded to Mr. Hillabrant. Similarly, the increase in non-PEO NEO CAP for 2025 is partially explained by the Company's efforts to attract and retain other key management and help facilitate the closing of the Strategic Fiber Transaction, including with the Make-Whole RSU grant to Mr. Patel upon his appointment as EVP and CFO and Transformation RSU grants to Messrs. Adams and Levendos and Ms. Piche. See "IV. Executive Compensation—Compensation Discussion and Analysis—Executive Summary" for further information regarding these compensation arrangements.</w:t>
      </w:r>
    </w:p>
    <w:p>
      <w:pPr>
        <w:spacing w:after="0" w:line="138"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graphs depicted below and related text are (1) based on historical data and are not necessarily indicative of future performance and (2) not to be incorporated by reference into the Company's filings with the SEC, whether made before or after the date hereof, except to the extent that the Company specifically incorporates such disclosure by reference.</w:t>
      </w:r>
    </w:p>
    <w:p>
      <w:pPr>
        <w:spacing w:after="0" w:line="124" w:lineRule="exact"/>
        <w:rPr>
          <w:sz w:val="20"/>
          <w:szCs w:val="20"/>
          <w:color w:val="auto"/>
        </w:rPr>
      </w:pPr>
    </w:p>
    <w:p>
      <w:pPr>
        <w:ind w:firstLine="477"/>
        <w:spacing w:after="0" w:line="249" w:lineRule="auto"/>
        <w:rPr>
          <w:sz w:val="20"/>
          <w:szCs w:val="20"/>
          <w:color w:val="auto"/>
        </w:rPr>
      </w:pPr>
      <w:r>
        <w:rPr>
          <w:rFonts w:ascii="Arial" w:cs="Arial" w:eastAsia="Arial" w:hAnsi="Arial"/>
          <w:sz w:val="18"/>
          <w:szCs w:val="18"/>
          <w:i w:val="1"/>
          <w:iCs w:val="1"/>
          <w:u w:val="single" w:color="auto"/>
          <w:color w:val="auto"/>
        </w:rPr>
        <w:t>Compensation Actually Paid vs. Company TSR</w:t>
      </w:r>
      <w:r>
        <w:rPr>
          <w:rFonts w:ascii="Arial" w:cs="Arial" w:eastAsia="Arial" w:hAnsi="Arial"/>
          <w:sz w:val="18"/>
          <w:szCs w:val="18"/>
          <w:i w:val="1"/>
          <w:iCs w:val="1"/>
          <w:color w:val="auto"/>
        </w:rPr>
        <w:t xml:space="preserve">. </w:t>
      </w:r>
      <w:r>
        <w:rPr>
          <w:rFonts w:ascii="Arial" w:cs="Arial" w:eastAsia="Arial" w:hAnsi="Arial"/>
          <w:sz w:val="18"/>
          <w:szCs w:val="18"/>
          <w:color w:val="auto"/>
        </w:rPr>
        <w:t>As discussed in "IV. Executive Compensation—Compensation Discussion and Analysis,"</w:t>
      </w:r>
      <w:r>
        <w:rPr>
          <w:rFonts w:ascii="Arial" w:cs="Arial" w:eastAsia="Arial" w:hAnsi="Arial"/>
          <w:sz w:val="18"/>
          <w:szCs w:val="18"/>
          <w:i w:val="1"/>
          <w:iCs w:val="1"/>
          <w:color w:val="auto"/>
        </w:rPr>
        <w:t xml:space="preserve"> </w:t>
      </w:r>
      <w:r>
        <w:rPr>
          <w:rFonts w:ascii="Arial" w:cs="Arial" w:eastAsia="Arial" w:hAnsi="Arial"/>
          <w:sz w:val="18"/>
          <w:szCs w:val="18"/>
          <w:color w:val="auto"/>
        </w:rPr>
        <w:t>the LTI component of compensation represents the largest portion of the total compensation program for our executives. The majority of LTIs for 2021 through 2023 comprise of performance-based RSUs that are tied to the Company's TSR (either absolute or relative to a comparator group) and a meaningful portion of the LTIs for 2024 are tied to the Company's TSR (relative to a comparator group). For 2025, the Company replaced relative TSR with AFFO/Share as a performance measure in its LTI program to enhance the focus on multi-year profitability, with relative TSR transitioning to a modifier that can adjust the payouts with respect to the 2025 Performance RSUs. The Company's key performance measures incentivize our executives to focus on operational objectives that are expected to drive stockholder value, which impacts the value of equity awards granted to and held by our executives.</w:t>
      </w:r>
    </w:p>
    <w:p>
      <w:pPr>
        <w:spacing w:after="0" w:line="135" w:lineRule="exact"/>
        <w:rPr>
          <w:sz w:val="20"/>
          <w:szCs w:val="20"/>
          <w:color w:val="auto"/>
        </w:rPr>
      </w:pPr>
    </w:p>
    <w:p>
      <w:pPr>
        <w:ind w:right="40" w:firstLine="635"/>
        <w:spacing w:after="0" w:line="255" w:lineRule="auto"/>
        <w:rPr>
          <w:sz w:val="20"/>
          <w:szCs w:val="20"/>
          <w:color w:val="auto"/>
        </w:rPr>
      </w:pPr>
      <w:r>
        <w:rPr>
          <w:rFonts w:ascii="Arial" w:cs="Arial" w:eastAsia="Arial" w:hAnsi="Arial"/>
          <w:sz w:val="18"/>
          <w:szCs w:val="18"/>
          <w:color w:val="auto"/>
        </w:rPr>
        <w:t>The graph below shows the relationship between (1) Mr. Brown's CAP and the average CAP for the Company's other NEOs as a group for 2021 through 2023, (2) the CAP of each of Messrs. Brown, Melone and Moskowitz for 2024 and the average CAP for the Company's other NEOs for 2024 as a group and (3) the CAP of each of Messrs. Moskowitz, Schlanger and Hillabrant for 2025 and the average CAP for the Company's other</w:t>
      </w:r>
    </w:p>
    <w:p>
      <w:pPr>
        <w:spacing w:after="0" w:line="355"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393" w:right="35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NEOs for 2025 as a group as compared to the returns experienced by our stockholders over the period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869315</wp:posOffset>
            </wp:positionH>
            <wp:positionV relativeFrom="paragraph">
              <wp:posOffset>114300</wp:posOffset>
            </wp:positionV>
            <wp:extent cx="5403850" cy="28155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5403850" cy="2815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477"/>
        <w:spacing w:after="0" w:line="259" w:lineRule="auto"/>
        <w:rPr>
          <w:sz w:val="20"/>
          <w:szCs w:val="20"/>
          <w:color w:val="auto"/>
        </w:rPr>
      </w:pPr>
      <w:r>
        <w:rPr>
          <w:rFonts w:ascii="Arial" w:cs="Arial" w:eastAsia="Arial" w:hAnsi="Arial"/>
          <w:sz w:val="18"/>
          <w:szCs w:val="18"/>
          <w:i w:val="1"/>
          <w:iCs w:val="1"/>
          <w:u w:val="single" w:color="auto"/>
          <w:color w:val="auto"/>
        </w:rPr>
        <w:t>Compensation Actually Paid vs. Net Income</w:t>
      </w:r>
      <w:r>
        <w:rPr>
          <w:rFonts w:ascii="Arial" w:cs="Arial" w:eastAsia="Arial" w:hAnsi="Arial"/>
          <w:sz w:val="18"/>
          <w:szCs w:val="18"/>
          <w:color w:val="auto"/>
        </w:rPr>
        <w:t>. As shown in the graph below, there is no observed correlation between the fluctuations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net income and the executives' CAP over the period presented. This is due in large part to the fact that the Company does not use net income as a performance metric for any component of the executives'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1020445</wp:posOffset>
            </wp:positionH>
            <wp:positionV relativeFrom="paragraph">
              <wp:posOffset>89535</wp:posOffset>
            </wp:positionV>
            <wp:extent cx="5403850" cy="298323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5403850" cy="298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ectPr>
          <w:pgSz w:w="11900" w:h="16838" w:orient="portrait"/>
          <w:cols w:equalWidth="0" w:num="1">
            <w:col w:w="11040"/>
          </w:cols>
          <w:pgMar w:left="320" w:top="1393" w:right="539" w:bottom="1440" w:gutter="0" w:footer="0" w:header="0"/>
        </w:sectPr>
      </w:pPr>
    </w:p>
    <w:p>
      <w:pPr>
        <w:spacing w:after="0" w:line="199"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60260" cy="4191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40"/>
          </w:cols>
          <w:pgMar w:left="320" w:top="1393" w:right="539" w:bottom="1440" w:gutter="0" w:footer="0" w:header="0"/>
          <w:type w:val="continuous"/>
        </w:sectPr>
      </w:pPr>
    </w:p>
    <w:bookmarkStart w:id="77" w:name="page78"/>
    <w:bookmarkEnd w:id="77"/>
    <w:p>
      <w:pPr>
        <w:ind w:right="20" w:firstLine="477"/>
        <w:spacing w:after="0" w:line="262" w:lineRule="auto"/>
        <w:rPr>
          <w:sz w:val="20"/>
          <w:szCs w:val="20"/>
          <w:color w:val="auto"/>
        </w:rPr>
      </w:pPr>
      <w:r>
        <w:rPr>
          <w:rFonts w:ascii="Arial" w:cs="Arial" w:eastAsia="Arial" w:hAnsi="Arial"/>
          <w:sz w:val="17"/>
          <w:szCs w:val="17"/>
          <w:i w:val="1"/>
          <w:iCs w:val="1"/>
          <w:u w:val="single" w:color="auto"/>
          <w:color w:val="auto"/>
        </w:rPr>
        <w:t>Compensation Actually Paid vs. AFFO per Share</w:t>
      </w:r>
      <w:r>
        <w:rPr>
          <w:rFonts w:ascii="Arial" w:cs="Arial" w:eastAsia="Arial" w:hAnsi="Arial"/>
          <w:sz w:val="17"/>
          <w:szCs w:val="17"/>
          <w:color w:val="auto"/>
        </w:rPr>
        <w:t>. For 2021 through 2024, AFFO/Share was one of two financial performance measures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uses to determine STIs. However, due to the Company's relative emphasis on LTIs as compared to STIs, the impact of AFFO/Share improvement on executive compensation can be diminished or completely outweighed in some years. As shown below, despite AFFO/Share increases in each of 2023, 2022 and 2021, significant decreases in the value of outstanding RSUs in 2023 and 2022 caused CAP for 2023 and 2022 to be significantly lower than 2021 CAP. As shown below for 2024, although AFFO/Share decreased for 2024, the one-time RSU grants awarded to certain of the Company's PEOs and its non-PEO NEOs discussed above contributed to CAP for 2024, on average, being higher than CAP for 2023. For 2025, the Company (1) replaced AFFO/Share as a financial performance measure to determine STIs and</w:t>
      </w:r>
    </w:p>
    <w:p>
      <w:pPr>
        <w:spacing w:after="0" w:line="5" w:lineRule="exact"/>
        <w:rPr>
          <w:sz w:val="20"/>
          <w:szCs w:val="20"/>
          <w:color w:val="auto"/>
        </w:rPr>
      </w:pPr>
    </w:p>
    <w:p>
      <w:pPr>
        <w:ind w:firstLine="6"/>
        <w:spacing w:after="0" w:line="250" w:lineRule="auto"/>
        <w:tabs>
          <w:tab w:leader="none" w:pos="26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introduced three-year cumulative AFFO/Share as a performance measure in its LTI program, replacing relative TSR. While the impact of AFFO/Share was more meaningful for 2025, the decrease of AFFO/Share for 2025 was primarily offset by the one-time RSU grants awarded in 2025 to certain of the Company's PEOs and its non-PEO NEOs as discussed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869315</wp:posOffset>
            </wp:positionH>
            <wp:positionV relativeFrom="paragraph">
              <wp:posOffset>60325</wp:posOffset>
            </wp:positionV>
            <wp:extent cx="5403850" cy="285750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5403850" cy="285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80" w:firstLine="477"/>
        <w:spacing w:after="0" w:line="274" w:lineRule="auto"/>
        <w:rPr>
          <w:sz w:val="20"/>
          <w:szCs w:val="20"/>
          <w:color w:val="auto"/>
        </w:rPr>
      </w:pPr>
      <w:r>
        <w:rPr>
          <w:rFonts w:ascii="Arial" w:cs="Arial" w:eastAsia="Arial" w:hAnsi="Arial"/>
          <w:sz w:val="17"/>
          <w:szCs w:val="17"/>
          <w:i w:val="1"/>
          <w:iCs w:val="1"/>
          <w:u w:val="single" w:color="auto"/>
          <w:color w:val="auto"/>
        </w:rPr>
        <w:t>Company TSR vs. Peer Group TSR</w:t>
      </w:r>
      <w:r>
        <w:rPr>
          <w:rFonts w:ascii="Arial" w:cs="Arial" w:eastAsia="Arial" w:hAnsi="Arial"/>
          <w:sz w:val="17"/>
          <w:szCs w:val="17"/>
          <w:color w:val="auto"/>
        </w:rPr>
        <w:t>. As shown in the following graph, the Company's cumulative TSR over the period presented</w:t>
      </w:r>
      <w:r>
        <w:rPr>
          <w:rFonts w:ascii="Arial" w:cs="Arial" w:eastAsia="Arial" w:hAnsi="Arial"/>
          <w:sz w:val="17"/>
          <w:szCs w:val="17"/>
          <w:i w:val="1"/>
          <w:iCs w:val="1"/>
          <w:color w:val="auto"/>
        </w:rPr>
        <w:t xml:space="preserve"> </w:t>
      </w:r>
      <w:r>
        <w:rPr>
          <w:rFonts w:ascii="Arial" w:cs="Arial" w:eastAsia="Arial" w:hAnsi="Arial"/>
          <w:sz w:val="17"/>
          <w:szCs w:val="17"/>
          <w:color w:val="auto"/>
        </w:rPr>
        <w:t>underperformed the FTSE NAREIT All Equity REIT Index cumulative TSR. The Company selected this index as its peer group for purposes of the Pay Versus Performance Table, in accordance with the provisions of Item 402(v) of Regulation S-K. The Company does not use the FTSE NAREIT All Equity REIT Index to gauge executive compensation elements or determine the satisfaction of vesting conditions for performance-</w:t>
      </w:r>
    </w:p>
    <w:p>
      <w:pPr>
        <w:spacing w:after="0" w:line="342"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20" w:top="1393" w:right="419" w:bottom="1440" w:gutter="0" w:footer="0" w:header="0"/>
        </w:sectPr>
      </w:pPr>
    </w:p>
    <w:bookmarkStart w:id="78" w:name="page79"/>
    <w:bookmarkEnd w:id="78"/>
    <w:p>
      <w:pPr>
        <w:ind w:right="980"/>
        <w:spacing w:after="0" w:line="274" w:lineRule="auto"/>
        <w:rPr>
          <w:sz w:val="20"/>
          <w:szCs w:val="20"/>
          <w:color w:val="auto"/>
        </w:rPr>
      </w:pPr>
      <w:r>
        <w:rPr>
          <w:rFonts w:ascii="Arial" w:cs="Arial" w:eastAsia="Arial" w:hAnsi="Arial"/>
          <w:sz w:val="18"/>
          <w:szCs w:val="18"/>
          <w:color w:val="auto"/>
        </w:rPr>
        <w:t>based awards. For a discussion of the peer groups used by the Company for executive compensation purposes, see "IV. Executive Compensation—Compensation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1020445</wp:posOffset>
            </wp:positionH>
            <wp:positionV relativeFrom="paragraph">
              <wp:posOffset>80645</wp:posOffset>
            </wp:positionV>
            <wp:extent cx="5403850" cy="28403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5403850" cy="284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Tabular List</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list below represents the Company's most important financial performance measures (in no particular order) used to link NEOs' CAP for the most recently completed fiscal year to the Company's performance. For more information on the Company's performance measures, see "IV. Executive Compensation—Compensation Discussion and Analysis."</w:t>
      </w:r>
    </w:p>
    <w:p>
      <w:pPr>
        <w:spacing w:after="0" w:line="124" w:lineRule="exact"/>
        <w:rPr>
          <w:sz w:val="20"/>
          <w:szCs w:val="20"/>
          <w:color w:val="auto"/>
        </w:rPr>
      </w:pPr>
    </w:p>
    <w:p>
      <w:pPr>
        <w:ind w:left="640" w:hanging="316"/>
        <w:spacing w:after="0"/>
        <w:tabs>
          <w:tab w:leader="none" w:pos="640" w:val="left"/>
        </w:tabs>
        <w:numPr>
          <w:ilvl w:val="0"/>
          <w:numId w:val="154"/>
        </w:numPr>
        <w:rPr>
          <w:rFonts w:ascii="Arial" w:cs="Arial" w:eastAsia="Arial" w:hAnsi="Arial"/>
          <w:sz w:val="18"/>
          <w:szCs w:val="18"/>
          <w:color w:val="520B90"/>
        </w:rPr>
      </w:pPr>
      <w:r>
        <w:rPr>
          <w:rFonts w:ascii="Arial" w:cs="Arial" w:eastAsia="Arial" w:hAnsi="Arial"/>
          <w:sz w:val="18"/>
          <w:szCs w:val="18"/>
          <w:color w:val="auto"/>
        </w:rPr>
        <w:t>Adjusted EBITDA</w:t>
      </w:r>
    </w:p>
    <w:p>
      <w:pPr>
        <w:spacing w:after="0" w:line="84" w:lineRule="exact"/>
        <w:rPr>
          <w:rFonts w:ascii="Arial" w:cs="Arial" w:eastAsia="Arial" w:hAnsi="Arial"/>
          <w:sz w:val="18"/>
          <w:szCs w:val="18"/>
          <w:color w:val="520B90"/>
        </w:rPr>
      </w:pPr>
    </w:p>
    <w:p>
      <w:pPr>
        <w:ind w:left="640" w:hanging="316"/>
        <w:spacing w:after="0"/>
        <w:tabs>
          <w:tab w:leader="none" w:pos="640" w:val="left"/>
        </w:tabs>
        <w:numPr>
          <w:ilvl w:val="0"/>
          <w:numId w:val="154"/>
        </w:numPr>
        <w:rPr>
          <w:rFonts w:ascii="Arial" w:cs="Arial" w:eastAsia="Arial" w:hAnsi="Arial"/>
          <w:sz w:val="18"/>
          <w:szCs w:val="18"/>
          <w:color w:val="520B90"/>
        </w:rPr>
      </w:pPr>
      <w:r>
        <w:rPr>
          <w:rFonts w:ascii="Arial" w:cs="Arial" w:eastAsia="Arial" w:hAnsi="Arial"/>
          <w:sz w:val="18"/>
          <w:szCs w:val="18"/>
          <w:color w:val="auto"/>
        </w:rPr>
        <w:t>AFFO per share</w:t>
      </w:r>
    </w:p>
    <w:p>
      <w:pPr>
        <w:spacing w:after="0" w:line="97" w:lineRule="exact"/>
        <w:rPr>
          <w:rFonts w:ascii="Arial" w:cs="Arial" w:eastAsia="Arial" w:hAnsi="Arial"/>
          <w:sz w:val="18"/>
          <w:szCs w:val="18"/>
          <w:color w:val="520B90"/>
        </w:rPr>
      </w:pPr>
    </w:p>
    <w:p>
      <w:pPr>
        <w:ind w:left="640" w:hanging="316"/>
        <w:spacing w:after="0"/>
        <w:tabs>
          <w:tab w:leader="none" w:pos="640" w:val="left"/>
        </w:tabs>
        <w:numPr>
          <w:ilvl w:val="0"/>
          <w:numId w:val="154"/>
        </w:numPr>
        <w:rPr>
          <w:rFonts w:ascii="Arial" w:cs="Arial" w:eastAsia="Arial" w:hAnsi="Arial"/>
          <w:sz w:val="18"/>
          <w:szCs w:val="18"/>
          <w:color w:val="520B90"/>
        </w:rPr>
      </w:pPr>
      <w:r>
        <w:rPr>
          <w:rFonts w:ascii="Arial" w:cs="Arial" w:eastAsia="Arial" w:hAnsi="Arial"/>
          <w:sz w:val="18"/>
          <w:szCs w:val="18"/>
          <w:color w:val="auto"/>
        </w:rPr>
        <w:t>Average ROIC</w:t>
      </w:r>
    </w:p>
    <w:p>
      <w:pPr>
        <w:spacing w:after="0" w:line="97" w:lineRule="exact"/>
        <w:rPr>
          <w:rFonts w:ascii="Arial" w:cs="Arial" w:eastAsia="Arial" w:hAnsi="Arial"/>
          <w:sz w:val="18"/>
          <w:szCs w:val="18"/>
          <w:color w:val="520B90"/>
        </w:rPr>
      </w:pPr>
    </w:p>
    <w:p>
      <w:pPr>
        <w:ind w:left="640" w:hanging="316"/>
        <w:spacing w:after="0"/>
        <w:tabs>
          <w:tab w:leader="none" w:pos="640" w:val="left"/>
        </w:tabs>
        <w:numPr>
          <w:ilvl w:val="0"/>
          <w:numId w:val="154"/>
        </w:numPr>
        <w:rPr>
          <w:rFonts w:ascii="Arial" w:cs="Arial" w:eastAsia="Arial" w:hAnsi="Arial"/>
          <w:sz w:val="18"/>
          <w:szCs w:val="18"/>
          <w:color w:val="520B90"/>
        </w:rPr>
      </w:pPr>
      <w:r>
        <w:rPr>
          <w:rFonts w:ascii="Arial" w:cs="Arial" w:eastAsia="Arial" w:hAnsi="Arial"/>
          <w:sz w:val="18"/>
          <w:szCs w:val="18"/>
          <w:color w:val="auto"/>
        </w:rPr>
        <w:t>Relative TSR</w:t>
      </w:r>
    </w:p>
    <w:p>
      <w:pPr>
        <w:spacing w:after="0" w:line="84" w:lineRule="exact"/>
        <w:rPr>
          <w:rFonts w:ascii="Arial" w:cs="Arial" w:eastAsia="Arial" w:hAnsi="Arial"/>
          <w:sz w:val="18"/>
          <w:szCs w:val="18"/>
          <w:color w:val="520B90"/>
        </w:rPr>
      </w:pPr>
    </w:p>
    <w:p>
      <w:pPr>
        <w:ind w:left="640" w:hanging="316"/>
        <w:spacing w:after="0"/>
        <w:tabs>
          <w:tab w:leader="none" w:pos="640" w:val="left"/>
        </w:tabs>
        <w:numPr>
          <w:ilvl w:val="0"/>
          <w:numId w:val="154"/>
        </w:numPr>
        <w:rPr>
          <w:rFonts w:ascii="Arial" w:cs="Arial" w:eastAsia="Arial" w:hAnsi="Arial"/>
          <w:sz w:val="18"/>
          <w:szCs w:val="18"/>
          <w:color w:val="520B90"/>
        </w:rPr>
      </w:pPr>
      <w:r>
        <w:rPr>
          <w:rFonts w:ascii="Arial" w:cs="Arial" w:eastAsia="Arial" w:hAnsi="Arial"/>
          <w:sz w:val="18"/>
          <w:szCs w:val="18"/>
          <w:color w:val="auto"/>
        </w:rPr>
        <w:t>Organic revenue growth</w:t>
      </w:r>
    </w:p>
    <w:p>
      <w:pPr>
        <w:spacing w:after="0" w:line="392"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393" w:right="379" w:bottom="1440" w:gutter="0" w:footer="0" w:header="0"/>
        </w:sectPr>
      </w:pPr>
    </w:p>
    <w:bookmarkStart w:id="79" w:name="page80"/>
    <w:bookmarkEnd w:id="79"/>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520B90"/>
        </w:rPr>
        <w:t>V. OTHER MATTERS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of Common Stock</w:t>
      </w:r>
    </w:p>
    <w:p>
      <w:pPr>
        <w:spacing w:after="0" w:line="166"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The table below shows the beneficial ownership as of (or, as applicable, reported as of) March 23, 2026, except to the extent indicated otherwise in the footnotes, of our Common Stock held by (1) each of the directors, director nominees, the NEOs and all directors, director nominees and executive officers as a group and (2) each stockholder who beneficially owns more than 5% of our outstanding shares of Common Stock. This table also gives effect to any shares of Common Stock that may be acquired pursuant to any options, warrants, rights or other derivative securities, including RSUs, within 60 days after March 23, 2026, and includes shares held through 401(k) Plan accounts.</w:t>
      </w:r>
    </w:p>
    <w:p>
      <w:pPr>
        <w:spacing w:after="0" w:line="170" w:lineRule="exact"/>
        <w:rPr>
          <w:sz w:val="20"/>
          <w:szCs w:val="20"/>
          <w:color w:val="auto"/>
        </w:rPr>
      </w:pPr>
    </w:p>
    <w:p>
      <w:pPr>
        <w:ind w:left="7820"/>
        <w:spacing w:after="0"/>
        <w:rPr>
          <w:sz w:val="20"/>
          <w:szCs w:val="20"/>
          <w:color w:val="auto"/>
        </w:rPr>
      </w:pPr>
      <w:r>
        <w:rPr>
          <w:rFonts w:ascii="Arial" w:cs="Arial" w:eastAsia="Arial" w:hAnsi="Arial"/>
          <w:sz w:val="16"/>
          <w:szCs w:val="16"/>
          <w:b w:val="1"/>
          <w:bCs w:val="1"/>
          <w:color w:val="520B90"/>
        </w:rPr>
        <w:t>Common Stock 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4836160</wp:posOffset>
            </wp:positionH>
            <wp:positionV relativeFrom="paragraph">
              <wp:posOffset>26670</wp:posOffset>
            </wp:positionV>
            <wp:extent cx="199199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991995" cy="8255"/>
                    </a:xfrm>
                    <a:prstGeom prst="rect">
                      <a:avLst/>
                    </a:prstGeom>
                    <a:noFill/>
                  </pic:spPr>
                </pic:pic>
              </a:graphicData>
            </a:graphic>
          </wp:anchor>
        </w:drawing>
        <w:drawing>
          <wp:anchor simplePos="0" relativeHeight="251657728" behindDoc="1" locked="0" layoutInCell="0" allowOverlap="1">
            <wp:simplePos x="0" y="0"/>
            <wp:positionH relativeFrom="column">
              <wp:posOffset>4836160</wp:posOffset>
            </wp:positionH>
            <wp:positionV relativeFrom="paragraph">
              <wp:posOffset>52070</wp:posOffset>
            </wp:positionV>
            <wp:extent cx="1991995"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991995" cy="8255"/>
                    </a:xfrm>
                    <a:prstGeom prst="rect">
                      <a:avLst/>
                    </a:prstGeom>
                    <a:noFill/>
                  </pic:spPr>
                </pic:pic>
              </a:graphicData>
            </a:graphic>
          </wp:anchor>
        </w:drawing>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580" w:type="dxa"/>
            <w:vAlign w:val="bottom"/>
            <w:vMerge w:val="restart"/>
          </w:tcPr>
          <w:p>
            <w:pPr>
              <w:spacing w:after="0"/>
              <w:rPr>
                <w:sz w:val="20"/>
                <w:szCs w:val="20"/>
                <w:color w:val="auto"/>
              </w:rPr>
            </w:pPr>
            <w:r>
              <w:rPr>
                <w:rFonts w:ascii="Arial" w:cs="Arial" w:eastAsia="Arial" w:hAnsi="Arial"/>
                <w:sz w:val="16"/>
                <w:szCs w:val="16"/>
                <w:b w:val="1"/>
                <w:bCs w:val="1"/>
                <w:color w:val="520B90"/>
              </w:rPr>
              <w:t>Directors, Director Nominees and NEOs</w:t>
            </w:r>
            <w:r>
              <w:rPr>
                <w:rFonts w:ascii="Arial" w:cs="Arial" w:eastAsia="Arial" w:hAnsi="Arial"/>
                <w:sz w:val="20"/>
                <w:szCs w:val="20"/>
                <w:b w:val="1"/>
                <w:bCs w:val="1"/>
                <w:color w:val="520B90"/>
                <w:vertAlign w:val="superscript"/>
              </w:rPr>
              <w:t>(a)</w:t>
            </w:r>
          </w:p>
        </w:tc>
        <w:tc>
          <w:tcPr>
            <w:tcW w:w="3660" w:type="dxa"/>
            <w:vAlign w:val="bottom"/>
          </w:tcPr>
          <w:p>
            <w:pPr>
              <w:jc w:val="center"/>
              <w:ind w:left="1709"/>
              <w:spacing w:after="0"/>
              <w:rPr>
                <w:sz w:val="20"/>
                <w:szCs w:val="20"/>
                <w:color w:val="auto"/>
              </w:rPr>
            </w:pPr>
            <w:r>
              <w:rPr>
                <w:rFonts w:ascii="Arial" w:cs="Arial" w:eastAsia="Arial" w:hAnsi="Arial"/>
                <w:sz w:val="14"/>
                <w:szCs w:val="14"/>
                <w:b w:val="1"/>
                <w:bCs w:val="1"/>
                <w:color w:val="520B90"/>
                <w:w w:val="98"/>
              </w:rPr>
              <w:t>Number</w:t>
            </w:r>
          </w:p>
        </w:tc>
        <w:tc>
          <w:tcPr>
            <w:tcW w:w="1180" w:type="dxa"/>
            <w:vAlign w:val="bottom"/>
          </w:tcPr>
          <w:p>
            <w:pPr>
              <w:ind w:left="680"/>
              <w:spacing w:after="0"/>
              <w:rPr>
                <w:sz w:val="20"/>
                <w:szCs w:val="20"/>
                <w:color w:val="auto"/>
              </w:rPr>
            </w:pPr>
            <w:r>
              <w:rPr>
                <w:rFonts w:ascii="Arial" w:cs="Arial" w:eastAsia="Arial" w:hAnsi="Arial"/>
                <w:sz w:val="14"/>
                <w:szCs w:val="14"/>
                <w:b w:val="1"/>
                <w:bCs w:val="1"/>
                <w:color w:val="520B90"/>
                <w:w w:val="93"/>
              </w:rPr>
              <w:t>Percent</w:t>
            </w:r>
          </w:p>
        </w:tc>
        <w:tc>
          <w:tcPr>
            <w:tcW w:w="0" w:type="dxa"/>
            <w:vAlign w:val="bottom"/>
          </w:tcPr>
          <w:p>
            <w:pPr>
              <w:spacing w:after="0"/>
              <w:rPr>
                <w:sz w:val="1"/>
                <w:szCs w:val="1"/>
                <w:color w:val="auto"/>
              </w:rPr>
            </w:pPr>
          </w:p>
        </w:tc>
      </w:tr>
      <w:tr>
        <w:trPr>
          <w:trHeight w:val="263"/>
        </w:trPr>
        <w:tc>
          <w:tcPr>
            <w:tcW w:w="5580" w:type="dxa"/>
            <w:vAlign w:val="bottom"/>
            <w:vMerge w:val="continue"/>
          </w:tcPr>
          <w:p>
            <w:pPr>
              <w:spacing w:after="0"/>
              <w:rPr>
                <w:sz w:val="22"/>
                <w:szCs w:val="22"/>
                <w:color w:val="auto"/>
              </w:rPr>
            </w:pPr>
          </w:p>
        </w:tc>
        <w:tc>
          <w:tcPr>
            <w:tcW w:w="3660" w:type="dxa"/>
            <w:vAlign w:val="bottom"/>
          </w:tcPr>
          <w:p>
            <w:pPr>
              <w:jc w:val="center"/>
              <w:ind w:left="1709"/>
              <w:spacing w:after="0"/>
              <w:rPr>
                <w:sz w:val="20"/>
                <w:szCs w:val="20"/>
                <w:color w:val="auto"/>
              </w:rPr>
            </w:pPr>
            <w:r>
              <w:rPr>
                <w:rFonts w:ascii="Arial" w:cs="Arial" w:eastAsia="Arial" w:hAnsi="Arial"/>
                <w:sz w:val="14"/>
                <w:szCs w:val="14"/>
                <w:b w:val="1"/>
                <w:bCs w:val="1"/>
                <w:color w:val="520B90"/>
              </w:rPr>
              <w:t>(#)(b)</w:t>
            </w:r>
          </w:p>
        </w:tc>
        <w:tc>
          <w:tcPr>
            <w:tcW w:w="1180" w:type="dxa"/>
            <w:vAlign w:val="bottom"/>
          </w:tcPr>
          <w:p>
            <w:pPr>
              <w:ind w:left="760"/>
              <w:spacing w:after="0"/>
              <w:rPr>
                <w:sz w:val="20"/>
                <w:szCs w:val="20"/>
                <w:color w:val="auto"/>
              </w:rPr>
            </w:pPr>
            <w:r>
              <w:rPr>
                <w:rFonts w:ascii="Arial" w:cs="Arial" w:eastAsia="Arial" w:hAnsi="Arial"/>
                <w:sz w:val="14"/>
                <w:szCs w:val="14"/>
                <w:b w:val="1"/>
                <w:bCs w:val="1"/>
                <w:color w:val="520B90"/>
              </w:rPr>
              <w:t>(%)(c)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-26035</wp:posOffset>
            </wp:positionV>
            <wp:extent cx="6824345"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6824345"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tbl>
      <w:tblPr>
        <w:tblLayout w:type="fixed"/>
        <w:tblInd w:w="0" w:type="dxa"/>
        <w:tblCellMar>
          <w:top w:w="0" w:type="dxa"/>
          <w:left w:w="0" w:type="dxa"/>
          <w:bottom w:w="0" w:type="dxa"/>
          <w:right w:w="0" w:type="dxa"/>
        </w:tblCellMar>
      </w:tblPr>
      <w:tr>
        <w:trPr>
          <w:trHeight w:val="210"/>
        </w:trPr>
        <w:tc>
          <w:tcPr>
            <w:tcW w:w="7520" w:type="dxa"/>
            <w:vAlign w:val="bottom"/>
          </w:tcPr>
          <w:p>
            <w:pPr>
              <w:ind w:left="220"/>
              <w:spacing w:after="0"/>
              <w:rPr>
                <w:sz w:val="20"/>
                <w:szCs w:val="20"/>
                <w:color w:val="auto"/>
              </w:rPr>
            </w:pPr>
            <w:r>
              <w:rPr>
                <w:rFonts w:ascii="Arial" w:cs="Arial" w:eastAsia="Arial" w:hAnsi="Arial"/>
                <w:sz w:val="16"/>
                <w:szCs w:val="16"/>
                <w:color w:val="auto"/>
              </w:rPr>
              <w:t>Edward B. Adams, Jr.</w:t>
            </w:r>
          </w:p>
        </w:tc>
        <w:tc>
          <w:tcPr>
            <w:tcW w:w="1080" w:type="dxa"/>
            <w:vAlign w:val="bottom"/>
          </w:tcPr>
          <w:p>
            <w:pPr>
              <w:jc w:val="center"/>
              <w:ind w:left="441"/>
              <w:spacing w:after="0"/>
              <w:rPr>
                <w:sz w:val="20"/>
                <w:szCs w:val="20"/>
                <w:color w:val="auto"/>
              </w:rPr>
            </w:pPr>
            <w:r>
              <w:rPr>
                <w:rFonts w:ascii="Arial" w:cs="Arial" w:eastAsia="Arial" w:hAnsi="Arial"/>
                <w:sz w:val="16"/>
                <w:szCs w:val="16"/>
                <w:color w:val="auto"/>
                <w:w w:val="98"/>
              </w:rPr>
              <w:t>26,245</w:t>
            </w:r>
          </w:p>
        </w:tc>
      </w:tr>
      <w:tr>
        <w:trPr>
          <w:trHeight w:val="212"/>
        </w:trPr>
        <w:tc>
          <w:tcPr>
            <w:tcW w:w="7520" w:type="dxa"/>
            <w:vAlign w:val="bottom"/>
            <w:shd w:val="clear" w:color="auto" w:fill="E6E7E7"/>
          </w:tcPr>
          <w:p>
            <w:pPr>
              <w:ind w:left="220"/>
              <w:spacing w:after="0"/>
              <w:rPr>
                <w:sz w:val="20"/>
                <w:szCs w:val="20"/>
                <w:color w:val="auto"/>
              </w:rPr>
            </w:pPr>
            <w:r>
              <w:rPr>
                <w:rFonts w:ascii="Arial" w:cs="Arial" w:eastAsia="Arial" w:hAnsi="Arial"/>
                <w:sz w:val="16"/>
                <w:szCs w:val="16"/>
                <w:color w:val="auto"/>
              </w:rPr>
              <w:t>P. Robert Bartolo</w:t>
            </w:r>
          </w:p>
        </w:tc>
        <w:tc>
          <w:tcPr>
            <w:tcW w:w="1080" w:type="dxa"/>
            <w:vAlign w:val="bottom"/>
          </w:tcPr>
          <w:p>
            <w:pPr>
              <w:jc w:val="center"/>
              <w:ind w:left="441"/>
              <w:spacing w:after="0"/>
              <w:rPr>
                <w:sz w:val="20"/>
                <w:szCs w:val="20"/>
                <w:color w:val="auto"/>
              </w:rPr>
            </w:pPr>
            <w:r>
              <w:rPr>
                <w:rFonts w:ascii="Arial" w:cs="Arial" w:eastAsia="Arial" w:hAnsi="Arial"/>
                <w:sz w:val="16"/>
                <w:szCs w:val="16"/>
                <w:color w:val="auto"/>
                <w:w w:val="98"/>
              </w:rPr>
              <w:t>47,382</w:t>
            </w:r>
          </w:p>
        </w:tc>
      </w:tr>
      <w:tr>
        <w:trPr>
          <w:trHeight w:val="230"/>
        </w:trPr>
        <w:tc>
          <w:tcPr>
            <w:tcW w:w="7520" w:type="dxa"/>
            <w:vAlign w:val="bottom"/>
          </w:tcPr>
          <w:p>
            <w:pPr>
              <w:ind w:left="220"/>
              <w:spacing w:after="0"/>
              <w:rPr>
                <w:sz w:val="20"/>
                <w:szCs w:val="20"/>
                <w:color w:val="auto"/>
              </w:rPr>
            </w:pPr>
            <w:r>
              <w:rPr>
                <w:rFonts w:ascii="Arial" w:cs="Arial" w:eastAsia="Arial" w:hAnsi="Arial"/>
                <w:sz w:val="16"/>
                <w:szCs w:val="16"/>
                <w:color w:val="auto"/>
              </w:rPr>
              <w:t>Jason Genrich</w:t>
            </w:r>
          </w:p>
        </w:tc>
        <w:tc>
          <w:tcPr>
            <w:tcW w:w="1080" w:type="dxa"/>
            <w:vAlign w:val="bottom"/>
          </w:tcPr>
          <w:p>
            <w:pPr>
              <w:jc w:val="center"/>
              <w:ind w:left="441"/>
              <w:spacing w:after="0"/>
              <w:rPr>
                <w:sz w:val="20"/>
                <w:szCs w:val="20"/>
                <w:color w:val="auto"/>
              </w:rPr>
            </w:pPr>
            <w:r>
              <w:rPr>
                <w:rFonts w:ascii="Arial" w:cs="Arial" w:eastAsia="Arial" w:hAnsi="Arial"/>
                <w:sz w:val="16"/>
                <w:szCs w:val="16"/>
                <w:color w:val="auto"/>
                <w:w w:val="99"/>
              </w:rPr>
              <w:t>6,576</w:t>
            </w:r>
          </w:p>
        </w:tc>
      </w:tr>
      <w:tr>
        <w:trPr>
          <w:trHeight w:val="246"/>
        </w:trPr>
        <w:tc>
          <w:tcPr>
            <w:tcW w:w="7520" w:type="dxa"/>
            <w:vAlign w:val="bottom"/>
            <w:shd w:val="clear" w:color="auto" w:fill="E6E7E7"/>
          </w:tcPr>
          <w:p>
            <w:pPr>
              <w:ind w:left="220"/>
              <w:spacing w:after="0"/>
              <w:rPr>
                <w:sz w:val="20"/>
                <w:szCs w:val="20"/>
                <w:color w:val="auto"/>
              </w:rPr>
            </w:pPr>
            <w:r>
              <w:rPr>
                <w:rFonts w:ascii="Arial" w:cs="Arial" w:eastAsia="Arial" w:hAnsi="Arial"/>
                <w:sz w:val="16"/>
                <w:szCs w:val="16"/>
                <w:color w:val="auto"/>
              </w:rPr>
              <w:t>Andrea J. Goldsmith</w:t>
            </w:r>
          </w:p>
        </w:tc>
        <w:tc>
          <w:tcPr>
            <w:tcW w:w="1080" w:type="dxa"/>
            <w:vAlign w:val="bottom"/>
          </w:tcPr>
          <w:p>
            <w:pPr>
              <w:jc w:val="center"/>
              <w:ind w:left="441"/>
              <w:spacing w:after="0"/>
              <w:rPr>
                <w:sz w:val="20"/>
                <w:szCs w:val="20"/>
                <w:color w:val="auto"/>
              </w:rPr>
            </w:pPr>
            <w:r>
              <w:rPr>
                <w:rFonts w:ascii="Arial" w:cs="Arial" w:eastAsia="Arial" w:hAnsi="Arial"/>
                <w:sz w:val="16"/>
                <w:szCs w:val="16"/>
                <w:color w:val="auto"/>
                <w:w w:val="98"/>
              </w:rPr>
              <w:t>15,589</w:t>
            </w:r>
          </w:p>
        </w:tc>
      </w:tr>
      <w:tr>
        <w:trPr>
          <w:trHeight w:val="230"/>
        </w:trPr>
        <w:tc>
          <w:tcPr>
            <w:tcW w:w="7520" w:type="dxa"/>
            <w:vAlign w:val="bottom"/>
          </w:tcPr>
          <w:p>
            <w:pPr>
              <w:ind w:left="220"/>
              <w:spacing w:after="0"/>
              <w:rPr>
                <w:sz w:val="20"/>
                <w:szCs w:val="20"/>
                <w:color w:val="auto"/>
              </w:rPr>
            </w:pPr>
            <w:r>
              <w:rPr>
                <w:rFonts w:ascii="Arial" w:cs="Arial" w:eastAsia="Arial" w:hAnsi="Arial"/>
                <w:sz w:val="16"/>
                <w:szCs w:val="16"/>
                <w:color w:val="auto"/>
              </w:rPr>
              <w:t>Christian H. Hillabrant</w:t>
            </w:r>
          </w:p>
        </w:tc>
        <w:tc>
          <w:tcPr>
            <w:tcW w:w="1080" w:type="dxa"/>
            <w:vAlign w:val="bottom"/>
          </w:tcPr>
          <w:p>
            <w:pPr>
              <w:jc w:val="center"/>
              <w:ind w:left="441"/>
              <w:spacing w:after="0"/>
              <w:rPr>
                <w:sz w:val="20"/>
                <w:szCs w:val="20"/>
                <w:color w:val="auto"/>
              </w:rPr>
            </w:pPr>
            <w:r>
              <w:rPr>
                <w:rFonts w:ascii="Arial" w:cs="Arial" w:eastAsia="Arial" w:hAnsi="Arial"/>
                <w:sz w:val="16"/>
                <w:szCs w:val="16"/>
                <w:color w:val="auto"/>
                <w:w w:val="89"/>
              </w:rPr>
              <w:t>0</w:t>
            </w:r>
          </w:p>
        </w:tc>
      </w:tr>
      <w:tr>
        <w:trPr>
          <w:trHeight w:val="246"/>
        </w:trPr>
        <w:tc>
          <w:tcPr>
            <w:tcW w:w="7520" w:type="dxa"/>
            <w:vAlign w:val="bottom"/>
            <w:shd w:val="clear" w:color="auto" w:fill="E6E7E7"/>
          </w:tcPr>
          <w:p>
            <w:pPr>
              <w:ind w:left="220"/>
              <w:spacing w:after="0"/>
              <w:rPr>
                <w:sz w:val="20"/>
                <w:szCs w:val="20"/>
                <w:color w:val="auto"/>
              </w:rPr>
            </w:pPr>
            <w:r>
              <w:rPr>
                <w:rFonts w:ascii="Arial" w:cs="Arial" w:eastAsia="Arial" w:hAnsi="Arial"/>
                <w:sz w:val="16"/>
                <w:szCs w:val="16"/>
                <w:color w:val="auto"/>
              </w:rPr>
              <w:t>Tammy K. Jones</w:t>
            </w:r>
          </w:p>
        </w:tc>
        <w:tc>
          <w:tcPr>
            <w:tcW w:w="1080" w:type="dxa"/>
            <w:vAlign w:val="bottom"/>
          </w:tcPr>
          <w:p>
            <w:pPr>
              <w:jc w:val="center"/>
              <w:ind w:left="441"/>
              <w:spacing w:after="0"/>
              <w:rPr>
                <w:sz w:val="20"/>
                <w:szCs w:val="20"/>
                <w:color w:val="auto"/>
              </w:rPr>
            </w:pPr>
            <w:r>
              <w:rPr>
                <w:rFonts w:ascii="Arial" w:cs="Arial" w:eastAsia="Arial" w:hAnsi="Arial"/>
                <w:sz w:val="16"/>
                <w:szCs w:val="16"/>
                <w:color w:val="auto"/>
                <w:w w:val="98"/>
              </w:rPr>
              <w:t>12,077</w:t>
            </w:r>
          </w:p>
        </w:tc>
      </w:tr>
      <w:tr>
        <w:trPr>
          <w:trHeight w:val="222"/>
        </w:trPr>
        <w:tc>
          <w:tcPr>
            <w:tcW w:w="7520" w:type="dxa"/>
            <w:vAlign w:val="bottom"/>
          </w:tcPr>
          <w:p>
            <w:pPr>
              <w:ind w:left="220"/>
              <w:spacing w:after="0"/>
              <w:rPr>
                <w:sz w:val="20"/>
                <w:szCs w:val="20"/>
                <w:color w:val="auto"/>
              </w:rPr>
            </w:pPr>
            <w:r>
              <w:rPr>
                <w:rFonts w:ascii="Arial" w:cs="Arial" w:eastAsia="Arial" w:hAnsi="Arial"/>
                <w:sz w:val="16"/>
                <w:szCs w:val="16"/>
                <w:color w:val="auto"/>
              </w:rPr>
              <w:t>Kevin T. Kabat</w:t>
            </w:r>
          </w:p>
        </w:tc>
        <w:tc>
          <w:tcPr>
            <w:tcW w:w="1080" w:type="dxa"/>
            <w:vAlign w:val="bottom"/>
          </w:tcPr>
          <w:p>
            <w:pPr>
              <w:jc w:val="center"/>
              <w:ind w:left="441"/>
              <w:spacing w:after="0"/>
              <w:rPr>
                <w:sz w:val="20"/>
                <w:szCs w:val="20"/>
                <w:color w:val="auto"/>
              </w:rPr>
            </w:pPr>
            <w:r>
              <w:rPr>
                <w:rFonts w:ascii="Arial" w:cs="Arial" w:eastAsia="Arial" w:hAnsi="Arial"/>
                <w:sz w:val="16"/>
                <w:szCs w:val="16"/>
                <w:color w:val="auto"/>
                <w:w w:val="99"/>
              </w:rPr>
              <w:t>9,149</w:t>
            </w:r>
          </w:p>
        </w:tc>
      </w:tr>
      <w:tr>
        <w:trPr>
          <w:trHeight w:val="29"/>
        </w:trPr>
        <w:tc>
          <w:tcPr>
            <w:tcW w:w="7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8"/>
        </w:trPr>
        <w:tc>
          <w:tcPr>
            <w:tcW w:w="7520" w:type="dxa"/>
            <w:vAlign w:val="bottom"/>
            <w:shd w:val="clear" w:color="auto" w:fill="E6E7E7"/>
          </w:tcPr>
          <w:p>
            <w:pPr>
              <w:ind w:left="220"/>
              <w:spacing w:after="0"/>
              <w:rPr>
                <w:sz w:val="20"/>
                <w:szCs w:val="20"/>
                <w:color w:val="auto"/>
              </w:rPr>
            </w:pPr>
            <w:r>
              <w:rPr>
                <w:rFonts w:ascii="Arial" w:cs="Arial" w:eastAsia="Arial" w:hAnsi="Arial"/>
                <w:sz w:val="16"/>
                <w:szCs w:val="16"/>
                <w:color w:val="auto"/>
              </w:rPr>
              <w:t>Christopher D. Levendos</w:t>
            </w:r>
          </w:p>
        </w:tc>
        <w:tc>
          <w:tcPr>
            <w:tcW w:w="1080" w:type="dxa"/>
            <w:vAlign w:val="bottom"/>
          </w:tcPr>
          <w:p>
            <w:pPr>
              <w:jc w:val="center"/>
              <w:ind w:left="441"/>
              <w:spacing w:after="0"/>
              <w:rPr>
                <w:sz w:val="20"/>
                <w:szCs w:val="20"/>
                <w:color w:val="auto"/>
              </w:rPr>
            </w:pPr>
            <w:r>
              <w:rPr>
                <w:rFonts w:ascii="Arial" w:cs="Arial" w:eastAsia="Arial" w:hAnsi="Arial"/>
                <w:sz w:val="16"/>
                <w:szCs w:val="16"/>
                <w:color w:val="auto"/>
                <w:w w:val="98"/>
              </w:rPr>
              <w:t>25,657</w:t>
            </w:r>
          </w:p>
        </w:tc>
      </w:tr>
      <w:tr>
        <w:trPr>
          <w:trHeight w:val="230"/>
        </w:trPr>
        <w:tc>
          <w:tcPr>
            <w:tcW w:w="7520" w:type="dxa"/>
            <w:vAlign w:val="bottom"/>
          </w:tcPr>
          <w:p>
            <w:pPr>
              <w:ind w:left="220"/>
              <w:spacing w:after="0"/>
              <w:rPr>
                <w:sz w:val="20"/>
                <w:szCs w:val="20"/>
                <w:color w:val="auto"/>
              </w:rPr>
            </w:pPr>
            <w:r>
              <w:rPr>
                <w:rFonts w:ascii="Arial" w:cs="Arial" w:eastAsia="Arial" w:hAnsi="Arial"/>
                <w:sz w:val="16"/>
                <w:szCs w:val="16"/>
                <w:color w:val="auto"/>
              </w:rPr>
              <w:t>Steven J. Moskowitz</w:t>
            </w:r>
          </w:p>
        </w:tc>
        <w:tc>
          <w:tcPr>
            <w:tcW w:w="1080" w:type="dxa"/>
            <w:vAlign w:val="bottom"/>
          </w:tcPr>
          <w:p>
            <w:pPr>
              <w:jc w:val="center"/>
              <w:ind w:left="441"/>
              <w:spacing w:after="0"/>
              <w:rPr>
                <w:sz w:val="20"/>
                <w:szCs w:val="20"/>
                <w:color w:val="auto"/>
              </w:rPr>
            </w:pPr>
            <w:r>
              <w:rPr>
                <w:rFonts w:ascii="Arial" w:cs="Arial" w:eastAsia="Arial" w:hAnsi="Arial"/>
                <w:sz w:val="16"/>
                <w:szCs w:val="16"/>
                <w:color w:val="auto"/>
                <w:w w:val="98"/>
              </w:rPr>
              <w:t>58,947</w:t>
            </w:r>
          </w:p>
        </w:tc>
      </w:tr>
      <w:tr>
        <w:trPr>
          <w:trHeight w:val="246"/>
        </w:trPr>
        <w:tc>
          <w:tcPr>
            <w:tcW w:w="7520" w:type="dxa"/>
            <w:vAlign w:val="bottom"/>
            <w:shd w:val="clear" w:color="auto" w:fill="E6E7E7"/>
          </w:tcPr>
          <w:p>
            <w:pPr>
              <w:ind w:left="220"/>
              <w:spacing w:after="0"/>
              <w:rPr>
                <w:sz w:val="20"/>
                <w:szCs w:val="20"/>
                <w:color w:val="auto"/>
              </w:rPr>
            </w:pPr>
            <w:r>
              <w:rPr>
                <w:rFonts w:ascii="Arial" w:cs="Arial" w:eastAsia="Arial" w:hAnsi="Arial"/>
                <w:sz w:val="16"/>
                <w:szCs w:val="16"/>
                <w:color w:val="auto"/>
              </w:rPr>
              <w:t>Anthony J. Melone</w:t>
            </w:r>
          </w:p>
        </w:tc>
        <w:tc>
          <w:tcPr>
            <w:tcW w:w="1080" w:type="dxa"/>
            <w:vAlign w:val="bottom"/>
          </w:tcPr>
          <w:p>
            <w:pPr>
              <w:jc w:val="center"/>
              <w:ind w:left="441"/>
              <w:spacing w:after="0"/>
              <w:rPr>
                <w:sz w:val="20"/>
                <w:szCs w:val="20"/>
                <w:color w:val="auto"/>
              </w:rPr>
            </w:pPr>
            <w:r>
              <w:rPr>
                <w:rFonts w:ascii="Arial" w:cs="Arial" w:eastAsia="Arial" w:hAnsi="Arial"/>
                <w:sz w:val="16"/>
                <w:szCs w:val="16"/>
                <w:color w:val="auto"/>
                <w:w w:val="98"/>
              </w:rPr>
              <w:t>35,473</w:t>
            </w:r>
          </w:p>
        </w:tc>
      </w:tr>
      <w:tr>
        <w:trPr>
          <w:trHeight w:val="230"/>
        </w:trPr>
        <w:tc>
          <w:tcPr>
            <w:tcW w:w="7520" w:type="dxa"/>
            <w:vAlign w:val="bottom"/>
          </w:tcPr>
          <w:p>
            <w:pPr>
              <w:ind w:left="220"/>
              <w:spacing w:after="0"/>
              <w:rPr>
                <w:sz w:val="20"/>
                <w:szCs w:val="20"/>
                <w:color w:val="auto"/>
              </w:rPr>
            </w:pPr>
            <w:r>
              <w:rPr>
                <w:rFonts w:ascii="Arial" w:cs="Arial" w:eastAsia="Arial" w:hAnsi="Arial"/>
                <w:sz w:val="16"/>
                <w:szCs w:val="16"/>
                <w:color w:val="auto"/>
              </w:rPr>
              <w:t>Katherine Motlagh</w:t>
            </w:r>
          </w:p>
        </w:tc>
        <w:tc>
          <w:tcPr>
            <w:tcW w:w="1080" w:type="dxa"/>
            <w:vAlign w:val="bottom"/>
          </w:tcPr>
          <w:p>
            <w:pPr>
              <w:jc w:val="center"/>
              <w:ind w:left="441"/>
              <w:spacing w:after="0"/>
              <w:rPr>
                <w:sz w:val="20"/>
                <w:szCs w:val="20"/>
                <w:color w:val="auto"/>
              </w:rPr>
            </w:pPr>
            <w:r>
              <w:rPr>
                <w:rFonts w:ascii="Arial" w:cs="Arial" w:eastAsia="Arial" w:hAnsi="Arial"/>
                <w:sz w:val="16"/>
                <w:szCs w:val="16"/>
                <w:color w:val="auto"/>
                <w:w w:val="99"/>
              </w:rPr>
              <w:t>5,183</w:t>
            </w:r>
          </w:p>
        </w:tc>
      </w:tr>
      <w:tr>
        <w:trPr>
          <w:trHeight w:val="246"/>
        </w:trPr>
        <w:tc>
          <w:tcPr>
            <w:tcW w:w="7520" w:type="dxa"/>
            <w:vAlign w:val="bottom"/>
            <w:shd w:val="clear" w:color="auto" w:fill="E6E7E7"/>
          </w:tcPr>
          <w:p>
            <w:pPr>
              <w:ind w:left="220"/>
              <w:spacing w:after="0"/>
              <w:rPr>
                <w:sz w:val="20"/>
                <w:szCs w:val="20"/>
                <w:color w:val="auto"/>
              </w:rPr>
            </w:pPr>
            <w:r>
              <w:rPr>
                <w:rFonts w:ascii="Arial" w:cs="Arial" w:eastAsia="Arial" w:hAnsi="Arial"/>
                <w:sz w:val="16"/>
                <w:szCs w:val="16"/>
                <w:color w:val="auto"/>
              </w:rPr>
              <w:t>Sunit S. Patel</w:t>
            </w:r>
          </w:p>
        </w:tc>
        <w:tc>
          <w:tcPr>
            <w:tcW w:w="1080" w:type="dxa"/>
            <w:vAlign w:val="bottom"/>
          </w:tcPr>
          <w:p>
            <w:pPr>
              <w:jc w:val="center"/>
              <w:ind w:left="441"/>
              <w:spacing w:after="0"/>
              <w:rPr>
                <w:sz w:val="20"/>
                <w:szCs w:val="20"/>
                <w:color w:val="auto"/>
              </w:rPr>
            </w:pPr>
            <w:r>
              <w:rPr>
                <w:rFonts w:ascii="Arial" w:cs="Arial" w:eastAsia="Arial" w:hAnsi="Arial"/>
                <w:sz w:val="16"/>
                <w:szCs w:val="16"/>
                <w:color w:val="auto"/>
                <w:w w:val="98"/>
              </w:rPr>
              <w:t>16,847</w:t>
            </w:r>
          </w:p>
        </w:tc>
      </w:tr>
      <w:tr>
        <w:trPr>
          <w:trHeight w:val="230"/>
        </w:trPr>
        <w:tc>
          <w:tcPr>
            <w:tcW w:w="7520" w:type="dxa"/>
            <w:vAlign w:val="bottom"/>
          </w:tcPr>
          <w:p>
            <w:pPr>
              <w:ind w:left="220"/>
              <w:spacing w:after="0"/>
              <w:rPr>
                <w:sz w:val="20"/>
                <w:szCs w:val="20"/>
                <w:color w:val="auto"/>
              </w:rPr>
            </w:pPr>
            <w:r>
              <w:rPr>
                <w:rFonts w:ascii="Arial" w:cs="Arial" w:eastAsia="Arial" w:hAnsi="Arial"/>
                <w:sz w:val="16"/>
                <w:szCs w:val="16"/>
                <w:color w:val="auto"/>
              </w:rPr>
              <w:t>Catherine Piche</w:t>
            </w:r>
          </w:p>
        </w:tc>
        <w:tc>
          <w:tcPr>
            <w:tcW w:w="1080" w:type="dxa"/>
            <w:vAlign w:val="bottom"/>
          </w:tcPr>
          <w:p>
            <w:pPr>
              <w:jc w:val="center"/>
              <w:ind w:left="441"/>
              <w:spacing w:after="0"/>
              <w:rPr>
                <w:sz w:val="20"/>
                <w:szCs w:val="20"/>
                <w:color w:val="auto"/>
              </w:rPr>
            </w:pPr>
            <w:r>
              <w:rPr>
                <w:rFonts w:ascii="Arial" w:cs="Arial" w:eastAsia="Arial" w:hAnsi="Arial"/>
                <w:sz w:val="16"/>
                <w:szCs w:val="16"/>
                <w:color w:val="auto"/>
                <w:w w:val="98"/>
              </w:rPr>
              <w:t>17,708</w:t>
            </w:r>
          </w:p>
        </w:tc>
      </w:tr>
      <w:tr>
        <w:trPr>
          <w:trHeight w:val="246"/>
        </w:trPr>
        <w:tc>
          <w:tcPr>
            <w:tcW w:w="7520" w:type="dxa"/>
            <w:vAlign w:val="bottom"/>
            <w:shd w:val="clear" w:color="auto" w:fill="E6E7E7"/>
          </w:tcPr>
          <w:p>
            <w:pPr>
              <w:ind w:left="220"/>
              <w:spacing w:after="0"/>
              <w:rPr>
                <w:sz w:val="20"/>
                <w:szCs w:val="20"/>
                <w:color w:val="auto"/>
              </w:rPr>
            </w:pPr>
            <w:r>
              <w:rPr>
                <w:rFonts w:ascii="Arial" w:cs="Arial" w:eastAsia="Arial" w:hAnsi="Arial"/>
                <w:sz w:val="16"/>
                <w:szCs w:val="16"/>
                <w:color w:val="auto"/>
              </w:rPr>
              <w:t>Daniel K. Schlanger</w:t>
            </w:r>
          </w:p>
        </w:tc>
        <w:tc>
          <w:tcPr>
            <w:tcW w:w="1080" w:type="dxa"/>
            <w:vAlign w:val="bottom"/>
          </w:tcPr>
          <w:p>
            <w:pPr>
              <w:jc w:val="center"/>
              <w:ind w:left="441"/>
              <w:spacing w:after="0"/>
              <w:rPr>
                <w:sz w:val="20"/>
                <w:szCs w:val="20"/>
                <w:color w:val="auto"/>
              </w:rPr>
            </w:pPr>
            <w:r>
              <w:rPr>
                <w:rFonts w:ascii="Arial" w:cs="Arial" w:eastAsia="Arial" w:hAnsi="Arial"/>
                <w:sz w:val="16"/>
                <w:szCs w:val="16"/>
                <w:color w:val="auto"/>
                <w:w w:val="98"/>
              </w:rPr>
              <w:t>86,508</w:t>
            </w:r>
          </w:p>
        </w:tc>
      </w:tr>
      <w:tr>
        <w:trPr>
          <w:trHeight w:val="230"/>
        </w:trPr>
        <w:tc>
          <w:tcPr>
            <w:tcW w:w="7520" w:type="dxa"/>
            <w:vAlign w:val="bottom"/>
          </w:tcPr>
          <w:p>
            <w:pPr>
              <w:ind w:left="220"/>
              <w:spacing w:after="0"/>
              <w:rPr>
                <w:sz w:val="20"/>
                <w:szCs w:val="20"/>
                <w:color w:val="auto"/>
              </w:rPr>
            </w:pPr>
            <w:r>
              <w:rPr>
                <w:rFonts w:ascii="Arial" w:cs="Arial" w:eastAsia="Arial" w:hAnsi="Arial"/>
                <w:sz w:val="16"/>
                <w:szCs w:val="16"/>
                <w:color w:val="auto"/>
              </w:rPr>
              <w:t>Kevin A. Stephens</w:t>
            </w:r>
          </w:p>
        </w:tc>
        <w:tc>
          <w:tcPr>
            <w:tcW w:w="1080" w:type="dxa"/>
            <w:vAlign w:val="bottom"/>
          </w:tcPr>
          <w:p>
            <w:pPr>
              <w:jc w:val="center"/>
              <w:ind w:left="441"/>
              <w:spacing w:after="0"/>
              <w:rPr>
                <w:sz w:val="20"/>
                <w:szCs w:val="20"/>
                <w:color w:val="auto"/>
              </w:rPr>
            </w:pPr>
            <w:r>
              <w:rPr>
                <w:rFonts w:ascii="Arial" w:cs="Arial" w:eastAsia="Arial" w:hAnsi="Arial"/>
                <w:sz w:val="16"/>
                <w:szCs w:val="16"/>
                <w:color w:val="auto"/>
                <w:w w:val="98"/>
              </w:rPr>
              <w:t>23,114</w:t>
            </w:r>
          </w:p>
        </w:tc>
      </w:tr>
      <w:tr>
        <w:trPr>
          <w:trHeight w:val="246"/>
        </w:trPr>
        <w:tc>
          <w:tcPr>
            <w:tcW w:w="7520" w:type="dxa"/>
            <w:vAlign w:val="bottom"/>
            <w:shd w:val="clear" w:color="auto" w:fill="E6E7E7"/>
          </w:tcPr>
          <w:p>
            <w:pPr>
              <w:ind w:left="220"/>
              <w:spacing w:after="0"/>
              <w:rPr>
                <w:sz w:val="20"/>
                <w:szCs w:val="20"/>
                <w:color w:val="auto"/>
              </w:rPr>
            </w:pPr>
            <w:r>
              <w:rPr>
                <w:rFonts w:ascii="Arial" w:cs="Arial" w:eastAsia="Arial" w:hAnsi="Arial"/>
                <w:sz w:val="16"/>
                <w:szCs w:val="16"/>
                <w:color w:val="auto"/>
              </w:rPr>
              <w:t>Matthew Thornton, III</w:t>
            </w:r>
          </w:p>
        </w:tc>
        <w:tc>
          <w:tcPr>
            <w:tcW w:w="1080" w:type="dxa"/>
            <w:vAlign w:val="bottom"/>
          </w:tcPr>
          <w:p>
            <w:pPr>
              <w:jc w:val="center"/>
              <w:ind w:left="441"/>
              <w:spacing w:after="0"/>
              <w:rPr>
                <w:sz w:val="20"/>
                <w:szCs w:val="20"/>
                <w:color w:val="auto"/>
              </w:rPr>
            </w:pPr>
            <w:r>
              <w:rPr>
                <w:rFonts w:ascii="Arial" w:cs="Arial" w:eastAsia="Arial" w:hAnsi="Arial"/>
                <w:sz w:val="16"/>
                <w:szCs w:val="16"/>
                <w:color w:val="auto"/>
                <w:w w:val="98"/>
              </w:rPr>
              <w:t>14,792</w:t>
            </w:r>
          </w:p>
        </w:tc>
      </w:tr>
      <w:tr>
        <w:trPr>
          <w:trHeight w:val="231"/>
        </w:trPr>
        <w:tc>
          <w:tcPr>
            <w:tcW w:w="7520" w:type="dxa"/>
            <w:vAlign w:val="bottom"/>
            <w:tcBorders>
              <w:bottom w:val="single" w:sz="8" w:color="520B90"/>
            </w:tcBorders>
          </w:tcPr>
          <w:p>
            <w:pPr>
              <w:ind w:left="120"/>
              <w:spacing w:after="0"/>
              <w:rPr>
                <w:sz w:val="20"/>
                <w:szCs w:val="20"/>
                <w:color w:val="auto"/>
              </w:rPr>
            </w:pPr>
            <w:r>
              <w:rPr>
                <w:rFonts w:ascii="Arial" w:cs="Arial" w:eastAsia="Arial" w:hAnsi="Arial"/>
                <w:sz w:val="16"/>
                <w:szCs w:val="16"/>
                <w:color w:val="auto"/>
              </w:rPr>
              <w:t>Directors, director nominees and executive officers as a group (17 persons total)</w:t>
            </w:r>
          </w:p>
        </w:tc>
        <w:tc>
          <w:tcPr>
            <w:tcW w:w="1080" w:type="dxa"/>
            <w:vAlign w:val="bottom"/>
          </w:tcPr>
          <w:p>
            <w:pPr>
              <w:jc w:val="center"/>
              <w:ind w:left="441"/>
              <w:spacing w:after="0"/>
              <w:rPr>
                <w:sz w:val="20"/>
                <w:szCs w:val="20"/>
                <w:color w:val="auto"/>
              </w:rPr>
            </w:pPr>
            <w:r>
              <w:rPr>
                <w:rFonts w:ascii="Arial" w:cs="Arial" w:eastAsia="Arial" w:hAnsi="Arial"/>
                <w:sz w:val="16"/>
                <w:szCs w:val="16"/>
                <w:color w:val="auto"/>
                <w:w w:val="96"/>
              </w:rPr>
              <w:t>401,247</w:t>
            </w:r>
          </w:p>
        </w:tc>
      </w:tr>
      <w:tr>
        <w:trPr>
          <w:trHeight w:val="26"/>
        </w:trPr>
        <w:tc>
          <w:tcPr>
            <w:tcW w:w="7520" w:type="dxa"/>
            <w:vAlign w:val="bottom"/>
            <w:tcBorders>
              <w:bottom w:val="single" w:sz="8" w:color="520B90"/>
            </w:tcBorders>
          </w:tcPr>
          <w:p>
            <w:pPr>
              <w:spacing w:after="0"/>
              <w:rPr>
                <w:sz w:val="2"/>
                <w:szCs w:val="2"/>
                <w:color w:val="auto"/>
              </w:rPr>
            </w:pPr>
          </w:p>
        </w:tc>
        <w:tc>
          <w:tcPr>
            <w:tcW w:w="108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4836160</wp:posOffset>
            </wp:positionH>
            <wp:positionV relativeFrom="paragraph">
              <wp:posOffset>-2444750</wp:posOffset>
            </wp:positionV>
            <wp:extent cx="1143000" cy="13462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143000" cy="134620"/>
                    </a:xfrm>
                    <a:prstGeom prst="rect">
                      <a:avLst/>
                    </a:prstGeom>
                    <a:noFill/>
                  </pic:spPr>
                </pic:pic>
              </a:graphicData>
            </a:graphic>
          </wp:anchor>
        </w:drawing>
        <w:drawing>
          <wp:anchor simplePos="0" relativeHeight="251657728" behindDoc="1" locked="0" layoutInCell="0" allowOverlap="1">
            <wp:simplePos x="0" y="0"/>
            <wp:positionH relativeFrom="column">
              <wp:posOffset>4836160</wp:posOffset>
            </wp:positionH>
            <wp:positionV relativeFrom="paragraph">
              <wp:posOffset>-2159000</wp:posOffset>
            </wp:positionV>
            <wp:extent cx="1143000" cy="15113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143000" cy="151130"/>
                    </a:xfrm>
                    <a:prstGeom prst="rect">
                      <a:avLst/>
                    </a:prstGeom>
                    <a:noFill/>
                  </pic:spPr>
                </pic:pic>
              </a:graphicData>
            </a:graphic>
          </wp:anchor>
        </w:drawing>
        <w:drawing>
          <wp:anchor simplePos="0" relativeHeight="251657728" behindDoc="1" locked="0" layoutInCell="0" allowOverlap="1">
            <wp:simplePos x="0" y="0"/>
            <wp:positionH relativeFrom="column">
              <wp:posOffset>4836160</wp:posOffset>
            </wp:positionH>
            <wp:positionV relativeFrom="paragraph">
              <wp:posOffset>-1856740</wp:posOffset>
            </wp:positionV>
            <wp:extent cx="1143000" cy="15113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143000" cy="151130"/>
                    </a:xfrm>
                    <a:prstGeom prst="rect">
                      <a:avLst/>
                    </a:prstGeom>
                    <a:noFill/>
                  </pic:spPr>
                </pic:pic>
              </a:graphicData>
            </a:graphic>
          </wp:anchor>
        </w:drawing>
        <w:drawing>
          <wp:anchor simplePos="0" relativeHeight="251657728" behindDoc="1" locked="0" layoutInCell="0" allowOverlap="1">
            <wp:simplePos x="0" y="0"/>
            <wp:positionH relativeFrom="column">
              <wp:posOffset>4836160</wp:posOffset>
            </wp:positionH>
            <wp:positionV relativeFrom="paragraph">
              <wp:posOffset>-1545590</wp:posOffset>
            </wp:positionV>
            <wp:extent cx="1143000" cy="15113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143000" cy="151130"/>
                    </a:xfrm>
                    <a:prstGeom prst="rect">
                      <a:avLst/>
                    </a:prstGeom>
                    <a:noFill/>
                  </pic:spPr>
                </pic:pic>
              </a:graphicData>
            </a:graphic>
          </wp:anchor>
        </w:drawing>
        <w:drawing>
          <wp:anchor simplePos="0" relativeHeight="251657728" behindDoc="1" locked="0" layoutInCell="0" allowOverlap="1">
            <wp:simplePos x="0" y="0"/>
            <wp:positionH relativeFrom="column">
              <wp:posOffset>4836160</wp:posOffset>
            </wp:positionH>
            <wp:positionV relativeFrom="paragraph">
              <wp:posOffset>-1243330</wp:posOffset>
            </wp:positionV>
            <wp:extent cx="1143000" cy="15113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143000" cy="151130"/>
                    </a:xfrm>
                    <a:prstGeom prst="rect">
                      <a:avLst/>
                    </a:prstGeom>
                    <a:noFill/>
                  </pic:spPr>
                </pic:pic>
              </a:graphicData>
            </a:graphic>
          </wp:anchor>
        </w:drawing>
        <w:drawing>
          <wp:anchor simplePos="0" relativeHeight="251657728" behindDoc="1" locked="0" layoutInCell="0" allowOverlap="1">
            <wp:simplePos x="0" y="0"/>
            <wp:positionH relativeFrom="column">
              <wp:posOffset>4836160</wp:posOffset>
            </wp:positionH>
            <wp:positionV relativeFrom="paragraph">
              <wp:posOffset>-940435</wp:posOffset>
            </wp:positionV>
            <wp:extent cx="1143000" cy="15113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143000" cy="151130"/>
                    </a:xfrm>
                    <a:prstGeom prst="rect">
                      <a:avLst/>
                    </a:prstGeom>
                    <a:noFill/>
                  </pic:spPr>
                </pic:pic>
              </a:graphicData>
            </a:graphic>
          </wp:anchor>
        </w:drawing>
        <w:drawing>
          <wp:anchor simplePos="0" relativeHeight="251657728" behindDoc="1" locked="0" layoutInCell="0" allowOverlap="1">
            <wp:simplePos x="0" y="0"/>
            <wp:positionH relativeFrom="column">
              <wp:posOffset>4836160</wp:posOffset>
            </wp:positionH>
            <wp:positionV relativeFrom="paragraph">
              <wp:posOffset>-638175</wp:posOffset>
            </wp:positionV>
            <wp:extent cx="1143000" cy="15113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143000" cy="151130"/>
                    </a:xfrm>
                    <a:prstGeom prst="rect">
                      <a:avLst/>
                    </a:prstGeom>
                    <a:noFill/>
                  </pic:spPr>
                </pic:pic>
              </a:graphicData>
            </a:graphic>
          </wp:anchor>
        </w:drawing>
        <w:drawing>
          <wp:anchor simplePos="0" relativeHeight="251657728" behindDoc="1" locked="0" layoutInCell="0" allowOverlap="1">
            <wp:simplePos x="0" y="0"/>
            <wp:positionH relativeFrom="column">
              <wp:posOffset>4836160</wp:posOffset>
            </wp:positionH>
            <wp:positionV relativeFrom="paragraph">
              <wp:posOffset>-335280</wp:posOffset>
            </wp:positionV>
            <wp:extent cx="1143000" cy="15113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143000" cy="151130"/>
                    </a:xfrm>
                    <a:prstGeom prst="rect">
                      <a:avLst/>
                    </a:prstGeom>
                    <a:noFill/>
                  </pic:spPr>
                </pic:pic>
              </a:graphicData>
            </a:graphic>
          </wp:anchor>
        </w:drawing>
        <w:drawing>
          <wp:anchor simplePos="0" relativeHeight="251657728" behindDoc="1" locked="0" layoutInCell="0" allowOverlap="1">
            <wp:simplePos x="0" y="0"/>
            <wp:positionH relativeFrom="column">
              <wp:posOffset>4836160</wp:posOffset>
            </wp:positionH>
            <wp:positionV relativeFrom="paragraph">
              <wp:posOffset>-33020</wp:posOffset>
            </wp:positionV>
            <wp:extent cx="114300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143000" cy="8255"/>
                    </a:xfrm>
                    <a:prstGeom prst="rect">
                      <a:avLst/>
                    </a:prstGeom>
                    <a:noFill/>
                  </pic:spPr>
                </pic:pic>
              </a:graphicData>
            </a:graphic>
          </wp:anchor>
        </w:drawing>
        <w:drawing>
          <wp:anchor simplePos="0" relativeHeight="251657728" behindDoc="1" locked="0" layoutInCell="0" allowOverlap="1">
            <wp:simplePos x="0" y="0"/>
            <wp:positionH relativeFrom="column">
              <wp:posOffset>4836160</wp:posOffset>
            </wp:positionH>
            <wp:positionV relativeFrom="paragraph">
              <wp:posOffset>-7620</wp:posOffset>
            </wp:positionV>
            <wp:extent cx="114300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8"/>
          <w:szCs w:val="8"/>
          <w:color w:val="auto"/>
        </w:rPr>
        <w:t>(d)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8"/>
          <w:szCs w:val="8"/>
          <w:color w:val="auto"/>
        </w:rPr>
        <w: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-108585</wp:posOffset>
            </wp:positionV>
            <wp:extent cx="714375" cy="13462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4375" cy="13462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33655</wp:posOffset>
            </wp:positionV>
            <wp:extent cx="714375" cy="15113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4375" cy="151130"/>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33655</wp:posOffset>
            </wp:positionV>
            <wp:extent cx="714375" cy="15113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4375" cy="151130"/>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42545</wp:posOffset>
            </wp:positionV>
            <wp:extent cx="714375" cy="15113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4375" cy="151130"/>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33655</wp:posOffset>
            </wp:positionV>
            <wp:extent cx="714375" cy="15113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4375" cy="151130"/>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33655</wp:posOffset>
            </wp:positionV>
            <wp:extent cx="714375" cy="15113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4375" cy="151130"/>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33655</wp:posOffset>
            </wp:positionV>
            <wp:extent cx="714375" cy="15113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4375" cy="151130"/>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33655</wp:posOffset>
            </wp:positionV>
            <wp:extent cx="714375" cy="15113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14375" cy="151130"/>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33655</wp:posOffset>
            </wp:positionV>
            <wp:extent cx="714375"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4375" cy="8255"/>
                    </a:xfrm>
                    <a:prstGeom prst="rect">
                      <a:avLst/>
                    </a:prstGeom>
                    <a:noFill/>
                  </pic:spPr>
                </pic:pic>
              </a:graphicData>
            </a:graphic>
          </wp:anchor>
        </w:drawing>
        <w:drawing>
          <wp:anchor simplePos="0" relativeHeight="251657728" behindDoc="1" locked="0" layoutInCell="0" allowOverlap="1">
            <wp:simplePos x="0" y="0"/>
            <wp:positionH relativeFrom="column">
              <wp:posOffset>-337820</wp:posOffset>
            </wp:positionH>
            <wp:positionV relativeFrom="paragraph">
              <wp:posOffset>59055</wp:posOffset>
            </wp:positionV>
            <wp:extent cx="714375"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14375" cy="8255"/>
                    </a:xfrm>
                    <a:prstGeom prst="rect">
                      <a:avLst/>
                    </a:prstGeom>
                    <a:noFill/>
                  </pic:spPr>
                </pic:pic>
              </a:graphicData>
            </a:graphic>
          </wp:anchor>
        </w:drawing>
      </w:r>
    </w:p>
    <w:p>
      <w:pPr>
        <w:spacing w:after="0" w:line="118" w:lineRule="exact"/>
        <w:rPr>
          <w:sz w:val="20"/>
          <w:szCs w:val="20"/>
          <w:color w:val="auto"/>
        </w:rPr>
      </w:pPr>
    </w:p>
    <w:p>
      <w:pPr>
        <w:sectPr>
          <w:pgSz w:w="11900" w:h="16838" w:orient="portrait"/>
          <w:cols w:equalWidth="0" w:num="3">
            <w:col w:w="8600" w:space="440"/>
            <w:col w:w="400" w:space="720"/>
            <w:col w:w="1060"/>
          </w:cols>
          <w:pgMar w:left="320" w:top="1440" w:right="359" w:bottom="1440" w:gutter="0" w:footer="0" w:header="0"/>
          <w:type w:val="continuous"/>
        </w:sectPr>
      </w:pPr>
    </w:p>
    <w:p>
      <w:pPr>
        <w:ind w:left="20"/>
        <w:spacing w:after="0"/>
        <w:rPr>
          <w:sz w:val="20"/>
          <w:szCs w:val="20"/>
          <w:color w:val="auto"/>
        </w:rPr>
      </w:pPr>
      <w:r>
        <w:rPr>
          <w:rFonts w:ascii="Arial" w:cs="Arial" w:eastAsia="Arial" w:hAnsi="Arial"/>
          <w:sz w:val="15"/>
          <w:szCs w:val="15"/>
          <w:b w:val="1"/>
          <w:bCs w:val="1"/>
          <w:color w:val="520B90"/>
        </w:rPr>
        <w:t>Greater than 5%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6824345" cy="18478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6824345" cy="18478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p>
      <w:pPr>
        <w:spacing w:after="0" w:line="11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Vanguard Group</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BlackRock, Inc.</w:t>
      </w:r>
    </w:p>
    <w:p>
      <w:pPr>
        <w:spacing w:after="0" w:line="4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Cohen &amp; Steers,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4773295" cy="13462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4773295" cy="134620"/>
                    </a:xfrm>
                    <a:prstGeom prst="rect">
                      <a:avLst/>
                    </a:prstGeom>
                    <a:noFill/>
                  </pic:spPr>
                </pic:pic>
              </a:graphicData>
            </a:graphic>
          </wp:anchor>
        </w:drawing>
      </w:r>
    </w:p>
    <w:p>
      <w:pPr>
        <w:spacing w:after="0" w:line="8" w:lineRule="exact"/>
        <w:rPr>
          <w:sz w:val="20"/>
          <w:szCs w:val="20"/>
          <w:color w:val="auto"/>
        </w:rPr>
      </w:pPr>
    </w:p>
    <w:p>
      <w:pPr>
        <w:ind w:left="240"/>
        <w:spacing w:after="0"/>
        <w:rPr>
          <w:sz w:val="20"/>
          <w:szCs w:val="20"/>
          <w:color w:val="auto"/>
        </w:rPr>
      </w:pPr>
      <w:r>
        <w:rPr>
          <w:rFonts w:ascii="Arial" w:cs="Arial" w:eastAsia="Arial" w:hAnsi="Arial"/>
          <w:sz w:val="15"/>
          <w:szCs w:val="15"/>
          <w:color w:val="auto"/>
        </w:rPr>
        <w:t>State Street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25400</wp:posOffset>
            </wp:positionV>
            <wp:extent cx="4773295"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47732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134620</wp:posOffset>
            </wp:positionV>
            <wp:extent cx="70612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06120" cy="825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3"/>
          <w:szCs w:val="13"/>
          <w:color w:val="auto"/>
        </w:rPr>
        <w:t>* Less than 1%</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68,840,472</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color w:val="auto"/>
        </w:rPr>
        <w:t>38,829,206</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color w:val="auto"/>
        </w:rPr>
        <w:t>36,331,844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-108585</wp:posOffset>
            </wp:positionV>
            <wp:extent cx="1143000" cy="13462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143000" cy="13462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22,241,227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25400</wp:posOffset>
            </wp:positionV>
            <wp:extent cx="114300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Arial" w:cs="Arial" w:eastAsia="Arial" w:hAnsi="Arial"/>
          <w:sz w:val="9"/>
          <w:szCs w:val="9"/>
          <w:color w:val="auto"/>
        </w:rPr>
        <w:t>(f)</w:t>
      </w:r>
    </w:p>
    <w:p>
      <w:pPr>
        <w:spacing w:after="0" w:line="135" w:lineRule="exact"/>
        <w:rPr>
          <w:sz w:val="20"/>
          <w:szCs w:val="20"/>
          <w:color w:val="auto"/>
        </w:rPr>
      </w:pPr>
    </w:p>
    <w:p>
      <w:pPr>
        <w:spacing w:after="0"/>
        <w:rPr>
          <w:sz w:val="20"/>
          <w:szCs w:val="20"/>
          <w:color w:val="auto"/>
        </w:rPr>
      </w:pPr>
      <w:r>
        <w:rPr>
          <w:rFonts w:ascii="Arial" w:cs="Arial" w:eastAsia="Arial" w:hAnsi="Arial"/>
          <w:sz w:val="8"/>
          <w:szCs w:val="8"/>
          <w:color w:val="auto"/>
        </w:rPr>
        <w:t>(g)</w:t>
      </w:r>
    </w:p>
    <w:p>
      <w:pPr>
        <w:spacing w:after="0" w:line="133" w:lineRule="exact"/>
        <w:rPr>
          <w:sz w:val="20"/>
          <w:szCs w:val="20"/>
          <w:color w:val="auto"/>
        </w:rPr>
      </w:pPr>
    </w:p>
    <w:p>
      <w:pPr>
        <w:spacing w:after="0"/>
        <w:rPr>
          <w:sz w:val="20"/>
          <w:szCs w:val="20"/>
          <w:color w:val="auto"/>
        </w:rPr>
      </w:pPr>
      <w:r>
        <w:rPr>
          <w:rFonts w:ascii="Arial" w:cs="Arial" w:eastAsia="Arial" w:hAnsi="Arial"/>
          <w:sz w:val="8"/>
          <w:szCs w:val="8"/>
          <w:color w:val="auto"/>
        </w:rPr>
        <w:t>(h)</w:t>
      </w:r>
    </w:p>
    <w:p>
      <w:pPr>
        <w:spacing w:after="0" w:line="125" w:lineRule="exact"/>
        <w:rPr>
          <w:sz w:val="20"/>
          <w:szCs w:val="20"/>
          <w:color w:val="auto"/>
        </w:rPr>
      </w:pPr>
    </w:p>
    <w:p>
      <w:pPr>
        <w:spacing w:after="0"/>
        <w:rPr>
          <w:sz w:val="20"/>
          <w:szCs w:val="20"/>
          <w:color w:val="auto"/>
        </w:rPr>
      </w:pPr>
      <w:r>
        <w:rPr>
          <w:rFonts w:ascii="Arial" w:cs="Arial" w:eastAsia="Arial" w:hAnsi="Arial"/>
          <w:sz w:val="8"/>
          <w:szCs w:val="8"/>
          <w:color w:val="auto"/>
        </w:rPr>
        <w:t>(i)</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15.78%</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8.90%</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6"/>
          <w:szCs w:val="16"/>
          <w:color w:val="auto"/>
        </w:rPr>
        <w:t>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-115570</wp:posOffset>
            </wp:positionV>
            <wp:extent cx="714375" cy="13462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4375" cy="134620"/>
                    </a:xfrm>
                    <a:prstGeom prst="rect">
                      <a:avLst/>
                    </a:prstGeom>
                    <a:noFill/>
                  </pic:spPr>
                </pic:pic>
              </a:graphicData>
            </a:graphic>
          </wp:anchor>
        </w:drawing>
      </w:r>
    </w:p>
    <w:p>
      <w:pPr>
        <w:spacing w:after="0" w:line="8" w:lineRule="exact"/>
        <w:rPr>
          <w:sz w:val="20"/>
          <w:szCs w:val="20"/>
          <w:color w:val="auto"/>
        </w:rPr>
      </w:pPr>
    </w:p>
    <w:p>
      <w:pPr>
        <w:ind w:left="40"/>
        <w:spacing w:after="0"/>
        <w:rPr>
          <w:sz w:val="20"/>
          <w:szCs w:val="20"/>
          <w:color w:val="auto"/>
        </w:rPr>
      </w:pPr>
      <w:r>
        <w:rPr>
          <w:rFonts w:ascii="Arial" w:cs="Arial" w:eastAsia="Arial" w:hAnsi="Arial"/>
          <w:sz w:val="16"/>
          <w:szCs w:val="16"/>
          <w:color w:val="auto"/>
        </w:rPr>
        <w:t>5.10%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18415</wp:posOffset>
            </wp:positionV>
            <wp:extent cx="714375"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4375" cy="8255"/>
                    </a:xfrm>
                    <a:prstGeom prst="rect">
                      <a:avLst/>
                    </a:prstGeom>
                    <a:noFill/>
                  </pic:spPr>
                </pic:pic>
              </a:graphicData>
            </a:graphic>
          </wp:anchor>
        </w:drawing>
      </w:r>
    </w:p>
    <w:p>
      <w:pPr>
        <w:spacing w:after="0" w:line="464" w:lineRule="exact"/>
        <w:rPr>
          <w:sz w:val="20"/>
          <w:szCs w:val="20"/>
          <w:color w:val="auto"/>
        </w:rPr>
      </w:pPr>
    </w:p>
    <w:p>
      <w:pPr>
        <w:sectPr>
          <w:pgSz w:w="11900" w:h="16838" w:orient="portrait"/>
          <w:cols w:equalWidth="0" w:num="4">
            <w:col w:w="7200" w:space="720"/>
            <w:col w:w="800" w:space="320"/>
            <w:col w:w="160" w:space="720"/>
            <w:col w:w="1300"/>
          </w:cols>
          <w:pgMar w:left="320" w:top="1440" w:right="359" w:bottom="1440" w:gutter="0" w:footer="0" w:header="0"/>
          <w:type w:val="continuous"/>
        </w:sectPr>
      </w:pPr>
    </w:p>
    <w:p>
      <w:pPr>
        <w:jc w:val="both"/>
        <w:ind w:left="320" w:right="240" w:hanging="314"/>
        <w:spacing w:after="0" w:line="254" w:lineRule="auto"/>
        <w:tabs>
          <w:tab w:leader="none" w:pos="310" w:val="left"/>
        </w:tabs>
        <w:numPr>
          <w:ilvl w:val="0"/>
          <w:numId w:val="155"/>
        </w:numPr>
        <w:rPr>
          <w:rFonts w:ascii="Arial" w:cs="Arial" w:eastAsia="Arial" w:hAnsi="Arial"/>
          <w:sz w:val="13"/>
          <w:szCs w:val="13"/>
          <w:color w:val="auto"/>
        </w:rPr>
      </w:pPr>
      <w:r>
        <w:rPr>
          <w:rFonts w:ascii="Arial" w:cs="Arial" w:eastAsia="Arial" w:hAnsi="Arial"/>
          <w:sz w:val="13"/>
          <w:szCs w:val="13"/>
          <w:color w:val="auto"/>
        </w:rPr>
        <w:t>Unless otherwise indicated, each of the persons listed in this table may be deemed to have (1) sole voting and investment power with respect to the shares beneficially owned by such persons or (2) shared voting and investment power with respect to shares owned by a spouse. Unless otherwise indicated, the address of each of the persons listed in this table is c/o Crown Castle Inc., 8020 Katy Freeway, Houston, TX 77024.</w:t>
      </w:r>
    </w:p>
    <w:p>
      <w:pPr>
        <w:spacing w:after="0" w:line="1" w:lineRule="exact"/>
        <w:rPr>
          <w:rFonts w:ascii="Arial" w:cs="Arial" w:eastAsia="Arial" w:hAnsi="Arial"/>
          <w:sz w:val="13"/>
          <w:szCs w:val="13"/>
          <w:color w:val="auto"/>
        </w:rPr>
      </w:pPr>
    </w:p>
    <w:p>
      <w:pPr>
        <w:ind w:left="320" w:right="480" w:hanging="314"/>
        <w:spacing w:after="0" w:line="254" w:lineRule="auto"/>
        <w:tabs>
          <w:tab w:leader="none" w:pos="310" w:val="left"/>
        </w:tabs>
        <w:numPr>
          <w:ilvl w:val="0"/>
          <w:numId w:val="155"/>
        </w:numPr>
        <w:rPr>
          <w:rFonts w:ascii="Arial" w:cs="Arial" w:eastAsia="Arial" w:hAnsi="Arial"/>
          <w:sz w:val="13"/>
          <w:szCs w:val="13"/>
          <w:color w:val="auto"/>
        </w:rPr>
      </w:pPr>
      <w:r>
        <w:rPr>
          <w:rFonts w:ascii="Arial" w:cs="Arial" w:eastAsia="Arial" w:hAnsi="Arial"/>
          <w:sz w:val="13"/>
          <w:szCs w:val="13"/>
          <w:color w:val="auto"/>
        </w:rPr>
        <w:t>In addition to the shares shown in the table, each of the executive officers holds RSUs which have been granted pursuant to our 2013 Long-Term Incentive Plan or 2022 LTIP as a component of executive compensation, as further described in "IV. Executive Compensation—Compensation Discussion and Analysis—Long-Term Incentives."</w:t>
      </w:r>
    </w:p>
    <w:p>
      <w:pPr>
        <w:spacing w:after="0" w:line="1" w:lineRule="exact"/>
        <w:rPr>
          <w:rFonts w:ascii="Arial" w:cs="Arial" w:eastAsia="Arial" w:hAnsi="Arial"/>
          <w:sz w:val="13"/>
          <w:szCs w:val="13"/>
          <w:color w:val="auto"/>
        </w:rPr>
      </w:pPr>
    </w:p>
    <w:p>
      <w:pPr>
        <w:ind w:left="320" w:hanging="314"/>
        <w:spacing w:after="0"/>
        <w:tabs>
          <w:tab w:leader="none" w:pos="320" w:val="left"/>
        </w:tabs>
        <w:numPr>
          <w:ilvl w:val="0"/>
          <w:numId w:val="155"/>
        </w:numPr>
        <w:rPr>
          <w:rFonts w:ascii="Arial" w:cs="Arial" w:eastAsia="Arial" w:hAnsi="Arial"/>
          <w:sz w:val="13"/>
          <w:szCs w:val="13"/>
          <w:color w:val="auto"/>
        </w:rPr>
      </w:pPr>
      <w:r>
        <w:rPr>
          <w:rFonts w:ascii="Arial" w:cs="Arial" w:eastAsia="Arial" w:hAnsi="Arial"/>
          <w:sz w:val="13"/>
          <w:szCs w:val="13"/>
          <w:color w:val="auto"/>
        </w:rPr>
        <w:t>Pursuant to SEC rules, Common Stock percentages are based on the number of outstanding shares of Common Stock as of March 23, 2026.</w:t>
      </w:r>
    </w:p>
    <w:p>
      <w:pPr>
        <w:spacing w:after="0" w:line="9" w:lineRule="exact"/>
        <w:rPr>
          <w:rFonts w:ascii="Arial" w:cs="Arial" w:eastAsia="Arial" w:hAnsi="Arial"/>
          <w:sz w:val="13"/>
          <w:szCs w:val="13"/>
          <w:color w:val="auto"/>
        </w:rPr>
      </w:pPr>
    </w:p>
    <w:p>
      <w:pPr>
        <w:ind w:left="320" w:hanging="314"/>
        <w:spacing w:after="0" w:line="254" w:lineRule="auto"/>
        <w:tabs>
          <w:tab w:leader="none" w:pos="310" w:val="left"/>
        </w:tabs>
        <w:numPr>
          <w:ilvl w:val="0"/>
          <w:numId w:val="155"/>
        </w:numPr>
        <w:rPr>
          <w:rFonts w:ascii="Arial" w:cs="Arial" w:eastAsia="Arial" w:hAnsi="Arial"/>
          <w:sz w:val="13"/>
          <w:szCs w:val="13"/>
          <w:color w:val="auto"/>
        </w:rPr>
      </w:pPr>
      <w:r>
        <w:rPr>
          <w:rFonts w:ascii="Arial" w:cs="Arial" w:eastAsia="Arial" w:hAnsi="Arial"/>
          <w:sz w:val="13"/>
          <w:szCs w:val="13"/>
          <w:color w:val="auto"/>
        </w:rPr>
        <w:t>Includes an aggregate of 28,002 shares of Common Stock (net of tax withholding) that are scheduled to vest on April 11, 2026, pursuant to the RSU Award Agreement underlying the New Hire RSUs and annual Time RSUs previously granted to Mr. Moskowitz and the Severance Agreement between the Company and Mr. Moskowitz, effective April 11, 2024.</w:t>
      </w:r>
    </w:p>
    <w:p>
      <w:pPr>
        <w:spacing w:after="0" w:line="1" w:lineRule="exact"/>
        <w:rPr>
          <w:rFonts w:ascii="Arial" w:cs="Arial" w:eastAsia="Arial" w:hAnsi="Arial"/>
          <w:sz w:val="13"/>
          <w:szCs w:val="13"/>
          <w:color w:val="auto"/>
        </w:rPr>
      </w:pPr>
    </w:p>
    <w:p>
      <w:pPr>
        <w:ind w:left="320" w:right="160" w:hanging="314"/>
        <w:spacing w:after="0" w:line="254" w:lineRule="auto"/>
        <w:tabs>
          <w:tab w:leader="none" w:pos="310" w:val="left"/>
        </w:tabs>
        <w:numPr>
          <w:ilvl w:val="0"/>
          <w:numId w:val="155"/>
        </w:numPr>
        <w:rPr>
          <w:rFonts w:ascii="Arial" w:cs="Arial" w:eastAsia="Arial" w:hAnsi="Arial"/>
          <w:sz w:val="13"/>
          <w:szCs w:val="13"/>
          <w:color w:val="auto"/>
        </w:rPr>
      </w:pPr>
      <w:r>
        <w:rPr>
          <w:rFonts w:ascii="Arial" w:cs="Arial" w:eastAsia="Arial" w:hAnsi="Arial"/>
          <w:sz w:val="13"/>
          <w:szCs w:val="13"/>
          <w:color w:val="auto"/>
        </w:rPr>
        <w:t>Includes 9,649 shares of Common Stock (net of tax withholding) that are scheduled to vest on April 10, 2026, pursuant to the RSU Award Agreement underlying the Make-Whole RSUs previously granted to Mr. Patel.</w:t>
      </w:r>
    </w:p>
    <w:p>
      <w:pPr>
        <w:spacing w:after="0" w:line="1" w:lineRule="exact"/>
        <w:rPr>
          <w:rFonts w:ascii="Arial" w:cs="Arial" w:eastAsia="Arial" w:hAnsi="Arial"/>
          <w:sz w:val="13"/>
          <w:szCs w:val="13"/>
          <w:color w:val="auto"/>
        </w:rPr>
      </w:pPr>
    </w:p>
    <w:p>
      <w:pPr>
        <w:ind w:left="320" w:right="40" w:hanging="314"/>
        <w:spacing w:after="0" w:line="261" w:lineRule="auto"/>
        <w:tabs>
          <w:tab w:leader="none" w:pos="312" w:val="left"/>
        </w:tabs>
        <w:numPr>
          <w:ilvl w:val="0"/>
          <w:numId w:val="155"/>
        </w:numPr>
        <w:rPr>
          <w:rFonts w:ascii="Arial" w:cs="Arial" w:eastAsia="Arial" w:hAnsi="Arial"/>
          <w:sz w:val="13"/>
          <w:szCs w:val="13"/>
          <w:color w:val="auto"/>
        </w:rPr>
      </w:pPr>
      <w:r>
        <w:rPr>
          <w:rFonts w:ascii="Arial" w:cs="Arial" w:eastAsia="Arial" w:hAnsi="Arial"/>
          <w:sz w:val="13"/>
          <w:szCs w:val="13"/>
          <w:color w:val="auto"/>
        </w:rPr>
        <w:t>Based on a Schedule 13G/A filed with the SEC on April 30, 2025, reporting that as of March 31, 2025, The Vanguard Group had shared voting power over 712,276 shares of Common Stock, sole dispositive power over 66,637,546 shares of Common Stock and shared dispositive power over 2,202,926 shares of Common Stock. In the filing, The Vanguard Group lists its address as 100 Vanguard Blvd., Malvern, PA 19355. The Vanguard Group subsequently reported on a Schedule 13G/A filed with the SEC on March 26, 2026, that due to an internal realignment, it no longer has, or is deemed to have, beneficial ownership over the Company's securities beneficially owned by various subsidiaries or business</w:t>
      </w:r>
    </w:p>
    <w:p>
      <w:pPr>
        <w:spacing w:after="0" w:line="356"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80" w:name="page81"/>
    <w:bookmarkEnd w:id="80"/>
    <w:p>
      <w:pPr>
        <w:ind w:left="314" w:right="40"/>
        <w:spacing w:after="0" w:line="264" w:lineRule="auto"/>
        <w:rPr>
          <w:sz w:val="20"/>
          <w:szCs w:val="20"/>
          <w:color w:val="auto"/>
        </w:rPr>
      </w:pPr>
      <w:r>
        <w:rPr>
          <w:rFonts w:ascii="Arial" w:cs="Arial" w:eastAsia="Arial" w:hAnsi="Arial"/>
          <w:sz w:val="13"/>
          <w:szCs w:val="13"/>
          <w:color w:val="auto"/>
        </w:rPr>
        <w:t>divisions. The Vanguard Group also reported that certain subsidiaries or business divisions that formerly had, or were deemed to have, beneficial ownership with The Vanguard Group will report beneficial ownership separately (on a disaggregated basis).</w:t>
      </w:r>
    </w:p>
    <w:p>
      <w:pPr>
        <w:spacing w:after="0" w:line="1" w:lineRule="exact"/>
        <w:rPr>
          <w:sz w:val="20"/>
          <w:szCs w:val="20"/>
          <w:color w:val="auto"/>
        </w:rPr>
      </w:pPr>
    </w:p>
    <w:p>
      <w:pPr>
        <w:ind w:left="314" w:right="180" w:hanging="314"/>
        <w:spacing w:after="0" w:line="254" w:lineRule="auto"/>
        <w:tabs>
          <w:tab w:leader="none" w:pos="304" w:val="left"/>
        </w:tabs>
        <w:numPr>
          <w:ilvl w:val="0"/>
          <w:numId w:val="156"/>
        </w:numPr>
        <w:rPr>
          <w:rFonts w:ascii="Arial" w:cs="Arial" w:eastAsia="Arial" w:hAnsi="Arial"/>
          <w:sz w:val="13"/>
          <w:szCs w:val="13"/>
          <w:color w:val="auto"/>
        </w:rPr>
      </w:pPr>
      <w:r>
        <w:rPr>
          <w:rFonts w:ascii="Arial" w:cs="Arial" w:eastAsia="Arial" w:hAnsi="Arial"/>
          <w:sz w:val="13"/>
          <w:szCs w:val="13"/>
          <w:color w:val="auto"/>
        </w:rPr>
        <w:t>Based on a Schedule 13G/A filed with the SEC on April 17, 2025, reporting that as of March 31, 2025, BlackRock, Inc. has sole voting power over 35,945,106 shares of Common Stock and sole dispositive power over 38,829,206 shares of Common Stock. In the filing, BlackRock, Inc. lists its address as 50 Hudson Yards, New York, NY 10001.</w:t>
      </w:r>
    </w:p>
    <w:p>
      <w:pPr>
        <w:spacing w:after="0" w:line="1" w:lineRule="exact"/>
        <w:rPr>
          <w:rFonts w:ascii="Arial" w:cs="Arial" w:eastAsia="Arial" w:hAnsi="Arial"/>
          <w:sz w:val="13"/>
          <w:szCs w:val="13"/>
          <w:color w:val="auto"/>
        </w:rPr>
      </w:pPr>
    </w:p>
    <w:p>
      <w:pPr>
        <w:ind w:left="314" w:hanging="314"/>
        <w:spacing w:after="0" w:line="254" w:lineRule="auto"/>
        <w:tabs>
          <w:tab w:leader="none" w:pos="304" w:val="left"/>
        </w:tabs>
        <w:numPr>
          <w:ilvl w:val="0"/>
          <w:numId w:val="156"/>
        </w:numPr>
        <w:rPr>
          <w:rFonts w:ascii="Arial" w:cs="Arial" w:eastAsia="Arial" w:hAnsi="Arial"/>
          <w:sz w:val="13"/>
          <w:szCs w:val="13"/>
          <w:color w:val="auto"/>
        </w:rPr>
      </w:pPr>
      <w:r>
        <w:rPr>
          <w:rFonts w:ascii="Arial" w:cs="Arial" w:eastAsia="Arial" w:hAnsi="Arial"/>
          <w:sz w:val="13"/>
          <w:szCs w:val="13"/>
          <w:color w:val="auto"/>
        </w:rPr>
        <w:t>Based on a Schedule 13G/A filed with the SEC on November 14, 2025, reporting that as of September 30, 2025, Cohen &amp; Steers, Inc. has sole voting power over 29,849,777 shares of Common Stock and sole dispositive power over 36,331,844 shares of Common Stock of which, 36,027,976 shares are beneficially owned by Cohen &amp; Steers Capital Management, Inc., 265,656 shares are beneficially owned by Cohen &amp; Steers UK Limited and 38,212 shares are beneficially owned by Cohen &amp; Steers Ireland Ltd. Cohen &amp; Steers, Inc. holds a 100% interest in Cohen &amp; Steers Capital Management, Inc., Cohen &amp; Steers UK Ltd. and Cohen &amp; Steers Ireland Ltd. (a non-US institution). In the filing, Cohen &amp; Steers, Inc. lists its address as 1166 Avenue of the Americas, 30th Floor, New York, NY 10036.</w:t>
      </w:r>
    </w:p>
    <w:p>
      <w:pPr>
        <w:spacing w:after="0" w:line="3" w:lineRule="exact"/>
        <w:rPr>
          <w:rFonts w:ascii="Arial" w:cs="Arial" w:eastAsia="Arial" w:hAnsi="Arial"/>
          <w:sz w:val="13"/>
          <w:szCs w:val="13"/>
          <w:color w:val="auto"/>
        </w:rPr>
      </w:pPr>
    </w:p>
    <w:p>
      <w:pPr>
        <w:jc w:val="both"/>
        <w:ind w:left="314" w:hanging="314"/>
        <w:spacing w:after="0" w:line="264" w:lineRule="auto"/>
        <w:tabs>
          <w:tab w:leader="none" w:pos="312" w:val="left"/>
        </w:tabs>
        <w:numPr>
          <w:ilvl w:val="0"/>
          <w:numId w:val="156"/>
        </w:numPr>
        <w:rPr>
          <w:rFonts w:ascii="Arial" w:cs="Arial" w:eastAsia="Arial" w:hAnsi="Arial"/>
          <w:sz w:val="13"/>
          <w:szCs w:val="13"/>
          <w:color w:val="auto"/>
        </w:rPr>
      </w:pPr>
      <w:r>
        <w:rPr>
          <w:rFonts w:ascii="Arial" w:cs="Arial" w:eastAsia="Arial" w:hAnsi="Arial"/>
          <w:sz w:val="13"/>
          <w:szCs w:val="13"/>
          <w:color w:val="auto"/>
        </w:rPr>
        <w:t>Based on a Schedule 13G filed with the SEC on February 9, 2026, reporting that as of December 31, 2025, State Street Corporation has shared dispositive power over 22,239,559 shares of Common Stock and shared voting power over 13,829,672 shares of Common Stock. In the filing, State Street Corporation lists its address as One Congress Street, Suite 1, Boston, MA 02114.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854"/>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ind w:right="-13"/>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7160260" cy="4191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34"/>
          </w:cols>
          <w:pgMar w:left="326" w:top="1239"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16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Section 16(a) of the Exchange Act requires our directors and executive officers, and persons who own more than 10% of a registered class of our equity securities, to file with the SEC and the NYSE reports of ownership and changes in ownership of Common Stock and our other equity securities.</w:t>
      </w:r>
    </w:p>
    <w:p>
      <w:pPr>
        <w:spacing w:after="0" w:line="12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Based solely on the review of such reports filed with the SEC and written representations that no other reports were required, we believe that, during the 2025 fiscal year, our executive officers, directors and greater than 10% beneficial owners timely complied with all Section 16(a) filing requirements applicable to them, except that Mr. Hillabrant did not timely file one report by one day due to delays in obtaining his Electronic Data Gathering, Analysis and Retrieval (EDGAR) Next system access.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Recommendation of Director Candidates</w:t>
      </w:r>
    </w:p>
    <w:p>
      <w:pPr>
        <w:spacing w:after="0" w:line="166"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Stockholders may recommend potential candidates for consideration by the N&amp;G Committee by sending a written request to our Corporate Secretary. The written request must comply with the information and other requirements under our Second Amended and Restated By-Laws, as amended ("By-Laws") relating to the inclusion of stockholder director nominees, which requires, among other things, that the notice includes the candidate's name, contact information, biographical information and qualifications. In addition to the foregoing, the request must also include the potential candidate's written consent to being named in the proxy statement as a nominee and to serving as a director if nominated and elected. The stockholder or group of stockholders making the recommendation must also disclose, with the written request, the number of securities that the stockholder or group of stockholders beneficially owns and the period of time the stockholder or group of stockholders has beneficially owned the securities. Additional information may be requested from the nominee or the stockholder by the N&amp;G Committee from time to time. As and if determined by the N&amp;G Committee, potential candidates must also make themselves available to be interviewed by the N&amp;G Committee, the Board and members of our executive management.</w:t>
      </w:r>
    </w:p>
    <w:p>
      <w:pPr>
        <w:spacing w:after="0" w:line="138" w:lineRule="exact"/>
        <w:rPr>
          <w:sz w:val="20"/>
          <w:szCs w:val="20"/>
          <w:color w:val="auto"/>
        </w:rPr>
      </w:pPr>
    </w:p>
    <w:p>
      <w:pPr>
        <w:ind w:right="360"/>
        <w:spacing w:after="0" w:line="274" w:lineRule="auto"/>
        <w:rPr>
          <w:sz w:val="20"/>
          <w:szCs w:val="20"/>
          <w:color w:val="auto"/>
        </w:rPr>
      </w:pPr>
      <w:r>
        <w:rPr>
          <w:rFonts w:ascii="Arial" w:cs="Arial" w:eastAsia="Arial" w:hAnsi="Arial"/>
          <w:sz w:val="18"/>
          <w:szCs w:val="18"/>
          <w:color w:val="auto"/>
        </w:rPr>
        <w:t>The N&amp;G Committee reserves the right not to have any communications with the recommending stockholder or the candidate regarding the evaluation process of the candidate or the N&amp;G Committee's conclusions regarding such evaluation.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and Director Nominations for 2027 Annual Meeting</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Stockholder Proposals and Director Nominations for Inclusion in our Proxy Statement</w:t>
      </w:r>
    </w:p>
    <w:p>
      <w:pPr>
        <w:spacing w:after="0" w:line="16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Stockholders wishing to have a proposal considered for inclusion in our 2027 proxy statement pursuant to Exchange Act Rule 14a-8 ("Rule 14a-8") must submit the proposal so that our Corporate Secretary receives it at our principal executive offices located at Crown Castle Inc., 8020 Katy Freeway, Houston, Texas 77024, Attn: Corporate Secretary no later than December 7, 2026. Any such proposal must also comply with the other requirements of Rule 14a-8.</w:t>
      </w:r>
    </w:p>
    <w:p>
      <w:pPr>
        <w:spacing w:after="0" w:line="12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If the date of the 2027 Annual Meeting is changed by more than 30 days from the date of the 2026 Annual Meeting, the deadline for submitting proposals to be included in our 2027 proxy statement will be a reasonable time before we begin to print and mail our proxy materials for our 2027 Annual Meeting.</w:t>
      </w:r>
    </w:p>
    <w:p>
      <w:pPr>
        <w:spacing w:after="0" w:line="124" w:lineRule="exact"/>
        <w:rPr>
          <w:sz w:val="20"/>
          <w:szCs w:val="20"/>
          <w:color w:val="auto"/>
        </w:rPr>
      </w:pPr>
    </w:p>
    <w:p>
      <w:pPr>
        <w:ind w:right="440"/>
        <w:spacing w:after="0" w:line="255" w:lineRule="auto"/>
        <w:rPr>
          <w:sz w:val="20"/>
          <w:szCs w:val="20"/>
          <w:color w:val="auto"/>
        </w:rPr>
      </w:pPr>
      <w:r>
        <w:rPr>
          <w:rFonts w:ascii="Arial" w:cs="Arial" w:eastAsia="Arial" w:hAnsi="Arial"/>
          <w:sz w:val="18"/>
          <w:szCs w:val="18"/>
          <w:color w:val="auto"/>
        </w:rPr>
        <w:t>Stockholders wishing to have one or more director nominations considered for inclusion in our 2027 proxy statement pursuant to the proxy access right included in Section 2.10 of our By-Laws must submit written notice of the nomination or nominations, together with other information required by Section 2.10 and otherwise comply with our By-Laws, so that our Corporate Secretary receives it at our principal executive offices no earlier than November 7, 2026, and no later than December 7, 2026.</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Shareholder Proposals and Director Nominations to be Presented at the 2027 Annual Meeting</w:t>
      </w:r>
    </w:p>
    <w:p>
      <w:pPr>
        <w:spacing w:after="0" w:line="164"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Stockholders may make nominations for directors and introduce proposals or other business to be considered at the 2027 Annual Meeting (but not included in our 2027 proxy statement). Such stockholder nominations and proposals for the 2027 Annual Meeting must be delivered between January 20, 2027, and February 19, 2027, which are 120 days and 90 days, respectively, before May 20, 2027 (the one-year anniversary of the 2026 Annual Meeting), to our Corporate Secretary at our principal executive offices located at the address referenced above.</w:t>
      </w:r>
    </w:p>
    <w:p>
      <w:pPr>
        <w:spacing w:after="0" w:line="342"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391" w:right="359" w:bottom="1440" w:gutter="0" w:footer="0" w:header="0"/>
        </w:sectPr>
      </w:pPr>
    </w:p>
    <w:bookmarkStart w:id="82" w:name="page83"/>
    <w:bookmarkEnd w:id="82"/>
    <w:p>
      <w:pPr>
        <w:spacing w:after="0"/>
        <w:rPr>
          <w:sz w:val="20"/>
          <w:szCs w:val="20"/>
          <w:color w:val="auto"/>
        </w:rPr>
      </w:pPr>
      <w:r>
        <w:rPr>
          <w:rFonts w:ascii="Arial" w:cs="Arial" w:eastAsia="Arial" w:hAnsi="Arial"/>
          <w:sz w:val="17"/>
          <w:szCs w:val="17"/>
          <w:color w:val="auto"/>
        </w:rPr>
        <w:t>Nominations and proposals must be made in accordance with Section 2.07 of our By-Laws and involve proper matters for stockholder action.</w:t>
      </w:r>
    </w:p>
    <w:p>
      <w:pPr>
        <w:spacing w:after="0" w:line="175"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In addition to satisfying the advance notice requirements under our By-Laws, including the earlier notice deadlines set forth above, to comply with the universal proxy rules, stockholders wishing to solicit proxies in support of director nominees other than the Company nominees must also provide notice that includes the additional information required by Rule 14a-19 under the Exchange Act no earlier than January 20, 2027, and no later than February 19, 2027.</w:t>
      </w:r>
    </w:p>
    <w:p>
      <w:pPr>
        <w:spacing w:after="0" w:line="126"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If the 2027 Annual Meeting is not held, or is advanced by more than 30 days, or is delayed by more than 90 days, from May 20, 2027 (the one-year anniversary of the 2026 Annual Meeting), proper notice of a director nomination or proposal must be received by the Corporate Secretary not earlier than (1) the 120th day prior to the 2027 Annual Meeting and (2) not later than the close of business on the later of the 90th day prior to the 2027 Annual Meeting or the 10th day following the announcement of the 2027 Annual Meeting date.</w:t>
      </w:r>
    </w:p>
    <w:p>
      <w:pPr>
        <w:spacing w:after="0" w:line="12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the date of the 2027 Annual Meeting is advanced or delayed by more than 30 calendar days from the first anniversary of the 2026 Annual Meeting, we will inform stockholders of such change, by including a notice, under Item 5, in our earliest possible quarterly report on Form 10-Q or current report on Form 8-K. The notice will include the new deadline for submitting proposals to be included in our 2027 proxy statement and the new date for determining whether we have received timely notice of a nomination or proposal.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Relating to this Proxy Solicitation</w:t>
      </w:r>
    </w:p>
    <w:p>
      <w:pPr>
        <w:spacing w:after="0" w:line="16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will pay all Company expenses relating to this proxy solicitation. In addition to this solicitation by mail, our officers, directors and certain regular employees may solicit proxies by further mailing or personal conversations, or by telephone, facsimile or electronic means without extra compensation for that activity, but they may be reimbursed by the Company for their out-of-pocket expenses incurred in connection with the solicitation. The regular employees will be administrative personnel. We also expect to reimburse banks, brokers and other persons for reasonable out-of-pocket expenses in forwarding proxy material to, and obtaining voting instructions from, beneficial owners of our Common Stock.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66"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 xml:space="preserve">We maintain a website at </w:t>
      </w:r>
      <w:r>
        <w:rPr>
          <w:rFonts w:ascii="Arial" w:cs="Arial" w:eastAsia="Arial" w:hAnsi="Arial"/>
          <w:sz w:val="18"/>
          <w:szCs w:val="18"/>
          <w:u w:val="single" w:color="auto"/>
          <w:color w:val="520B90"/>
        </w:rPr>
        <w:t>https://www.crowncastle.com</w:t>
      </w:r>
      <w:r>
        <w:rPr>
          <w:rFonts w:ascii="Arial" w:cs="Arial" w:eastAsia="Arial" w:hAnsi="Arial"/>
          <w:sz w:val="18"/>
          <w:szCs w:val="18"/>
          <w:color w:val="auto"/>
        </w:rPr>
        <w:t xml:space="preserve">. Copies of the Committee charters of each of the Audit Committee, CHC Committee, N&amp;G Committee, Finance Committee and Fiber Review Committee together with certain other corporate governance materials, including our Financial Code of Ethics, Corporate Governance Guidelines, Conflicts Policy and Proper Business and Ethics Policy, can be found under the Investors section of our website at </w:t>
      </w:r>
      <w:r>
        <w:rPr>
          <w:rFonts w:ascii="Arial" w:cs="Arial" w:eastAsia="Arial" w:hAnsi="Arial"/>
          <w:sz w:val="18"/>
          <w:szCs w:val="18"/>
          <w:u w:val="single" w:color="auto"/>
          <w:color w:val="520B90"/>
        </w:rPr>
        <w:t>https://investor.crowncastle.com</w:t>
      </w:r>
      <w:r>
        <w:rPr>
          <w:rFonts w:ascii="Arial" w:cs="Arial" w:eastAsia="Arial" w:hAnsi="Arial"/>
          <w:sz w:val="18"/>
          <w:szCs w:val="18"/>
          <w:color w:val="auto"/>
        </w:rPr>
        <w:t>, and such information is also available in print to any stockholder who requests it through our Corporate Secretary at the address below.</w:t>
      </w:r>
    </w:p>
    <w:p>
      <w:pPr>
        <w:spacing w:after="0" w:line="1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We will furnish without charge to each person whose proxy is being solicited, upon request of any such person, a copy of the 2025 Form 10-K as filed with the SEC, including the financial statements and schedules thereto, but not the exhibits. In addition, the 2025 Form 10-K is available, free of charge, on our website at </w:t>
      </w:r>
      <w:r>
        <w:rPr>
          <w:rFonts w:ascii="Arial" w:cs="Arial" w:eastAsia="Arial" w:hAnsi="Arial"/>
          <w:sz w:val="18"/>
          <w:szCs w:val="18"/>
          <w:b w:val="1"/>
          <w:bCs w:val="1"/>
          <w:u w:val="single" w:color="auto"/>
          <w:color w:val="520B90"/>
        </w:rPr>
        <w:t>https://www.crowncastle.com/investors/current10k.pdf</w:t>
      </w:r>
      <w:r>
        <w:rPr>
          <w:rFonts w:ascii="Arial" w:cs="Arial" w:eastAsia="Arial" w:hAnsi="Arial"/>
          <w:sz w:val="18"/>
          <w:szCs w:val="18"/>
          <w:color w:val="auto"/>
        </w:rPr>
        <w:t>.</w:t>
      </w:r>
      <w:r>
        <w:rPr>
          <w:rFonts w:ascii="Arial" w:cs="Arial" w:eastAsia="Arial" w:hAnsi="Arial"/>
          <w:sz w:val="18"/>
          <w:szCs w:val="18"/>
          <w:b w:val="1"/>
          <w:bCs w:val="1"/>
          <w:color w:val="auto"/>
        </w:rPr>
        <w:t xml:space="preserve"> A request for a copy of the 2025 Form 10-K should be directed to Crown Castle Inc., 8020 Katy Freeway, Houston, Texas 77024, Attn: Corporate Secretary. A copy of any exhibit to the 2025 Form 10-K will be forwarded following receipt of a written request with respect thereto addressed to the Corporate Secretary.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Proxy Materials</w:t>
      </w:r>
    </w:p>
    <w:p>
      <w:pPr>
        <w:spacing w:after="0" w:line="166"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In order to reduce expenses, we are taking advantage of certain SEC rules, commonly known as "householding," that permit us to deliver, in certain cases, only one Notice of Internet Availability of Proxy Materials ("Proxy Materials Notice"), our Annual Report for the year ended December 31, 2025, which includes a copy of our 2025 Form 10-K ("2025 Annual Report"), or Proxy Statement, as applicable, to multiple stockholders sharing the same address, unless we have received contrary instructions from one or more of the stockholders. If you received a householded mailing this year and would like to have additional copies of the Proxy Materials Notice, the 2025 Annual Report or other proxy materials sent to you, or if you would like to revoke your consent to the</w:t>
      </w:r>
    </w:p>
    <w:p>
      <w:pPr>
        <w:spacing w:after="0" w:line="359"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20" w:top="1393" w:right="419" w:bottom="1440" w:gutter="0" w:footer="0" w:header="0"/>
        </w:sectPr>
      </w:pPr>
    </w:p>
    <w:bookmarkStart w:id="83" w:name="page84"/>
    <w:bookmarkEnd w:id="83"/>
    <w:p>
      <w:pPr>
        <w:ind w:right="300"/>
        <w:spacing w:after="0" w:line="274" w:lineRule="auto"/>
        <w:rPr>
          <w:sz w:val="20"/>
          <w:szCs w:val="20"/>
          <w:color w:val="auto"/>
        </w:rPr>
      </w:pPr>
      <w:r>
        <w:rPr>
          <w:rFonts w:ascii="Arial" w:cs="Arial" w:eastAsia="Arial" w:hAnsi="Arial"/>
          <w:sz w:val="18"/>
          <w:szCs w:val="18"/>
          <w:color w:val="auto"/>
        </w:rPr>
        <w:t>householding of documents in the future, please call 1-866-540-7095 or write to Broadridge, Householding Department, 51 Mercedes Way, Edgewood, New York 11717 for further instructions.</w:t>
      </w:r>
    </w:p>
    <w:p>
      <w:pPr>
        <w:spacing w:after="0" w:line="1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you are eligible for householding, but you and other stockholders with whom you share an address currently receive multiple copies of the proxy materials and you wish to receive only a single copy of the proxy materials for your household, please contact Broadridge, Householding Department using one of the aforementioned methods. Proxy materials will be delivered promptly and free of charge.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w:t>
      </w:r>
    </w:p>
    <w:p>
      <w:pPr>
        <w:spacing w:after="0" w:line="166"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The Board welcomes communications from our stockholders and other interested parties. Stockholders and other interested parties may send communications to the Board, to any Committee, to the non-management directors or to any director in particular, to: Crown Castle Inc., 8020 Katy Freeway, Houston, Texas 77024, Attn: Corporate Secretary. Any communications addressed to the Board, to any Committee, to the non-management directors or to any director will be forwarded to the addressee without review by management.</w:t>
      </w:r>
    </w:p>
    <w:p>
      <w:pPr>
        <w:spacing w:after="0" w:line="355"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20"/>
          </w:cols>
          <w:pgMar w:left="320" w:top="1393" w:right="45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520B90"/>
        </w:rPr>
        <w:t>VI. INFORMATION ABOUT THE ANNUAL MEETING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Soliciting Proxies?</w:t>
      </w:r>
    </w:p>
    <w:p>
      <w:pPr>
        <w:spacing w:after="0" w:line="166"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The Board is soliciting proxies for use at our Annual Meeting and any adjournments or postponements of the Annual Meeting. This Proxy Statement, the form of proxy and our 2025 Annual Report are being distributed or made available via the internet to our stockholders on or about April 6, 2026.</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I Receive a "Notice of Internet Availability of Proxy Materials"?</w:t>
      </w:r>
    </w:p>
    <w:p>
      <w:pPr>
        <w:spacing w:after="0" w:line="16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Pursuant to SEC rules regarding the electronic distribution of proxy materials, we have elected to provide access to our proxy materials to many of our stockholders on the internet, instead of mailing the full set of printed proxy materials, which allows us to reduce costs associated with the Annual Meeting. On or about April 6, 2026, we intend to send to many of our stockholders a Proxy Materials Notice containing instructions on how to access our Proxy Statement and 2025 Annual Report and how to submit a proxy. If you receive a Proxy Materials Notice, you will not receive a printed copy of the proxy materials in the mail unless you request it. If you would like to receive a printed copy of our proxy materials, you should follow the instructions for requesting such materials included in the Proxy Materials Notice.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Agenda Items for Consideration at the Annual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agenda for the Annual Meeting is to consider and vote upon the following matters:</w:t>
      </w:r>
    </w:p>
    <w:p>
      <w:pPr>
        <w:spacing w:after="0" w:line="164" w:lineRule="exact"/>
        <w:rPr>
          <w:sz w:val="20"/>
          <w:szCs w:val="20"/>
          <w:color w:val="auto"/>
        </w:rPr>
      </w:pPr>
    </w:p>
    <w:p>
      <w:pPr>
        <w:ind w:left="640" w:hanging="237"/>
        <w:spacing w:after="0"/>
        <w:tabs>
          <w:tab w:leader="none" w:pos="640" w:val="left"/>
        </w:tabs>
        <w:numPr>
          <w:ilvl w:val="0"/>
          <w:numId w:val="157"/>
        </w:numPr>
        <w:rPr>
          <w:rFonts w:ascii="Arial" w:cs="Arial" w:eastAsia="Arial" w:hAnsi="Arial"/>
          <w:sz w:val="18"/>
          <w:szCs w:val="18"/>
          <w:color w:val="520B90"/>
        </w:rPr>
      </w:pPr>
      <w:r>
        <w:rPr>
          <w:rFonts w:ascii="Arial" w:cs="Arial" w:eastAsia="Arial" w:hAnsi="Arial"/>
          <w:sz w:val="18"/>
          <w:szCs w:val="18"/>
          <w:color w:val="auto"/>
        </w:rPr>
        <w:t>the election of nine (9) director nominees named in this Proxy Statement for a one-year term;</w:t>
      </w:r>
    </w:p>
    <w:p>
      <w:pPr>
        <w:spacing w:after="0" w:line="163" w:lineRule="exact"/>
        <w:rPr>
          <w:rFonts w:ascii="Arial" w:cs="Arial" w:eastAsia="Arial" w:hAnsi="Arial"/>
          <w:sz w:val="18"/>
          <w:szCs w:val="18"/>
          <w:color w:val="520B90"/>
        </w:rPr>
      </w:pPr>
    </w:p>
    <w:p>
      <w:pPr>
        <w:ind w:left="640" w:hanging="237"/>
        <w:spacing w:after="0"/>
        <w:tabs>
          <w:tab w:leader="none" w:pos="640" w:val="left"/>
        </w:tabs>
        <w:numPr>
          <w:ilvl w:val="0"/>
          <w:numId w:val="157"/>
        </w:numPr>
        <w:rPr>
          <w:rFonts w:ascii="Arial" w:cs="Arial" w:eastAsia="Arial" w:hAnsi="Arial"/>
          <w:sz w:val="18"/>
          <w:szCs w:val="18"/>
          <w:color w:val="520B90"/>
        </w:rPr>
      </w:pPr>
      <w:r>
        <w:rPr>
          <w:rFonts w:ascii="Arial" w:cs="Arial" w:eastAsia="Arial" w:hAnsi="Arial"/>
          <w:sz w:val="18"/>
          <w:szCs w:val="18"/>
          <w:color w:val="auto"/>
        </w:rPr>
        <w:t>the ratification of the appointment of PwC as our independent registered public accountants for fiscal year 2026;</w:t>
      </w:r>
    </w:p>
    <w:p>
      <w:pPr>
        <w:spacing w:after="0" w:line="163" w:lineRule="exact"/>
        <w:rPr>
          <w:rFonts w:ascii="Arial" w:cs="Arial" w:eastAsia="Arial" w:hAnsi="Arial"/>
          <w:sz w:val="18"/>
          <w:szCs w:val="18"/>
          <w:color w:val="520B90"/>
        </w:rPr>
      </w:pPr>
    </w:p>
    <w:p>
      <w:pPr>
        <w:ind w:left="640" w:hanging="237"/>
        <w:spacing w:after="0"/>
        <w:tabs>
          <w:tab w:leader="none" w:pos="640" w:val="left"/>
        </w:tabs>
        <w:numPr>
          <w:ilvl w:val="0"/>
          <w:numId w:val="157"/>
        </w:numPr>
        <w:rPr>
          <w:rFonts w:ascii="Arial" w:cs="Arial" w:eastAsia="Arial" w:hAnsi="Arial"/>
          <w:sz w:val="18"/>
          <w:szCs w:val="18"/>
          <w:color w:val="520B90"/>
        </w:rPr>
      </w:pPr>
      <w:r>
        <w:rPr>
          <w:rFonts w:ascii="Arial" w:cs="Arial" w:eastAsia="Arial" w:hAnsi="Arial"/>
          <w:sz w:val="18"/>
          <w:szCs w:val="18"/>
          <w:color w:val="auto"/>
        </w:rPr>
        <w:t>a non-binding, advisory vote to approve the compensation of our NEOs; and</w:t>
      </w:r>
    </w:p>
    <w:p>
      <w:pPr>
        <w:spacing w:after="0" w:line="163" w:lineRule="exact"/>
        <w:rPr>
          <w:rFonts w:ascii="Arial" w:cs="Arial" w:eastAsia="Arial" w:hAnsi="Arial"/>
          <w:sz w:val="18"/>
          <w:szCs w:val="18"/>
          <w:color w:val="520B90"/>
        </w:rPr>
      </w:pPr>
    </w:p>
    <w:p>
      <w:pPr>
        <w:ind w:left="640" w:hanging="237"/>
        <w:spacing w:after="0"/>
        <w:tabs>
          <w:tab w:leader="none" w:pos="640" w:val="left"/>
        </w:tabs>
        <w:numPr>
          <w:ilvl w:val="0"/>
          <w:numId w:val="157"/>
        </w:numPr>
        <w:rPr>
          <w:rFonts w:ascii="Arial" w:cs="Arial" w:eastAsia="Arial" w:hAnsi="Arial"/>
          <w:sz w:val="18"/>
          <w:szCs w:val="18"/>
          <w:color w:val="520B90"/>
        </w:rPr>
      </w:pPr>
      <w:r>
        <w:rPr>
          <w:rFonts w:ascii="Arial" w:cs="Arial" w:eastAsia="Arial" w:hAnsi="Arial"/>
          <w:sz w:val="18"/>
          <w:szCs w:val="18"/>
          <w:color w:val="auto"/>
        </w:rPr>
        <w:t>such other business that properly comes before the Annual Meeting or any adjournment or postponement thereof.</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Attend the Annual Meeting?</w:t>
      </w:r>
    </w:p>
    <w:p>
      <w:pPr>
        <w:spacing w:after="0" w:line="166"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 xml:space="preserve">The Annual Meeting will be held on May 20, 2026, at 9:00 a.m. Central Time in virtual meeting format only, via live webcast, at </w:t>
      </w:r>
      <w:r>
        <w:rPr>
          <w:rFonts w:ascii="Arial" w:cs="Arial" w:eastAsia="Arial" w:hAnsi="Arial"/>
          <w:sz w:val="18"/>
          <w:szCs w:val="18"/>
          <w:u w:val="single" w:color="auto"/>
          <w:color w:val="520B90"/>
        </w:rPr>
        <w:t>www.virtualshareholdermeeting.com/CCI2026</w:t>
      </w:r>
      <w:r>
        <w:rPr>
          <w:rFonts w:ascii="Arial" w:cs="Arial" w:eastAsia="Arial" w:hAnsi="Arial"/>
          <w:sz w:val="18"/>
          <w:szCs w:val="18"/>
          <w:color w:val="000000"/>
        </w:rPr>
        <w:t>. Stockholders as of the close of business on March 23, 2026, the Record Date, are entitled to</w:t>
      </w:r>
      <w:r>
        <w:rPr>
          <w:rFonts w:ascii="Arial" w:cs="Arial" w:eastAsia="Arial" w:hAnsi="Arial"/>
          <w:sz w:val="18"/>
          <w:szCs w:val="18"/>
          <w:color w:val="520B90"/>
        </w:rPr>
        <w:t xml:space="preserve"> </w:t>
      </w:r>
      <w:r>
        <w:rPr>
          <w:rFonts w:ascii="Arial" w:cs="Arial" w:eastAsia="Arial" w:hAnsi="Arial"/>
          <w:sz w:val="18"/>
          <w:szCs w:val="18"/>
          <w:color w:val="000000"/>
        </w:rPr>
        <w:t>participate at the Annual Meeting. To be admitted to the Annual Meeting as a stockholder, you must enter the 16-digit control number found on the Proxy Materials Notice, proxy card or the voting instruction form. Beneficial stockholders who did not receive a 16-digit control number from their bank or brokerage firm and who wish to attend the Annual Meeting should follow the instructions from their bank or brokerage firm, including any requirement to obtain a legal proxy. Most brokerage firms or banks allow a stockholder to obtain a legal proxy either online or by mail. You may also attend the Annual Meeting as a guest in the event that you do not have a 16-digit control number. You will not be able to vote your shares or submit questions during the Annual Meeting if you participate as a guest through the virtual meeting platform.</w:t>
      </w:r>
    </w:p>
    <w:p>
      <w:pPr>
        <w:spacing w:after="0" w:line="13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The Annual Meeting webcast will begin promptly at 9:00 a.m. Central Time, on May 20, 2026. Online access to the webcast will open approximately 15 minutes prior to the start of the Annual Meeting. We encourage you to access the webcast prior to the scheduled start time of the Annual Meeting. We will post a webcast replay on </w:t>
      </w:r>
      <w:r>
        <w:rPr>
          <w:rFonts w:ascii="Arial" w:cs="Arial" w:eastAsia="Arial" w:hAnsi="Arial"/>
          <w:sz w:val="18"/>
          <w:szCs w:val="18"/>
          <w:u w:val="single" w:color="auto"/>
          <w:color w:val="520B90"/>
        </w:rPr>
        <w:t>https://investor.crowncastle.com</w:t>
      </w:r>
      <w:r>
        <w:rPr>
          <w:rFonts w:ascii="Arial" w:cs="Arial" w:eastAsia="Arial" w:hAnsi="Arial"/>
          <w:sz w:val="18"/>
          <w:szCs w:val="18"/>
          <w:color w:val="auto"/>
        </w:rPr>
        <w:t xml:space="preserve"> for at least one year.</w:t>
      </w:r>
    </w:p>
    <w:p>
      <w:pPr>
        <w:spacing w:after="0" w:line="12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Even if you plan to attend the Annual Meeting, we encourage you to vote your shares in advance of the Annual Meeting by one of the ways identified in "—How to Do I Vote?" below. If you are a participant in the 401(k) Plan, you must vote by the applicable deadline prior to the Annual Meeting. For further information on how to vote as a participant of the 401(k) Plan and the applicable deadline for voting, see "—How Do I Vote as a Participant in the Crown Castle Inc. 401(k) Plan?" below.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have trouble accessing the Annual Meeting virtually?</w:t>
      </w:r>
    </w:p>
    <w:p>
      <w:pPr>
        <w:spacing w:after="0" w:line="166"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The virtual meeting platform is supported across Google Chrome, Microsoft Edge and Mozilla Firefox web browsers running the most up-to-date version of applicable software and plugins. Please note that the Safari web</w:t>
      </w:r>
    </w:p>
    <w:p>
      <w:pPr>
        <w:spacing w:after="0" w:line="338"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85" w:name="page86"/>
    <w:bookmarkEnd w:id="85"/>
    <w:p>
      <w:pPr>
        <w:ind w:right="20"/>
        <w:spacing w:after="0" w:line="259" w:lineRule="auto"/>
        <w:rPr>
          <w:sz w:val="20"/>
          <w:szCs w:val="20"/>
          <w:color w:val="auto"/>
        </w:rPr>
      </w:pPr>
      <w:r>
        <w:rPr>
          <w:rFonts w:ascii="Arial" w:cs="Arial" w:eastAsia="Arial" w:hAnsi="Arial"/>
          <w:sz w:val="18"/>
          <w:szCs w:val="18"/>
          <w:color w:val="auto"/>
        </w:rPr>
        <w:t>browser may have limited compatibility with the virtual meeting platform. You should ensure that you have a strong internet connection wherever you intend to participate in the Annual Meeting. If you encounter any difficulties accessing the virtual Annual Meeting, please call the technical support number that will be posted on the virtual stockholder meeting login page.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There Be a Question and Answer Session at the Annual Meeting?</w:t>
      </w:r>
    </w:p>
    <w:p>
      <w:pPr>
        <w:spacing w:after="0" w:line="16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We are committed to ensuring that stockholders will be afforded comparable rights and opportunities to participate as they would at an in-person meeting. Our directors and certain members of our management team will join the virtual meeting and be available for questions. Stockholders as of the Record Date may submit questions related to the Company's business or governance or related to the items of business set forth on the agenda beginning 15 minutes prior to, and during, the Annual Meeting at </w:t>
      </w:r>
      <w:r>
        <w:rPr>
          <w:rFonts w:ascii="Arial" w:cs="Arial" w:eastAsia="Arial" w:hAnsi="Arial"/>
          <w:sz w:val="18"/>
          <w:szCs w:val="18"/>
          <w:u w:val="single" w:color="auto"/>
          <w:color w:val="520B90"/>
        </w:rPr>
        <w:t>www.virtualshareholdermeeting.com/CCI2026</w:t>
      </w:r>
      <w:r>
        <w:rPr>
          <w:rFonts w:ascii="Arial" w:cs="Arial" w:eastAsia="Arial" w:hAnsi="Arial"/>
          <w:sz w:val="18"/>
          <w:szCs w:val="18"/>
          <w:color w:val="auto"/>
        </w:rPr>
        <w:t xml:space="preserve">. You can view the agenda and the Rules of Conduct for the Annual Meeting after you log in to the virtual meeting website at </w:t>
      </w:r>
      <w:r>
        <w:rPr>
          <w:rFonts w:ascii="Arial" w:cs="Arial" w:eastAsia="Arial" w:hAnsi="Arial"/>
          <w:sz w:val="18"/>
          <w:szCs w:val="18"/>
          <w:u w:val="single" w:color="auto"/>
          <w:color w:val="520B90"/>
        </w:rPr>
        <w:t>www.virtualshareholdermeeting.com/CCI2026</w:t>
      </w:r>
      <w:r>
        <w:rPr>
          <w:rFonts w:ascii="Arial" w:cs="Arial" w:eastAsia="Arial" w:hAnsi="Arial"/>
          <w:sz w:val="18"/>
          <w:szCs w:val="18"/>
          <w:color w:val="000000"/>
        </w:rPr>
        <w:t>.</w:t>
      </w:r>
    </w:p>
    <w:p>
      <w:pPr>
        <w:spacing w:after="0" w:line="131" w:lineRule="exact"/>
        <w:rPr>
          <w:sz w:val="20"/>
          <w:szCs w:val="20"/>
          <w:color w:val="auto"/>
        </w:rPr>
      </w:pPr>
    </w:p>
    <w:p>
      <w:pPr>
        <w:ind w:right="280"/>
        <w:spacing w:after="0" w:line="282" w:lineRule="auto"/>
        <w:rPr>
          <w:sz w:val="20"/>
          <w:szCs w:val="20"/>
          <w:color w:val="auto"/>
        </w:rPr>
      </w:pPr>
      <w:r>
        <w:rPr>
          <w:rFonts w:ascii="Arial" w:cs="Arial" w:eastAsia="Arial" w:hAnsi="Arial"/>
          <w:sz w:val="17"/>
          <w:szCs w:val="17"/>
          <w:color w:val="auto"/>
        </w:rPr>
        <w:t>At the Annual Meeting, we will endeavor to address as many stockholder questions that are relevant to the purpose of the Annual Meeting or our business as time permits. To allow us to answer questions from as many stockholders as possible, we will limit each stockholder to two questions. If we receive substantially similar questions, we may group them together and provide a single response to avoid repetition.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 at the Annual Meeting?</w:t>
      </w:r>
    </w:p>
    <w:p>
      <w:pPr>
        <w:spacing w:after="0" w:line="16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You can vote at the Annual Meeting if you are, on the Record Date, a holder of record of our Common Stock. In addition, if you are a beneficial owner of our Common Stock, you may attend and vote at the Annual Meeting by following the instructions outlined in "—How Can I Attend the Annual Meeting?" above.</w:t>
      </w:r>
    </w:p>
    <w:p>
      <w:pPr>
        <w:spacing w:after="0" w:line="124" w:lineRule="exact"/>
        <w:rPr>
          <w:sz w:val="20"/>
          <w:szCs w:val="20"/>
          <w:color w:val="auto"/>
        </w:rPr>
      </w:pPr>
    </w:p>
    <w:p>
      <w:pPr>
        <w:jc w:val="both"/>
        <w:ind w:right="360"/>
        <w:spacing w:after="0" w:line="304" w:lineRule="auto"/>
        <w:rPr>
          <w:sz w:val="20"/>
          <w:szCs w:val="20"/>
          <w:color w:val="auto"/>
        </w:rPr>
      </w:pPr>
      <w:r>
        <w:rPr>
          <w:rFonts w:ascii="Arial" w:cs="Arial" w:eastAsia="Arial" w:hAnsi="Arial"/>
          <w:sz w:val="17"/>
          <w:szCs w:val="17"/>
          <w:color w:val="auto"/>
        </w:rPr>
        <w:t>Holders of Common Stock will have one vote for each share of Common Stock owned of record as of the Record Date with respect to each matter submitted for a vote. As of the close of business on the Record Date, there were 436,367,346 shares of Common Stock outstanding.</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There a List of Stockholders Entitled to Vote at the Annual Meeting?</w:t>
      </w:r>
    </w:p>
    <w:p>
      <w:pPr>
        <w:spacing w:after="0" w:line="16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 complete list of the stockholders of record entitled to vote at the meeting will be available for examination, during ordinary business hours, by any stockholder of record at our offices located at 8020 Katy Freeway, Houston, Texas 77024 for a period of 10 days prior to the Annual Meeting.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You may submit your proxy for your shares prior to the Annual Meeting in any of the following ways:</w:t>
      </w:r>
    </w:p>
    <w:p>
      <w:pPr>
        <w:spacing w:after="0" w:line="162" w:lineRule="exact"/>
        <w:rPr>
          <w:sz w:val="20"/>
          <w:szCs w:val="20"/>
          <w:color w:val="auto"/>
        </w:rPr>
      </w:pPr>
    </w:p>
    <w:p>
      <w:pPr>
        <w:ind w:left="640" w:right="400" w:hanging="237"/>
        <w:spacing w:after="0" w:line="276" w:lineRule="auto"/>
        <w:tabs>
          <w:tab w:leader="none" w:pos="635" w:val="left"/>
        </w:tabs>
        <w:numPr>
          <w:ilvl w:val="0"/>
          <w:numId w:val="158"/>
        </w:numPr>
        <w:rPr>
          <w:rFonts w:ascii="Arial" w:cs="Arial" w:eastAsia="Arial" w:hAnsi="Arial"/>
          <w:sz w:val="18"/>
          <w:szCs w:val="18"/>
          <w:color w:val="520B90"/>
        </w:rPr>
      </w:pPr>
      <w:r>
        <w:rPr>
          <w:rFonts w:ascii="Arial" w:cs="Arial" w:eastAsia="Arial" w:hAnsi="Arial"/>
          <w:sz w:val="18"/>
          <w:szCs w:val="18"/>
          <w:b w:val="1"/>
          <w:bCs w:val="1"/>
          <w:color w:val="auto"/>
        </w:rPr>
        <w:t>Mail</w:t>
      </w:r>
      <w:r>
        <w:rPr>
          <w:rFonts w:ascii="Arial" w:cs="Arial" w:eastAsia="Arial" w:hAnsi="Arial"/>
          <w:sz w:val="18"/>
          <w:szCs w:val="18"/>
          <w:color w:val="auto"/>
        </w:rPr>
        <w:t>. Mark, sign, date and return the proxy card or voting instruction form (see instructions on the Proxy Materials Notice on how to</w:t>
      </w:r>
      <w:r>
        <w:rPr>
          <w:rFonts w:ascii="Arial" w:cs="Arial" w:eastAsia="Arial" w:hAnsi="Arial"/>
          <w:sz w:val="18"/>
          <w:szCs w:val="18"/>
          <w:b w:val="1"/>
          <w:bCs w:val="1"/>
          <w:color w:val="auto"/>
        </w:rPr>
        <w:t xml:space="preserve"> </w:t>
      </w:r>
      <w:r>
        <w:rPr>
          <w:rFonts w:ascii="Arial" w:cs="Arial" w:eastAsia="Arial" w:hAnsi="Arial"/>
          <w:sz w:val="18"/>
          <w:szCs w:val="18"/>
          <w:color w:val="auto"/>
        </w:rPr>
        <w:t>request a printed proxy card or voting instruction form).</w:t>
      </w:r>
    </w:p>
    <w:p>
      <w:pPr>
        <w:spacing w:after="0" w:line="106" w:lineRule="exact"/>
        <w:rPr>
          <w:rFonts w:ascii="Arial" w:cs="Arial" w:eastAsia="Arial" w:hAnsi="Arial"/>
          <w:sz w:val="18"/>
          <w:szCs w:val="18"/>
          <w:color w:val="520B90"/>
        </w:rPr>
      </w:pPr>
    </w:p>
    <w:p>
      <w:pPr>
        <w:ind w:left="640" w:hanging="237"/>
        <w:spacing w:after="0"/>
        <w:tabs>
          <w:tab w:leader="none" w:pos="640" w:val="left"/>
        </w:tabs>
        <w:numPr>
          <w:ilvl w:val="0"/>
          <w:numId w:val="158"/>
        </w:numPr>
        <w:rPr>
          <w:rFonts w:ascii="Arial" w:cs="Arial" w:eastAsia="Arial" w:hAnsi="Arial"/>
          <w:sz w:val="18"/>
          <w:szCs w:val="18"/>
          <w:color w:val="520B90"/>
        </w:rPr>
      </w:pPr>
      <w:r>
        <w:rPr>
          <w:rFonts w:ascii="Arial" w:cs="Arial" w:eastAsia="Arial" w:hAnsi="Arial"/>
          <w:sz w:val="18"/>
          <w:szCs w:val="18"/>
          <w:b w:val="1"/>
          <w:bCs w:val="1"/>
          <w:color w:val="auto"/>
        </w:rPr>
        <w:t>Phone</w:t>
      </w:r>
      <w:r>
        <w:rPr>
          <w:rFonts w:ascii="Arial" w:cs="Arial" w:eastAsia="Arial" w:hAnsi="Arial"/>
          <w:sz w:val="18"/>
          <w:szCs w:val="18"/>
          <w:color w:val="auto"/>
        </w:rPr>
        <w:t>.</w:t>
      </w:r>
    </w:p>
    <w:p>
      <w:pPr>
        <w:spacing w:after="0" w:line="165" w:lineRule="exact"/>
        <w:rPr>
          <w:rFonts w:ascii="Arial" w:cs="Arial" w:eastAsia="Arial" w:hAnsi="Arial"/>
          <w:sz w:val="18"/>
          <w:szCs w:val="18"/>
          <w:color w:val="520B90"/>
        </w:rPr>
      </w:pPr>
    </w:p>
    <w:p>
      <w:pPr>
        <w:ind w:left="1280" w:hanging="242"/>
        <w:spacing w:after="0"/>
        <w:tabs>
          <w:tab w:leader="none" w:pos="1280" w:val="left"/>
        </w:tabs>
        <w:numPr>
          <w:ilvl w:val="1"/>
          <w:numId w:val="158"/>
        </w:numPr>
        <w:rPr>
          <w:rFonts w:ascii="Arial" w:cs="Arial" w:eastAsia="Arial" w:hAnsi="Arial"/>
          <w:sz w:val="18"/>
          <w:szCs w:val="18"/>
          <w:color w:val="auto"/>
        </w:rPr>
      </w:pPr>
      <w:r>
        <w:rPr>
          <w:rFonts w:ascii="Arial" w:cs="Arial" w:eastAsia="Arial" w:hAnsi="Arial"/>
          <w:sz w:val="18"/>
          <w:szCs w:val="18"/>
          <w:u w:val="single" w:color="auto"/>
          <w:color w:val="auto"/>
        </w:rPr>
        <w:t>Stockholders of record</w:t>
      </w:r>
      <w:r>
        <w:rPr>
          <w:rFonts w:ascii="Arial" w:cs="Arial" w:eastAsia="Arial" w:hAnsi="Arial"/>
          <w:sz w:val="18"/>
          <w:szCs w:val="18"/>
          <w:color w:val="auto"/>
        </w:rPr>
        <w:t>: Call the toll-free number listed on your proxy card or voting instruction form.</w:t>
      </w:r>
    </w:p>
    <w:p>
      <w:pPr>
        <w:spacing w:after="0" w:line="163" w:lineRule="exact"/>
        <w:rPr>
          <w:rFonts w:ascii="Arial" w:cs="Arial" w:eastAsia="Arial" w:hAnsi="Arial"/>
          <w:sz w:val="18"/>
          <w:szCs w:val="18"/>
          <w:color w:val="auto"/>
        </w:rPr>
      </w:pPr>
    </w:p>
    <w:p>
      <w:pPr>
        <w:ind w:left="1280" w:right="500" w:hanging="242"/>
        <w:spacing w:after="0" w:line="274" w:lineRule="auto"/>
        <w:tabs>
          <w:tab w:leader="none" w:pos="1276" w:val="left"/>
        </w:tabs>
        <w:numPr>
          <w:ilvl w:val="1"/>
          <w:numId w:val="158"/>
        </w:numPr>
        <w:rPr>
          <w:rFonts w:ascii="Arial" w:cs="Arial" w:eastAsia="Arial" w:hAnsi="Arial"/>
          <w:sz w:val="18"/>
          <w:szCs w:val="18"/>
          <w:color w:val="auto"/>
        </w:rPr>
      </w:pPr>
      <w:r>
        <w:rPr>
          <w:rFonts w:ascii="Arial" w:cs="Arial" w:eastAsia="Arial" w:hAnsi="Arial"/>
          <w:sz w:val="18"/>
          <w:szCs w:val="18"/>
          <w:u w:val="single" w:color="auto"/>
          <w:color w:val="auto"/>
        </w:rPr>
        <w:t>Beneficial owners of our Common Stock</w:t>
      </w:r>
      <w:r>
        <w:rPr>
          <w:rFonts w:ascii="Arial" w:cs="Arial" w:eastAsia="Arial" w:hAnsi="Arial"/>
          <w:sz w:val="18"/>
          <w:szCs w:val="18"/>
          <w:color w:val="auto"/>
        </w:rPr>
        <w:t>: Follow the voting instructions provided by your bank, broker or other nominee to determine whether you may vote by telephone.</w:t>
      </w:r>
    </w:p>
    <w:p>
      <w:pPr>
        <w:spacing w:after="0" w:line="107" w:lineRule="exact"/>
        <w:rPr>
          <w:rFonts w:ascii="Arial" w:cs="Arial" w:eastAsia="Arial" w:hAnsi="Arial"/>
          <w:sz w:val="18"/>
          <w:szCs w:val="18"/>
          <w:color w:val="auto"/>
        </w:rPr>
      </w:pPr>
    </w:p>
    <w:p>
      <w:pPr>
        <w:ind w:left="640" w:right="540" w:hanging="237"/>
        <w:spacing w:after="0" w:line="276" w:lineRule="auto"/>
        <w:tabs>
          <w:tab w:leader="none" w:pos="635" w:val="left"/>
        </w:tabs>
        <w:numPr>
          <w:ilvl w:val="0"/>
          <w:numId w:val="158"/>
        </w:numPr>
        <w:rPr>
          <w:rFonts w:ascii="Arial" w:cs="Arial" w:eastAsia="Arial" w:hAnsi="Arial"/>
          <w:sz w:val="18"/>
          <w:szCs w:val="18"/>
          <w:color w:val="520B90"/>
        </w:rPr>
      </w:pPr>
      <w:r>
        <w:rPr>
          <w:rFonts w:ascii="Arial" w:cs="Arial" w:eastAsia="Arial" w:hAnsi="Arial"/>
          <w:sz w:val="18"/>
          <w:szCs w:val="18"/>
          <w:b w:val="1"/>
          <w:bCs w:val="1"/>
          <w:color w:val="auto"/>
        </w:rPr>
        <w:t>Internet</w:t>
      </w:r>
      <w:r>
        <w:rPr>
          <w:rFonts w:ascii="Arial" w:cs="Arial" w:eastAsia="Arial" w:hAnsi="Arial"/>
          <w:sz w:val="18"/>
          <w:szCs w:val="18"/>
          <w:color w:val="auto"/>
        </w:rPr>
        <w:t>. Visit the website listed on your proxy card or voting instruction form or Proxy Materials Notice and follow the instructions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Alternatively, you may vote in person at the Annual Meeting by logging on to the virtual meeting platform at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520B90"/>
        </w:rPr>
        <w:t>www.virtualshareholdermeeting.com/CCI2026</w:t>
      </w:r>
      <w:r>
        <w:rPr>
          <w:rFonts w:ascii="Arial" w:cs="Arial" w:eastAsia="Arial" w:hAnsi="Arial"/>
          <w:sz w:val="18"/>
          <w:szCs w:val="18"/>
          <w:color w:val="000000"/>
        </w:rPr>
        <w:t>.</w:t>
      </w:r>
    </w:p>
    <w:p>
      <w:pPr>
        <w:spacing w:after="0" w:line="1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Have your proxy card or voting instruction form or Proxy Materials Notice in front of you when submitting a proxy by telephone or the internet, as they contain important information that is required to access the system. The deadline to vote your proxy card or voting instruction form by telephone or the internet is 11:59 p.m. Eastern Time on May 19, 2026. As always, we encourage you to vote your shares prior to the Annual Meeting. Alternatively, to</w:t>
      </w:r>
    </w:p>
    <w:p>
      <w:pPr>
        <w:spacing w:after="0" w:line="355"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86" w:name="page87"/>
    <w:bookmarkEnd w:id="86"/>
    <w:p>
      <w:pPr>
        <w:ind w:right="220"/>
        <w:spacing w:after="0" w:line="274" w:lineRule="auto"/>
        <w:rPr>
          <w:sz w:val="20"/>
          <w:szCs w:val="20"/>
          <w:color w:val="auto"/>
        </w:rPr>
      </w:pPr>
      <w:r>
        <w:rPr>
          <w:rFonts w:ascii="Arial" w:cs="Arial" w:eastAsia="Arial" w:hAnsi="Arial"/>
          <w:sz w:val="18"/>
          <w:szCs w:val="18"/>
          <w:color w:val="auto"/>
        </w:rPr>
        <w:t>vote your proxy card or voting instruction form by mail, please ensure that you mail it sufficiently in advance of the Annual Meeting so that it is received before the polls open at the Annual Meeting.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as a Participant in the Crown Castle Inc. 401(k) Plan?</w:t>
      </w:r>
    </w:p>
    <w:p>
      <w:pPr>
        <w:spacing w:after="0" w:line="16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If you are a participant in the 401(k) Plan, your proxy card, or a proxy submitted by telephone or through the internet, will also serve as voting instructions to Charles Schwab Bank, as trustee for the 401(k) Plan ("Trustee"), with respect to shares of Common Stock allocable to your 401(k) Plan account as of the Record Date.</w:t>
      </w:r>
    </w:p>
    <w:p>
      <w:pPr>
        <w:spacing w:after="0" w:line="124"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If you provide voting instructions with respect to shares of Common Stock allocable to your 401(k) Plan account, the Trustee will vote those shares in the manner specified. If you fail to provide timely instructions, the independent fiduciary for the 401(k) Plan will instruct the Trustee to vote such shares of Common Stock in the same proportion as shares of Common Stock for which voting instructions have been timely and properly received from other 401(k) Plan participants, unless required by applicable law to exercise discretion in voting such shares.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To allow sufficient time for the Trustee to vote your shares, voting instructions from 401(k) Plan participants must be received by 11:59 p.m.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Eastern Time on May 17, 2026.</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My Shares Be Voted at the Annual Meeting?</w:t>
      </w:r>
    </w:p>
    <w:p>
      <w:pPr>
        <w:spacing w:after="0" w:line="16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All proxies that have been timely submitted and validly executed – whether by internet, telephone or mail – and not revoked will be voted at the Annual Meeting in accordance with your instructions. If you properly execute your proxy card or voting instruction form but do not give voting instructions on one or more proposals (and the proxy is not revoked), the shares represented by that proxy or voting instruction form will be voted as recommended by the Board with respect to the proposal(s) for which you have not provided voting instructions. The Board recommends the following vote for each of the proposals to be considered and voted upon at the Annual Meeting:</w:t>
      </w:r>
    </w:p>
    <w:p>
      <w:pPr>
        <w:spacing w:after="0" w:line="129" w:lineRule="exact"/>
        <w:rPr>
          <w:sz w:val="20"/>
          <w:szCs w:val="20"/>
          <w:color w:val="auto"/>
        </w:rPr>
      </w:pPr>
    </w:p>
    <w:p>
      <w:pPr>
        <w:ind w:left="640" w:hanging="237"/>
        <w:spacing w:after="0"/>
        <w:tabs>
          <w:tab w:leader="none" w:pos="640" w:val="left"/>
        </w:tabs>
        <w:numPr>
          <w:ilvl w:val="0"/>
          <w:numId w:val="159"/>
        </w:numPr>
        <w:rPr>
          <w:rFonts w:ascii="Arial" w:cs="Arial" w:eastAsia="Arial" w:hAnsi="Arial"/>
          <w:sz w:val="18"/>
          <w:szCs w:val="18"/>
          <w:color w:val="520B90"/>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each of the nine (9) director nominees named in this Proxy Statement (Proposal 1);</w:t>
      </w:r>
    </w:p>
    <w:p>
      <w:pPr>
        <w:spacing w:after="0" w:line="163" w:lineRule="exact"/>
        <w:rPr>
          <w:rFonts w:ascii="Arial" w:cs="Arial" w:eastAsia="Arial" w:hAnsi="Arial"/>
          <w:sz w:val="18"/>
          <w:szCs w:val="18"/>
          <w:color w:val="520B90"/>
        </w:rPr>
      </w:pPr>
    </w:p>
    <w:p>
      <w:pPr>
        <w:ind w:left="640" w:hanging="237"/>
        <w:spacing w:after="0"/>
        <w:tabs>
          <w:tab w:leader="none" w:pos="640" w:val="left"/>
        </w:tabs>
        <w:numPr>
          <w:ilvl w:val="0"/>
          <w:numId w:val="159"/>
        </w:numPr>
        <w:rPr>
          <w:rFonts w:ascii="Arial" w:cs="Arial" w:eastAsia="Arial" w:hAnsi="Arial"/>
          <w:sz w:val="17"/>
          <w:szCs w:val="17"/>
          <w:color w:val="520B90"/>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ratification of the appointment of PwC as our independent registered public accountants for fiscal year 2026 (Proposal 2); and</w:t>
      </w:r>
    </w:p>
    <w:p>
      <w:pPr>
        <w:spacing w:after="0" w:line="175" w:lineRule="exact"/>
        <w:rPr>
          <w:rFonts w:ascii="Arial" w:cs="Arial" w:eastAsia="Arial" w:hAnsi="Arial"/>
          <w:sz w:val="17"/>
          <w:szCs w:val="17"/>
          <w:color w:val="520B90"/>
        </w:rPr>
      </w:pPr>
    </w:p>
    <w:p>
      <w:pPr>
        <w:ind w:left="640" w:hanging="237"/>
        <w:spacing w:after="0"/>
        <w:tabs>
          <w:tab w:leader="none" w:pos="640" w:val="left"/>
        </w:tabs>
        <w:numPr>
          <w:ilvl w:val="0"/>
          <w:numId w:val="159"/>
        </w:numPr>
        <w:rPr>
          <w:rFonts w:ascii="Arial" w:cs="Arial" w:eastAsia="Arial" w:hAnsi="Arial"/>
          <w:sz w:val="18"/>
          <w:szCs w:val="18"/>
          <w:color w:val="520B90"/>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non-binding, advisory vote to approve the compensation of our NEOs (Proposal 3).</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any other matters are properly presented at the Annual Meeting for consideration and if you have submitted a proxy for your shares by internet, telephone or mail, the persons named as proxies in the proxy card will have the discretion to vote on those matters in their judgment for you. As of the date we filed this Proxy Statement with the SEC, we do not know of any other matters to be raised at the Annual Meeting.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Voting Requirements for Each Proposal?</w:t>
      </w:r>
    </w:p>
    <w:p>
      <w:pPr>
        <w:spacing w:after="0" w:line="166" w:lineRule="exact"/>
        <w:rPr>
          <w:sz w:val="20"/>
          <w:szCs w:val="20"/>
          <w:color w:val="auto"/>
        </w:rPr>
      </w:pPr>
    </w:p>
    <w:p>
      <w:pPr>
        <w:ind w:right="340"/>
        <w:spacing w:after="0" w:line="270" w:lineRule="auto"/>
        <w:rPr>
          <w:sz w:val="20"/>
          <w:szCs w:val="20"/>
          <w:color w:val="auto"/>
        </w:rPr>
      </w:pPr>
      <w:r>
        <w:rPr>
          <w:rFonts w:ascii="Arial" w:cs="Arial" w:eastAsia="Arial" w:hAnsi="Arial"/>
          <w:sz w:val="18"/>
          <w:szCs w:val="18"/>
          <w:color w:val="auto"/>
        </w:rPr>
        <w:t>The following chart describes the proposals to be considered at the Annual Meeting, the vote required to elect each director nominee and to adopt each other proposal and the manner in which votes will be counted:</w:t>
      </w:r>
    </w:p>
    <w:p>
      <w:pPr>
        <w:sectPr>
          <w:pgSz w:w="11900" w:h="16838" w:orient="portrait"/>
          <w:cols w:equalWidth="0" w:num="1">
            <w:col w:w="11240"/>
          </w:cols>
          <w:pgMar w:left="320" w:top="1234" w:right="339" w:bottom="1440" w:gutter="0" w:footer="0" w:header="0"/>
        </w:sectPr>
      </w:pPr>
    </w:p>
    <w:p>
      <w:pPr>
        <w:spacing w:after="0" w:line="1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520B90"/>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1849120" cy="24384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849120" cy="243840"/>
                    </a:xfrm>
                    <a:prstGeom prst="rect">
                      <a:avLst/>
                    </a:prstGeom>
                    <a:noFill/>
                  </pic:spPr>
                </pic:pic>
              </a:graphicData>
            </a:graphic>
          </wp:anchor>
        </w:drawing>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color w:val="auto"/>
        </w:rPr>
        <w:t>Election of Directors</w:t>
      </w:r>
    </w:p>
    <w:p>
      <w:pPr>
        <w:spacing w:after="0" w:line="107" w:lineRule="exact"/>
        <w:rPr>
          <w:sz w:val="20"/>
          <w:szCs w:val="20"/>
          <w:color w:val="auto"/>
        </w:rPr>
      </w:pPr>
    </w:p>
    <w:p>
      <w:pPr>
        <w:ind w:left="20" w:right="180"/>
        <w:spacing w:after="0" w:line="229" w:lineRule="auto"/>
        <w:rPr>
          <w:sz w:val="20"/>
          <w:szCs w:val="20"/>
          <w:color w:val="auto"/>
        </w:rPr>
      </w:pPr>
      <w:r>
        <w:rPr>
          <w:rFonts w:ascii="Arial" w:cs="Arial" w:eastAsia="Arial" w:hAnsi="Arial"/>
          <w:sz w:val="16"/>
          <w:szCs w:val="16"/>
          <w:color w:val="auto"/>
        </w:rPr>
        <w:t>Ratification of the Appointment of Independent Registered Public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1849120" cy="33591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849120" cy="335915"/>
                    </a:xfrm>
                    <a:prstGeom prst="rect">
                      <a:avLst/>
                    </a:prstGeom>
                    <a:noFill/>
                  </pic:spPr>
                </pic:pic>
              </a:graphicData>
            </a:graphic>
          </wp:anchor>
        </w:drawing>
      </w:r>
    </w:p>
    <w:p>
      <w:pPr>
        <w:spacing w:after="0" w:line="6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Advisory Vote to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0612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061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520B90"/>
        </w:rPr>
        <w:t>Voting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18415</wp:posOffset>
            </wp:positionV>
            <wp:extent cx="1042035" cy="24384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042035" cy="243840"/>
                    </a:xfrm>
                    <a:prstGeom prst="rect">
                      <a:avLst/>
                    </a:prstGeom>
                    <a:noFill/>
                  </pic:spPr>
                </pic:pic>
              </a:graphicData>
            </a:graphic>
          </wp:anchor>
        </w:drawing>
      </w:r>
    </w:p>
    <w:p>
      <w:pPr>
        <w:spacing w:after="0" w:line="21" w:lineRule="exact"/>
        <w:rPr>
          <w:sz w:val="20"/>
          <w:szCs w:val="20"/>
          <w:color w:val="auto"/>
        </w:rPr>
      </w:pPr>
    </w:p>
    <w:p>
      <w:pPr>
        <w:spacing w:after="0" w:line="272" w:lineRule="auto"/>
        <w:rPr>
          <w:sz w:val="20"/>
          <w:szCs w:val="20"/>
          <w:color w:val="auto"/>
        </w:rPr>
      </w:pPr>
      <w:r>
        <w:rPr>
          <w:rFonts w:ascii="Arial" w:cs="Arial" w:eastAsia="Arial" w:hAnsi="Arial"/>
          <w:sz w:val="15"/>
          <w:szCs w:val="15"/>
          <w:color w:val="auto"/>
        </w:rPr>
        <w:t>For, against or abstain on each nominee</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For, against or 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126365</wp:posOffset>
            </wp:positionV>
            <wp:extent cx="1042035" cy="33591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042035" cy="335915"/>
                    </a:xfrm>
                    <a:prstGeom prst="rect">
                      <a:avLst/>
                    </a:prstGeom>
                    <a:noFill/>
                  </pic:spPr>
                </pic:pic>
              </a:graphicData>
            </a:graphic>
          </wp:anchor>
        </w:drawing>
      </w:r>
    </w:p>
    <w:p>
      <w:pPr>
        <w:spacing w:after="0" w:line="337" w:lineRule="exact"/>
        <w:rPr>
          <w:sz w:val="20"/>
          <w:szCs w:val="20"/>
          <w:color w:val="auto"/>
        </w:rPr>
      </w:pPr>
    </w:p>
    <w:p>
      <w:pPr>
        <w:spacing w:after="0"/>
        <w:rPr>
          <w:sz w:val="20"/>
          <w:szCs w:val="20"/>
          <w:color w:val="auto"/>
        </w:rPr>
      </w:pPr>
      <w:r>
        <w:rPr>
          <w:rFonts w:ascii="Arial" w:cs="Arial" w:eastAsia="Arial" w:hAnsi="Arial"/>
          <w:sz w:val="15"/>
          <w:szCs w:val="15"/>
          <w:color w:val="auto"/>
        </w:rPr>
        <w:t>For, against or abstain</w:t>
      </w:r>
    </w:p>
    <w:p>
      <w:pPr>
        <w:spacing w:after="0" w:line="20" w:lineRule="exact"/>
        <w:rPr>
          <w:sz w:val="20"/>
          <w:szCs w:val="20"/>
          <w:color w:val="auto"/>
        </w:rPr>
      </w:pPr>
      <w:r>
        <w:rPr>
          <w:sz w:val="20"/>
          <w:szCs w:val="20"/>
          <w:color w:val="auto"/>
        </w:rPr>
        <w:br w:type="column"/>
      </w:r>
    </w:p>
    <w:p>
      <w:pPr>
        <w:spacing w:after="0" w:line="224" w:lineRule="auto"/>
        <w:rPr>
          <w:sz w:val="20"/>
          <w:szCs w:val="20"/>
          <w:color w:val="auto"/>
        </w:rPr>
      </w:pPr>
      <w:r>
        <w:rPr>
          <w:rFonts w:ascii="Arial" w:cs="Arial" w:eastAsia="Arial" w:hAnsi="Arial"/>
          <w:sz w:val="16"/>
          <w:szCs w:val="16"/>
          <w:b w:val="1"/>
          <w:bCs w:val="1"/>
          <w:color w:val="520B90"/>
        </w:rPr>
        <w:t>Vote Required to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520B90"/>
        </w:rPr>
        <w:t>Adopt Proposal</w:t>
      </w:r>
      <w:r>
        <w:rPr>
          <w:rFonts w:ascii="Arial" w:cs="Arial" w:eastAsia="Arial" w:hAnsi="Arial"/>
          <w:sz w:val="20"/>
          <w:szCs w:val="20"/>
          <w:b w:val="1"/>
          <w:bCs w:val="1"/>
          <w:color w:val="520B90"/>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-19050</wp:posOffset>
            </wp:positionV>
            <wp:extent cx="1546225" cy="24384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546225" cy="243840"/>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Majority of votes cast</w:t>
      </w:r>
    </w:p>
    <w:p>
      <w:pPr>
        <w:spacing w:after="0" w:line="107" w:lineRule="exact"/>
        <w:rPr>
          <w:sz w:val="20"/>
          <w:szCs w:val="20"/>
          <w:color w:val="auto"/>
        </w:rPr>
      </w:pPr>
    </w:p>
    <w:p>
      <w:pPr>
        <w:spacing w:after="0" w:line="229" w:lineRule="auto"/>
        <w:rPr>
          <w:sz w:val="20"/>
          <w:szCs w:val="20"/>
          <w:color w:val="auto"/>
        </w:rPr>
      </w:pPr>
      <w:r>
        <w:rPr>
          <w:rFonts w:ascii="Arial" w:cs="Arial" w:eastAsia="Arial" w:hAnsi="Arial"/>
          <w:sz w:val="16"/>
          <w:szCs w:val="16"/>
          <w:color w:val="auto"/>
        </w:rPr>
        <w:t>Majority of shares present or represented and entitled to vote thereon</w:t>
      </w:r>
    </w:p>
    <w:p>
      <w:pPr>
        <w:spacing w:after="0" w:line="3" w:lineRule="exact"/>
        <w:rPr>
          <w:sz w:val="20"/>
          <w:szCs w:val="20"/>
          <w:color w:val="auto"/>
        </w:rPr>
      </w:pPr>
    </w:p>
    <w:p>
      <w:pPr>
        <w:spacing w:after="0" w:line="229" w:lineRule="auto"/>
        <w:rPr>
          <w:sz w:val="20"/>
          <w:szCs w:val="20"/>
          <w:color w:val="auto"/>
        </w:rPr>
      </w:pPr>
      <w:r>
        <w:rPr>
          <w:rFonts w:ascii="Arial" w:cs="Arial" w:eastAsia="Arial" w:hAnsi="Arial"/>
          <w:sz w:val="16"/>
          <w:szCs w:val="16"/>
          <w:color w:val="auto"/>
        </w:rPr>
        <w:t>Majority of shares present or represented and entitled to vote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-333375</wp:posOffset>
            </wp:positionV>
            <wp:extent cx="1546225" cy="33591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546225" cy="3359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1680" w:type="dxa"/>
            <w:vAlign w:val="bottom"/>
            <w:vMerge w:val="restart"/>
          </w:tcPr>
          <w:p>
            <w:pPr>
              <w:spacing w:after="0"/>
              <w:rPr>
                <w:sz w:val="20"/>
                <w:szCs w:val="20"/>
                <w:color w:val="auto"/>
              </w:rPr>
            </w:pPr>
            <w:r>
              <w:rPr>
                <w:rFonts w:ascii="Arial" w:cs="Arial" w:eastAsia="Arial" w:hAnsi="Arial"/>
                <w:sz w:val="16"/>
                <w:szCs w:val="16"/>
                <w:b w:val="1"/>
                <w:bCs w:val="1"/>
                <w:color w:val="520B90"/>
              </w:rPr>
              <w:t>Effect of Abstentions</w:t>
            </w:r>
          </w:p>
        </w:tc>
        <w:tc>
          <w:tcPr>
            <w:tcW w:w="80" w:type="dxa"/>
            <w:vAlign w:val="bottom"/>
          </w:tcPr>
          <w:p>
            <w:pPr>
              <w:spacing w:after="0"/>
              <w:rPr>
                <w:sz w:val="13"/>
                <w:szCs w:val="13"/>
                <w:color w:val="auto"/>
              </w:rPr>
            </w:pPr>
          </w:p>
        </w:tc>
        <w:tc>
          <w:tcPr>
            <w:tcW w:w="2200" w:type="dxa"/>
            <w:vAlign w:val="bottom"/>
          </w:tcPr>
          <w:p>
            <w:pPr>
              <w:ind w:left="20"/>
              <w:spacing w:after="0" w:line="160" w:lineRule="exact"/>
              <w:rPr>
                <w:sz w:val="20"/>
                <w:szCs w:val="20"/>
                <w:color w:val="auto"/>
              </w:rPr>
            </w:pPr>
            <w:r>
              <w:rPr>
                <w:rFonts w:ascii="Arial" w:cs="Arial" w:eastAsia="Arial" w:hAnsi="Arial"/>
                <w:sz w:val="16"/>
                <w:szCs w:val="16"/>
                <w:b w:val="1"/>
                <w:bCs w:val="1"/>
                <w:color w:val="520B90"/>
              </w:rPr>
              <w:t>Effect of</w:t>
            </w:r>
          </w:p>
        </w:tc>
        <w:tc>
          <w:tcPr>
            <w:tcW w:w="0" w:type="dxa"/>
            <w:vAlign w:val="bottom"/>
          </w:tcPr>
          <w:p>
            <w:pPr>
              <w:spacing w:after="0"/>
              <w:rPr>
                <w:sz w:val="1"/>
                <w:szCs w:val="1"/>
                <w:color w:val="auto"/>
              </w:rPr>
            </w:pPr>
          </w:p>
        </w:tc>
      </w:tr>
      <w:tr>
        <w:trPr>
          <w:trHeight w:val="212"/>
        </w:trPr>
        <w:tc>
          <w:tcPr>
            <w:tcW w:w="1680" w:type="dxa"/>
            <w:vAlign w:val="bottom"/>
            <w:tcBorders>
              <w:bottom w:val="single" w:sz="8" w:color="520B90"/>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tcBorders>
              <w:bottom w:val="single" w:sz="8" w:color="520B90"/>
            </w:tcBorders>
          </w:tcPr>
          <w:p>
            <w:pPr>
              <w:ind w:left="20"/>
              <w:spacing w:after="0" w:line="211" w:lineRule="exact"/>
              <w:rPr>
                <w:sz w:val="20"/>
                <w:szCs w:val="20"/>
                <w:color w:val="auto"/>
              </w:rPr>
            </w:pPr>
            <w:r>
              <w:rPr>
                <w:rFonts w:ascii="Arial" w:cs="Arial" w:eastAsia="Arial" w:hAnsi="Arial"/>
                <w:sz w:val="16"/>
                <w:szCs w:val="16"/>
                <w:b w:val="1"/>
                <w:bCs w:val="1"/>
                <w:color w:val="520B90"/>
              </w:rPr>
              <w:t>Broker Non-Votes</w:t>
            </w:r>
            <w:r>
              <w:rPr>
                <w:rFonts w:ascii="Arial" w:cs="Arial" w:eastAsia="Arial" w:hAnsi="Arial"/>
                <w:sz w:val="20"/>
                <w:szCs w:val="20"/>
                <w:b w:val="1"/>
                <w:bCs w:val="1"/>
                <w:color w:val="520B90"/>
                <w:vertAlign w:val="superscript"/>
              </w:rPr>
              <w:t>(b)</w:t>
            </w:r>
          </w:p>
        </w:tc>
        <w:tc>
          <w:tcPr>
            <w:tcW w:w="0" w:type="dxa"/>
            <w:vAlign w:val="bottom"/>
          </w:tcPr>
          <w:p>
            <w:pPr>
              <w:spacing w:after="0"/>
              <w:rPr>
                <w:sz w:val="1"/>
                <w:szCs w:val="1"/>
                <w:color w:val="auto"/>
              </w:rPr>
            </w:pPr>
          </w:p>
        </w:tc>
      </w:tr>
      <w:tr>
        <w:trPr>
          <w:trHeight w:val="281"/>
        </w:trPr>
        <w:tc>
          <w:tcPr>
            <w:tcW w:w="1680" w:type="dxa"/>
            <w:vAlign w:val="bottom"/>
            <w:shd w:val="clear" w:color="auto" w:fill="E6E7E7"/>
          </w:tcPr>
          <w:p>
            <w:pPr>
              <w:spacing w:after="0"/>
              <w:rPr>
                <w:sz w:val="20"/>
                <w:szCs w:val="20"/>
                <w:color w:val="auto"/>
              </w:rPr>
            </w:pPr>
            <w:r>
              <w:rPr>
                <w:rFonts w:ascii="Arial" w:cs="Arial" w:eastAsia="Arial" w:hAnsi="Arial"/>
                <w:sz w:val="16"/>
                <w:szCs w:val="16"/>
                <w:color w:val="auto"/>
              </w:rPr>
              <w:t>Not applicable</w:t>
            </w:r>
          </w:p>
        </w:tc>
        <w:tc>
          <w:tcPr>
            <w:tcW w:w="80" w:type="dxa"/>
            <w:vAlign w:val="bottom"/>
          </w:tcPr>
          <w:p>
            <w:pPr>
              <w:spacing w:after="0"/>
              <w:rPr>
                <w:sz w:val="24"/>
                <w:szCs w:val="24"/>
                <w:color w:val="auto"/>
              </w:rPr>
            </w:pPr>
          </w:p>
        </w:tc>
        <w:tc>
          <w:tcPr>
            <w:tcW w:w="2200" w:type="dxa"/>
            <w:vAlign w:val="bottom"/>
            <w:shd w:val="clear" w:color="auto" w:fill="E6E7E7"/>
          </w:tcPr>
          <w:p>
            <w:pPr>
              <w:ind w:left="20"/>
              <w:spacing w:after="0"/>
              <w:rPr>
                <w:sz w:val="20"/>
                <w:szCs w:val="20"/>
                <w:color w:val="auto"/>
              </w:rPr>
            </w:pPr>
            <w:r>
              <w:rPr>
                <w:rFonts w:ascii="Arial" w:cs="Arial" w:eastAsia="Arial" w:hAnsi="Arial"/>
                <w:sz w:val="16"/>
                <w:szCs w:val="16"/>
                <w:color w:val="auto"/>
              </w:rPr>
              <w:t>No effect</w:t>
            </w:r>
          </w:p>
        </w:tc>
        <w:tc>
          <w:tcPr>
            <w:tcW w:w="0" w:type="dxa"/>
            <w:vAlign w:val="bottom"/>
          </w:tcPr>
          <w:p>
            <w:pPr>
              <w:spacing w:after="0"/>
              <w:rPr>
                <w:sz w:val="1"/>
                <w:szCs w:val="1"/>
                <w:color w:val="auto"/>
              </w:rPr>
            </w:pPr>
          </w:p>
        </w:tc>
      </w:tr>
      <w:tr>
        <w:trPr>
          <w:trHeight w:val="82"/>
        </w:trPr>
        <w:tc>
          <w:tcPr>
            <w:tcW w:w="1680" w:type="dxa"/>
            <w:vAlign w:val="bottom"/>
            <w:shd w:val="clear" w:color="auto" w:fill="E6E7E7"/>
          </w:tcPr>
          <w:p>
            <w:pPr>
              <w:spacing w:after="0"/>
              <w:rPr>
                <w:sz w:val="7"/>
                <w:szCs w:val="7"/>
                <w:color w:val="auto"/>
              </w:rPr>
            </w:pPr>
          </w:p>
        </w:tc>
        <w:tc>
          <w:tcPr>
            <w:tcW w:w="80" w:type="dxa"/>
            <w:vAlign w:val="bottom"/>
          </w:tcPr>
          <w:p>
            <w:pPr>
              <w:spacing w:after="0"/>
              <w:rPr>
                <w:sz w:val="7"/>
                <w:szCs w:val="7"/>
                <w:color w:val="auto"/>
              </w:rPr>
            </w:pPr>
          </w:p>
        </w:tc>
        <w:tc>
          <w:tcPr>
            <w:tcW w:w="2200" w:type="dxa"/>
            <w:vAlign w:val="bottom"/>
            <w:shd w:val="clear" w:color="auto" w:fill="E6E7E7"/>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1680" w:type="dxa"/>
            <w:vAlign w:val="bottom"/>
          </w:tcPr>
          <w:p>
            <w:pPr>
              <w:spacing w:after="0"/>
              <w:rPr>
                <w:sz w:val="20"/>
                <w:szCs w:val="20"/>
                <w:color w:val="auto"/>
              </w:rPr>
            </w:pPr>
            <w:r>
              <w:rPr>
                <w:rFonts w:ascii="Arial" w:cs="Arial" w:eastAsia="Arial" w:hAnsi="Arial"/>
                <w:sz w:val="16"/>
                <w:szCs w:val="16"/>
                <w:color w:val="auto"/>
              </w:rPr>
              <w:t>Counted as vote</w:t>
            </w:r>
          </w:p>
        </w:tc>
        <w:tc>
          <w:tcPr>
            <w:tcW w:w="80" w:type="dxa"/>
            <w:vAlign w:val="bottom"/>
          </w:tcPr>
          <w:p>
            <w:pPr>
              <w:spacing w:after="0"/>
              <w:rPr>
                <w:sz w:val="20"/>
                <w:szCs w:val="20"/>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Brokers have discretion to</w:t>
            </w:r>
          </w:p>
        </w:tc>
        <w:tc>
          <w:tcPr>
            <w:tcW w:w="0" w:type="dxa"/>
            <w:vAlign w:val="bottom"/>
          </w:tcPr>
          <w:p>
            <w:pPr>
              <w:spacing w:after="0"/>
              <w:rPr>
                <w:sz w:val="1"/>
                <w:szCs w:val="1"/>
                <w:color w:val="auto"/>
              </w:rPr>
            </w:pPr>
          </w:p>
        </w:tc>
      </w:tr>
      <w:tr>
        <w:trPr>
          <w:trHeight w:val="210"/>
        </w:trPr>
        <w:tc>
          <w:tcPr>
            <w:tcW w:w="1680" w:type="dxa"/>
            <w:vAlign w:val="bottom"/>
          </w:tcPr>
          <w:p>
            <w:pPr>
              <w:spacing w:after="0"/>
              <w:rPr>
                <w:sz w:val="20"/>
                <w:szCs w:val="20"/>
                <w:color w:val="auto"/>
              </w:rPr>
            </w:pPr>
            <w:r>
              <w:rPr>
                <w:rFonts w:ascii="Arial" w:cs="Arial" w:eastAsia="Arial" w:hAnsi="Arial"/>
                <w:sz w:val="16"/>
                <w:szCs w:val="16"/>
                <w:color w:val="auto"/>
              </w:rPr>
              <w:t>against</w:t>
            </w:r>
          </w:p>
        </w:tc>
        <w:tc>
          <w:tcPr>
            <w:tcW w:w="80" w:type="dxa"/>
            <w:vAlign w:val="bottom"/>
          </w:tcPr>
          <w:p>
            <w:pPr>
              <w:spacing w:after="0"/>
              <w:rPr>
                <w:sz w:val="18"/>
                <w:szCs w:val="18"/>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vote in certain circumstances</w:t>
            </w:r>
          </w:p>
        </w:tc>
        <w:tc>
          <w:tcPr>
            <w:tcW w:w="0" w:type="dxa"/>
            <w:vAlign w:val="bottom"/>
          </w:tcPr>
          <w:p>
            <w:pPr>
              <w:spacing w:after="0"/>
              <w:rPr>
                <w:sz w:val="1"/>
                <w:szCs w:val="1"/>
                <w:color w:val="auto"/>
              </w:rPr>
            </w:pPr>
          </w:p>
        </w:tc>
      </w:tr>
      <w:tr>
        <w:trPr>
          <w:trHeight w:val="81"/>
        </w:trPr>
        <w:tc>
          <w:tcPr>
            <w:tcW w:w="16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1680" w:type="dxa"/>
            <w:vAlign w:val="bottom"/>
            <w:shd w:val="clear" w:color="auto" w:fill="E6E7E7"/>
          </w:tcPr>
          <w:p>
            <w:pPr>
              <w:spacing w:after="0"/>
              <w:rPr>
                <w:sz w:val="20"/>
                <w:szCs w:val="20"/>
                <w:color w:val="auto"/>
              </w:rPr>
            </w:pPr>
            <w:r>
              <w:rPr>
                <w:rFonts w:ascii="Arial" w:cs="Arial" w:eastAsia="Arial" w:hAnsi="Arial"/>
                <w:sz w:val="16"/>
                <w:szCs w:val="16"/>
                <w:color w:val="auto"/>
              </w:rPr>
              <w:t>Counted as vote</w:t>
            </w:r>
          </w:p>
        </w:tc>
        <w:tc>
          <w:tcPr>
            <w:tcW w:w="80" w:type="dxa"/>
            <w:vAlign w:val="bottom"/>
          </w:tcPr>
          <w:p>
            <w:pPr>
              <w:spacing w:after="0"/>
              <w:rPr>
                <w:sz w:val="20"/>
                <w:szCs w:val="20"/>
                <w:color w:val="auto"/>
              </w:rPr>
            </w:pPr>
          </w:p>
        </w:tc>
        <w:tc>
          <w:tcPr>
            <w:tcW w:w="2200" w:type="dxa"/>
            <w:vAlign w:val="bottom"/>
            <w:vMerge w:val="restart"/>
            <w:shd w:val="clear" w:color="auto" w:fill="E6E7E7"/>
          </w:tcPr>
          <w:p>
            <w:pPr>
              <w:ind w:left="20"/>
              <w:spacing w:after="0"/>
              <w:rPr>
                <w:sz w:val="20"/>
                <w:szCs w:val="20"/>
                <w:color w:val="auto"/>
              </w:rPr>
            </w:pPr>
            <w:r>
              <w:rPr>
                <w:rFonts w:ascii="Arial" w:cs="Arial" w:eastAsia="Arial" w:hAnsi="Arial"/>
                <w:sz w:val="16"/>
                <w:szCs w:val="16"/>
                <w:color w:val="auto"/>
              </w:rPr>
              <w:t>No effect</w:t>
            </w:r>
          </w:p>
        </w:tc>
        <w:tc>
          <w:tcPr>
            <w:tcW w:w="0" w:type="dxa"/>
            <w:vAlign w:val="bottom"/>
          </w:tcPr>
          <w:p>
            <w:pPr>
              <w:spacing w:after="0"/>
              <w:rPr>
                <w:sz w:val="1"/>
                <w:szCs w:val="1"/>
                <w:color w:val="auto"/>
              </w:rPr>
            </w:pPr>
          </w:p>
        </w:tc>
      </w:tr>
      <w:tr>
        <w:trPr>
          <w:trHeight w:val="129"/>
        </w:trPr>
        <w:tc>
          <w:tcPr>
            <w:tcW w:w="1680" w:type="dxa"/>
            <w:vAlign w:val="bottom"/>
            <w:vMerge w:val="restart"/>
            <w:shd w:val="clear" w:color="auto" w:fill="E6E7E7"/>
          </w:tcPr>
          <w:p>
            <w:pPr>
              <w:spacing w:after="0"/>
              <w:rPr>
                <w:sz w:val="20"/>
                <w:szCs w:val="20"/>
                <w:color w:val="auto"/>
              </w:rPr>
            </w:pPr>
            <w:r>
              <w:rPr>
                <w:rFonts w:ascii="Arial" w:cs="Arial" w:eastAsia="Arial" w:hAnsi="Arial"/>
                <w:sz w:val="16"/>
                <w:szCs w:val="16"/>
                <w:color w:val="auto"/>
              </w:rPr>
              <w:t>against</w:t>
            </w:r>
          </w:p>
        </w:tc>
        <w:tc>
          <w:tcPr>
            <w:tcW w:w="80" w:type="dxa"/>
            <w:vAlign w:val="bottom"/>
          </w:tcPr>
          <w:p>
            <w:pPr>
              <w:spacing w:after="0"/>
              <w:rPr>
                <w:sz w:val="11"/>
                <w:szCs w:val="11"/>
                <w:color w:val="auto"/>
              </w:rPr>
            </w:pPr>
          </w:p>
        </w:tc>
        <w:tc>
          <w:tcPr>
            <w:tcW w:w="2200" w:type="dxa"/>
            <w:vAlign w:val="bottom"/>
            <w:vMerge w:val="continue"/>
            <w:shd w:val="clear" w:color="auto" w:fill="E6E7E7"/>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680" w:type="dxa"/>
            <w:vAlign w:val="bottom"/>
            <w:vMerge w:val="continue"/>
            <w:shd w:val="clear" w:color="auto" w:fill="E6E7E7"/>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shd w:val="clear" w:color="auto" w:fill="E6E7E7"/>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1680" w:type="dxa"/>
            <w:vAlign w:val="bottom"/>
            <w:shd w:val="clear" w:color="auto" w:fill="E6E7E7"/>
          </w:tcPr>
          <w:p>
            <w:pPr>
              <w:spacing w:after="0"/>
              <w:rPr>
                <w:sz w:val="7"/>
                <w:szCs w:val="7"/>
                <w:color w:val="auto"/>
              </w:rPr>
            </w:pPr>
          </w:p>
        </w:tc>
        <w:tc>
          <w:tcPr>
            <w:tcW w:w="80" w:type="dxa"/>
            <w:vAlign w:val="bottom"/>
          </w:tcPr>
          <w:p>
            <w:pPr>
              <w:spacing w:after="0"/>
              <w:rPr>
                <w:sz w:val="7"/>
                <w:szCs w:val="7"/>
                <w:color w:val="auto"/>
              </w:rPr>
            </w:pPr>
          </w:p>
        </w:tc>
        <w:tc>
          <w:tcPr>
            <w:tcW w:w="2200" w:type="dxa"/>
            <w:vAlign w:val="bottom"/>
            <w:shd w:val="clear" w:color="auto" w:fill="E6E7E7"/>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4">
            <w:col w:w="2540" w:space="480"/>
            <w:col w:w="1580" w:space="160"/>
            <w:col w:w="2240" w:space="280"/>
            <w:col w:w="3960"/>
          </w:cols>
          <w:pgMar w:left="320" w:top="1234" w:right="339" w:bottom="1440" w:gutter="0" w:footer="0" w:header="0"/>
          <w:type w:val="continuous"/>
        </w:sectPr>
      </w:pPr>
    </w:p>
    <w:p>
      <w:pPr>
        <w:spacing w:after="0" w:line="92" w:lineRule="exact"/>
        <w:rPr>
          <w:sz w:val="20"/>
          <w:szCs w:val="20"/>
          <w:color w:val="auto"/>
        </w:rPr>
      </w:pPr>
    </w:p>
    <w:p>
      <w:pPr>
        <w:ind w:left="320" w:hanging="314"/>
        <w:spacing w:after="0"/>
        <w:tabs>
          <w:tab w:leader="none" w:pos="320" w:val="left"/>
        </w:tabs>
        <w:numPr>
          <w:ilvl w:val="0"/>
          <w:numId w:val="160"/>
        </w:numPr>
        <w:rPr>
          <w:rFonts w:ascii="Arial" w:cs="Arial" w:eastAsia="Arial" w:hAnsi="Arial"/>
          <w:sz w:val="13"/>
          <w:szCs w:val="13"/>
          <w:color w:val="auto"/>
        </w:rPr>
      </w:pPr>
      <w:r>
        <w:rPr>
          <w:rFonts w:ascii="Arial" w:cs="Arial" w:eastAsia="Arial" w:hAnsi="Arial"/>
          <w:sz w:val="13"/>
          <w:szCs w:val="13"/>
          <w:color w:val="auto"/>
        </w:rPr>
        <w:t>A nominee for director will be elected if the number of votes cast "for" a director nominee exceeds the number of votes cast "against" the nominee.</w:t>
      </w:r>
    </w:p>
    <w:p>
      <w:pPr>
        <w:spacing w:after="0" w:line="49" w:lineRule="exact"/>
        <w:rPr>
          <w:rFonts w:ascii="Arial" w:cs="Arial" w:eastAsia="Arial" w:hAnsi="Arial"/>
          <w:sz w:val="13"/>
          <w:szCs w:val="13"/>
          <w:color w:val="auto"/>
        </w:rPr>
      </w:pPr>
    </w:p>
    <w:p>
      <w:pPr>
        <w:ind w:left="320" w:hanging="314"/>
        <w:spacing w:after="0"/>
        <w:tabs>
          <w:tab w:leader="none" w:pos="320" w:val="left"/>
        </w:tabs>
        <w:numPr>
          <w:ilvl w:val="0"/>
          <w:numId w:val="160"/>
        </w:numPr>
        <w:rPr>
          <w:rFonts w:ascii="Arial" w:cs="Arial" w:eastAsia="Arial" w:hAnsi="Arial"/>
          <w:sz w:val="13"/>
          <w:szCs w:val="13"/>
          <w:color w:val="auto"/>
        </w:rPr>
      </w:pPr>
      <w:r>
        <w:rPr>
          <w:rFonts w:ascii="Arial" w:cs="Arial" w:eastAsia="Arial" w:hAnsi="Arial"/>
          <w:sz w:val="13"/>
          <w:szCs w:val="13"/>
          <w:color w:val="auto"/>
        </w:rPr>
        <w:t>Please see "—What Is the Effect of a Broker Non-Vote?" below.</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What Is a Quorum for the Annual Meeting?</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quorum of stockholders is needed to hold a valid Annual Meeting. A quorum will exist to hold a valid Annual Meeting if the holders of at least a majority in voting power of the outstanding shares of Common Stock entitled to vote at the Annual Meeting attend the Annual Meeting in person via live webcast or are represented by proxy. Abstentions are counted as present for the purpose of establishing a quorum.</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Can I Do If I Change My Mind After I Vote?</w:t>
      </w:r>
    </w:p>
    <w:p>
      <w:pPr>
        <w:spacing w:after="0" w:line="166" w:lineRule="exact"/>
        <w:rPr>
          <w:sz w:val="20"/>
          <w:szCs w:val="20"/>
          <w:color w:val="auto"/>
        </w:rPr>
      </w:pPr>
    </w:p>
    <w:p>
      <w:pPr>
        <w:ind w:right="380"/>
        <w:spacing w:after="0" w:line="274" w:lineRule="auto"/>
        <w:rPr>
          <w:sz w:val="20"/>
          <w:szCs w:val="20"/>
          <w:color w:val="auto"/>
        </w:rPr>
      </w:pPr>
      <w:r>
        <w:rPr>
          <w:rFonts w:ascii="Arial" w:cs="Arial" w:eastAsia="Arial" w:hAnsi="Arial"/>
          <w:sz w:val="18"/>
          <w:szCs w:val="18"/>
          <w:color w:val="auto"/>
        </w:rPr>
        <w:t>You may change your vote by revoking your proxy at any time before it is exercised. If you are a stockholder of record, you can revoke your proxy by:</w:t>
      </w:r>
    </w:p>
    <w:p>
      <w:pPr>
        <w:spacing w:after="0" w:line="110" w:lineRule="exact"/>
        <w:rPr>
          <w:sz w:val="20"/>
          <w:szCs w:val="20"/>
          <w:color w:val="auto"/>
        </w:rPr>
      </w:pPr>
    </w:p>
    <w:p>
      <w:pPr>
        <w:ind w:left="640" w:right="520" w:hanging="237"/>
        <w:spacing w:after="0" w:line="274" w:lineRule="auto"/>
        <w:tabs>
          <w:tab w:leader="none" w:pos="635" w:val="left"/>
        </w:tabs>
        <w:numPr>
          <w:ilvl w:val="0"/>
          <w:numId w:val="161"/>
        </w:numPr>
        <w:rPr>
          <w:rFonts w:ascii="Arial" w:cs="Arial" w:eastAsia="Arial" w:hAnsi="Arial"/>
          <w:sz w:val="18"/>
          <w:szCs w:val="18"/>
          <w:color w:val="520B90"/>
        </w:rPr>
      </w:pPr>
      <w:r>
        <w:rPr>
          <w:rFonts w:ascii="Arial" w:cs="Arial" w:eastAsia="Arial" w:hAnsi="Arial"/>
          <w:sz w:val="18"/>
          <w:szCs w:val="18"/>
          <w:color w:val="auto"/>
        </w:rPr>
        <w:t>delivering a timely written notice of revocation to our Corporate Secretary, Crown Castle Inc., 8020 Katy Freeway, Houston, Texas 77024;</w:t>
      </w:r>
    </w:p>
    <w:p>
      <w:pPr>
        <w:spacing w:after="0" w:line="109" w:lineRule="exact"/>
        <w:rPr>
          <w:rFonts w:ascii="Arial" w:cs="Arial" w:eastAsia="Arial" w:hAnsi="Arial"/>
          <w:sz w:val="18"/>
          <w:szCs w:val="18"/>
          <w:color w:val="520B90"/>
        </w:rPr>
      </w:pPr>
    </w:p>
    <w:p>
      <w:pPr>
        <w:ind w:left="640" w:right="300" w:hanging="237"/>
        <w:spacing w:after="0" w:line="274" w:lineRule="auto"/>
        <w:tabs>
          <w:tab w:leader="none" w:pos="635" w:val="left"/>
        </w:tabs>
        <w:numPr>
          <w:ilvl w:val="0"/>
          <w:numId w:val="161"/>
        </w:numPr>
        <w:rPr>
          <w:rFonts w:ascii="Arial" w:cs="Arial" w:eastAsia="Arial" w:hAnsi="Arial"/>
          <w:sz w:val="18"/>
          <w:szCs w:val="18"/>
          <w:color w:val="520B90"/>
        </w:rPr>
      </w:pPr>
      <w:r>
        <w:rPr>
          <w:rFonts w:ascii="Arial" w:cs="Arial" w:eastAsia="Arial" w:hAnsi="Arial"/>
          <w:sz w:val="18"/>
          <w:szCs w:val="18"/>
          <w:color w:val="auto"/>
        </w:rPr>
        <w:t>properly submitting a timely, later-dated proxy by internet, telephone or mail (see instructions on your proxy card or voting instruction form or Proxy Materials Notice); or</w:t>
      </w:r>
    </w:p>
    <w:p>
      <w:pPr>
        <w:spacing w:after="0" w:line="109" w:lineRule="exact"/>
        <w:rPr>
          <w:rFonts w:ascii="Arial" w:cs="Arial" w:eastAsia="Arial" w:hAnsi="Arial"/>
          <w:sz w:val="18"/>
          <w:szCs w:val="18"/>
          <w:color w:val="520B90"/>
        </w:rPr>
      </w:pPr>
    </w:p>
    <w:p>
      <w:pPr>
        <w:ind w:left="640" w:hanging="237"/>
        <w:spacing w:after="0"/>
        <w:tabs>
          <w:tab w:leader="none" w:pos="640" w:val="left"/>
        </w:tabs>
        <w:numPr>
          <w:ilvl w:val="0"/>
          <w:numId w:val="161"/>
        </w:numPr>
        <w:rPr>
          <w:rFonts w:ascii="Arial" w:cs="Arial" w:eastAsia="Arial" w:hAnsi="Arial"/>
          <w:sz w:val="18"/>
          <w:szCs w:val="18"/>
          <w:color w:val="520B90"/>
        </w:rPr>
      </w:pPr>
      <w:r>
        <w:rPr>
          <w:rFonts w:ascii="Arial" w:cs="Arial" w:eastAsia="Arial" w:hAnsi="Arial"/>
          <w:sz w:val="18"/>
          <w:szCs w:val="18"/>
          <w:color w:val="auto"/>
        </w:rPr>
        <w:t>attending the Annual Meeting and voting. Attendance at the Annual Meeting alone will not constitute a revocation of a proxy.</w:t>
      </w:r>
    </w:p>
    <w:p>
      <w:pPr>
        <w:spacing w:after="0" w:line="16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If you are a beneficial owner whose shares are held in the name of a bank, broker or other nominee, you may revoke your voting instructions by submitting new voting instructions to your bank, broker or other nominee before the applicable deadline indicated in "—How Do I Vote?" above. Alternatively, you may change your vote by attending the Annual Meeting and voting using the virtual meeting platform at </w:t>
      </w:r>
      <w:r>
        <w:rPr>
          <w:rFonts w:ascii="Arial" w:cs="Arial" w:eastAsia="Arial" w:hAnsi="Arial"/>
          <w:sz w:val="18"/>
          <w:szCs w:val="18"/>
          <w:u w:val="single" w:color="auto"/>
          <w:color w:val="520B90"/>
        </w:rPr>
        <w:t>www.virtualshareholdermeeting.com/CCI2026</w:t>
      </w:r>
      <w:r>
        <w:rPr>
          <w:rFonts w:ascii="Arial" w:cs="Arial" w:eastAsia="Arial" w:hAnsi="Arial"/>
          <w:sz w:val="18"/>
          <w:szCs w:val="18"/>
          <w:color w:val="000000"/>
        </w:rPr>
        <w:t>. To vote at the Annual Meeting, you will need to log on to the virtual meeting platform by entering</w:t>
      </w:r>
      <w:r>
        <w:rPr>
          <w:rFonts w:ascii="Arial" w:cs="Arial" w:eastAsia="Arial" w:hAnsi="Arial"/>
          <w:sz w:val="18"/>
          <w:szCs w:val="18"/>
          <w:color w:val="520B90"/>
        </w:rPr>
        <w:t xml:space="preserve"> </w:t>
      </w:r>
      <w:r>
        <w:rPr>
          <w:rFonts w:ascii="Arial" w:cs="Arial" w:eastAsia="Arial" w:hAnsi="Arial"/>
          <w:sz w:val="18"/>
          <w:szCs w:val="18"/>
          <w:color w:val="000000"/>
        </w:rPr>
        <w:t>the 16-digit control number found on the Proxy Materials Notice, proxy card or the voting instruction form.</w:t>
      </w:r>
    </w:p>
    <w:p>
      <w:pPr>
        <w:spacing w:after="0" w:line="131" w:lineRule="exact"/>
        <w:rPr>
          <w:sz w:val="20"/>
          <w:szCs w:val="20"/>
          <w:color w:val="auto"/>
        </w:rPr>
      </w:pPr>
    </w:p>
    <w:p>
      <w:pPr>
        <w:ind w:right="360"/>
        <w:spacing w:after="0" w:line="274" w:lineRule="auto"/>
        <w:rPr>
          <w:sz w:val="20"/>
          <w:szCs w:val="20"/>
          <w:color w:val="auto"/>
        </w:rPr>
      </w:pPr>
      <w:r>
        <w:rPr>
          <w:rFonts w:ascii="Arial" w:cs="Arial" w:eastAsia="Arial" w:hAnsi="Arial"/>
          <w:sz w:val="18"/>
          <w:szCs w:val="18"/>
          <w:color w:val="auto"/>
        </w:rPr>
        <w:t>If you are a participant in the 401(k) Plan, you may revoke your voting instructions by submitting new voting instructions to the Trustee on or before the applicable deadline indicated in "—How Do I Vote as a Participant in the Crown Castle Inc. 401(k) Plan?" above.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"Broker Non-Vote"?</w:t>
      </w:r>
    </w:p>
    <w:p>
      <w:pPr>
        <w:spacing w:after="0" w:line="166"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A "broker non-vote" occurs when a broker lacks discretionary authority to vote on a "non-routine" proposal and a beneficial owner fails to give the broker voting instructions on that matter. The rules of the NYSE determine whether matters presented at the Annual Meeting are "routine" or "non-routine" in nature. The election of directors (Proposal 1) and the proposal to approve the Company's executive compensation (on a non-binding, advisory basis) (Proposal 3) are considered "non-routine" matters. This means that beneficial owners who hold their shares in street name must provide voting instructions to their broker in order for their broker to vote their shares on these matters. In contrast, the ratification of the selection of PwC as the Company's independent registered public accounting firm for fiscal year 2026 (Proposal 2) is generally considered a "routine" matter under the rules of the NYSE and is the only proposal at the Annual Meeting with respect to which your broker could vote your shares absent your instructions.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Effect of a Broker Non-Vote?</w:t>
      </w:r>
    </w:p>
    <w:p>
      <w:pPr>
        <w:spacing w:after="0" w:line="166" w:lineRule="exact"/>
        <w:rPr>
          <w:sz w:val="20"/>
          <w:szCs w:val="20"/>
          <w:color w:val="auto"/>
        </w:rPr>
      </w:pPr>
    </w:p>
    <w:p>
      <w:pPr>
        <w:ind w:right="640"/>
        <w:spacing w:after="0" w:line="274" w:lineRule="auto"/>
        <w:rPr>
          <w:sz w:val="20"/>
          <w:szCs w:val="20"/>
          <w:color w:val="auto"/>
        </w:rPr>
      </w:pPr>
      <w:r>
        <w:rPr>
          <w:rFonts w:ascii="Arial" w:cs="Arial" w:eastAsia="Arial" w:hAnsi="Arial"/>
          <w:sz w:val="18"/>
          <w:szCs w:val="18"/>
          <w:color w:val="auto"/>
        </w:rPr>
        <w:t>Broker non-votes may be counted for purposes of calculating whether a quorum is present at the Annual Meeting because brokers have discretionary authority to vote on Proposal 2. A broker non-vote will not affect the outcome of the vote on Proposals 1 and 3.</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Find the Voting Results of the Annual Meeting?</w:t>
      </w:r>
    </w:p>
    <w:p>
      <w:pPr>
        <w:spacing w:after="0" w:line="166"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Preliminary voting results will be announced at the Annual Meeting. We will publicly disclose results of voting at the Annual Meeting based on the final report as certified by the independent inspector of elections on a Current Report on Form 8-K filed with the SEC within four business days following the Annual Meeting.</w:t>
      </w:r>
    </w:p>
    <w:p>
      <w:pPr>
        <w:spacing w:after="0" w:line="353"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Appendix A</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Independence Categorical Standards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22, 2023)</w:t>
      </w:r>
    </w:p>
    <w:p>
      <w:pPr>
        <w:spacing w:after="0" w:line="214"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board of directors ("Board") of Crown Castle Inc. ("Company") has established the following guidelines to assist it in determining whether a director of the Company ("Director") has a "material relationship" with the Company and is "independent".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relationships are not "material relationships" that would impair a Director's "independence" ("Safe Harbor Relationships"):</w:t>
      </w:r>
    </w:p>
    <w:p>
      <w:pPr>
        <w:spacing w:after="0" w:line="228" w:lineRule="exact"/>
        <w:rPr>
          <w:sz w:val="20"/>
          <w:szCs w:val="20"/>
          <w:color w:val="auto"/>
        </w:rPr>
      </w:pPr>
    </w:p>
    <w:p>
      <w:pPr>
        <w:ind w:left="400" w:hanging="196"/>
        <w:spacing w:after="0"/>
        <w:tabs>
          <w:tab w:leader="none" w:pos="400" w:val="left"/>
        </w:tabs>
        <w:numPr>
          <w:ilvl w:val="0"/>
          <w:numId w:val="162"/>
        </w:numPr>
        <w:rPr>
          <w:rFonts w:ascii="Arial" w:cs="Arial" w:eastAsia="Arial" w:hAnsi="Arial"/>
          <w:sz w:val="18"/>
          <w:szCs w:val="18"/>
          <w:color w:val="auto"/>
        </w:rPr>
      </w:pPr>
      <w:r>
        <w:rPr>
          <w:rFonts w:ascii="Arial" w:cs="Arial" w:eastAsia="Arial" w:hAnsi="Arial"/>
          <w:sz w:val="18"/>
          <w:szCs w:val="18"/>
          <w:b w:val="1"/>
          <w:bCs w:val="1"/>
          <w:color w:val="auto"/>
        </w:rPr>
        <w:t xml:space="preserve">Certain Prior Relationships. </w:t>
      </w:r>
      <w:r>
        <w:rPr>
          <w:rFonts w:ascii="Arial" w:cs="Arial" w:eastAsia="Arial" w:hAnsi="Arial"/>
          <w:sz w:val="18"/>
          <w:szCs w:val="18"/>
          <w:color w:val="auto"/>
        </w:rPr>
        <w:t>More than three years have elapsed since:</w:t>
      </w:r>
    </w:p>
    <w:p>
      <w:pPr>
        <w:spacing w:after="0" w:line="9" w:lineRule="exact"/>
        <w:rPr>
          <w:rFonts w:ascii="Arial" w:cs="Arial" w:eastAsia="Arial" w:hAnsi="Arial"/>
          <w:sz w:val="18"/>
          <w:szCs w:val="18"/>
          <w:color w:val="auto"/>
        </w:rPr>
      </w:pPr>
    </w:p>
    <w:p>
      <w:pPr>
        <w:ind w:left="960" w:hanging="319"/>
        <w:spacing w:after="0" w:line="214" w:lineRule="auto"/>
        <w:tabs>
          <w:tab w:leader="none" w:pos="96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the Director was employed by the Company;</w:t>
      </w:r>
    </w:p>
    <w:p>
      <w:pPr>
        <w:ind w:left="960" w:hanging="319"/>
        <w:spacing w:after="0" w:line="230" w:lineRule="auto"/>
        <w:tabs>
          <w:tab w:leader="none" w:pos="96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a Family Member (defined below) was employed by the Company as an executive officer;</w:t>
      </w:r>
    </w:p>
    <w:p>
      <w:pPr>
        <w:ind w:left="960" w:right="320" w:hanging="319"/>
        <w:spacing w:after="0" w:line="222" w:lineRule="auto"/>
        <w:tabs>
          <w:tab w:leader="none" w:pos="948"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the Director or a Family Member was a partner with or employed by the Company's internal or external auditor ("Auditor") and personally worked on the Company's audit; or</w:t>
      </w:r>
    </w:p>
    <w:p>
      <w:pPr>
        <w:ind w:left="960" w:right="320" w:hanging="319"/>
        <w:spacing w:after="0"/>
        <w:tabs>
          <w:tab w:leader="none" w:pos="958" w:val="left"/>
        </w:tabs>
        <w:numPr>
          <w:ilvl w:val="1"/>
          <w:numId w:val="162"/>
        </w:numPr>
        <w:rPr>
          <w:rFonts w:ascii="Arial" w:cs="Arial" w:eastAsia="Arial" w:hAnsi="Arial"/>
          <w:sz w:val="18"/>
          <w:szCs w:val="18"/>
          <w:color w:val="auto"/>
        </w:rPr>
      </w:pPr>
      <w:r>
        <w:rPr>
          <w:rFonts w:ascii="Arial" w:cs="Arial" w:eastAsia="Arial" w:hAnsi="Arial"/>
          <w:sz w:val="18"/>
          <w:szCs w:val="18"/>
          <w:color w:val="auto"/>
        </w:rPr>
        <w:t>a present executive officer of the Company served on the compensation committee of a company which employed at the same time the Director or a Family Member as an executive officer.</w:t>
      </w:r>
    </w:p>
    <w:p>
      <w:pPr>
        <w:spacing w:after="0" w:line="199" w:lineRule="exact"/>
        <w:rPr>
          <w:rFonts w:ascii="Arial" w:cs="Arial" w:eastAsia="Arial" w:hAnsi="Arial"/>
          <w:sz w:val="18"/>
          <w:szCs w:val="18"/>
          <w:color w:val="auto"/>
        </w:rPr>
      </w:pPr>
    </w:p>
    <w:p>
      <w:pPr>
        <w:ind w:left="400" w:hanging="196"/>
        <w:spacing w:after="0"/>
        <w:tabs>
          <w:tab w:leader="none" w:pos="400" w:val="left"/>
        </w:tabs>
        <w:numPr>
          <w:ilvl w:val="0"/>
          <w:numId w:val="162"/>
        </w:numPr>
        <w:rPr>
          <w:rFonts w:ascii="Arial" w:cs="Arial" w:eastAsia="Arial" w:hAnsi="Arial"/>
          <w:sz w:val="18"/>
          <w:szCs w:val="18"/>
          <w:color w:val="auto"/>
        </w:rPr>
      </w:pPr>
      <w:r>
        <w:rPr>
          <w:rFonts w:ascii="Arial" w:cs="Arial" w:eastAsia="Arial" w:hAnsi="Arial"/>
          <w:sz w:val="18"/>
          <w:szCs w:val="18"/>
          <w:b w:val="1"/>
          <w:bCs w:val="1"/>
          <w:color w:val="auto"/>
        </w:rPr>
        <w:t xml:space="preserve">Current Employment. </w:t>
      </w:r>
      <w:r>
        <w:rPr>
          <w:rFonts w:ascii="Arial" w:cs="Arial" w:eastAsia="Arial" w:hAnsi="Arial"/>
          <w:sz w:val="18"/>
          <w:szCs w:val="18"/>
          <w:color w:val="auto"/>
        </w:rPr>
        <w:t>A Family Member is:</w:t>
      </w:r>
    </w:p>
    <w:p>
      <w:pPr>
        <w:ind w:left="960" w:hanging="319"/>
        <w:spacing w:after="0" w:line="230" w:lineRule="auto"/>
        <w:tabs>
          <w:tab w:leader="none" w:pos="96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employed by the Company in a non-officer position; or</w:t>
      </w:r>
    </w:p>
    <w:p>
      <w:pPr>
        <w:ind w:left="960" w:hanging="319"/>
        <w:spacing w:after="0"/>
        <w:tabs>
          <w:tab w:leader="none" w:pos="96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employed by, but is not a partner with, the Auditor and does not personally work on the Company's audit.</w:t>
      </w:r>
    </w:p>
    <w:p>
      <w:pPr>
        <w:spacing w:after="0" w:line="211" w:lineRule="exact"/>
        <w:rPr>
          <w:rFonts w:ascii="Arial" w:cs="Arial" w:eastAsia="Arial" w:hAnsi="Arial"/>
          <w:sz w:val="18"/>
          <w:szCs w:val="18"/>
          <w:color w:val="auto"/>
        </w:rPr>
      </w:pPr>
    </w:p>
    <w:p>
      <w:pPr>
        <w:jc w:val="both"/>
        <w:ind w:left="400" w:right="320" w:hanging="196"/>
        <w:spacing w:after="0" w:line="238" w:lineRule="auto"/>
        <w:tabs>
          <w:tab w:leader="none" w:pos="395" w:val="left"/>
        </w:tabs>
        <w:numPr>
          <w:ilvl w:val="0"/>
          <w:numId w:val="162"/>
        </w:numPr>
        <w:rPr>
          <w:rFonts w:ascii="Arial" w:cs="Arial" w:eastAsia="Arial" w:hAnsi="Arial"/>
          <w:sz w:val="18"/>
          <w:szCs w:val="18"/>
          <w:color w:val="auto"/>
        </w:rPr>
      </w:pPr>
      <w:r>
        <w:rPr>
          <w:rFonts w:ascii="Arial" w:cs="Arial" w:eastAsia="Arial" w:hAnsi="Arial"/>
          <w:sz w:val="18"/>
          <w:szCs w:val="18"/>
          <w:b w:val="1"/>
          <w:bCs w:val="1"/>
          <w:color w:val="auto"/>
        </w:rPr>
        <w:t xml:space="preserve">Compensation. </w:t>
      </w:r>
      <w:r>
        <w:rPr>
          <w:rFonts w:ascii="Arial" w:cs="Arial" w:eastAsia="Arial" w:hAnsi="Arial"/>
          <w:sz w:val="18"/>
          <w:szCs w:val="18"/>
          <w:color w:val="auto"/>
        </w:rPr>
        <w:t>The Director or a Family Member has received less than $120,000 during any 12-month period in direct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Company, other than director and committee fees and pension or other forms of deferred compensation for prior service (provided such compensation is not contingent in any way on continued service).</w:t>
      </w:r>
    </w:p>
    <w:p>
      <w:pPr>
        <w:spacing w:after="0" w:line="204" w:lineRule="exact"/>
        <w:rPr>
          <w:rFonts w:ascii="Arial" w:cs="Arial" w:eastAsia="Arial" w:hAnsi="Arial"/>
          <w:sz w:val="18"/>
          <w:szCs w:val="18"/>
          <w:color w:val="auto"/>
        </w:rPr>
      </w:pPr>
    </w:p>
    <w:p>
      <w:pPr>
        <w:jc w:val="both"/>
        <w:ind w:left="400" w:right="320" w:hanging="196"/>
        <w:spacing w:after="0" w:line="226" w:lineRule="auto"/>
        <w:tabs>
          <w:tab w:leader="none" w:pos="395" w:val="left"/>
        </w:tabs>
        <w:numPr>
          <w:ilvl w:val="0"/>
          <w:numId w:val="162"/>
        </w:numPr>
        <w:rPr>
          <w:rFonts w:ascii="Arial" w:cs="Arial" w:eastAsia="Arial" w:hAnsi="Arial"/>
          <w:sz w:val="18"/>
          <w:szCs w:val="18"/>
          <w:color w:val="auto"/>
        </w:rPr>
      </w:pPr>
      <w:r>
        <w:rPr>
          <w:rFonts w:ascii="Arial" w:cs="Arial" w:eastAsia="Arial" w:hAnsi="Arial"/>
          <w:sz w:val="18"/>
          <w:szCs w:val="18"/>
          <w:b w:val="1"/>
          <w:bCs w:val="1"/>
          <w:color w:val="auto"/>
        </w:rPr>
        <w:t xml:space="preserve">Business Relationships. </w:t>
      </w:r>
      <w:r>
        <w:rPr>
          <w:rFonts w:ascii="Arial" w:cs="Arial" w:eastAsia="Arial" w:hAnsi="Arial"/>
          <w:sz w:val="18"/>
          <w:szCs w:val="18"/>
          <w:color w:val="auto"/>
        </w:rPr>
        <w:t>The Director or a Family Member is or was a partner, greater than 10% shareholder, director, officer or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of a company that has made payments to, or received payments from, the Company for property or services in an amount which, in each of the last three fiscal years, is less than the greater of:</w:t>
      </w:r>
    </w:p>
    <w:p>
      <w:pPr>
        <w:spacing w:after="0" w:line="2" w:lineRule="exact"/>
        <w:rPr>
          <w:rFonts w:ascii="Arial" w:cs="Arial" w:eastAsia="Arial" w:hAnsi="Arial"/>
          <w:sz w:val="18"/>
          <w:szCs w:val="18"/>
          <w:color w:val="auto"/>
        </w:rPr>
      </w:pPr>
    </w:p>
    <w:p>
      <w:pPr>
        <w:ind w:left="960" w:hanging="319"/>
        <w:spacing w:after="0" w:line="230" w:lineRule="auto"/>
        <w:tabs>
          <w:tab w:leader="none" w:pos="96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$1 million, or</w:t>
      </w:r>
    </w:p>
    <w:p>
      <w:pPr>
        <w:ind w:left="960" w:hanging="319"/>
        <w:spacing w:after="0"/>
        <w:tabs>
          <w:tab w:leader="none" w:pos="96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two percent (2%) of such other company's consolidated gross revenues.</w:t>
      </w:r>
    </w:p>
    <w:p>
      <w:pPr>
        <w:spacing w:after="0" w:line="211" w:lineRule="exact"/>
        <w:rPr>
          <w:rFonts w:ascii="Arial" w:cs="Arial" w:eastAsia="Arial" w:hAnsi="Arial"/>
          <w:sz w:val="18"/>
          <w:szCs w:val="18"/>
          <w:color w:val="auto"/>
        </w:rPr>
      </w:pPr>
    </w:p>
    <w:p>
      <w:pPr>
        <w:jc w:val="both"/>
        <w:ind w:left="400" w:right="320" w:hanging="196"/>
        <w:spacing w:after="0" w:line="238" w:lineRule="auto"/>
        <w:tabs>
          <w:tab w:leader="none" w:pos="395" w:val="left"/>
        </w:tabs>
        <w:numPr>
          <w:ilvl w:val="0"/>
          <w:numId w:val="162"/>
        </w:numPr>
        <w:rPr>
          <w:rFonts w:ascii="Arial" w:cs="Arial" w:eastAsia="Arial" w:hAnsi="Arial"/>
          <w:sz w:val="18"/>
          <w:szCs w:val="18"/>
          <w:color w:val="auto"/>
        </w:rPr>
      </w:pPr>
      <w:r>
        <w:rPr>
          <w:rFonts w:ascii="Arial" w:cs="Arial" w:eastAsia="Arial" w:hAnsi="Arial"/>
          <w:sz w:val="18"/>
          <w:szCs w:val="18"/>
          <w:b w:val="1"/>
          <w:bCs w:val="1"/>
          <w:color w:val="auto"/>
        </w:rPr>
        <w:t xml:space="preserve">Indebtedness. </w:t>
      </w:r>
      <w:r>
        <w:rPr>
          <w:rFonts w:ascii="Arial" w:cs="Arial" w:eastAsia="Arial" w:hAnsi="Arial"/>
          <w:sz w:val="18"/>
          <w:szCs w:val="18"/>
          <w:color w:val="auto"/>
        </w:rPr>
        <w:t>The Director or a Family Member is a partner, greater than 10% shareholder, director, officer or employee of a</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that is indebted to the Company or to which the Company is indebted, and the total amount of each company's indebtedness to the other is less than two percent (2%) of the total consolidated assets of such other company.</w:t>
      </w:r>
    </w:p>
    <w:p>
      <w:pPr>
        <w:spacing w:after="0" w:line="204" w:lineRule="exact"/>
        <w:rPr>
          <w:rFonts w:ascii="Arial" w:cs="Arial" w:eastAsia="Arial" w:hAnsi="Arial"/>
          <w:sz w:val="18"/>
          <w:szCs w:val="18"/>
          <w:color w:val="auto"/>
        </w:rPr>
      </w:pPr>
    </w:p>
    <w:p>
      <w:pPr>
        <w:jc w:val="both"/>
        <w:ind w:left="400" w:right="320" w:hanging="196"/>
        <w:spacing w:after="0" w:line="232" w:lineRule="auto"/>
        <w:tabs>
          <w:tab w:leader="none" w:pos="395" w:val="left"/>
        </w:tabs>
        <w:numPr>
          <w:ilvl w:val="0"/>
          <w:numId w:val="162"/>
        </w:numPr>
        <w:rPr>
          <w:rFonts w:ascii="Arial" w:cs="Arial" w:eastAsia="Arial" w:hAnsi="Arial"/>
          <w:sz w:val="18"/>
          <w:szCs w:val="18"/>
          <w:color w:val="auto"/>
        </w:rPr>
      </w:pPr>
      <w:r>
        <w:rPr>
          <w:rFonts w:ascii="Arial" w:cs="Arial" w:eastAsia="Arial" w:hAnsi="Arial"/>
          <w:sz w:val="18"/>
          <w:szCs w:val="18"/>
          <w:b w:val="1"/>
          <w:bCs w:val="1"/>
          <w:color w:val="auto"/>
        </w:rPr>
        <w:t xml:space="preserve">Charitable Contributions. </w:t>
      </w:r>
      <w:r>
        <w:rPr>
          <w:rFonts w:ascii="Arial" w:cs="Arial" w:eastAsia="Arial" w:hAnsi="Arial"/>
          <w:sz w:val="18"/>
          <w:szCs w:val="18"/>
          <w:color w:val="auto"/>
        </w:rPr>
        <w:t>The Director or a Family Member is a trustee, fiduciary, director, officer or employee of a tax-exempt</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 to which the Company contributes, and the Company's contributions in any single fiscal year to that organization are less than the greater of:</w:t>
      </w:r>
    </w:p>
    <w:p>
      <w:pPr>
        <w:ind w:left="960" w:hanging="319"/>
        <w:spacing w:after="0" w:line="214" w:lineRule="auto"/>
        <w:tabs>
          <w:tab w:leader="none" w:pos="96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$500,000, or</w:t>
      </w:r>
    </w:p>
    <w:p>
      <w:pPr>
        <w:ind w:left="960" w:hanging="319"/>
        <w:spacing w:after="0"/>
        <w:tabs>
          <w:tab w:leader="none" w:pos="96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one percent (1%) of that organization's total annual receipts.</w:t>
      </w:r>
    </w:p>
    <w:p>
      <w:pPr>
        <w:spacing w:after="0" w:line="211" w:lineRule="exact"/>
        <w:rPr>
          <w:rFonts w:ascii="Arial" w:cs="Arial" w:eastAsia="Arial" w:hAnsi="Arial"/>
          <w:sz w:val="18"/>
          <w:szCs w:val="18"/>
          <w:color w:val="auto"/>
        </w:rPr>
      </w:pPr>
    </w:p>
    <w:p>
      <w:pPr>
        <w:ind w:left="400" w:right="320" w:hanging="196"/>
        <w:spacing w:after="0" w:line="261" w:lineRule="auto"/>
        <w:tabs>
          <w:tab w:leader="none" w:pos="395" w:val="left"/>
        </w:tabs>
        <w:numPr>
          <w:ilvl w:val="0"/>
          <w:numId w:val="162"/>
        </w:numPr>
        <w:rPr>
          <w:rFonts w:ascii="Arial" w:cs="Arial" w:eastAsia="Arial" w:hAnsi="Arial"/>
          <w:sz w:val="18"/>
          <w:szCs w:val="18"/>
          <w:color w:val="auto"/>
        </w:rPr>
      </w:pPr>
      <w:r>
        <w:rPr>
          <w:rFonts w:ascii="Arial" w:cs="Arial" w:eastAsia="Arial" w:hAnsi="Arial"/>
          <w:sz w:val="18"/>
          <w:szCs w:val="18"/>
          <w:b w:val="1"/>
          <w:bCs w:val="1"/>
          <w:color w:val="auto"/>
        </w:rPr>
        <w:t xml:space="preserve">Stock Ownership. </w:t>
      </w:r>
      <w:r>
        <w:rPr>
          <w:rFonts w:ascii="Arial" w:cs="Arial" w:eastAsia="Arial" w:hAnsi="Arial"/>
          <w:sz w:val="18"/>
          <w:szCs w:val="18"/>
          <w:color w:val="auto"/>
        </w:rPr>
        <w:t>The Director owns, directly or indirectly, a significant amount of Company stock (including securities convertible</w:t>
      </w:r>
      <w:r>
        <w:rPr>
          <w:rFonts w:ascii="Arial" w:cs="Arial" w:eastAsia="Arial" w:hAnsi="Arial"/>
          <w:sz w:val="18"/>
          <w:szCs w:val="18"/>
          <w:b w:val="1"/>
          <w:bCs w:val="1"/>
          <w:color w:val="auto"/>
        </w:rPr>
        <w:t xml:space="preserve"> </w:t>
      </w:r>
      <w:r>
        <w:rPr>
          <w:rFonts w:ascii="Arial" w:cs="Arial" w:eastAsia="Arial" w:hAnsi="Arial"/>
          <w:sz w:val="18"/>
          <w:szCs w:val="18"/>
          <w:color w:val="auto"/>
        </w:rPr>
        <w:t>into Company stock).</w:t>
      </w:r>
    </w:p>
    <w:p>
      <w:pPr>
        <w:spacing w:after="0" w:line="174"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A "Family Member" is a Director's spouse, parents, children, siblings, mother- and father-in-law, sons- and daughters-in-law, brothers- and sisters-in-law, and anyone (other than domestic employees) who shares such Director's home.</w:t>
      </w:r>
    </w:p>
    <w:p>
      <w:pPr>
        <w:spacing w:after="0" w:line="190"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If a Director has a significant relationship with the Company that does not constitute a Safe Harbor Relationship, the determination of whether such relationship constitutes a "material relationship", and therefore whether the director qualifies as independent, should be made by the Board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based on the totality of circumstances. In addition, members of the Audit Committee are subject to additional standards relating to their independence.</w:t>
      </w:r>
    </w:p>
    <w:p>
      <w:pPr>
        <w:spacing w:after="0" w:line="341"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Appendix B</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Measures</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Proxy Statement includes presentations of Adjusted EBITDA, Adjusted Funds from Operations ("AFFO"), including per share amounts, Funds from Operations ("FFO"), including per share amounts, and Organic Contribution to Site Rental Billings (also referred to as organic revenue growth) which are non-GAAP financial measures. These non-GAAP financial measures are not intended as alternative measures of operating results or cash flow from operations (as determined in accordance with Generally Accepted Accounting Principles ("GAAP")).</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Our non-GAAP financial measures are presented as additional information because management believes these measures are useful indicators of the financial performance of our business. Among other things, management believes that:</w:t>
      </w:r>
    </w:p>
    <w:p>
      <w:pPr>
        <w:spacing w:after="0" w:line="189" w:lineRule="exact"/>
        <w:rPr>
          <w:sz w:val="20"/>
          <w:szCs w:val="20"/>
          <w:color w:val="auto"/>
        </w:rPr>
      </w:pPr>
    </w:p>
    <w:p>
      <w:pPr>
        <w:jc w:val="both"/>
        <w:ind w:left="640" w:hanging="316"/>
        <w:spacing w:after="0" w:line="248" w:lineRule="auto"/>
        <w:tabs>
          <w:tab w:leader="none" w:pos="63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Adjusted EBITDA is useful to investors or other interested parties in evaluating our financial performance. Adjusted EBITDA is a financial measure frequently used by management (1) to evaluate the economic productivity of our operations and (2) for purposes of making decisions about allocating resources to, and assessing the performance of, our operations. Management believes that Adjusted EBITDA helps investors or other interested parties meaningfully evaluate and compare the results of our operations (1) from period to period and (2) to our competitors, by removing the impact of our capital structure (primarily interest charges from our outstanding debt) and asset base (primarily depreciation, amortization and accretion) from our financial results. Management also believes Adjusted EBITDA is frequently used by investors or other interested parties in the evaluation of the towers sector and other REITs to measure financial performance without regard to items such as depreciation, amortization and accretion, which can vary depending upon accounting methods and the book value of assets. Adjusted EBITDA should be considered only as a supplement to net income (loss) computed in accordance with GAAP as a measure of our performance.</w:t>
      </w:r>
    </w:p>
    <w:p>
      <w:pPr>
        <w:spacing w:after="0" w:line="216" w:lineRule="exact"/>
        <w:rPr>
          <w:rFonts w:ascii="Arial" w:cs="Arial" w:eastAsia="Arial" w:hAnsi="Arial"/>
          <w:sz w:val="18"/>
          <w:szCs w:val="18"/>
          <w:color w:val="auto"/>
        </w:rPr>
      </w:pPr>
    </w:p>
    <w:p>
      <w:pPr>
        <w:jc w:val="both"/>
        <w:ind w:left="640" w:hanging="316"/>
        <w:spacing w:after="0" w:line="247" w:lineRule="auto"/>
        <w:tabs>
          <w:tab w:leader="none" w:pos="635" w:val="left"/>
        </w:tabs>
        <w:numPr>
          <w:ilvl w:val="0"/>
          <w:numId w:val="163"/>
        </w:numPr>
        <w:rPr>
          <w:rFonts w:ascii="Times New Roman" w:cs="Times New Roman" w:eastAsia="Times New Roman" w:hAnsi="Times New Roman"/>
          <w:sz w:val="18"/>
          <w:szCs w:val="18"/>
          <w:color w:val="auto"/>
        </w:rPr>
      </w:pPr>
      <w:r>
        <w:rPr>
          <w:rFonts w:ascii="Arial" w:cs="Arial" w:eastAsia="Arial" w:hAnsi="Arial"/>
          <w:sz w:val="18"/>
          <w:szCs w:val="18"/>
          <w:color w:val="auto"/>
        </w:rPr>
        <w:t>AFFO, including per share amounts, is useful to investors or other interested parties in evaluating our financial performance. Management believes that AFFO helps investors or other interested parties meaningfully evaluate our financial performance as it includes (1) the impact of our capital structure (primarily interest expense on our outstanding debt and dividends on our preferred stock (in periods where applicable)) and (2) sustaining capital expenditures, and excludes the impact of our (1) asset base (primarily depreciation, amortization and accretion) and (2) certain non-cash items, including straight-lined revenues and expenses related to fixed escalations and rent free periods. GAAP requires rental revenues and expenses related to leases that contain specified rental increases over the life of the lease to be recognized evenly over the life of the lease. In accordance with GAAP, if payment terms call for fixed escalations or rent free periods, the (1) revenues are recognized on a straight-lined basis over the fixed, non-cancelable term of the tenant contract and (2) expenses are recognized on a straight-lined basis over the estimated lease term including renewal options that are reasonably certain to be exercised. Management notes that Crown Castle uses AFFO only as a performance measure. AFFO should be considered only as a supplement to net income (loss) computed in accordance with GAAP as a measure of our performance and should not be considered as an alternative to cash flow from operations or as residual cash flow available for discretionary investment.</w:t>
      </w:r>
    </w:p>
    <w:p>
      <w:pPr>
        <w:spacing w:after="0" w:line="220" w:lineRule="exact"/>
        <w:rPr>
          <w:rFonts w:ascii="Times New Roman" w:cs="Times New Roman" w:eastAsia="Times New Roman" w:hAnsi="Times New Roman"/>
          <w:sz w:val="18"/>
          <w:szCs w:val="18"/>
          <w:color w:val="auto"/>
        </w:rPr>
      </w:pPr>
    </w:p>
    <w:p>
      <w:pPr>
        <w:jc w:val="both"/>
        <w:ind w:left="640" w:hanging="316"/>
        <w:spacing w:after="0" w:line="251" w:lineRule="auto"/>
        <w:tabs>
          <w:tab w:leader="none" w:pos="63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FFO, including per share amounts, is useful to investors or other interested parties in evaluating our financial performance. Management believes that FFO may be used by investors or other interested parties as a basis to compare our financial performance with that of other REITs. FFO helps investors or other interested parties meaningfully evaluate financial performance by excluding the impact of our asset base (primarily real estate depreciation, amortization and accretion). FFO is not a key performance indicator used by Crown Castle. FFO should be considered only as a supplement to net income (loss) computed in accordance with GAAP as a measure of our performance and should not be considered as an alternative to cash flow from operations.</w:t>
      </w:r>
    </w:p>
    <w:p>
      <w:pPr>
        <w:spacing w:after="0" w:line="209" w:lineRule="exact"/>
        <w:rPr>
          <w:rFonts w:ascii="Arial" w:cs="Arial" w:eastAsia="Arial" w:hAnsi="Arial"/>
          <w:sz w:val="18"/>
          <w:szCs w:val="18"/>
          <w:color w:val="auto"/>
        </w:rPr>
      </w:pPr>
    </w:p>
    <w:p>
      <w:pPr>
        <w:jc w:val="both"/>
        <w:ind w:left="640" w:hanging="316"/>
        <w:spacing w:after="0" w:line="259" w:lineRule="auto"/>
        <w:tabs>
          <w:tab w:leader="none" w:pos="63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Organic Contribution to Site Rental Billings (also referred to as organic revenue growth) is useful to investors or other interested parties in understanding the components of the year-over-year changes in our site rental revenues computed in accordance with GAAP. Management uses Organic Contribution to</w:t>
      </w:r>
    </w:p>
    <w:p>
      <w:pPr>
        <w:spacing w:after="0" w:line="339"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74" w:right="339" w:bottom="1440" w:gutter="0" w:footer="0" w:header="0"/>
        </w:sectPr>
      </w:pPr>
    </w:p>
    <w:bookmarkStart w:id="90" w:name="page91"/>
    <w:bookmarkEnd w:id="90"/>
    <w:p>
      <w:pPr>
        <w:jc w:val="both"/>
        <w:ind w:left="640"/>
        <w:spacing w:after="0" w:line="249" w:lineRule="auto"/>
        <w:rPr>
          <w:sz w:val="20"/>
          <w:szCs w:val="20"/>
          <w:color w:val="auto"/>
        </w:rPr>
      </w:pPr>
      <w:r>
        <w:rPr>
          <w:rFonts w:ascii="Arial" w:cs="Arial" w:eastAsia="Arial" w:hAnsi="Arial"/>
          <w:sz w:val="18"/>
          <w:szCs w:val="18"/>
          <w:color w:val="auto"/>
        </w:rPr>
        <w:t>Site Rental Billings to assess year-over-year growth rates for our rental activities, to evaluate current performance, to capture trends in rental rates, core leasing activities and tenant non-renewals in our core business, as well as to forecast future results. Separately, we are also disclosing Organic Contribution to Site Rental Billings as Adjusted for Impact of Sprint Cancellations, which is outside of ordinary course, to provide further insight into our results of operations and underlying trends. Management believes that identifying the impact of Sprint Cancellations provides increased transparency and comparability across periods. Organic Contribution to Site Rental Billings (including as Adjusted for Impact of Sprint Cancellations) is not meant as an alternative measure of revenue and should be considered only as a supplement in understanding and assessing the performance of our site rental revenues computed in accordance with GAAP.</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We define our non-GAAP financial measures as follows:</w:t>
      </w:r>
    </w:p>
    <w:p>
      <w:pPr>
        <w:spacing w:after="0" w:line="243" w:lineRule="exact"/>
        <w:rPr>
          <w:sz w:val="20"/>
          <w:szCs w:val="20"/>
          <w:color w:val="auto"/>
        </w:rPr>
      </w:pPr>
    </w:p>
    <w:p>
      <w:pPr>
        <w:jc w:val="both"/>
        <w:ind w:firstLine="211"/>
        <w:spacing w:after="0" w:line="251" w:lineRule="auto"/>
        <w:rPr>
          <w:sz w:val="20"/>
          <w:szCs w:val="20"/>
          <w:color w:val="auto"/>
        </w:rPr>
      </w:pPr>
      <w:r>
        <w:rPr>
          <w:rFonts w:ascii="Arial" w:cs="Arial" w:eastAsia="Arial" w:hAnsi="Arial"/>
          <w:sz w:val="18"/>
          <w:szCs w:val="18"/>
          <w:i w:val="1"/>
          <w:iCs w:val="1"/>
          <w:color w:val="auto"/>
        </w:rPr>
        <w:t>Adjusted EBITDA</w:t>
      </w:r>
      <w:r>
        <w:rPr>
          <w:rFonts w:ascii="Arial" w:cs="Arial" w:eastAsia="Arial" w:hAnsi="Arial"/>
          <w:sz w:val="18"/>
          <w:szCs w:val="18"/>
          <w:color w:val="auto"/>
        </w:rPr>
        <w:t>. We define Adjusted EBITDA as net income (loss) plus restructuring charges (credits), asset write-down charges, goodwill</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charges, acquisition and integration costs, depreciation, amortization and accretion, amortization of prepaid lease purchase price adjustments, interest expense and amortization of deferred financing costs, net, (gains) losses on retirement of long-term obligations, net (gain) loss on interest rate swaps, (gains) losses on foreign currency swaps, impairment of available -for-sale securities, interest income, other (income) expense, (benefit) provision for income taxes, (income) loss from discontinued operations, net of tax, cumulative effect of a change in accounting principle and stock-based compensation expense, net.</w:t>
      </w:r>
    </w:p>
    <w:p>
      <w:pPr>
        <w:spacing w:after="0" w:line="210"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i w:val="1"/>
          <w:iCs w:val="1"/>
          <w:color w:val="auto"/>
        </w:rPr>
        <w:t>AFFO</w:t>
      </w:r>
      <w:r>
        <w:rPr>
          <w:rFonts w:ascii="Arial" w:cs="Arial" w:eastAsia="Arial" w:hAnsi="Arial"/>
          <w:sz w:val="18"/>
          <w:szCs w:val="18"/>
          <w:color w:val="auto"/>
        </w:rPr>
        <w:t>. We define AFFO as FFO before straight-lined revenues, straight-lined expenses, stock-based compensation expense, net, non-cash</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tax provision, non-real estate related depreciation, amortization and accretion, amortization of non-cash interest expense, other (income) expense, (gains) losses on retirement of long-term obligations, net (gain) loss on interest rate swaps, (gains) losses on foreign currency swaps, impairment of available-for-sale securities, acquisition and integration costs, restructuring charges (credits), cumulative effect of a change in accounting principle and adjustments for noncontrolling interests, less sustaining capital expenditures.</w:t>
      </w:r>
    </w:p>
    <w:p>
      <w:pPr>
        <w:spacing w:after="0" w:line="2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AFFO per share</w:t>
      </w:r>
      <w:r>
        <w:rPr>
          <w:rFonts w:ascii="Arial" w:cs="Arial" w:eastAsia="Arial" w:hAnsi="Arial"/>
          <w:sz w:val="18"/>
          <w:szCs w:val="18"/>
          <w:color w:val="auto"/>
        </w:rPr>
        <w:t>. We define AFFO per share as AFFO divided by diluted weighted-average common shares outstanding.</w:t>
      </w:r>
    </w:p>
    <w:p>
      <w:pPr>
        <w:spacing w:after="0" w:line="243" w:lineRule="exact"/>
        <w:rPr>
          <w:sz w:val="20"/>
          <w:szCs w:val="20"/>
          <w:color w:val="auto"/>
        </w:rPr>
      </w:pPr>
    </w:p>
    <w:p>
      <w:pPr>
        <w:jc w:val="both"/>
        <w:ind w:firstLine="302"/>
        <w:spacing w:after="0" w:line="259" w:lineRule="auto"/>
        <w:rPr>
          <w:sz w:val="20"/>
          <w:szCs w:val="20"/>
          <w:color w:val="auto"/>
        </w:rPr>
      </w:pPr>
      <w:r>
        <w:rPr>
          <w:rFonts w:ascii="Arial" w:cs="Arial" w:eastAsia="Arial" w:hAnsi="Arial"/>
          <w:sz w:val="18"/>
          <w:szCs w:val="18"/>
          <w:i w:val="1"/>
          <w:iCs w:val="1"/>
          <w:color w:val="auto"/>
        </w:rPr>
        <w:t>FFO</w:t>
      </w:r>
      <w:r>
        <w:rPr>
          <w:rFonts w:ascii="Arial" w:cs="Arial" w:eastAsia="Arial" w:hAnsi="Arial"/>
          <w:sz w:val="18"/>
          <w:szCs w:val="18"/>
          <w:color w:val="auto"/>
        </w:rPr>
        <w:t>. We define FFO as net income (loss) plus real estate related depreciation, amortization and accretion, asset write-down charges,</w:t>
      </w:r>
      <w:r>
        <w:rPr>
          <w:rFonts w:ascii="Arial" w:cs="Arial" w:eastAsia="Arial" w:hAnsi="Arial"/>
          <w:sz w:val="18"/>
          <w:szCs w:val="18"/>
          <w:i w:val="1"/>
          <w:iCs w:val="1"/>
          <w:color w:val="auto"/>
        </w:rPr>
        <w:t xml:space="preserve"> </w:t>
      </w:r>
      <w:r>
        <w:rPr>
          <w:rFonts w:ascii="Arial" w:cs="Arial" w:eastAsia="Arial" w:hAnsi="Arial"/>
          <w:sz w:val="18"/>
          <w:szCs w:val="18"/>
          <w:color w:val="auto"/>
        </w:rPr>
        <w:t>goodwill impairment charges and (income) loss from discontinued operations, net of tax, less noncontrolling interest and cash paid for preferred stock dividends (in periods where applicable), and is a measure of funds from operations attributable to common stockholders.</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FFO per share</w:t>
      </w:r>
      <w:r>
        <w:rPr>
          <w:rFonts w:ascii="Arial" w:cs="Arial" w:eastAsia="Arial" w:hAnsi="Arial"/>
          <w:sz w:val="18"/>
          <w:szCs w:val="18"/>
          <w:color w:val="auto"/>
        </w:rPr>
        <w:t>. We define FFO per share as FFO divided by diluted weighted-average common shares outstanding.</w:t>
      </w:r>
    </w:p>
    <w:p>
      <w:pPr>
        <w:spacing w:after="0" w:line="243" w:lineRule="exact"/>
        <w:rPr>
          <w:sz w:val="20"/>
          <w:szCs w:val="20"/>
          <w:color w:val="auto"/>
        </w:rPr>
      </w:pPr>
    </w:p>
    <w:p>
      <w:pPr>
        <w:jc w:val="both"/>
        <w:ind w:firstLine="635"/>
        <w:spacing w:after="0" w:line="274" w:lineRule="auto"/>
        <w:rPr>
          <w:sz w:val="20"/>
          <w:szCs w:val="20"/>
          <w:color w:val="auto"/>
        </w:rPr>
      </w:pPr>
      <w:r>
        <w:rPr>
          <w:rFonts w:ascii="Arial" w:cs="Arial" w:eastAsia="Arial" w:hAnsi="Arial"/>
          <w:sz w:val="17"/>
          <w:szCs w:val="17"/>
          <w:i w:val="1"/>
          <w:iCs w:val="1"/>
          <w:color w:val="auto"/>
        </w:rPr>
        <w:t>Organic Contribution to Site Rental Billings</w:t>
      </w:r>
      <w:r>
        <w:rPr>
          <w:rFonts w:ascii="Arial" w:cs="Arial" w:eastAsia="Arial" w:hAnsi="Arial"/>
          <w:sz w:val="17"/>
          <w:szCs w:val="17"/>
          <w:color w:val="auto"/>
        </w:rPr>
        <w:t>. We define Organic Contribution to Site Rental Billings (also referred to as organic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growth) as the sum of the change in site rental revenues related to core leasing activity, escalators and other billings, less non-renewals of tenant contracts and non-renewals associated with Sprint Cancellations. Additionally, Organic Contribution to Site Rental Billings as Adjusted for Impact of Sprint Cancellations reflects Organic Contribution to Site Rental Billings plus non-renewals associated with Sprint Cancellations.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Other definitions:</w:t>
      </w:r>
    </w:p>
    <w:p>
      <w:pPr>
        <w:spacing w:after="0" w:line="243" w:lineRule="exact"/>
        <w:rPr>
          <w:sz w:val="20"/>
          <w:szCs w:val="20"/>
          <w:color w:val="auto"/>
        </w:rPr>
      </w:pPr>
    </w:p>
    <w:p>
      <w:pPr>
        <w:jc w:val="both"/>
        <w:ind w:firstLine="635"/>
        <w:spacing w:after="0" w:line="259" w:lineRule="auto"/>
        <w:rPr>
          <w:sz w:val="20"/>
          <w:szCs w:val="20"/>
          <w:color w:val="auto"/>
        </w:rPr>
      </w:pPr>
      <w:r>
        <w:rPr>
          <w:rFonts w:ascii="Arial" w:cs="Arial" w:eastAsia="Arial" w:hAnsi="Arial"/>
          <w:sz w:val="18"/>
          <w:szCs w:val="18"/>
          <w:i w:val="1"/>
          <w:iCs w:val="1"/>
          <w:color w:val="auto"/>
        </w:rPr>
        <w:t>Site rental billings</w:t>
      </w:r>
      <w:r>
        <w:rPr>
          <w:rFonts w:ascii="Arial" w:cs="Arial" w:eastAsia="Arial" w:hAnsi="Arial"/>
          <w:sz w:val="18"/>
          <w:szCs w:val="18"/>
          <w:color w:val="auto"/>
        </w:rPr>
        <w:t>. We define site rental billings as site rental revenues exclusive of the impacts from (1) straight-lined revenues, (2)</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of prepaid rent in accordance with GAAP, (3) contribution from recent acquisitions until the one-year anniversary of such acquisitions and (4) other revenues, such as tenant cancellation fees, finance charges and other items.</w:t>
      </w:r>
    </w:p>
    <w:p>
      <w:pPr>
        <w:spacing w:after="0" w:line="200" w:lineRule="exact"/>
        <w:rPr>
          <w:sz w:val="20"/>
          <w:szCs w:val="20"/>
          <w:color w:val="auto"/>
        </w:rPr>
      </w:pPr>
    </w:p>
    <w:p>
      <w:pPr>
        <w:spacing w:after="0" w:line="378"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91" w:name="page92"/>
    <w:bookmarkEnd w:id="91"/>
    <w:p>
      <w:pPr>
        <w:jc w:val="both"/>
        <w:ind w:firstLine="635"/>
        <w:spacing w:after="0" w:line="259" w:lineRule="auto"/>
        <w:rPr>
          <w:sz w:val="20"/>
          <w:szCs w:val="20"/>
          <w:color w:val="auto"/>
        </w:rPr>
      </w:pPr>
      <w:r>
        <w:rPr>
          <w:rFonts w:ascii="Arial" w:cs="Arial" w:eastAsia="Arial" w:hAnsi="Arial"/>
          <w:sz w:val="18"/>
          <w:szCs w:val="18"/>
          <w:i w:val="1"/>
          <w:iCs w:val="1"/>
          <w:color w:val="auto"/>
        </w:rPr>
        <w:t xml:space="preserve">Core leasing activity. </w:t>
      </w:r>
      <w:r>
        <w:rPr>
          <w:rFonts w:ascii="Arial" w:cs="Arial" w:eastAsia="Arial" w:hAnsi="Arial"/>
          <w:sz w:val="18"/>
          <w:szCs w:val="18"/>
          <w:color w:val="auto"/>
        </w:rPr>
        <w:t>We define core leasing activity as site rental revenues growth from tenant additions and renewals or extensions of</w:t>
      </w:r>
      <w:r>
        <w:rPr>
          <w:rFonts w:ascii="Arial" w:cs="Arial" w:eastAsia="Arial" w:hAnsi="Arial"/>
          <w:sz w:val="18"/>
          <w:szCs w:val="18"/>
          <w:i w:val="1"/>
          <w:iCs w:val="1"/>
          <w:color w:val="auto"/>
        </w:rPr>
        <w:t xml:space="preserve"> </w:t>
      </w:r>
      <w:r>
        <w:rPr>
          <w:rFonts w:ascii="Arial" w:cs="Arial" w:eastAsia="Arial" w:hAnsi="Arial"/>
          <w:sz w:val="18"/>
          <w:szCs w:val="18"/>
          <w:color w:val="auto"/>
        </w:rPr>
        <w:t>tenant contracts, exclusive of (1) the impacts from both straight-lined revenues and amortization of prepaid rent in accordance with GAAP and (2) other revenues.</w:t>
      </w:r>
    </w:p>
    <w:p>
      <w:pPr>
        <w:spacing w:after="0" w:line="203" w:lineRule="exact"/>
        <w:rPr>
          <w:sz w:val="20"/>
          <w:szCs w:val="20"/>
          <w:color w:val="auto"/>
        </w:rPr>
      </w:pPr>
    </w:p>
    <w:p>
      <w:pPr>
        <w:jc w:val="both"/>
        <w:ind w:firstLine="635"/>
        <w:spacing w:after="0" w:line="274" w:lineRule="auto"/>
        <w:rPr>
          <w:sz w:val="20"/>
          <w:szCs w:val="20"/>
          <w:color w:val="auto"/>
        </w:rPr>
      </w:pPr>
      <w:r>
        <w:rPr>
          <w:rFonts w:ascii="Arial" w:cs="Arial" w:eastAsia="Arial" w:hAnsi="Arial"/>
          <w:sz w:val="18"/>
          <w:szCs w:val="18"/>
          <w:i w:val="1"/>
          <w:iCs w:val="1"/>
          <w:color w:val="auto"/>
        </w:rPr>
        <w:t>Other billings</w:t>
      </w:r>
      <w:r>
        <w:rPr>
          <w:rFonts w:ascii="Arial" w:cs="Arial" w:eastAsia="Arial" w:hAnsi="Arial"/>
          <w:sz w:val="18"/>
          <w:szCs w:val="18"/>
          <w:color w:val="auto"/>
        </w:rPr>
        <w:t>. We define other billings as the growth or reduction in site rental revenues as a result of non-recurring contractual billings</w:t>
      </w:r>
      <w:r>
        <w:rPr>
          <w:rFonts w:ascii="Arial" w:cs="Arial" w:eastAsia="Arial" w:hAnsi="Arial"/>
          <w:sz w:val="18"/>
          <w:szCs w:val="18"/>
          <w:i w:val="1"/>
          <w:iCs w:val="1"/>
          <w:color w:val="auto"/>
        </w:rPr>
        <w:t xml:space="preserve"> </w:t>
      </w:r>
      <w:r>
        <w:rPr>
          <w:rFonts w:ascii="Arial" w:cs="Arial" w:eastAsia="Arial" w:hAnsi="Arial"/>
          <w:sz w:val="18"/>
          <w:szCs w:val="18"/>
          <w:color w:val="auto"/>
        </w:rPr>
        <w:t>and adjustments, expense recoveries, sales credits and other amounts not captured in core leasing activity.</w:t>
      </w:r>
    </w:p>
    <w:p>
      <w:pPr>
        <w:spacing w:after="0" w:line="189" w:lineRule="exact"/>
        <w:rPr>
          <w:sz w:val="20"/>
          <w:szCs w:val="20"/>
          <w:color w:val="auto"/>
        </w:rPr>
      </w:pPr>
    </w:p>
    <w:p>
      <w:pPr>
        <w:jc w:val="both"/>
        <w:ind w:firstLine="635"/>
        <w:spacing w:after="0" w:line="259" w:lineRule="auto"/>
        <w:rPr>
          <w:sz w:val="20"/>
          <w:szCs w:val="20"/>
          <w:color w:val="auto"/>
        </w:rPr>
      </w:pPr>
      <w:r>
        <w:rPr>
          <w:rFonts w:ascii="Arial" w:cs="Arial" w:eastAsia="Arial" w:hAnsi="Arial"/>
          <w:sz w:val="18"/>
          <w:szCs w:val="18"/>
          <w:i w:val="1"/>
          <w:iCs w:val="1"/>
          <w:color w:val="auto"/>
        </w:rPr>
        <w:t>Non-renewals</w:t>
      </w:r>
      <w:r>
        <w:rPr>
          <w:rFonts w:ascii="Arial" w:cs="Arial" w:eastAsia="Arial" w:hAnsi="Arial"/>
          <w:sz w:val="18"/>
          <w:szCs w:val="18"/>
          <w:color w:val="auto"/>
        </w:rPr>
        <w:t>. We define non-renewals of tenant contracts as the reduction in site rental revenues as a result of tenant churn,</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terminations and, in limited circumstances, reductions of existing lease rates, exclusive of non-renewals associated with Sprint Cancellations, where applicable.</w:t>
      </w:r>
    </w:p>
    <w:p>
      <w:pPr>
        <w:spacing w:after="0" w:line="203" w:lineRule="exact"/>
        <w:rPr>
          <w:sz w:val="20"/>
          <w:szCs w:val="20"/>
          <w:color w:val="auto"/>
        </w:rPr>
      </w:pPr>
    </w:p>
    <w:p>
      <w:pPr>
        <w:jc w:val="both"/>
        <w:ind w:firstLine="635"/>
        <w:spacing w:after="0" w:line="259" w:lineRule="auto"/>
        <w:rPr>
          <w:sz w:val="20"/>
          <w:szCs w:val="20"/>
          <w:color w:val="auto"/>
        </w:rPr>
      </w:pPr>
      <w:r>
        <w:rPr>
          <w:rFonts w:ascii="Arial" w:cs="Arial" w:eastAsia="Arial" w:hAnsi="Arial"/>
          <w:sz w:val="18"/>
          <w:szCs w:val="18"/>
          <w:i w:val="1"/>
          <w:iCs w:val="1"/>
          <w:color w:val="auto"/>
        </w:rPr>
        <w:t>Return on Invested Capital</w:t>
      </w:r>
      <w:r>
        <w:rPr>
          <w:rFonts w:ascii="Arial" w:cs="Arial" w:eastAsia="Arial" w:hAnsi="Arial"/>
          <w:sz w:val="18"/>
          <w:szCs w:val="18"/>
          <w:color w:val="auto"/>
        </w:rPr>
        <w:t>. We define Return on Invested Capital as Adjusted EBITDA less cash taxes paid, divided by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gross investment in (1) property and equipment (excluding the impact of construction in process), (2) site rental contracts and tenant relationships and (3) goodwill.</w:t>
      </w:r>
    </w:p>
    <w:p>
      <w:pPr>
        <w:spacing w:after="0" w:line="203" w:lineRule="exact"/>
        <w:rPr>
          <w:sz w:val="20"/>
          <w:szCs w:val="20"/>
          <w:color w:val="auto"/>
        </w:rPr>
      </w:pPr>
    </w:p>
    <w:p>
      <w:pPr>
        <w:jc w:val="both"/>
        <w:ind w:firstLine="635"/>
        <w:spacing w:after="0" w:line="274" w:lineRule="auto"/>
        <w:rPr>
          <w:sz w:val="20"/>
          <w:szCs w:val="20"/>
          <w:color w:val="auto"/>
        </w:rPr>
      </w:pPr>
      <w:r>
        <w:rPr>
          <w:rFonts w:ascii="Arial" w:cs="Arial" w:eastAsia="Arial" w:hAnsi="Arial"/>
          <w:sz w:val="18"/>
          <w:szCs w:val="18"/>
          <w:i w:val="1"/>
          <w:iCs w:val="1"/>
          <w:color w:val="auto"/>
        </w:rPr>
        <w:t>Sprint Cancellations</w:t>
      </w:r>
      <w:r>
        <w:rPr>
          <w:rFonts w:ascii="Arial" w:cs="Arial" w:eastAsia="Arial" w:hAnsi="Arial"/>
          <w:sz w:val="18"/>
          <w:szCs w:val="18"/>
          <w:color w:val="auto"/>
        </w:rPr>
        <w:t>. We define Sprint Cancellations as lease cancellations related to the previously disclosed T-Mobile US, Inc. and</w:t>
      </w:r>
      <w:r>
        <w:rPr>
          <w:rFonts w:ascii="Arial" w:cs="Arial" w:eastAsia="Arial" w:hAnsi="Arial"/>
          <w:sz w:val="18"/>
          <w:szCs w:val="18"/>
          <w:i w:val="1"/>
          <w:iCs w:val="1"/>
          <w:color w:val="auto"/>
        </w:rPr>
        <w:t xml:space="preserve"> </w:t>
      </w:r>
      <w:r>
        <w:rPr>
          <w:rFonts w:ascii="Arial" w:cs="Arial" w:eastAsia="Arial" w:hAnsi="Arial"/>
          <w:sz w:val="18"/>
          <w:szCs w:val="18"/>
          <w:color w:val="auto"/>
        </w:rPr>
        <w:t>Sprint network consolidation as described in our press release dated April 19, 2023.</w:t>
      </w:r>
    </w:p>
    <w:p>
      <w:pPr>
        <w:spacing w:after="0" w:line="189" w:lineRule="exact"/>
        <w:rPr>
          <w:sz w:val="20"/>
          <w:szCs w:val="20"/>
          <w:color w:val="auto"/>
        </w:rPr>
      </w:pPr>
    </w:p>
    <w:p>
      <w:pPr>
        <w:jc w:val="both"/>
        <w:ind w:firstLine="635"/>
        <w:spacing w:after="0" w:line="268" w:lineRule="auto"/>
        <w:rPr>
          <w:sz w:val="20"/>
          <w:szCs w:val="20"/>
          <w:color w:val="auto"/>
        </w:rPr>
      </w:pPr>
      <w:r>
        <w:rPr>
          <w:rFonts w:ascii="Arial" w:cs="Arial" w:eastAsia="Arial" w:hAnsi="Arial"/>
          <w:sz w:val="17"/>
          <w:szCs w:val="17"/>
          <w:i w:val="1"/>
          <w:iCs w:val="1"/>
          <w:color w:val="auto"/>
        </w:rPr>
        <w:t>Fiber Business</w:t>
      </w:r>
      <w:r>
        <w:rPr>
          <w:rFonts w:ascii="Arial" w:cs="Arial" w:eastAsia="Arial" w:hAnsi="Arial"/>
          <w:sz w:val="17"/>
          <w:szCs w:val="17"/>
          <w:color w:val="auto"/>
        </w:rPr>
        <w:t>. We define Fiber Business as the historically reported Fiber segment, prior to its reclassification to discontinued</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together with certain supporting assets and personnel. Management has signed an agreement to sell the Fiber Business ("Strategic Fiber Agreement"), with EQT Active Core Infrastructure fund acquiring the small cells business and Zayo Group Holdings Inc. acquiring the fiber solutions business, for $8.5 billion in aggregate, subject to certain closing adjustments. The Strategic Fiber Transaction is expected to close in the first half of 2026, subject to certain closing conditions and required government and regulatory approvals. Pending the closing of the Strategic Fiber Transaction, we will continue to operate the Fiber Business in accordance with the Strategic Fiber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 of Non-GAAP Financial Measures: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Reconciliation of Historical Adjusted EBITDA:</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7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4"/>
          </w:tcPr>
          <w:p>
            <w:pPr>
              <w:jc w:val="right"/>
              <w:ind w:right="801"/>
              <w:spacing w:after="0"/>
              <w:rPr>
                <w:sz w:val="20"/>
                <w:szCs w:val="20"/>
                <w:color w:val="auto"/>
              </w:rPr>
            </w:pPr>
            <w:r>
              <w:rPr>
                <w:rFonts w:ascii="Times New Roman" w:cs="Times New Roman" w:eastAsia="Times New Roman" w:hAnsi="Times New Roman"/>
                <w:sz w:val="16"/>
                <w:szCs w:val="16"/>
                <w:color w:val="auto"/>
              </w:rPr>
              <w:t>For the Twelve Months Ended</w:t>
            </w:r>
          </w:p>
        </w:tc>
      </w:tr>
      <w:tr>
        <w:trPr>
          <w:trHeight w:val="206"/>
        </w:trPr>
        <w:tc>
          <w:tcPr>
            <w:tcW w:w="75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millions; totals may not sum due to rounding)</w:t>
            </w:r>
          </w:p>
        </w:tc>
        <w:tc>
          <w:tcPr>
            <w:tcW w:w="180" w:type="dxa"/>
            <w:vAlign w:val="bottom"/>
          </w:tcPr>
          <w:p>
            <w:pPr>
              <w:spacing w:after="0"/>
              <w:rPr>
                <w:sz w:val="17"/>
                <w:szCs w:val="17"/>
                <w:color w:val="auto"/>
              </w:rPr>
            </w:pP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December 31, 2025</w:t>
            </w:r>
          </w:p>
        </w:tc>
        <w:tc>
          <w:tcPr>
            <w:tcW w:w="180" w:type="dxa"/>
            <w:vAlign w:val="bottom"/>
          </w:tcPr>
          <w:p>
            <w:pPr>
              <w:spacing w:after="0"/>
              <w:rPr>
                <w:sz w:val="17"/>
                <w:szCs w:val="17"/>
                <w:color w:val="auto"/>
              </w:rPr>
            </w:pPr>
          </w:p>
        </w:tc>
        <w:tc>
          <w:tcPr>
            <w:tcW w:w="160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December 31, 2024</w:t>
            </w:r>
          </w:p>
        </w:tc>
      </w:tr>
      <w:tr>
        <w:trPr>
          <w:trHeight w:val="205"/>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(3,903)</w:t>
            </w:r>
          </w:p>
        </w:tc>
      </w:tr>
      <w:tr>
        <w:trPr>
          <w:trHeight w:val="211"/>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Adjustments to increase (decrease) net income (loss):</w:t>
            </w: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2"/>
        </w:trPr>
        <w:tc>
          <w:tcPr>
            <w:tcW w:w="7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Asset write-down charges</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2"/>
        </w:trPr>
        <w:tc>
          <w:tcPr>
            <w:tcW w:w="7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w:t>
            </w:r>
          </w:p>
        </w:tc>
      </w:tr>
      <w:tr>
        <w:trPr>
          <w:trHeight w:val="212"/>
        </w:trPr>
        <w:tc>
          <w:tcPr>
            <w:tcW w:w="7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Restructuring charges</w:t>
            </w:r>
          </w:p>
        </w:tc>
        <w:tc>
          <w:tcPr>
            <w:tcW w:w="18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12"/>
        </w:trPr>
        <w:tc>
          <w:tcPr>
            <w:tcW w:w="7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prepaid lease purchase price adjustments</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2"/>
        </w:trPr>
        <w:tc>
          <w:tcPr>
            <w:tcW w:w="7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expense and amortization of deferred financing costs, net</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w:t>
            </w:r>
          </w:p>
        </w:tc>
      </w:tr>
      <w:tr>
        <w:trPr>
          <w:trHeight w:val="212"/>
        </w:trPr>
        <w:tc>
          <w:tcPr>
            <w:tcW w:w="7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income</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2"/>
        </w:trPr>
        <w:tc>
          <w:tcPr>
            <w:tcW w:w="7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(income) expense</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2"/>
        </w:trPr>
        <w:tc>
          <w:tcPr>
            <w:tcW w:w="7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2"/>
        </w:trPr>
        <w:tc>
          <w:tcPr>
            <w:tcW w:w="7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 net</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14"/>
        </w:trPr>
        <w:tc>
          <w:tcPr>
            <w:tcW w:w="7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loss from discontinued operations, net of tax</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5,065</w:t>
            </w:r>
          </w:p>
        </w:tc>
      </w:tr>
      <w:tr>
        <w:trPr>
          <w:trHeight w:val="207"/>
        </w:trPr>
        <w:tc>
          <w:tcPr>
            <w:tcW w:w="754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2,863</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3,035</w:t>
            </w:r>
          </w:p>
        </w:tc>
      </w:tr>
      <w:tr>
        <w:trPr>
          <w:trHeight w:val="20"/>
        </w:trPr>
        <w:tc>
          <w:tcPr>
            <w:tcW w:w="7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92" w:name="page93"/>
    <w:bookmarkEnd w:id="9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Reconciliation of Historical FFO and AFFO:</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7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4"/>
          </w:tcPr>
          <w:p>
            <w:pPr>
              <w:jc w:val="right"/>
              <w:ind w:right="801"/>
              <w:spacing w:after="0"/>
              <w:rPr>
                <w:sz w:val="20"/>
                <w:szCs w:val="20"/>
                <w:color w:val="auto"/>
              </w:rPr>
            </w:pPr>
            <w:r>
              <w:rPr>
                <w:rFonts w:ascii="Times New Roman" w:cs="Times New Roman" w:eastAsia="Times New Roman" w:hAnsi="Times New Roman"/>
                <w:sz w:val="16"/>
                <w:szCs w:val="16"/>
                <w:color w:val="auto"/>
              </w:rPr>
              <w:t>For the Twelve Months Ended</w:t>
            </w:r>
          </w:p>
        </w:tc>
        <w:tc>
          <w:tcPr>
            <w:tcW w:w="0" w:type="dxa"/>
            <w:vAlign w:val="bottom"/>
          </w:tcPr>
          <w:p>
            <w:pPr>
              <w:spacing w:after="0"/>
              <w:rPr>
                <w:sz w:val="1"/>
                <w:szCs w:val="1"/>
                <w:color w:val="auto"/>
              </w:rPr>
            </w:pPr>
          </w:p>
        </w:tc>
      </w:tr>
      <w:tr>
        <w:trPr>
          <w:trHeight w:val="206"/>
        </w:trPr>
        <w:tc>
          <w:tcPr>
            <w:tcW w:w="75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millions, totals may not sum due to rounding)</w:t>
            </w:r>
          </w:p>
        </w:tc>
        <w:tc>
          <w:tcPr>
            <w:tcW w:w="180" w:type="dxa"/>
            <w:vAlign w:val="bottom"/>
          </w:tcPr>
          <w:p>
            <w:pPr>
              <w:spacing w:after="0"/>
              <w:rPr>
                <w:sz w:val="17"/>
                <w:szCs w:val="17"/>
                <w:color w:val="auto"/>
              </w:rPr>
            </w:pP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December 31, 2025</w:t>
            </w:r>
          </w:p>
        </w:tc>
        <w:tc>
          <w:tcPr>
            <w:tcW w:w="180" w:type="dxa"/>
            <w:vAlign w:val="bottom"/>
          </w:tcPr>
          <w:p>
            <w:pPr>
              <w:spacing w:after="0"/>
              <w:rPr>
                <w:sz w:val="17"/>
                <w:szCs w:val="17"/>
                <w:color w:val="auto"/>
              </w:rPr>
            </w:pPr>
          </w:p>
        </w:tc>
        <w:tc>
          <w:tcPr>
            <w:tcW w:w="160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December 31, 2024</w:t>
            </w:r>
          </w:p>
        </w:tc>
        <w:tc>
          <w:tcPr>
            <w:tcW w:w="0" w:type="dxa"/>
            <w:vAlign w:val="bottom"/>
          </w:tcPr>
          <w:p>
            <w:pPr>
              <w:spacing w:after="0"/>
              <w:rPr>
                <w:sz w:val="1"/>
                <w:szCs w:val="1"/>
                <w:color w:val="auto"/>
              </w:rPr>
            </w:pPr>
          </w:p>
        </w:tc>
      </w:tr>
      <w:tr>
        <w:trPr>
          <w:trHeight w:val="205"/>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(3,903)</w:t>
            </w:r>
          </w:p>
        </w:tc>
        <w:tc>
          <w:tcPr>
            <w:tcW w:w="0" w:type="dxa"/>
            <w:vAlign w:val="bottom"/>
          </w:tcPr>
          <w:p>
            <w:pPr>
              <w:spacing w:after="0"/>
              <w:rPr>
                <w:sz w:val="1"/>
                <w:szCs w:val="1"/>
                <w:color w:val="auto"/>
              </w:rPr>
            </w:pPr>
          </w:p>
        </w:tc>
      </w:tr>
      <w:tr>
        <w:trPr>
          <w:trHeight w:val="211"/>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Real estate related depreciation, amortization and accretion</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0" w:type="dxa"/>
            <w:vAlign w:val="bottom"/>
          </w:tcPr>
          <w:p>
            <w:pPr>
              <w:spacing w:after="0"/>
              <w:rPr>
                <w:sz w:val="1"/>
                <w:szCs w:val="1"/>
                <w:color w:val="auto"/>
              </w:rPr>
            </w:pPr>
          </w:p>
        </w:tc>
      </w:tr>
      <w:tr>
        <w:trPr>
          <w:trHeight w:val="212"/>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Asset write-down charges</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32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(Income) loss from discontinued operations, net of tax</w:t>
            </w:r>
          </w:p>
        </w:tc>
        <w:tc>
          <w:tcPr>
            <w:tcW w:w="1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5,065</w:t>
            </w:r>
          </w:p>
        </w:tc>
        <w:tc>
          <w:tcPr>
            <w:tcW w:w="0" w:type="dxa"/>
            <w:vAlign w:val="bottom"/>
          </w:tcPr>
          <w:p>
            <w:pPr>
              <w:spacing w:after="0"/>
              <w:rPr>
                <w:sz w:val="1"/>
                <w:szCs w:val="1"/>
                <w:color w:val="auto"/>
              </w:rPr>
            </w:pPr>
          </w:p>
        </w:tc>
      </w:tr>
      <w:tr>
        <w:trPr>
          <w:trHeight w:val="207"/>
        </w:trPr>
        <w:tc>
          <w:tcPr>
            <w:tcW w:w="75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FFO</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1,764</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1,863</w:t>
            </w:r>
          </w:p>
        </w:tc>
        <w:tc>
          <w:tcPr>
            <w:tcW w:w="0" w:type="dxa"/>
            <w:vAlign w:val="bottom"/>
          </w:tcPr>
          <w:p>
            <w:pPr>
              <w:spacing w:after="0"/>
              <w:rPr>
                <w:sz w:val="1"/>
                <w:szCs w:val="1"/>
                <w:color w:val="auto"/>
              </w:rPr>
            </w:pPr>
          </w:p>
        </w:tc>
      </w:tr>
      <w:tr>
        <w:trPr>
          <w:trHeight w:val="20"/>
        </w:trPr>
        <w:tc>
          <w:tcPr>
            <w:tcW w:w="754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auto"/>
              </w:rPr>
              <w:t>Weighted-average common shares outstanding—diluted</w:t>
            </w: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4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0" w:type="dxa"/>
            <w:vAlign w:val="bottom"/>
          </w:tcPr>
          <w:p>
            <w:pPr>
              <w:spacing w:after="0"/>
              <w:rPr>
                <w:sz w:val="1"/>
                <w:szCs w:val="1"/>
                <w:color w:val="auto"/>
              </w:rPr>
            </w:pPr>
          </w:p>
        </w:tc>
      </w:tr>
      <w:tr>
        <w:trPr>
          <w:trHeight w:val="401"/>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FFO (from above)</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1,764</w:t>
            </w:r>
          </w:p>
        </w:tc>
        <w:tc>
          <w:tcPr>
            <w:tcW w:w="120" w:type="dxa"/>
            <w:vAlign w:val="bottom"/>
          </w:tcPr>
          <w:p>
            <w:pPr>
              <w:spacing w:after="0"/>
              <w:rPr>
                <w:sz w:val="24"/>
                <w:szCs w:val="24"/>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1,863</w:t>
            </w:r>
          </w:p>
        </w:tc>
        <w:tc>
          <w:tcPr>
            <w:tcW w:w="0" w:type="dxa"/>
            <w:vAlign w:val="bottom"/>
          </w:tcPr>
          <w:p>
            <w:pPr>
              <w:spacing w:after="0"/>
              <w:rPr>
                <w:sz w:val="1"/>
                <w:szCs w:val="1"/>
                <w:color w:val="auto"/>
              </w:rPr>
            </w:pPr>
          </w:p>
        </w:tc>
      </w:tr>
      <w:tr>
        <w:trPr>
          <w:trHeight w:val="212"/>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Adjustments to increase (decrease) FFO:</w:t>
            </w: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Straight-lined revenue</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212"/>
        </w:trPr>
        <w:tc>
          <w:tcPr>
            <w:tcW w:w="7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Straight-lined expense</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12"/>
        </w:trPr>
        <w:tc>
          <w:tcPr>
            <w:tcW w:w="7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 net</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12"/>
        </w:trPr>
        <w:tc>
          <w:tcPr>
            <w:tcW w:w="7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Non-cash portion of tax provision</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2"/>
        </w:trPr>
        <w:tc>
          <w:tcPr>
            <w:tcW w:w="7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Non-real estate related depreciation, amortization and accretion</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2"/>
        </w:trPr>
        <w:tc>
          <w:tcPr>
            <w:tcW w:w="7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non-cash interest expense</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2"/>
        </w:trPr>
        <w:tc>
          <w:tcPr>
            <w:tcW w:w="7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(income) expense</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2"/>
        </w:trPr>
        <w:tc>
          <w:tcPr>
            <w:tcW w:w="7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Restructuring charges</w:t>
            </w:r>
          </w:p>
        </w:tc>
        <w:tc>
          <w:tcPr>
            <w:tcW w:w="18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14"/>
        </w:trPr>
        <w:tc>
          <w:tcPr>
            <w:tcW w:w="7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Sustaining capital expenditures</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07"/>
        </w:trPr>
        <w:tc>
          <w:tcPr>
            <w:tcW w:w="754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AFFO</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1,904</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1,980</w:t>
            </w:r>
          </w:p>
        </w:tc>
        <w:tc>
          <w:tcPr>
            <w:tcW w:w="0" w:type="dxa"/>
            <w:vAlign w:val="bottom"/>
          </w:tcPr>
          <w:p>
            <w:pPr>
              <w:spacing w:after="0"/>
              <w:rPr>
                <w:sz w:val="1"/>
                <w:szCs w:val="1"/>
                <w:color w:val="auto"/>
              </w:rPr>
            </w:pPr>
          </w:p>
        </w:tc>
      </w:tr>
      <w:tr>
        <w:trPr>
          <w:trHeight w:val="20"/>
        </w:trPr>
        <w:tc>
          <w:tcPr>
            <w:tcW w:w="754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auto"/>
              </w:rPr>
              <w:t>Weighted-average common shares outstanding—diluted</w:t>
            </w: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4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Reconciliation of Historical FFO and AFFO per share:</w:t>
      </w:r>
    </w:p>
    <w:p>
      <w:pPr>
        <w:spacing w:after="0" w:line="379"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160260" cy="4191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tbl>
      <w:tblPr>
        <w:tblLayout w:type="fixed"/>
        <w:tblInd w:w="20" w:type="dxa"/>
        <w:tblCellMar>
          <w:top w:w="0" w:type="dxa"/>
          <w:left w:w="0" w:type="dxa"/>
          <w:bottom w:w="0" w:type="dxa"/>
          <w:right w:w="0" w:type="dxa"/>
        </w:tblCellMar>
      </w:tblPr>
      <w:tr>
        <w:trPr>
          <w:trHeight w:val="208"/>
        </w:trPr>
        <w:tc>
          <w:tcPr>
            <w:tcW w:w="7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4"/>
          </w:tcPr>
          <w:p>
            <w:pPr>
              <w:jc w:val="right"/>
              <w:ind w:right="801"/>
              <w:spacing w:after="0"/>
              <w:rPr>
                <w:sz w:val="20"/>
                <w:szCs w:val="20"/>
                <w:color w:val="auto"/>
              </w:rPr>
            </w:pPr>
            <w:r>
              <w:rPr>
                <w:rFonts w:ascii="Times New Roman" w:cs="Times New Roman" w:eastAsia="Times New Roman" w:hAnsi="Times New Roman"/>
                <w:sz w:val="16"/>
                <w:szCs w:val="16"/>
                <w:color w:val="auto"/>
              </w:rPr>
              <w:t>For the Twelve Months Ended</w:t>
            </w:r>
          </w:p>
        </w:tc>
        <w:tc>
          <w:tcPr>
            <w:tcW w:w="0" w:type="dxa"/>
            <w:vAlign w:val="bottom"/>
          </w:tcPr>
          <w:p>
            <w:pPr>
              <w:spacing w:after="0"/>
              <w:rPr>
                <w:sz w:val="1"/>
                <w:szCs w:val="1"/>
                <w:color w:val="auto"/>
              </w:rPr>
            </w:pPr>
          </w:p>
        </w:tc>
      </w:tr>
      <w:tr>
        <w:trPr>
          <w:trHeight w:val="206"/>
        </w:trPr>
        <w:tc>
          <w:tcPr>
            <w:tcW w:w="75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millions, except per share amounts; totals may not sum due to rounding)</w:t>
            </w:r>
          </w:p>
        </w:tc>
        <w:tc>
          <w:tcPr>
            <w:tcW w:w="180" w:type="dxa"/>
            <w:vAlign w:val="bottom"/>
          </w:tcPr>
          <w:p>
            <w:pPr>
              <w:spacing w:after="0"/>
              <w:rPr>
                <w:sz w:val="17"/>
                <w:szCs w:val="17"/>
                <w:color w:val="auto"/>
              </w:rPr>
            </w:pP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December 31, 2025</w:t>
            </w:r>
          </w:p>
        </w:tc>
        <w:tc>
          <w:tcPr>
            <w:tcW w:w="180" w:type="dxa"/>
            <w:vAlign w:val="bottom"/>
          </w:tcPr>
          <w:p>
            <w:pPr>
              <w:spacing w:after="0"/>
              <w:rPr>
                <w:sz w:val="17"/>
                <w:szCs w:val="17"/>
                <w:color w:val="auto"/>
              </w:rPr>
            </w:pPr>
          </w:p>
        </w:tc>
        <w:tc>
          <w:tcPr>
            <w:tcW w:w="160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December 31, 2024</w:t>
            </w:r>
          </w:p>
        </w:tc>
        <w:tc>
          <w:tcPr>
            <w:tcW w:w="0" w:type="dxa"/>
            <w:vAlign w:val="bottom"/>
          </w:tcPr>
          <w:p>
            <w:pPr>
              <w:spacing w:after="0"/>
              <w:rPr>
                <w:sz w:val="1"/>
                <w:szCs w:val="1"/>
                <w:color w:val="auto"/>
              </w:rPr>
            </w:pPr>
          </w:p>
        </w:tc>
      </w:tr>
      <w:tr>
        <w:trPr>
          <w:trHeight w:val="205"/>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0" w:type="dxa"/>
            <w:vAlign w:val="bottom"/>
          </w:tcPr>
          <w:p>
            <w:pPr>
              <w:spacing w:after="0"/>
              <w:rPr>
                <w:sz w:val="1"/>
                <w:szCs w:val="1"/>
                <w:color w:val="auto"/>
              </w:rPr>
            </w:pPr>
          </w:p>
        </w:tc>
      </w:tr>
      <w:tr>
        <w:trPr>
          <w:trHeight w:val="211"/>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Real estate related depreciation, amortization and accretion</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212"/>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Asset write-down charges</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32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(Income) loss from discontinued operations, net of tax</w:t>
            </w:r>
          </w:p>
        </w:tc>
        <w:tc>
          <w:tcPr>
            <w:tcW w:w="1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11.64</w:t>
            </w:r>
          </w:p>
        </w:tc>
        <w:tc>
          <w:tcPr>
            <w:tcW w:w="0" w:type="dxa"/>
            <w:vAlign w:val="bottom"/>
          </w:tcPr>
          <w:p>
            <w:pPr>
              <w:spacing w:after="0"/>
              <w:rPr>
                <w:sz w:val="1"/>
                <w:szCs w:val="1"/>
                <w:color w:val="auto"/>
              </w:rPr>
            </w:pPr>
          </w:p>
        </w:tc>
      </w:tr>
      <w:tr>
        <w:trPr>
          <w:trHeight w:val="207"/>
        </w:trPr>
        <w:tc>
          <w:tcPr>
            <w:tcW w:w="75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FFO</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4.04</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4.28</w:t>
            </w:r>
          </w:p>
        </w:tc>
        <w:tc>
          <w:tcPr>
            <w:tcW w:w="0" w:type="dxa"/>
            <w:vAlign w:val="bottom"/>
          </w:tcPr>
          <w:p>
            <w:pPr>
              <w:spacing w:after="0"/>
              <w:rPr>
                <w:sz w:val="1"/>
                <w:szCs w:val="1"/>
                <w:color w:val="auto"/>
              </w:rPr>
            </w:pPr>
          </w:p>
        </w:tc>
      </w:tr>
      <w:tr>
        <w:trPr>
          <w:trHeight w:val="20"/>
        </w:trPr>
        <w:tc>
          <w:tcPr>
            <w:tcW w:w="754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auto"/>
              </w:rPr>
              <w:t>Weighted-average common shares outstanding—diluted</w:t>
            </w: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4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0" w:type="dxa"/>
            <w:vAlign w:val="bottom"/>
          </w:tcPr>
          <w:p>
            <w:pPr>
              <w:spacing w:after="0"/>
              <w:rPr>
                <w:sz w:val="1"/>
                <w:szCs w:val="1"/>
                <w:color w:val="auto"/>
              </w:rPr>
            </w:pPr>
          </w:p>
        </w:tc>
      </w:tr>
      <w:tr>
        <w:trPr>
          <w:trHeight w:val="282"/>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FFO (from above)</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20" w:type="dxa"/>
            <w:vAlign w:val="bottom"/>
          </w:tcPr>
          <w:p>
            <w:pPr>
              <w:spacing w:after="0"/>
              <w:rPr>
                <w:sz w:val="24"/>
                <w:szCs w:val="24"/>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0" w:type="dxa"/>
            <w:vAlign w:val="bottom"/>
          </w:tcPr>
          <w:p>
            <w:pPr>
              <w:spacing w:after="0"/>
              <w:rPr>
                <w:sz w:val="1"/>
                <w:szCs w:val="1"/>
                <w:color w:val="auto"/>
              </w:rPr>
            </w:pPr>
          </w:p>
        </w:tc>
      </w:tr>
      <w:tr>
        <w:trPr>
          <w:trHeight w:val="212"/>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Adjustments to increase (decrease) FFO:</w:t>
            </w: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Straight-lined revenue</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0" w:type="dxa"/>
            <w:vAlign w:val="bottom"/>
          </w:tcPr>
          <w:p>
            <w:pPr>
              <w:spacing w:after="0"/>
              <w:rPr>
                <w:sz w:val="1"/>
                <w:szCs w:val="1"/>
                <w:color w:val="auto"/>
              </w:rPr>
            </w:pPr>
          </w:p>
        </w:tc>
      </w:tr>
      <w:tr>
        <w:trPr>
          <w:trHeight w:val="212"/>
        </w:trPr>
        <w:tc>
          <w:tcPr>
            <w:tcW w:w="7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Straight-lined expense</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0" w:type="dxa"/>
            <w:vAlign w:val="bottom"/>
          </w:tcPr>
          <w:p>
            <w:pPr>
              <w:spacing w:after="0"/>
              <w:rPr>
                <w:sz w:val="1"/>
                <w:szCs w:val="1"/>
                <w:color w:val="auto"/>
              </w:rPr>
            </w:pPr>
          </w:p>
        </w:tc>
      </w:tr>
      <w:tr>
        <w:trPr>
          <w:trHeight w:val="212"/>
        </w:trPr>
        <w:tc>
          <w:tcPr>
            <w:tcW w:w="7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 net</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0" w:type="dxa"/>
            <w:vAlign w:val="bottom"/>
          </w:tcPr>
          <w:p>
            <w:pPr>
              <w:spacing w:after="0"/>
              <w:rPr>
                <w:sz w:val="1"/>
                <w:szCs w:val="1"/>
                <w:color w:val="auto"/>
              </w:rPr>
            </w:pPr>
          </w:p>
        </w:tc>
      </w:tr>
      <w:tr>
        <w:trPr>
          <w:trHeight w:val="212"/>
        </w:trPr>
        <w:tc>
          <w:tcPr>
            <w:tcW w:w="7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Non-cash portion of tax provision</w:t>
            </w:r>
          </w:p>
        </w:tc>
        <w:tc>
          <w:tcPr>
            <w:tcW w:w="18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212"/>
        </w:trPr>
        <w:tc>
          <w:tcPr>
            <w:tcW w:w="7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Non-real estate related depreciation, amortization and accretion</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0" w:type="dxa"/>
            <w:vAlign w:val="bottom"/>
          </w:tcPr>
          <w:p>
            <w:pPr>
              <w:spacing w:after="0"/>
              <w:rPr>
                <w:sz w:val="1"/>
                <w:szCs w:val="1"/>
                <w:color w:val="auto"/>
              </w:rPr>
            </w:pPr>
          </w:p>
        </w:tc>
      </w:tr>
      <w:tr>
        <w:trPr>
          <w:trHeight w:val="212"/>
        </w:trPr>
        <w:tc>
          <w:tcPr>
            <w:tcW w:w="7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non-cash interest expense</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212"/>
        </w:trPr>
        <w:tc>
          <w:tcPr>
            <w:tcW w:w="7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(income) expense</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0" w:type="dxa"/>
            <w:vAlign w:val="bottom"/>
          </w:tcPr>
          <w:p>
            <w:pPr>
              <w:spacing w:after="0"/>
              <w:rPr>
                <w:sz w:val="1"/>
                <w:szCs w:val="1"/>
                <w:color w:val="auto"/>
              </w:rPr>
            </w:pPr>
          </w:p>
        </w:tc>
      </w:tr>
      <w:tr>
        <w:trPr>
          <w:trHeight w:val="212"/>
        </w:trPr>
        <w:tc>
          <w:tcPr>
            <w:tcW w:w="7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Restructuring charges</w:t>
            </w:r>
          </w:p>
        </w:tc>
        <w:tc>
          <w:tcPr>
            <w:tcW w:w="18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0" w:type="dxa"/>
            <w:vAlign w:val="bottom"/>
          </w:tcPr>
          <w:p>
            <w:pPr>
              <w:spacing w:after="0"/>
              <w:rPr>
                <w:sz w:val="1"/>
                <w:szCs w:val="1"/>
                <w:color w:val="auto"/>
              </w:rPr>
            </w:pPr>
          </w:p>
        </w:tc>
      </w:tr>
      <w:tr>
        <w:trPr>
          <w:trHeight w:val="214"/>
        </w:trPr>
        <w:tc>
          <w:tcPr>
            <w:tcW w:w="7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Sustaining capital expenditures</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0" w:type="dxa"/>
            <w:vAlign w:val="bottom"/>
          </w:tcPr>
          <w:p>
            <w:pPr>
              <w:spacing w:after="0"/>
              <w:rPr>
                <w:sz w:val="1"/>
                <w:szCs w:val="1"/>
                <w:color w:val="auto"/>
              </w:rPr>
            </w:pPr>
          </w:p>
        </w:tc>
      </w:tr>
      <w:tr>
        <w:trPr>
          <w:trHeight w:val="207"/>
        </w:trPr>
        <w:tc>
          <w:tcPr>
            <w:tcW w:w="754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AFFO</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4.36</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4.55</w:t>
            </w:r>
          </w:p>
        </w:tc>
        <w:tc>
          <w:tcPr>
            <w:tcW w:w="0" w:type="dxa"/>
            <w:vAlign w:val="bottom"/>
          </w:tcPr>
          <w:p>
            <w:pPr>
              <w:spacing w:after="0"/>
              <w:rPr>
                <w:sz w:val="1"/>
                <w:szCs w:val="1"/>
                <w:color w:val="auto"/>
              </w:rPr>
            </w:pPr>
          </w:p>
        </w:tc>
      </w:tr>
      <w:tr>
        <w:trPr>
          <w:trHeight w:val="20"/>
        </w:trPr>
        <w:tc>
          <w:tcPr>
            <w:tcW w:w="754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auto"/>
              </w:rPr>
              <w:t>Weighted-average common shares outstanding—diluted</w:t>
            </w: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4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Components of Changes in Site Rental Revenues:</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7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4"/>
          </w:tcPr>
          <w:p>
            <w:pPr>
              <w:jc w:val="right"/>
              <w:ind w:right="901"/>
              <w:spacing w:after="0"/>
              <w:rPr>
                <w:sz w:val="20"/>
                <w:szCs w:val="20"/>
                <w:color w:val="auto"/>
              </w:rPr>
            </w:pPr>
            <w:r>
              <w:rPr>
                <w:rFonts w:ascii="Times New Roman" w:cs="Times New Roman" w:eastAsia="Times New Roman" w:hAnsi="Times New Roman"/>
                <w:sz w:val="16"/>
                <w:szCs w:val="16"/>
                <w:color w:val="auto"/>
              </w:rPr>
              <w:t>For the Twelve Months Ended</w:t>
            </w:r>
          </w:p>
        </w:tc>
        <w:tc>
          <w:tcPr>
            <w:tcW w:w="0" w:type="dxa"/>
            <w:vAlign w:val="bottom"/>
          </w:tcPr>
          <w:p>
            <w:pPr>
              <w:spacing w:after="0"/>
              <w:rPr>
                <w:sz w:val="1"/>
                <w:szCs w:val="1"/>
                <w:color w:val="auto"/>
              </w:rPr>
            </w:pPr>
          </w:p>
        </w:tc>
      </w:tr>
      <w:tr>
        <w:trPr>
          <w:trHeight w:val="206"/>
        </w:trPr>
        <w:tc>
          <w:tcPr>
            <w:tcW w:w="73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millions, totals may not sum due to rounding)</w:t>
            </w:r>
          </w:p>
        </w:tc>
        <w:tc>
          <w:tcPr>
            <w:tcW w:w="200" w:type="dxa"/>
            <w:vAlign w:val="bottom"/>
          </w:tcPr>
          <w:p>
            <w:pPr>
              <w:spacing w:after="0"/>
              <w:rPr>
                <w:sz w:val="17"/>
                <w:szCs w:val="17"/>
                <w:color w:val="auto"/>
              </w:rPr>
            </w:pP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December 31, 2025</w:t>
            </w:r>
          </w:p>
        </w:tc>
        <w:tc>
          <w:tcPr>
            <w:tcW w:w="220" w:type="dxa"/>
            <w:vAlign w:val="bottom"/>
          </w:tcPr>
          <w:p>
            <w:pPr>
              <w:spacing w:after="0"/>
              <w:rPr>
                <w:sz w:val="17"/>
                <w:szCs w:val="17"/>
                <w:color w:val="auto"/>
              </w:rPr>
            </w:pPr>
          </w:p>
        </w:tc>
        <w:tc>
          <w:tcPr>
            <w:tcW w:w="168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December 31, 2024</w:t>
            </w:r>
          </w:p>
        </w:tc>
        <w:tc>
          <w:tcPr>
            <w:tcW w:w="0" w:type="dxa"/>
            <w:vAlign w:val="bottom"/>
          </w:tcPr>
          <w:p>
            <w:pPr>
              <w:spacing w:after="0"/>
              <w:rPr>
                <w:sz w:val="1"/>
                <w:szCs w:val="1"/>
                <w:color w:val="auto"/>
              </w:rPr>
            </w:pPr>
          </w:p>
        </w:tc>
      </w:tr>
      <w:tr>
        <w:trPr>
          <w:trHeight w:val="191"/>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Components of changes in site rental revenues:</w:t>
            </w:r>
          </w:p>
        </w:tc>
        <w:tc>
          <w:tcPr>
            <w:tcW w:w="20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Prior year site rental billings</w:t>
            </w: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3,934</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3,763</w:t>
            </w:r>
          </w:p>
        </w:tc>
        <w:tc>
          <w:tcPr>
            <w:tcW w:w="0" w:type="dxa"/>
            <w:vAlign w:val="bottom"/>
          </w:tcPr>
          <w:p>
            <w:pPr>
              <w:spacing w:after="0"/>
              <w:rPr>
                <w:sz w:val="1"/>
                <w:szCs w:val="1"/>
                <w:color w:val="auto"/>
              </w:rPr>
            </w:pPr>
          </w:p>
        </w:tc>
      </w:tr>
      <w:tr>
        <w:trPr>
          <w:trHeight w:val="212"/>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Core leasing activity</w:t>
            </w:r>
          </w:p>
        </w:tc>
        <w:tc>
          <w:tcPr>
            <w:tcW w:w="200" w:type="dxa"/>
            <w:vAlign w:val="bottom"/>
          </w:tcPr>
          <w:p>
            <w:pPr>
              <w:spacing w:after="0"/>
              <w:rPr>
                <w:sz w:val="18"/>
                <w:szCs w:val="18"/>
                <w:color w:val="auto"/>
              </w:rPr>
            </w:pPr>
          </w:p>
        </w:tc>
        <w:tc>
          <w:tcPr>
            <w:tcW w:w="16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12"/>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Escalators</w:t>
            </w:r>
          </w:p>
        </w:tc>
        <w:tc>
          <w:tcPr>
            <w:tcW w:w="200" w:type="dxa"/>
            <w:vAlign w:val="bottom"/>
          </w:tcPr>
          <w:p>
            <w:pPr>
              <w:spacing w:after="0"/>
              <w:rPr>
                <w:sz w:val="18"/>
                <w:szCs w:val="18"/>
                <w:color w:val="auto"/>
              </w:rPr>
            </w:pPr>
          </w:p>
        </w:tc>
        <w:tc>
          <w:tcPr>
            <w:tcW w:w="16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12"/>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Non-renewals</w:t>
            </w:r>
          </w:p>
        </w:tc>
        <w:tc>
          <w:tcPr>
            <w:tcW w:w="200" w:type="dxa"/>
            <w:vAlign w:val="bottom"/>
          </w:tcPr>
          <w:p>
            <w:pPr>
              <w:spacing w:after="0"/>
              <w:rPr>
                <w:sz w:val="18"/>
                <w:szCs w:val="18"/>
                <w:color w:val="auto"/>
              </w:rPr>
            </w:pPr>
          </w:p>
        </w:tc>
        <w:tc>
          <w:tcPr>
            <w:tcW w:w="16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2"/>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billings</w:t>
            </w: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6"/>
        </w:trPr>
        <w:tc>
          <w:tcPr>
            <w:tcW w:w="73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Organic Contribution to Site Rental Billings as Adjusted for Impact of Sprint Cancellations</w:t>
            </w:r>
          </w:p>
        </w:tc>
        <w:tc>
          <w:tcPr>
            <w:tcW w:w="200" w:type="dxa"/>
            <w:vAlign w:val="bottom"/>
          </w:tcPr>
          <w:p>
            <w:pPr>
              <w:spacing w:after="0"/>
              <w:rPr>
                <w:sz w:val="17"/>
                <w:szCs w:val="17"/>
                <w:color w:val="auto"/>
              </w:rPr>
            </w:pPr>
          </w:p>
        </w:tc>
        <w:tc>
          <w:tcPr>
            <w:tcW w:w="16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211"/>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Non-renewals associated with Sprint Cancellations</w:t>
            </w: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73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Organic Contribution to Site Rental Billings</w:t>
            </w:r>
          </w:p>
        </w:tc>
        <w:tc>
          <w:tcPr>
            <w:tcW w:w="200" w:type="dxa"/>
            <w:vAlign w:val="bottom"/>
          </w:tcPr>
          <w:p>
            <w:pPr>
              <w:spacing w:after="0"/>
              <w:rPr>
                <w:sz w:val="17"/>
                <w:szCs w:val="17"/>
                <w:color w:val="auto"/>
              </w:rPr>
            </w:pPr>
          </w:p>
        </w:tc>
        <w:tc>
          <w:tcPr>
            <w:tcW w:w="16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211"/>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Straight-lined revenues</w:t>
            </w:r>
          </w:p>
        </w:tc>
        <w:tc>
          <w:tcPr>
            <w:tcW w:w="200" w:type="dxa"/>
            <w:vAlign w:val="bottom"/>
          </w:tcPr>
          <w:p>
            <w:pPr>
              <w:spacing w:after="0"/>
              <w:rPr>
                <w:sz w:val="18"/>
                <w:szCs w:val="18"/>
                <w:color w:val="auto"/>
              </w:rPr>
            </w:pPr>
          </w:p>
        </w:tc>
        <w:tc>
          <w:tcPr>
            <w:tcW w:w="16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212"/>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prepaid rent</w:t>
            </w:r>
          </w:p>
        </w:tc>
        <w:tc>
          <w:tcPr>
            <w:tcW w:w="200" w:type="dxa"/>
            <w:vAlign w:val="bottom"/>
          </w:tcPr>
          <w:p>
            <w:pPr>
              <w:spacing w:after="0"/>
              <w:rPr>
                <w:sz w:val="18"/>
                <w:szCs w:val="18"/>
                <w:color w:val="auto"/>
              </w:rPr>
            </w:pPr>
          </w:p>
        </w:tc>
        <w:tc>
          <w:tcPr>
            <w:tcW w:w="16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214"/>
        </w:trPr>
        <w:tc>
          <w:tcPr>
            <w:tcW w:w="7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revenues</w:t>
            </w: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7"/>
        </w:trPr>
        <w:tc>
          <w:tcPr>
            <w:tcW w:w="7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site rental revenues</w:t>
            </w: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4,049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4,268</w:t>
            </w:r>
          </w:p>
        </w:tc>
        <w:tc>
          <w:tcPr>
            <w:tcW w:w="0" w:type="dxa"/>
            <w:vAlign w:val="bottom"/>
          </w:tcPr>
          <w:p>
            <w:pPr>
              <w:spacing w:after="0"/>
              <w:rPr>
                <w:sz w:val="1"/>
                <w:szCs w:val="1"/>
                <w:color w:val="auto"/>
              </w:rPr>
            </w:pPr>
          </w:p>
        </w:tc>
      </w:tr>
      <w:tr>
        <w:trPr>
          <w:trHeight w:val="20"/>
        </w:trPr>
        <w:tc>
          <w:tcPr>
            <w:tcW w:w="73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Year-over-year changes in revenues:</w:t>
            </w: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3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Site rental revenues as a percentage of prior year site rental revenues</w:t>
            </w: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64"/>
        </w:trPr>
        <w:tc>
          <w:tcPr>
            <w:tcW w:w="7340" w:type="dxa"/>
            <w:vAlign w:val="bottom"/>
          </w:tcPr>
          <w:p>
            <w:pPr>
              <w:ind w:left="160"/>
              <w:spacing w:after="0" w:line="164" w:lineRule="exact"/>
              <w:rPr>
                <w:sz w:val="20"/>
                <w:szCs w:val="20"/>
                <w:color w:val="auto"/>
              </w:rPr>
            </w:pPr>
            <w:r>
              <w:rPr>
                <w:rFonts w:ascii="Times New Roman" w:cs="Times New Roman" w:eastAsia="Times New Roman" w:hAnsi="Times New Roman"/>
                <w:sz w:val="16"/>
                <w:szCs w:val="16"/>
                <w:color w:val="auto"/>
              </w:rPr>
              <w:t>Organic Contribution to Site Rental Billings as Adjusted for Impact of Sprint Cancellations as a percentage of</w:t>
            </w:r>
          </w:p>
        </w:tc>
        <w:tc>
          <w:tcPr>
            <w:tcW w:w="200" w:type="dxa"/>
            <w:vAlign w:val="bottom"/>
          </w:tcPr>
          <w:p>
            <w:pPr>
              <w:spacing w:after="0"/>
              <w:rPr>
                <w:sz w:val="14"/>
                <w:szCs w:val="14"/>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0" w:type="dxa"/>
            <w:vAlign w:val="bottom"/>
          </w:tcPr>
          <w:p>
            <w:pPr>
              <w:spacing w:after="0"/>
              <w:rPr>
                <w:sz w:val="1"/>
                <w:szCs w:val="1"/>
                <w:color w:val="auto"/>
              </w:rPr>
            </w:pPr>
          </w:p>
        </w:tc>
      </w:tr>
      <w:tr>
        <w:trPr>
          <w:trHeight w:val="208"/>
        </w:trPr>
        <w:tc>
          <w:tcPr>
            <w:tcW w:w="73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prior year site rental billings</w:t>
            </w:r>
          </w:p>
        </w:tc>
        <w:tc>
          <w:tcPr>
            <w:tcW w:w="20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Organic Contribution to Site Rental Billings as a percentage of prior year site rental billings</w:t>
            </w: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7160260" cy="4191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94" w:name="page95"/>
    <w:bookmarkEnd w:id="94"/>
    <w:tbl>
      <w:tblPr>
        <w:tblLayout w:type="fixed"/>
        <w:tblInd w:w="940" w:type="dxa"/>
        <w:tblCellMar>
          <w:top w:w="0" w:type="dxa"/>
          <w:left w:w="0" w:type="dxa"/>
          <w:bottom w:w="0" w:type="dxa"/>
          <w:right w:w="0" w:type="dxa"/>
        </w:tblCellMar>
      </w:tblPr>
      <w:tr>
        <w:trPr>
          <w:trHeight w:val="207"/>
        </w:trPr>
        <w:tc>
          <w:tcPr>
            <w:tcW w:w="3260" w:type="dxa"/>
            <w:vAlign w:val="bottom"/>
          </w:tcPr>
          <w:p>
            <w:pPr>
              <w:jc w:val="center"/>
              <w:ind w:right="1672"/>
              <w:spacing w:after="0"/>
              <w:rPr>
                <w:sz w:val="20"/>
                <w:szCs w:val="20"/>
                <w:color w:val="auto"/>
              </w:rPr>
            </w:pPr>
            <w:r>
              <w:rPr>
                <w:rFonts w:ascii="Arial" w:cs="Arial" w:eastAsia="Arial" w:hAnsi="Arial"/>
                <w:sz w:val="18"/>
                <w:szCs w:val="18"/>
                <w:color w:val="auto"/>
                <w:w w:val="97"/>
              </w:rPr>
              <w:t>Crown Castle Inc.</w:t>
            </w:r>
          </w:p>
        </w:tc>
        <w:tc>
          <w:tcPr>
            <w:tcW w:w="4460" w:type="dxa"/>
            <w:vAlign w:val="bottom"/>
          </w:tcPr>
          <w:p>
            <w:pPr>
              <w:jc w:val="center"/>
              <w:ind w:left="1672"/>
              <w:spacing w:after="0"/>
              <w:rPr>
                <w:sz w:val="20"/>
                <w:szCs w:val="20"/>
                <w:color w:val="auto"/>
              </w:rPr>
            </w:pPr>
            <w:r>
              <w:rPr>
                <w:rFonts w:ascii="Arial" w:cs="Arial" w:eastAsia="Arial" w:hAnsi="Arial"/>
                <w:sz w:val="18"/>
                <w:szCs w:val="18"/>
                <w:b w:val="1"/>
                <w:bCs w:val="1"/>
                <w:color w:val="auto"/>
                <w:w w:val="96"/>
              </w:rPr>
              <w:t>Notice of</w:t>
            </w:r>
          </w:p>
        </w:tc>
      </w:tr>
      <w:tr>
        <w:trPr>
          <w:trHeight w:val="180"/>
        </w:trPr>
        <w:tc>
          <w:tcPr>
            <w:tcW w:w="3260" w:type="dxa"/>
            <w:vAlign w:val="bottom"/>
          </w:tcPr>
          <w:p>
            <w:pPr>
              <w:jc w:val="center"/>
              <w:ind w:right="1652"/>
              <w:spacing w:after="0" w:line="180" w:lineRule="exact"/>
              <w:rPr>
                <w:sz w:val="20"/>
                <w:szCs w:val="20"/>
                <w:color w:val="auto"/>
              </w:rPr>
            </w:pPr>
            <w:r>
              <w:rPr>
                <w:rFonts w:ascii="Arial" w:cs="Arial" w:eastAsia="Arial" w:hAnsi="Arial"/>
                <w:sz w:val="18"/>
                <w:szCs w:val="18"/>
                <w:color w:val="auto"/>
                <w:w w:val="97"/>
              </w:rPr>
              <w:t>8020 Katy Freeway</w:t>
            </w:r>
          </w:p>
        </w:tc>
        <w:tc>
          <w:tcPr>
            <w:tcW w:w="4460" w:type="dxa"/>
            <w:vAlign w:val="bottom"/>
          </w:tcPr>
          <w:p>
            <w:pPr>
              <w:jc w:val="center"/>
              <w:ind w:left="1672"/>
              <w:spacing w:after="0" w:line="180" w:lineRule="exact"/>
              <w:rPr>
                <w:sz w:val="20"/>
                <w:szCs w:val="20"/>
                <w:color w:val="auto"/>
              </w:rPr>
            </w:pPr>
            <w:r>
              <w:rPr>
                <w:rFonts w:ascii="Arial" w:cs="Arial" w:eastAsia="Arial" w:hAnsi="Arial"/>
                <w:sz w:val="18"/>
                <w:szCs w:val="18"/>
                <w:b w:val="1"/>
                <w:bCs w:val="1"/>
                <w:color w:val="auto"/>
                <w:w w:val="98"/>
              </w:rPr>
              <w:t>Annual Meeting of Stockholders</w:t>
            </w:r>
          </w:p>
        </w:tc>
      </w:tr>
      <w:tr>
        <w:trPr>
          <w:trHeight w:val="178"/>
        </w:trPr>
        <w:tc>
          <w:tcPr>
            <w:tcW w:w="3260" w:type="dxa"/>
            <w:vAlign w:val="bottom"/>
          </w:tcPr>
          <w:p>
            <w:pPr>
              <w:jc w:val="center"/>
              <w:ind w:right="1652"/>
              <w:spacing w:after="0" w:line="177" w:lineRule="exact"/>
              <w:rPr>
                <w:sz w:val="20"/>
                <w:szCs w:val="20"/>
                <w:color w:val="auto"/>
              </w:rPr>
            </w:pPr>
            <w:r>
              <w:rPr>
                <w:rFonts w:ascii="Arial" w:cs="Arial" w:eastAsia="Arial" w:hAnsi="Arial"/>
                <w:sz w:val="18"/>
                <w:szCs w:val="18"/>
                <w:color w:val="auto"/>
                <w:w w:val="97"/>
              </w:rPr>
              <w:t>Houston, TX 77024</w:t>
            </w:r>
          </w:p>
        </w:tc>
        <w:tc>
          <w:tcPr>
            <w:tcW w:w="4460" w:type="dxa"/>
            <w:vAlign w:val="bottom"/>
          </w:tcPr>
          <w:p>
            <w:pPr>
              <w:jc w:val="center"/>
              <w:ind w:left="1672"/>
              <w:spacing w:after="0" w:line="177" w:lineRule="exact"/>
              <w:rPr>
                <w:sz w:val="20"/>
                <w:szCs w:val="20"/>
                <w:color w:val="auto"/>
              </w:rPr>
            </w:pPr>
            <w:r>
              <w:rPr>
                <w:rFonts w:ascii="Arial" w:cs="Arial" w:eastAsia="Arial" w:hAnsi="Arial"/>
                <w:sz w:val="18"/>
                <w:szCs w:val="18"/>
                <w:b w:val="1"/>
                <w:bCs w:val="1"/>
                <w:color w:val="auto"/>
                <w:w w:val="96"/>
              </w:rPr>
              <w:t>May 20, 2026</w:t>
            </w:r>
          </w:p>
        </w:tc>
      </w:tr>
      <w:tr>
        <w:trPr>
          <w:trHeight w:val="244"/>
        </w:trPr>
        <w:tc>
          <w:tcPr>
            <w:tcW w:w="3260" w:type="dxa"/>
            <w:vAlign w:val="bottom"/>
          </w:tcPr>
          <w:p>
            <w:pPr>
              <w:spacing w:after="0"/>
              <w:rPr>
                <w:sz w:val="21"/>
                <w:szCs w:val="21"/>
                <w:color w:val="auto"/>
              </w:rPr>
            </w:pPr>
          </w:p>
        </w:tc>
        <w:tc>
          <w:tcPr>
            <w:tcW w:w="4460" w:type="dxa"/>
            <w:vAlign w:val="bottom"/>
          </w:tcPr>
          <w:p>
            <w:pPr>
              <w:jc w:val="center"/>
              <w:ind w:left="1672"/>
              <w:spacing w:after="0"/>
              <w:rPr>
                <w:sz w:val="20"/>
                <w:szCs w:val="20"/>
                <w:color w:val="auto"/>
              </w:rPr>
            </w:pPr>
            <w:r>
              <w:rPr>
                <w:rFonts w:ascii="Arial" w:cs="Arial" w:eastAsia="Arial" w:hAnsi="Arial"/>
                <w:sz w:val="18"/>
                <w:szCs w:val="18"/>
                <w:b w:val="1"/>
                <w:bCs w:val="1"/>
                <w:color w:val="auto"/>
                <w:w w:val="97"/>
              </w:rPr>
              <w:t>and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1990090</wp:posOffset>
            </wp:positionH>
            <wp:positionV relativeFrom="paragraph">
              <wp:posOffset>996315</wp:posOffset>
            </wp:positionV>
            <wp:extent cx="1748155" cy="45402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74815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740"/>
        <w:spacing w:after="0"/>
        <w:rPr>
          <w:sz w:val="20"/>
          <w:szCs w:val="20"/>
          <w:color w:val="auto"/>
        </w:rPr>
      </w:pPr>
      <w:r>
        <w:rPr>
          <w:rFonts w:ascii="Arial" w:cs="Arial" w:eastAsia="Arial" w:hAnsi="Arial"/>
          <w:sz w:val="14"/>
          <w:szCs w:val="14"/>
          <w:b w:val="1"/>
          <w:bCs w:val="1"/>
          <w:color w:val="520B90"/>
        </w:rPr>
        <w:t xml:space="preserve">CROWN CASTLE INC.  </w:t>
      </w:r>
      <w:r>
        <w:rPr>
          <w:sz w:val="1"/>
          <w:szCs w:val="1"/>
          <w:color w:val="auto"/>
        </w:rPr>
        <w:drawing>
          <wp:inline distT="0" distB="0" distL="0" distR="0">
            <wp:extent cx="210185" cy="117475"/>
            <wp:effectExtent l="0" t="0" r="0" b="0"/>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210185" cy="117475"/>
                    </a:xfrm>
                    <a:prstGeom prst="rect">
                      <a:avLst/>
                    </a:prstGeom>
                    <a:noFill/>
                    <a:ln>
                      <a:noFill/>
                    </a:ln>
                  </pic:spPr>
                </pic:pic>
              </a:graphicData>
            </a:graphic>
          </wp:inline>
        </w:drawing>
      </w:r>
      <w:r>
        <w:rPr>
          <w:rFonts w:ascii="Arial" w:cs="Arial" w:eastAsia="Arial" w:hAnsi="Arial"/>
          <w:sz w:val="14"/>
          <w:szCs w:val="14"/>
          <w:b w:val="1"/>
          <w:bCs w:val="1"/>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372110</wp:posOffset>
            </wp:positionV>
            <wp:extent cx="7160260" cy="4191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9019"/>
          </w:cols>
          <w:pgMar w:left="1440" w:top="1335" w:right="1440" w:bottom="1440"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643255</wp:posOffset>
            </wp:positionV>
            <wp:extent cx="7160260" cy="838327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160260" cy="8383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753110</wp:posOffset>
            </wp:positionH>
            <wp:positionV relativeFrom="page">
              <wp:posOffset>492125</wp:posOffset>
            </wp:positionV>
            <wp:extent cx="6050915" cy="782383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clrChange>
                        <a:clrFrom>
                          <a:srgbClr val="FFFFFF"/>
                        </a:clrFrom>
                        <a:clrTo>
                          <a:srgbClr val="FFFFFF">
                            <a:alpha val="0"/>
                          </a:srgbClr>
                        </a:clrTo>
                      </a:clrChange>
                      <a:extLst>
                        <a:ext uri="{28A0092B-C50C-407E-A947-70E740481C1C}"/>
                      </a:extLst>
                    </a:blip>
                    <a:srcRect/>
                    <a:stretch>
                      <a:fillRect/>
                    </a:stretch>
                  </pic:blipFill>
                  <pic:spPr bwMode="auto">
                    <a:xfrm>
                      <a:off x="0" y="0"/>
                      <a:ext cx="6050915" cy="78238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330624"/>
    <w:multiLevelType w:val="hybridMultilevel"/>
    <w:lvl w:ilvl="0">
      <w:lvlJc w:val="left"/>
      <w:lvlText w:val="☐"/>
      <w:numFmt w:val="bullet"/>
      <w:start w:val="1"/>
    </w:lvl>
  </w:abstractNum>
  <w:abstractNum w:abstractNumId="1">
    <w:nsid w:val="7FFFCA11"/>
    <w:multiLevelType w:val="hybridMultilevel"/>
    <w:lvl w:ilvl="0">
      <w:lvlJc w:val="left"/>
      <w:lvlText w:val="T"/>
      <w:numFmt w:val="bullet"/>
      <w:start w:val="1"/>
    </w:lvl>
  </w:abstractNum>
  <w:abstractNum w:abstractNumId="2">
    <w:nsid w:val="1A27709E"/>
    <w:multiLevelType w:val="hybridMultilevel"/>
    <w:lvl w:ilvl="0">
      <w:lvlJc w:val="left"/>
      <w:lvlText w:val="☐"/>
      <w:numFmt w:val="bullet"/>
      <w:start w:val="1"/>
    </w:lvl>
  </w:abstractNum>
  <w:abstractNum w:abstractNumId="3">
    <w:nsid w:val="71EA1109"/>
    <w:multiLevelType w:val="hybridMultilevel"/>
    <w:lvl w:ilvl="0">
      <w:lvlJc w:val="left"/>
      <w:lvlText w:val="T"/>
      <w:numFmt w:val="bullet"/>
      <w:start w:val="1"/>
    </w:lvl>
  </w:abstractNum>
  <w:abstractNum w:abstractNumId="4">
    <w:nsid w:val="100F59DC"/>
    <w:multiLevelType w:val="hybridMultilevel"/>
    <w:lvl w:ilvl="0">
      <w:lvlJc w:val="left"/>
      <w:lvlText w:val="☐"/>
      <w:numFmt w:val="bullet"/>
      <w:start w:val="1"/>
    </w:lvl>
  </w:abstractNum>
  <w:abstractNum w:abstractNumId="5">
    <w:nsid w:val="7FB7E0AA"/>
    <w:multiLevelType w:val="hybridMultilevel"/>
    <w:lvl w:ilvl="0">
      <w:lvlJc w:val="left"/>
      <w:lvlText w:val="•"/>
      <w:numFmt w:val="bullet"/>
      <w:start w:val="1"/>
    </w:lvl>
  </w:abstractNum>
  <w:abstractNum w:abstractNumId="6">
    <w:nsid w:val="6EB5BD4"/>
    <w:multiLevelType w:val="hybridMultilevel"/>
    <w:lvl w:ilvl="0">
      <w:lvlJc w:val="left"/>
      <w:lvlText w:val="•"/>
      <w:numFmt w:val="bullet"/>
      <w:start w:val="1"/>
    </w:lvl>
  </w:abstractNum>
  <w:abstractNum w:abstractNumId="7">
    <w:nsid w:val="6F6DD9AC"/>
    <w:multiLevelType w:val="hybridMultilevel"/>
    <w:lvl w:ilvl="0">
      <w:lvlJc w:val="left"/>
      <w:lvlText w:val="%1."/>
      <w:numFmt w:val="upperLetter"/>
      <w:start w:val="9"/>
    </w:lvl>
  </w:abstractNum>
  <w:abstractNum w:abstractNumId="8">
    <w:nsid w:val="94211F2"/>
    <w:multiLevelType w:val="hybridMultilevel"/>
    <w:lvl w:ilvl="0">
      <w:lvlJc w:val="left"/>
      <w:lvlText w:val="%1."/>
      <w:numFmt w:val="upperLetter"/>
      <w:start w:val="35"/>
    </w:lvl>
  </w:abstractNum>
  <w:abstractNum w:abstractNumId="9">
    <w:nsid w:val="885E1B"/>
    <w:multiLevelType w:val="hybridMultilevel"/>
    <w:lvl w:ilvl="0">
      <w:lvlJc w:val="left"/>
      <w:lvlText w:val="%1."/>
      <w:numFmt w:val="upperLetter"/>
      <w:start w:val="61"/>
    </w:lvl>
  </w:abstractNum>
  <w:abstractNum w:abstractNumId="10">
    <w:nsid w:val="76272110"/>
    <w:multiLevelType w:val="hybridMultilevel"/>
    <w:lvl w:ilvl="0">
      <w:lvlJc w:val="left"/>
      <w:lvlText w:val="1"/>
      <w:numFmt w:val="bullet"/>
      <w:start w:val="1"/>
    </w:lvl>
  </w:abstractNum>
  <w:abstractNum w:abstractNumId="11">
    <w:nsid w:val="4C04A8AF"/>
    <w:multiLevelType w:val="hybridMultilevel"/>
    <w:lvl w:ilvl="0">
      <w:lvlJc w:val="left"/>
      <w:lvlText w:val="7"/>
      <w:numFmt w:val="bullet"/>
      <w:start w:val="1"/>
    </w:lvl>
  </w:abstractNum>
  <w:abstractNum w:abstractNumId="12">
    <w:nsid w:val="1716703B"/>
    <w:multiLevelType w:val="hybridMultilevel"/>
    <w:lvl w:ilvl="0">
      <w:lvlJc w:val="left"/>
      <w:lvlText w:val="8"/>
      <w:numFmt w:val="bullet"/>
      <w:start w:val="1"/>
    </w:lvl>
  </w:abstractNum>
  <w:abstractNum w:abstractNumId="13">
    <w:nsid w:val="14E17E33"/>
    <w:multiLevelType w:val="hybridMultilevel"/>
    <w:lvl w:ilvl="0">
      <w:lvlJc w:val="left"/>
      <w:lvlText w:val="%1"/>
      <w:numFmt w:val="decimal"/>
      <w:start w:val="17"/>
    </w:lvl>
  </w:abstractNum>
  <w:abstractNum w:abstractNumId="14">
    <w:nsid w:val="3222E7CD"/>
    <w:multiLevelType w:val="hybridMultilevel"/>
    <w:lvl w:ilvl="0">
      <w:lvlJc w:val="left"/>
      <w:lvlText w:val="%1"/>
      <w:numFmt w:val="decimal"/>
      <w:start w:val="20"/>
    </w:lvl>
  </w:abstractNum>
  <w:abstractNum w:abstractNumId="15">
    <w:nsid w:val="74DE0EE3"/>
    <w:multiLevelType w:val="hybridMultilevel"/>
    <w:lvl w:ilvl="0">
      <w:lvlJc w:val="left"/>
      <w:lvlText w:val="%1"/>
      <w:numFmt w:val="decimal"/>
      <w:start w:val="24"/>
    </w:lvl>
  </w:abstractNum>
  <w:abstractNum w:abstractNumId="16">
    <w:nsid w:val="68EBC550"/>
    <w:multiLevelType w:val="hybridMultilevel"/>
    <w:lvl w:ilvl="0">
      <w:lvlJc w:val="left"/>
      <w:lvlText w:val="%1"/>
      <w:numFmt w:val="decimal"/>
      <w:start w:val="24"/>
    </w:lvl>
  </w:abstractNum>
  <w:abstractNum w:abstractNumId="17">
    <w:nsid w:val="2DF6D648"/>
    <w:multiLevelType w:val="hybridMultilevel"/>
    <w:lvl w:ilvl="0">
      <w:lvlJc w:val="left"/>
      <w:lvlText w:val="%1"/>
      <w:numFmt w:val="decimal"/>
      <w:start w:val="26"/>
    </w:lvl>
  </w:abstractNum>
  <w:abstractNum w:abstractNumId="18">
    <w:nsid w:val="46B7D447"/>
    <w:multiLevelType w:val="hybridMultilevel"/>
    <w:lvl w:ilvl="0">
      <w:lvlJc w:val="left"/>
      <w:lvlText w:val="%1"/>
      <w:numFmt w:val="decimal"/>
      <w:start w:val="28"/>
    </w:lvl>
  </w:abstractNum>
  <w:abstractNum w:abstractNumId="19">
    <w:nsid w:val="4A2AC315"/>
    <w:multiLevelType w:val="hybridMultilevel"/>
    <w:lvl w:ilvl="0">
      <w:lvlJc w:val="left"/>
      <w:lvlText w:val="%1"/>
      <w:numFmt w:val="decimal"/>
      <w:start w:val="31"/>
    </w:lvl>
  </w:abstractNum>
  <w:abstractNum w:abstractNumId="20">
    <w:nsid w:val="39EE015C"/>
    <w:multiLevelType w:val="hybridMultilevel"/>
    <w:lvl w:ilvl="0">
      <w:lvlJc w:val="left"/>
      <w:lvlText w:val="%1"/>
      <w:numFmt w:val="decimal"/>
      <w:start w:val="31"/>
    </w:lvl>
  </w:abstractNum>
  <w:abstractNum w:abstractNumId="21">
    <w:nsid w:val="57FC4FBB"/>
    <w:multiLevelType w:val="hybridMultilevel"/>
    <w:lvl w:ilvl="0">
      <w:lvlJc w:val="left"/>
      <w:lvlText w:val="ü"/>
      <w:numFmt w:val="bullet"/>
      <w:start w:val="1"/>
    </w:lvl>
  </w:abstractNum>
  <w:abstractNum w:abstractNumId="22">
    <w:nsid w:val="CC1016F"/>
    <w:multiLevelType w:val="hybridMultilevel"/>
    <w:lvl w:ilvl="0">
      <w:lvlJc w:val="left"/>
      <w:lvlText w:val="%1."/>
      <w:numFmt w:val="upperLetter"/>
      <w:start w:val="35"/>
    </w:lvl>
  </w:abstractNum>
  <w:abstractNum w:abstractNumId="23">
    <w:nsid w:val="43F18422"/>
    <w:multiLevelType w:val="hybridMultilevel"/>
    <w:lvl w:ilvl="0">
      <w:lvlJc w:val="left"/>
      <w:lvlText w:val="•"/>
      <w:numFmt w:val="bullet"/>
      <w:start w:val="1"/>
    </w:lvl>
  </w:abstractNum>
  <w:abstractNum w:abstractNumId="24">
    <w:nsid w:val="60EF0119"/>
    <w:multiLevelType w:val="hybridMultilevel"/>
    <w:lvl w:ilvl="0">
      <w:lvlJc w:val="left"/>
      <w:lvlText w:val="•"/>
      <w:numFmt w:val="bullet"/>
      <w:start w:val="1"/>
    </w:lvl>
  </w:abstractNum>
  <w:abstractNum w:abstractNumId="25">
    <w:nsid w:val="26F324BA"/>
    <w:multiLevelType w:val="hybridMultilevel"/>
    <w:lvl w:ilvl="0">
      <w:lvlJc w:val="left"/>
      <w:lvlText w:val="•"/>
      <w:numFmt w:val="bullet"/>
      <w:start w:val="1"/>
    </w:lvl>
  </w:abstractNum>
  <w:abstractNum w:abstractNumId="26">
    <w:nsid w:val="7F01579B"/>
    <w:multiLevelType w:val="hybridMultilevel"/>
    <w:lvl w:ilvl="0">
      <w:lvlJc w:val="left"/>
      <w:lvlText w:val="•"/>
      <w:numFmt w:val="bullet"/>
      <w:start w:val="1"/>
    </w:lvl>
    <w:lvl w:ilvl="1">
      <w:lvlJc w:val="left"/>
      <w:lvlText w:val="◦"/>
      <w:numFmt w:val="bullet"/>
      <w:start w:val="1"/>
    </w:lvl>
  </w:abstractNum>
  <w:abstractNum w:abstractNumId="27">
    <w:nsid w:val="49DA307D"/>
    <w:multiLevelType w:val="hybridMultilevel"/>
    <w:lvl w:ilvl="0">
      <w:lvlJc w:val="left"/>
      <w:lvlText w:val="•"/>
      <w:numFmt w:val="bullet"/>
      <w:start w:val="1"/>
    </w:lvl>
  </w:abstractNum>
  <w:abstractNum w:abstractNumId="28">
    <w:nsid w:val="7055A5F5"/>
    <w:multiLevelType w:val="hybridMultilevel"/>
    <w:lvl w:ilvl="0">
      <w:lvlJc w:val="left"/>
      <w:lvlText w:val="•"/>
      <w:numFmt w:val="bullet"/>
      <w:start w:val="1"/>
    </w:lvl>
  </w:abstractNum>
  <w:abstractNum w:abstractNumId="29">
    <w:nsid w:val="5FB8370B"/>
    <w:multiLevelType w:val="hybridMultilevel"/>
    <w:lvl w:ilvl="0">
      <w:lvlJc w:val="left"/>
      <w:lvlText w:val="•"/>
      <w:numFmt w:val="bullet"/>
      <w:start w:val="1"/>
    </w:lvl>
  </w:abstractNum>
  <w:abstractNum w:abstractNumId="30">
    <w:nsid w:val="50801EE1"/>
    <w:multiLevelType w:val="hybridMultilevel"/>
    <w:lvl w:ilvl="0">
      <w:lvlJc w:val="left"/>
      <w:lvlText w:val="•"/>
      <w:numFmt w:val="bullet"/>
      <w:start w:val="1"/>
    </w:lvl>
  </w:abstractNum>
  <w:abstractNum w:abstractNumId="31">
    <w:nsid w:val="488AC1A"/>
    <w:multiLevelType w:val="hybridMultilevel"/>
    <w:lvl w:ilvl="0">
      <w:lvlJc w:val="left"/>
      <w:lvlText w:val="•"/>
      <w:numFmt w:val="bullet"/>
      <w:start w:val="1"/>
    </w:lvl>
  </w:abstractNum>
  <w:abstractNum w:abstractNumId="32">
    <w:nsid w:val="5FB8011C"/>
    <w:multiLevelType w:val="hybridMultilevel"/>
    <w:lvl w:ilvl="0">
      <w:lvlJc w:val="left"/>
      <w:lvlText w:val="•"/>
      <w:numFmt w:val="bullet"/>
      <w:start w:val="1"/>
    </w:lvl>
    <w:lvl w:ilvl="1">
      <w:lvlJc w:val="left"/>
      <w:lvlText w:val="◦"/>
      <w:numFmt w:val="bullet"/>
      <w:start w:val="1"/>
    </w:lvl>
  </w:abstractNum>
  <w:abstractNum w:abstractNumId="33">
    <w:nsid w:val="6AA78F7F"/>
    <w:multiLevelType w:val="hybridMultilevel"/>
    <w:lvl w:ilvl="0">
      <w:lvlJc w:val="left"/>
      <w:lvlText w:val="•"/>
      <w:numFmt w:val="bullet"/>
      <w:start w:val="1"/>
    </w:lvl>
  </w:abstractNum>
  <w:abstractNum w:abstractNumId="34">
    <w:nsid w:val="7672BD23"/>
    <w:multiLevelType w:val="hybridMultilevel"/>
    <w:lvl w:ilvl="0">
      <w:lvlJc w:val="left"/>
      <w:lvlText w:val="•"/>
      <w:numFmt w:val="bullet"/>
      <w:start w:val="1"/>
    </w:lvl>
  </w:abstractNum>
  <w:abstractNum w:abstractNumId="35">
    <w:nsid w:val="6FC75AF8"/>
    <w:multiLevelType w:val="hybridMultilevel"/>
    <w:lvl w:ilvl="0">
      <w:lvlJc w:val="left"/>
      <w:lvlText w:val="•"/>
      <w:numFmt w:val="bullet"/>
      <w:start w:val="1"/>
    </w:lvl>
  </w:abstractNum>
  <w:abstractNum w:abstractNumId="36">
    <w:nsid w:val="6A5F7029"/>
    <w:multiLevelType w:val="hybridMultilevel"/>
    <w:lvl w:ilvl="0">
      <w:lvlJc w:val="left"/>
      <w:lvlText w:val="•"/>
      <w:numFmt w:val="bullet"/>
      <w:start w:val="1"/>
    </w:lvl>
    <w:lvl w:ilvl="1">
      <w:lvlJc w:val="left"/>
      <w:lvlText w:val="◦"/>
      <w:numFmt w:val="bullet"/>
      <w:start w:val="1"/>
    </w:lvl>
  </w:abstractNum>
  <w:abstractNum w:abstractNumId="37">
    <w:nsid w:val="7D5E18F8"/>
    <w:multiLevelType w:val="hybridMultilevel"/>
    <w:lvl w:ilvl="0">
      <w:lvlJc w:val="left"/>
      <w:lvlText w:val="•"/>
      <w:numFmt w:val="bullet"/>
      <w:start w:val="1"/>
    </w:lvl>
  </w:abstractNum>
  <w:abstractNum w:abstractNumId="38">
    <w:nsid w:val="5F3534A4"/>
    <w:multiLevelType w:val="hybridMultilevel"/>
    <w:lvl w:ilvl="0">
      <w:lvlJc w:val="left"/>
      <w:lvlText w:val="•"/>
      <w:numFmt w:val="bullet"/>
      <w:start w:val="1"/>
    </w:lvl>
  </w:abstractNum>
  <w:abstractNum w:abstractNumId="39">
    <w:nsid w:val="73A1821B"/>
    <w:multiLevelType w:val="hybridMultilevel"/>
    <w:lvl w:ilvl="0">
      <w:lvlJc w:val="left"/>
      <w:lvlText w:val="•"/>
      <w:numFmt w:val="bullet"/>
      <w:start w:val="1"/>
    </w:lvl>
  </w:abstractNum>
  <w:abstractNum w:abstractNumId="40">
    <w:nsid w:val="7DE67713"/>
    <w:multiLevelType w:val="hybridMultilevel"/>
    <w:lvl w:ilvl="0">
      <w:lvlJc w:val="left"/>
      <w:lvlText w:val="•"/>
      <w:numFmt w:val="bullet"/>
      <w:start w:val="1"/>
    </w:lvl>
  </w:abstractNum>
  <w:abstractNum w:abstractNumId="41">
    <w:nsid w:val="555C55B5"/>
    <w:multiLevelType w:val="hybridMultilevel"/>
    <w:lvl w:ilvl="0">
      <w:lvlJc w:val="left"/>
      <w:lvlText w:val="•"/>
      <w:numFmt w:val="bullet"/>
      <w:start w:val="1"/>
    </w:lvl>
  </w:abstractNum>
  <w:abstractNum w:abstractNumId="42">
    <w:nsid w:val="3FA62ACA"/>
    <w:multiLevelType w:val="hybridMultilevel"/>
    <w:lvl w:ilvl="0">
      <w:lvlJc w:val="left"/>
      <w:lvlText w:val="•"/>
      <w:numFmt w:val="bullet"/>
      <w:start w:val="1"/>
    </w:lvl>
    <w:lvl w:ilvl="1">
      <w:lvlJc w:val="left"/>
      <w:lvlText w:val="◦"/>
      <w:numFmt w:val="bullet"/>
      <w:start w:val="1"/>
    </w:lvl>
  </w:abstractNum>
  <w:abstractNum w:abstractNumId="43">
    <w:nsid w:val="14FCE74E"/>
    <w:multiLevelType w:val="hybridMultilevel"/>
    <w:lvl w:ilvl="0">
      <w:lvlJc w:val="left"/>
      <w:lvlText w:val="•"/>
      <w:numFmt w:val="bullet"/>
      <w:start w:val="1"/>
    </w:lvl>
  </w:abstractNum>
  <w:abstractNum w:abstractNumId="44">
    <w:nsid w:val="6A3DD3E8"/>
    <w:multiLevelType w:val="hybridMultilevel"/>
    <w:lvl w:ilvl="0">
      <w:lvlJc w:val="left"/>
      <w:lvlText w:val="•"/>
      <w:numFmt w:val="bullet"/>
      <w:start w:val="1"/>
    </w:lvl>
  </w:abstractNum>
  <w:abstractNum w:abstractNumId="45">
    <w:nsid w:val="71C91298"/>
    <w:multiLevelType w:val="hybridMultilevel"/>
    <w:lvl w:ilvl="0">
      <w:lvlJc w:val="left"/>
      <w:lvlText w:val="•"/>
      <w:numFmt w:val="bullet"/>
      <w:start w:val="1"/>
    </w:lvl>
  </w:abstractNum>
  <w:abstractNum w:abstractNumId="46">
    <w:nsid w:val="9DAF632"/>
    <w:multiLevelType w:val="hybridMultilevel"/>
    <w:lvl w:ilvl="0">
      <w:lvlJc w:val="left"/>
      <w:lvlText w:val="•"/>
      <w:numFmt w:val="bullet"/>
      <w:start w:val="1"/>
    </w:lvl>
  </w:abstractNum>
  <w:abstractNum w:abstractNumId="47">
    <w:nsid w:val="53299938"/>
    <w:multiLevelType w:val="hybridMultilevel"/>
    <w:lvl w:ilvl="0">
      <w:lvlJc w:val="left"/>
      <w:lvlText w:val="•"/>
      <w:numFmt w:val="bullet"/>
      <w:start w:val="1"/>
    </w:lvl>
    <w:lvl w:ilvl="1">
      <w:lvlJc w:val="left"/>
      <w:lvlText w:val="◦"/>
      <w:numFmt w:val="bullet"/>
      <w:start w:val="1"/>
    </w:lvl>
  </w:abstractNum>
  <w:abstractNum w:abstractNumId="48">
    <w:nsid w:val="1FBFE8E0"/>
    <w:multiLevelType w:val="hybridMultilevel"/>
    <w:lvl w:ilvl="0">
      <w:lvlJc w:val="left"/>
      <w:lvlText w:val="•"/>
      <w:numFmt w:val="bullet"/>
      <w:start w:val="1"/>
    </w:lvl>
  </w:abstractNum>
  <w:abstractNum w:abstractNumId="49">
    <w:nsid w:val="5092CA79"/>
    <w:multiLevelType w:val="hybridMultilevel"/>
    <w:lvl w:ilvl="0">
      <w:lvlJc w:val="left"/>
      <w:lvlText w:val="•"/>
      <w:numFmt w:val="bullet"/>
      <w:start w:val="1"/>
    </w:lvl>
  </w:abstractNum>
  <w:abstractNum w:abstractNumId="50">
    <w:nsid w:val="1D545C4D"/>
    <w:multiLevelType w:val="hybridMultilevel"/>
    <w:lvl w:ilvl="0">
      <w:lvlJc w:val="left"/>
      <w:lvlText w:val="•"/>
      <w:numFmt w:val="bullet"/>
      <w:start w:val="1"/>
    </w:lvl>
  </w:abstractNum>
  <w:abstractNum w:abstractNumId="51">
    <w:nsid w:val="59ADEA3D"/>
    <w:multiLevelType w:val="hybridMultilevel"/>
    <w:lvl w:ilvl="0">
      <w:lvlJc w:val="left"/>
      <w:lvlText w:val="•"/>
      <w:numFmt w:val="bullet"/>
      <w:start w:val="1"/>
    </w:lvl>
  </w:abstractNum>
  <w:abstractNum w:abstractNumId="52">
    <w:nsid w:val="288F1A34"/>
    <w:multiLevelType w:val="hybridMultilevel"/>
    <w:lvl w:ilvl="0">
      <w:lvlJc w:val="left"/>
      <w:lvlText w:val="•"/>
      <w:numFmt w:val="bullet"/>
      <w:start w:val="1"/>
    </w:lvl>
    <w:lvl w:ilvl="1">
      <w:lvlJc w:val="left"/>
      <w:lvlText w:val="◦"/>
      <w:numFmt w:val="bullet"/>
      <w:start w:val="1"/>
    </w:lvl>
  </w:abstractNum>
  <w:abstractNum w:abstractNumId="53">
    <w:nsid w:val="2A155DBC"/>
    <w:multiLevelType w:val="hybridMultilevel"/>
    <w:lvl w:ilvl="0">
      <w:lvlJc w:val="left"/>
      <w:lvlText w:val="•"/>
      <w:numFmt w:val="bullet"/>
      <w:start w:val="1"/>
    </w:lvl>
  </w:abstractNum>
  <w:abstractNum w:abstractNumId="54">
    <w:nsid w:val="1D9F6E5F"/>
    <w:multiLevelType w:val="hybridMultilevel"/>
    <w:lvl w:ilvl="0">
      <w:lvlJc w:val="left"/>
      <w:lvlText w:val="•"/>
      <w:numFmt w:val="bullet"/>
      <w:start w:val="1"/>
    </w:lvl>
  </w:abstractNum>
  <w:abstractNum w:abstractNumId="55">
    <w:nsid w:val="97E1B4E"/>
    <w:multiLevelType w:val="hybridMultilevel"/>
    <w:lvl w:ilvl="0">
      <w:lvlJc w:val="left"/>
      <w:lvlText w:val="•"/>
      <w:numFmt w:val="bullet"/>
      <w:start w:val="1"/>
    </w:lvl>
  </w:abstractNum>
  <w:abstractNum w:abstractNumId="56">
    <w:nsid w:val="51088277"/>
    <w:multiLevelType w:val="hybridMultilevel"/>
    <w:lvl w:ilvl="0">
      <w:lvlJc w:val="left"/>
      <w:lvlText w:val="•"/>
      <w:numFmt w:val="bullet"/>
      <w:start w:val="1"/>
    </w:lvl>
    <w:lvl w:ilvl="1">
      <w:lvlJc w:val="left"/>
      <w:lvlText w:val="◦"/>
      <w:numFmt w:val="bullet"/>
      <w:start w:val="1"/>
    </w:lvl>
  </w:abstractNum>
  <w:abstractNum w:abstractNumId="57">
    <w:nsid w:val="1CA0C5FA"/>
    <w:multiLevelType w:val="hybridMultilevel"/>
    <w:lvl w:ilvl="0">
      <w:lvlJc w:val="left"/>
      <w:lvlText w:val="•"/>
      <w:numFmt w:val="bullet"/>
      <w:start w:val="1"/>
    </w:lvl>
  </w:abstractNum>
  <w:abstractNum w:abstractNumId="58">
    <w:nsid w:val="53584BCB"/>
    <w:multiLevelType w:val="hybridMultilevel"/>
    <w:lvl w:ilvl="0">
      <w:lvlJc w:val="left"/>
      <w:lvlText w:val="•"/>
      <w:numFmt w:val="bullet"/>
      <w:start w:val="1"/>
    </w:lvl>
  </w:abstractNum>
  <w:abstractNum w:abstractNumId="59">
    <w:nsid w:val="415E286C"/>
    <w:multiLevelType w:val="hybridMultilevel"/>
    <w:lvl w:ilvl="0">
      <w:lvlJc w:val="left"/>
      <w:lvlText w:val="•"/>
      <w:numFmt w:val="bullet"/>
      <w:start w:val="1"/>
    </w:lvl>
  </w:abstractNum>
  <w:abstractNum w:abstractNumId="60">
    <w:nsid w:val="7C58FD05"/>
    <w:multiLevelType w:val="hybridMultilevel"/>
    <w:lvl w:ilvl="0">
      <w:lvlJc w:val="left"/>
      <w:lvlText w:val="•"/>
      <w:numFmt w:val="bullet"/>
      <w:start w:val="1"/>
    </w:lvl>
  </w:abstractNum>
  <w:abstractNum w:abstractNumId="61">
    <w:nsid w:val="23D86AAC"/>
    <w:multiLevelType w:val="hybridMultilevel"/>
    <w:lvl w:ilvl="0">
      <w:lvlJc w:val="left"/>
      <w:lvlText w:val="•"/>
      <w:numFmt w:val="bullet"/>
      <w:start w:val="1"/>
    </w:lvl>
  </w:abstractNum>
  <w:abstractNum w:abstractNumId="62">
    <w:nsid w:val="45E6D486"/>
    <w:multiLevelType w:val="hybridMultilevel"/>
    <w:lvl w:ilvl="0">
      <w:lvlJc w:val="left"/>
      <w:lvlText w:val="•"/>
      <w:numFmt w:val="bullet"/>
      <w:start w:val="1"/>
    </w:lvl>
  </w:abstractNum>
  <w:abstractNum w:abstractNumId="63">
    <w:nsid w:val="5C10FE21"/>
    <w:multiLevelType w:val="hybridMultilevel"/>
    <w:lvl w:ilvl="0">
      <w:lvlJc w:val="left"/>
      <w:lvlText w:val="•"/>
      <w:numFmt w:val="bullet"/>
      <w:start w:val="1"/>
    </w:lvl>
  </w:abstractNum>
  <w:abstractNum w:abstractNumId="64">
    <w:nsid w:val="E7FFA2B"/>
    <w:multiLevelType w:val="hybridMultilevel"/>
    <w:lvl w:ilvl="0">
      <w:lvlJc w:val="left"/>
      <w:lvlText w:val="•"/>
      <w:numFmt w:val="bullet"/>
      <w:start w:val="1"/>
    </w:lvl>
  </w:abstractNum>
  <w:abstractNum w:abstractNumId="65">
    <w:nsid w:val="3C5991AA"/>
    <w:multiLevelType w:val="hybridMultilevel"/>
    <w:lvl w:ilvl="0">
      <w:lvlJc w:val="left"/>
      <w:lvlText w:val="•"/>
      <w:numFmt w:val="bullet"/>
      <w:start w:val="1"/>
    </w:lvl>
    <w:lvl w:ilvl="1">
      <w:lvlJc w:val="left"/>
      <w:lvlText w:val="◦"/>
      <w:numFmt w:val="bullet"/>
      <w:start w:val="1"/>
    </w:lvl>
  </w:abstractNum>
  <w:abstractNum w:abstractNumId="66">
    <w:nsid w:val="4BD8591A"/>
    <w:multiLevelType w:val="hybridMultilevel"/>
    <w:lvl w:ilvl="0">
      <w:lvlJc w:val="left"/>
      <w:lvlText w:val="•"/>
      <w:numFmt w:val="bullet"/>
      <w:start w:val="1"/>
    </w:lvl>
  </w:abstractNum>
  <w:abstractNum w:abstractNumId="67">
    <w:nsid w:val="78DF6A55"/>
    <w:multiLevelType w:val="hybridMultilevel"/>
    <w:lvl w:ilvl="0">
      <w:lvlJc w:val="left"/>
      <w:lvlText w:val="•"/>
      <w:numFmt w:val="bullet"/>
      <w:start w:val="1"/>
    </w:lvl>
  </w:abstractNum>
  <w:abstractNum w:abstractNumId="68">
    <w:nsid w:val="39B7AAA2"/>
    <w:multiLevelType w:val="hybridMultilevel"/>
    <w:lvl w:ilvl="0">
      <w:lvlJc w:val="left"/>
      <w:lvlText w:val="•"/>
      <w:numFmt w:val="bullet"/>
      <w:start w:val="1"/>
    </w:lvl>
  </w:abstractNum>
  <w:abstractNum w:abstractNumId="69">
    <w:nsid w:val="2B0D8DBE"/>
    <w:multiLevelType w:val="hybridMultilevel"/>
    <w:lvl w:ilvl="0">
      <w:lvlJc w:val="left"/>
      <w:lvlText w:val="•"/>
      <w:numFmt w:val="bullet"/>
      <w:start w:val="1"/>
    </w:lvl>
  </w:abstractNum>
  <w:abstractNum w:abstractNumId="70">
    <w:nsid w:val="6C80EC70"/>
    <w:multiLevelType w:val="hybridMultilevel"/>
    <w:lvl w:ilvl="0">
      <w:lvlJc w:val="left"/>
      <w:lvlText w:val="•"/>
      <w:numFmt w:val="bullet"/>
      <w:start w:val="1"/>
    </w:lvl>
  </w:abstractNum>
  <w:abstractNum w:abstractNumId="71">
    <w:nsid w:val="379E21B5"/>
    <w:multiLevelType w:val="hybridMultilevel"/>
    <w:lvl w:ilvl="0">
      <w:lvlJc w:val="left"/>
      <w:lvlText w:val="•"/>
      <w:numFmt w:val="bullet"/>
      <w:start w:val="1"/>
    </w:lvl>
    <w:lvl w:ilvl="1">
      <w:lvlJc w:val="left"/>
      <w:lvlText w:val="◦"/>
      <w:numFmt w:val="bullet"/>
      <w:start w:val="1"/>
    </w:lvl>
  </w:abstractNum>
  <w:abstractNum w:abstractNumId="72">
    <w:nsid w:val="69E373"/>
    <w:multiLevelType w:val="hybridMultilevel"/>
    <w:lvl w:ilvl="0">
      <w:lvlJc w:val="left"/>
      <w:lvlText w:val="•"/>
      <w:numFmt w:val="bullet"/>
      <w:start w:val="1"/>
    </w:lvl>
  </w:abstractNum>
  <w:abstractNum w:abstractNumId="73">
    <w:nsid w:val="2C27173B"/>
    <w:multiLevelType w:val="hybridMultilevel"/>
    <w:lvl w:ilvl="0">
      <w:lvlJc w:val="left"/>
      <w:lvlText w:val="•"/>
      <w:numFmt w:val="bullet"/>
      <w:start w:val="1"/>
    </w:lvl>
  </w:abstractNum>
  <w:abstractNum w:abstractNumId="74">
    <w:nsid w:val="4C9B0904"/>
    <w:multiLevelType w:val="hybridMultilevel"/>
    <w:lvl w:ilvl="0">
      <w:lvlJc w:val="left"/>
      <w:lvlText w:val="•"/>
      <w:numFmt w:val="bullet"/>
      <w:start w:val="1"/>
    </w:lvl>
    <w:lvl w:ilvl="1">
      <w:lvlJc w:val="left"/>
      <w:lvlText w:val="•"/>
      <w:numFmt w:val="bullet"/>
      <w:start w:val="1"/>
    </w:lvl>
  </w:abstractNum>
  <w:abstractNum w:abstractNumId="75">
    <w:nsid w:val="6AA7B75C"/>
    <w:multiLevelType w:val="hybridMultilevel"/>
    <w:lvl w:ilvl="0">
      <w:lvlJc w:val="left"/>
      <w:lvlText w:val="•"/>
      <w:numFmt w:val="bullet"/>
      <w:start w:val="1"/>
    </w:lvl>
    <w:lvl w:ilvl="1">
      <w:lvlJc w:val="left"/>
      <w:lvlText w:val="•"/>
      <w:numFmt w:val="bullet"/>
      <w:start w:val="1"/>
    </w:lvl>
  </w:abstractNum>
  <w:abstractNum w:abstractNumId="76">
    <w:nsid w:val="1DF029D3"/>
    <w:multiLevelType w:val="hybridMultilevel"/>
    <w:lvl w:ilvl="0">
      <w:lvlJc w:val="left"/>
      <w:lvlText w:val="•"/>
      <w:numFmt w:val="bullet"/>
      <w:start w:val="1"/>
    </w:lvl>
  </w:abstractNum>
  <w:abstractNum w:abstractNumId="77">
    <w:nsid w:val="5675FF36"/>
    <w:multiLevelType w:val="hybridMultilevel"/>
    <w:lvl w:ilvl="0">
      <w:lvlJc w:val="left"/>
      <w:lvlText w:val="•"/>
      <w:numFmt w:val="bullet"/>
      <w:start w:val="1"/>
    </w:lvl>
  </w:abstractNum>
  <w:abstractNum w:abstractNumId="78">
    <w:nsid w:val="3DD15094"/>
    <w:multiLevelType w:val="hybridMultilevel"/>
    <w:lvl w:ilvl="0">
      <w:lvlJc w:val="left"/>
      <w:lvlText w:val="•"/>
      <w:numFmt w:val="bullet"/>
      <w:start w:val="1"/>
    </w:lvl>
  </w:abstractNum>
  <w:abstractNum w:abstractNumId="79">
    <w:nsid w:val="3DB012B3"/>
    <w:multiLevelType w:val="hybridMultilevel"/>
    <w:lvl w:ilvl="0">
      <w:lvlJc w:val="left"/>
      <w:lvlText w:val="•"/>
      <w:numFmt w:val="bullet"/>
      <w:start w:val="1"/>
    </w:lvl>
  </w:abstractNum>
  <w:abstractNum w:abstractNumId="80">
    <w:nsid w:val="2708C9AF"/>
    <w:multiLevelType w:val="hybridMultilevel"/>
    <w:lvl w:ilvl="0">
      <w:lvlJc w:val="left"/>
      <w:lvlText w:val="•"/>
      <w:numFmt w:val="bullet"/>
      <w:start w:val="1"/>
    </w:lvl>
  </w:abstractNum>
  <w:abstractNum w:abstractNumId="81">
    <w:nsid w:val="5B25ACE2"/>
    <w:multiLevelType w:val="hybridMultilevel"/>
    <w:lvl w:ilvl="0">
      <w:lvlJc w:val="left"/>
      <w:lvlText w:val="•"/>
      <w:numFmt w:val="bullet"/>
      <w:start w:val="1"/>
    </w:lvl>
  </w:abstractNum>
  <w:abstractNum w:abstractNumId="82">
    <w:nsid w:val="175DFCF0"/>
    <w:multiLevelType w:val="hybridMultilevel"/>
    <w:lvl w:ilvl="0">
      <w:lvlJc w:val="left"/>
      <w:lvlText w:val="•"/>
      <w:numFmt w:val="bullet"/>
      <w:start w:val="1"/>
    </w:lvl>
  </w:abstractNum>
  <w:abstractNum w:abstractNumId="83">
    <w:nsid w:val="4F97E3E4"/>
    <w:multiLevelType w:val="hybridMultilevel"/>
    <w:lvl w:ilvl="0">
      <w:lvlJc w:val="left"/>
      <w:lvlText w:val="•"/>
      <w:numFmt w:val="bullet"/>
      <w:start w:val="1"/>
    </w:lvl>
  </w:abstractNum>
  <w:abstractNum w:abstractNumId="84">
    <w:nsid w:val="53B0A9E"/>
    <w:multiLevelType w:val="hybridMultilevel"/>
    <w:lvl w:ilvl="0">
      <w:lvlJc w:val="left"/>
      <w:lvlText w:val="•"/>
      <w:numFmt w:val="bullet"/>
      <w:start w:val="1"/>
    </w:lvl>
  </w:abstractNum>
  <w:abstractNum w:abstractNumId="85">
    <w:nsid w:val="34FD6B4F"/>
    <w:multiLevelType w:val="hybridMultilevel"/>
    <w:lvl w:ilvl="0">
      <w:lvlJc w:val="left"/>
      <w:lvlText w:val="•"/>
      <w:numFmt w:val="bullet"/>
      <w:start w:val="1"/>
    </w:lvl>
  </w:abstractNum>
  <w:abstractNum w:abstractNumId="86">
    <w:nsid w:val="5915FF32"/>
    <w:multiLevelType w:val="hybridMultilevel"/>
    <w:lvl w:ilvl="0">
      <w:lvlJc w:val="left"/>
      <w:lvlText w:val="•"/>
      <w:numFmt w:val="bullet"/>
      <w:start w:val="1"/>
    </w:lvl>
  </w:abstractNum>
  <w:abstractNum w:abstractNumId="87">
    <w:nsid w:val="56438D15"/>
    <w:multiLevelType w:val="hybridMultilevel"/>
    <w:lvl w:ilvl="0">
      <w:lvlJc w:val="left"/>
      <w:lvlText w:val="(%1)"/>
      <w:numFmt w:val="lowerLetter"/>
      <w:start w:val="1"/>
    </w:lvl>
  </w:abstractNum>
  <w:abstractNum w:abstractNumId="88">
    <w:nsid w:val="519E3149"/>
    <w:multiLevelType w:val="hybridMultilevel"/>
    <w:lvl w:ilvl="0">
      <w:lvlJc w:val="left"/>
      <w:lvlText w:val="•"/>
      <w:numFmt w:val="bullet"/>
      <w:start w:val="1"/>
    </w:lvl>
  </w:abstractNum>
  <w:abstractNum w:abstractNumId="89">
    <w:nsid w:val="2C6E4AFD"/>
    <w:multiLevelType w:val="hybridMultilevel"/>
    <w:lvl w:ilvl="0">
      <w:lvlJc w:val="left"/>
      <w:lvlText w:val="(%1)"/>
      <w:numFmt w:val="lowerLetter"/>
      <w:start w:val="1"/>
    </w:lvl>
  </w:abstractNum>
  <w:abstractNum w:abstractNumId="90">
    <w:nsid w:val="17A1B582"/>
    <w:multiLevelType w:val="hybridMultilevel"/>
    <w:lvl w:ilvl="0">
      <w:lvlJc w:val="left"/>
      <w:lvlText w:val="(%1)"/>
      <w:numFmt w:val="lowerLetter"/>
      <w:start w:val="1"/>
    </w:lvl>
    <w:lvl w:ilvl="1">
      <w:lvlJc w:val="left"/>
      <w:lvlText w:val="*"/>
      <w:numFmt w:val="bullet"/>
      <w:start w:val="1"/>
    </w:lvl>
  </w:abstractNum>
  <w:abstractNum w:abstractNumId="91">
    <w:nsid w:val="4DF72E4E"/>
    <w:multiLevelType w:val="hybridMultilevel"/>
    <w:lvl w:ilvl="0">
      <w:lvlJc w:val="left"/>
      <w:lvlText w:val="•"/>
      <w:numFmt w:val="bullet"/>
      <w:start w:val="1"/>
    </w:lvl>
  </w:abstractNum>
  <w:abstractNum w:abstractNumId="92">
    <w:nsid w:val="5046B5A9"/>
    <w:multiLevelType w:val="hybridMultilevel"/>
    <w:lvl w:ilvl="0">
      <w:lvlJc w:val="left"/>
      <w:lvlText w:val="•"/>
      <w:numFmt w:val="bullet"/>
      <w:start w:val="1"/>
    </w:lvl>
  </w:abstractNum>
  <w:abstractNum w:abstractNumId="93">
    <w:nsid w:val="5D888A08"/>
    <w:multiLevelType w:val="hybridMultilevel"/>
    <w:lvl w:ilvl="0">
      <w:lvlJc w:val="left"/>
      <w:lvlText w:val="%1."/>
      <w:numFmt w:val="upperLetter"/>
      <w:start w:val="61"/>
    </w:lvl>
  </w:abstractNum>
  <w:abstractNum w:abstractNumId="94">
    <w:nsid w:val="2A082C70"/>
    <w:multiLevelType w:val="hybridMultilevel"/>
    <w:lvl w:ilvl="0">
      <w:lvlJc w:val="left"/>
      <w:lvlText w:val="(%1)"/>
      <w:numFmt w:val="lowerLetter"/>
      <w:start w:val="1"/>
    </w:lvl>
  </w:abstractNum>
  <w:abstractNum w:abstractNumId="95">
    <w:nsid w:val="5EC6AFD4"/>
    <w:multiLevelType w:val="hybridMultilevel"/>
    <w:lvl w:ilvl="0">
      <w:lvlJc w:val="left"/>
      <w:lvlText w:val="P"/>
      <w:numFmt w:val="bullet"/>
      <w:start w:val="1"/>
    </w:lvl>
  </w:abstractNum>
  <w:abstractNum w:abstractNumId="96">
    <w:nsid w:val="19E21BB2"/>
    <w:multiLevelType w:val="hybridMultilevel"/>
    <w:lvl w:ilvl="0">
      <w:lvlJc w:val="left"/>
      <w:lvlText w:val="(%1)"/>
      <w:numFmt w:val="upperLetter"/>
      <w:start w:val="3"/>
    </w:lvl>
  </w:abstractNum>
  <w:abstractNum w:abstractNumId="97">
    <w:nsid w:val="75E0858A"/>
    <w:multiLevelType w:val="hybridMultilevel"/>
    <w:lvl w:ilvl="0">
      <w:lvlJc w:val="left"/>
      <w:lvlText w:val="(%1)"/>
      <w:numFmt w:val="decimal"/>
      <w:start w:val="1"/>
    </w:lvl>
  </w:abstractNum>
  <w:abstractNum w:abstractNumId="98">
    <w:nsid w:val="57A61A29"/>
    <w:multiLevelType w:val="hybridMultilevel"/>
    <w:lvl w:ilvl="0">
      <w:lvlJc w:val="left"/>
      <w:lvlText w:val="•"/>
      <w:numFmt w:val="bullet"/>
      <w:start w:val="1"/>
    </w:lvl>
  </w:abstractNum>
  <w:abstractNum w:abstractNumId="99">
    <w:nsid w:val="5399C654"/>
    <w:multiLevelType w:val="hybridMultilevel"/>
    <w:lvl w:ilvl="0">
      <w:lvlJc w:val="left"/>
      <w:lvlText w:val="•"/>
      <w:numFmt w:val="bullet"/>
      <w:start w:val="1"/>
    </w:lvl>
  </w:abstractNum>
  <w:abstractNum w:abstractNumId="100">
    <w:nsid w:val="20EE1348"/>
    <w:multiLevelType w:val="hybridMultilevel"/>
    <w:lvl w:ilvl="0">
      <w:lvlJc w:val="left"/>
      <w:lvlText w:val="P"/>
      <w:numFmt w:val="bullet"/>
      <w:start w:val="1"/>
    </w:lvl>
  </w:abstractNum>
  <w:abstractNum w:abstractNumId="101">
    <w:nsid w:val="4427069A"/>
    <w:multiLevelType w:val="hybridMultilevel"/>
    <w:lvl w:ilvl="0">
      <w:lvlJc w:val="left"/>
      <w:lvlText w:val="(%1)"/>
      <w:numFmt w:val="lowerLetter"/>
      <w:start w:val="1"/>
    </w:lvl>
  </w:abstractNum>
  <w:abstractNum w:abstractNumId="102">
    <w:nsid w:val="B37E80A"/>
    <w:multiLevelType w:val="hybridMultilevel"/>
    <w:lvl w:ilvl="0">
      <w:lvlJc w:val="left"/>
      <w:lvlText w:val="•"/>
      <w:numFmt w:val="bullet"/>
      <w:start w:val="1"/>
    </w:lvl>
  </w:abstractNum>
  <w:abstractNum w:abstractNumId="103">
    <w:nsid w:val="2157F6BC"/>
    <w:multiLevelType w:val="hybridMultilevel"/>
    <w:lvl w:ilvl="0">
      <w:lvlJc w:val="left"/>
      <w:lvlText w:val="•"/>
      <w:numFmt w:val="bullet"/>
      <w:start w:val="1"/>
    </w:lvl>
  </w:abstractNum>
  <w:abstractNum w:abstractNumId="104">
    <w:nsid w:val="704E1DD5"/>
    <w:multiLevelType w:val="hybridMultilevel"/>
    <w:lvl w:ilvl="0">
      <w:lvlJc w:val="left"/>
      <w:lvlText w:val="•"/>
      <w:numFmt w:val="bullet"/>
      <w:start w:val="1"/>
    </w:lvl>
  </w:abstractNum>
  <w:abstractNum w:abstractNumId="105">
    <w:nsid w:val="57D2F10E"/>
    <w:multiLevelType w:val="hybridMultilevel"/>
    <w:lvl w:ilvl="0">
      <w:lvlJc w:val="left"/>
      <w:lvlText w:val="(%1)"/>
      <w:numFmt w:val="lowerLetter"/>
      <w:start w:val="1"/>
    </w:lvl>
  </w:abstractNum>
  <w:abstractNum w:abstractNumId="106">
    <w:nsid w:val="BFFAE18"/>
    <w:multiLevelType w:val="hybridMultilevel"/>
    <w:lvl w:ilvl="0">
      <w:lvlJc w:val="left"/>
      <w:lvlText w:val="•"/>
      <w:numFmt w:val="bullet"/>
      <w:start w:val="1"/>
    </w:lvl>
  </w:abstractNum>
  <w:abstractNum w:abstractNumId="107">
    <w:nsid w:val="E3E47A8"/>
    <w:multiLevelType w:val="hybridMultilevel"/>
    <w:lvl w:ilvl="0">
      <w:lvlJc w:val="left"/>
      <w:lvlText w:val="•"/>
      <w:numFmt w:val="bullet"/>
      <w:start w:val="1"/>
    </w:lvl>
  </w:abstractNum>
  <w:abstractNum w:abstractNumId="108">
    <w:nsid w:val="2E48F044"/>
    <w:multiLevelType w:val="hybridMultilevel"/>
    <w:lvl w:ilvl="0">
      <w:lvlJc w:val="left"/>
      <w:lvlText w:val="(%1)"/>
      <w:numFmt w:val="lowerLetter"/>
      <w:start w:val="1"/>
    </w:lvl>
  </w:abstractNum>
  <w:abstractNum w:abstractNumId="109">
    <w:nsid w:val="49D0FEAC"/>
    <w:multiLevelType w:val="hybridMultilevel"/>
    <w:lvl w:ilvl="0">
      <w:lvlJc w:val="left"/>
      <w:lvlText w:val="•"/>
      <w:numFmt w:val="bullet"/>
      <w:start w:val="1"/>
    </w:lvl>
  </w:abstractNum>
  <w:abstractNum w:abstractNumId="110">
    <w:nsid w:val="4BEE5A5B"/>
    <w:multiLevelType w:val="hybridMultilevel"/>
    <w:lvl w:ilvl="0">
      <w:lvlJc w:val="left"/>
      <w:lvlText w:val="•"/>
      <w:numFmt w:val="bullet"/>
      <w:start w:val="1"/>
    </w:lvl>
  </w:abstractNum>
  <w:abstractNum w:abstractNumId="111">
    <w:nsid w:val="5551B9F3"/>
    <w:multiLevelType w:val="hybridMultilevel"/>
    <w:lvl w:ilvl="0">
      <w:lvlJc w:val="left"/>
      <w:lvlText w:val="•"/>
      <w:numFmt w:val="bullet"/>
      <w:start w:val="1"/>
    </w:lvl>
  </w:abstractNum>
  <w:abstractNum w:abstractNumId="112">
    <w:nsid w:val="24F6AB8E"/>
    <w:multiLevelType w:val="hybridMultilevel"/>
    <w:lvl w:ilvl="0">
      <w:lvlJc w:val="left"/>
      <w:lvlText w:val="•"/>
      <w:numFmt w:val="bullet"/>
      <w:start w:val="1"/>
    </w:lvl>
  </w:abstractNum>
  <w:abstractNum w:abstractNumId="113">
    <w:nsid w:val="634C574C"/>
    <w:multiLevelType w:val="hybridMultilevel"/>
    <w:lvl w:ilvl="0">
      <w:lvlJc w:val="left"/>
      <w:lvlText w:val="•"/>
      <w:numFmt w:val="bullet"/>
      <w:start w:val="1"/>
    </w:lvl>
  </w:abstractNum>
  <w:abstractNum w:abstractNumId="114">
    <w:nsid w:val="24E99DD7"/>
    <w:multiLevelType w:val="hybridMultilevel"/>
    <w:lvl w:ilvl="0">
      <w:lvlJc w:val="left"/>
      <w:lvlText w:val="•"/>
      <w:numFmt w:val="bullet"/>
      <w:start w:val="1"/>
    </w:lvl>
  </w:abstractNum>
  <w:abstractNum w:abstractNumId="115">
    <w:nsid w:val="2A31B62D"/>
    <w:multiLevelType w:val="hybridMultilevel"/>
    <w:lvl w:ilvl="0">
      <w:lvlJc w:val="left"/>
      <w:lvlText w:val="•"/>
      <w:numFmt w:val="bullet"/>
      <w:start w:val="1"/>
    </w:lvl>
  </w:abstractNum>
  <w:abstractNum w:abstractNumId="116">
    <w:nsid w:val="1849C29B"/>
    <w:multiLevelType w:val="hybridMultilevel"/>
    <w:lvl w:ilvl="0">
      <w:lvlJc w:val="left"/>
      <w:lvlText w:val="•"/>
      <w:numFmt w:val="bullet"/>
      <w:start w:val="1"/>
    </w:lvl>
  </w:abstractNum>
  <w:abstractNum w:abstractNumId="117">
    <w:nsid w:val="7DFF9D09"/>
    <w:multiLevelType w:val="hybridMultilevel"/>
    <w:lvl w:ilvl="0">
      <w:lvlJc w:val="left"/>
      <w:lvlText w:val="•"/>
      <w:numFmt w:val="bullet"/>
      <w:start w:val="1"/>
    </w:lvl>
  </w:abstractNum>
  <w:abstractNum w:abstractNumId="118">
    <w:nsid w:val="754342"/>
    <w:multiLevelType w:val="hybridMultilevel"/>
    <w:lvl w:ilvl="0">
      <w:lvlJc w:val="left"/>
      <w:lvlText w:val="(%1)"/>
      <w:numFmt w:val="lowerLetter"/>
      <w:start w:val="1"/>
    </w:lvl>
  </w:abstractNum>
  <w:abstractNum w:abstractNumId="119">
    <w:nsid w:val="69E7F3E5"/>
    <w:multiLevelType w:val="hybridMultilevel"/>
    <w:lvl w:ilvl="0">
      <w:lvlJc w:val="left"/>
      <w:lvlText w:val="(%1)"/>
      <w:numFmt w:val="lowerLetter"/>
      <w:start w:val="1"/>
    </w:lvl>
  </w:abstractNum>
  <w:abstractNum w:abstractNumId="120">
    <w:nsid w:val="2A6DE806"/>
    <w:multiLevelType w:val="hybridMultilevel"/>
    <w:lvl w:ilvl="0">
      <w:lvlJc w:val="left"/>
      <w:lvlText w:val="•"/>
      <w:numFmt w:val="bullet"/>
      <w:start w:val="1"/>
    </w:lvl>
  </w:abstractNum>
  <w:abstractNum w:abstractNumId="121">
    <w:nsid w:val="1816F8C4"/>
    <w:multiLevelType w:val="hybridMultilevel"/>
    <w:lvl w:ilvl="0">
      <w:lvlJc w:val="left"/>
      <w:lvlText w:val="(%1)"/>
      <w:numFmt w:val="lowerLetter"/>
      <w:start w:val="1"/>
    </w:lvl>
  </w:abstractNum>
  <w:abstractNum w:abstractNumId="122">
    <w:nsid w:val="37DF2233"/>
    <w:multiLevelType w:val="hybridMultilevel"/>
    <w:lvl w:ilvl="0">
      <w:lvlJc w:val="left"/>
      <w:lvlText w:val="(%1)"/>
      <w:numFmt w:val="decimal"/>
      <w:start w:val="2"/>
    </w:lvl>
  </w:abstractNum>
  <w:abstractNum w:abstractNumId="123">
    <w:nsid w:val="7AB49DAF"/>
    <w:multiLevelType w:val="hybridMultilevel"/>
    <w:lvl w:ilvl="0">
      <w:lvlJc w:val="left"/>
      <w:lvlText w:val="(%1)"/>
      <w:numFmt w:val="lowerLetter"/>
      <w:start w:val="1"/>
    </w:lvl>
  </w:abstractNum>
  <w:abstractNum w:abstractNumId="124">
    <w:nsid w:val="759F82CD"/>
    <w:multiLevelType w:val="hybridMultilevel"/>
    <w:lvl w:ilvl="0">
      <w:lvlJc w:val="left"/>
      <w:lvlText w:val="(%1)"/>
      <w:numFmt w:val="lowerLetter"/>
      <w:start w:val="1"/>
    </w:lvl>
  </w:abstractNum>
  <w:abstractNum w:abstractNumId="125">
    <w:nsid w:val="61E74EA3"/>
    <w:multiLevelType w:val="hybridMultilevel"/>
    <w:lvl w:ilvl="0">
      <w:lvlJc w:val="left"/>
      <w:lvlText w:val="•"/>
      <w:numFmt w:val="bullet"/>
      <w:start w:val="1"/>
    </w:lvl>
  </w:abstractNum>
  <w:abstractNum w:abstractNumId="126">
    <w:nsid w:val="597B4D84"/>
    <w:multiLevelType w:val="hybridMultilevel"/>
    <w:lvl w:ilvl="0">
      <w:lvlJc w:val="left"/>
      <w:lvlText w:val="(%1)"/>
      <w:numFmt w:val="lowerLetter"/>
      <w:start w:val="1"/>
    </w:lvl>
  </w:abstractNum>
  <w:abstractNum w:abstractNumId="127">
    <w:nsid w:val="F819E7F"/>
    <w:multiLevelType w:val="hybridMultilevel"/>
    <w:lvl w:ilvl="0">
      <w:lvlJc w:val="left"/>
      <w:lvlText w:val="•"/>
      <w:numFmt w:val="bullet"/>
      <w:start w:val="1"/>
    </w:lvl>
  </w:abstractNum>
  <w:abstractNum w:abstractNumId="128">
    <w:nsid w:val="57C7D42D"/>
    <w:multiLevelType w:val="hybridMultilevel"/>
    <w:lvl w:ilvl="0">
      <w:lvlJc w:val="left"/>
      <w:lvlText w:val="(%1)"/>
      <w:numFmt w:val="lowerLetter"/>
      <w:start w:val="1"/>
    </w:lvl>
  </w:abstractNum>
  <w:abstractNum w:abstractNumId="129">
    <w:nsid w:val="312167AD"/>
    <w:multiLevelType w:val="hybridMultilevel"/>
    <w:lvl w:ilvl="0">
      <w:lvlJc w:val="left"/>
      <w:lvlText w:val="(%1)"/>
      <w:numFmt w:val="lowerLetter"/>
      <w:start w:val="1"/>
    </w:lvl>
  </w:abstractNum>
  <w:abstractNum w:abstractNumId="130">
    <w:nsid w:val="631B64D4"/>
    <w:multiLevelType w:val="hybridMultilevel"/>
    <w:lvl w:ilvl="0">
      <w:lvlJc w:val="left"/>
      <w:lvlText w:val="•"/>
      <w:numFmt w:val="bullet"/>
      <w:start w:val="1"/>
    </w:lvl>
    <w:lvl w:ilvl="1">
      <w:lvlJc w:val="left"/>
      <w:lvlText w:val="◦"/>
      <w:numFmt w:val="bullet"/>
      <w:start w:val="1"/>
    </w:lvl>
  </w:abstractNum>
  <w:abstractNum w:abstractNumId="131">
    <w:nsid w:val="78B5E776"/>
    <w:multiLevelType w:val="hybridMultilevel"/>
    <w:lvl w:ilvl="0">
      <w:lvlJc w:val="left"/>
      <w:lvlText w:val="•"/>
      <w:numFmt w:val="bullet"/>
      <w:start w:val="1"/>
    </w:lvl>
    <w:lvl w:ilvl="1">
      <w:lvlJc w:val="left"/>
      <w:lvlText w:val="◦"/>
      <w:numFmt w:val="bullet"/>
      <w:start w:val="1"/>
    </w:lvl>
  </w:abstractNum>
  <w:abstractNum w:abstractNumId="132">
    <w:nsid w:val="75486E47"/>
    <w:multiLevelType w:val="hybridMultilevel"/>
    <w:lvl w:ilvl="0">
      <w:lvlJc w:val="left"/>
      <w:lvlText w:val="•"/>
      <w:numFmt w:val="bullet"/>
      <w:start w:val="1"/>
    </w:lvl>
  </w:abstractNum>
  <w:abstractNum w:abstractNumId="133">
    <w:nsid w:val="6E534CDE"/>
    <w:multiLevelType w:val="hybridMultilevel"/>
    <w:lvl w:ilvl="0">
      <w:lvlJc w:val="left"/>
      <w:lvlText w:val="(%1)"/>
      <w:numFmt w:val="lowerLetter"/>
      <w:start w:val="1"/>
    </w:lvl>
  </w:abstractNum>
  <w:abstractNum w:abstractNumId="134">
    <w:nsid w:val="1A0DDE32"/>
    <w:multiLevelType w:val="hybridMultilevel"/>
    <w:lvl w:ilvl="0">
      <w:lvlJc w:val="left"/>
      <w:lvlText w:val="(%1)"/>
      <w:numFmt w:val="lowerLetter"/>
      <w:start w:val="1"/>
    </w:lvl>
  </w:abstractNum>
  <w:abstractNum w:abstractNumId="135">
    <w:nsid w:val="65968C1C"/>
    <w:multiLevelType w:val="hybridMultilevel"/>
    <w:lvl w:ilvl="0">
      <w:lvlJc w:val="left"/>
      <w:lvlText w:val="(%1)"/>
      <w:numFmt w:val="lowerLetter"/>
      <w:start w:val="5"/>
    </w:lvl>
  </w:abstractNum>
  <w:abstractNum w:abstractNumId="136">
    <w:nsid w:val="46263DEC"/>
    <w:multiLevelType w:val="hybridMultilevel"/>
    <w:lvl w:ilvl="0">
      <w:lvlJc w:val="left"/>
      <w:lvlText w:val="(%1)"/>
      <w:numFmt w:val="lowerLetter"/>
      <w:start w:val="1"/>
    </w:lvl>
    <w:lvl w:ilvl="1">
      <w:lvlJc w:val="left"/>
      <w:lvlText w:val="•"/>
      <w:numFmt w:val="bullet"/>
      <w:start w:val="1"/>
    </w:lvl>
  </w:abstractNum>
  <w:abstractNum w:abstractNumId="137">
    <w:nsid w:val="260D8C4A"/>
    <w:multiLevelType w:val="hybridMultilevel"/>
    <w:lvl w:ilvl="0">
      <w:lvlJc w:val="left"/>
      <w:lvlText w:val="(%1)"/>
      <w:numFmt w:val="lowerLetter"/>
      <w:start w:val="4"/>
    </w:lvl>
  </w:abstractNum>
  <w:abstractNum w:abstractNumId="138">
    <w:nsid w:val="73D4D3C4"/>
    <w:multiLevelType w:val="hybridMultilevel"/>
    <w:lvl w:ilvl="0">
      <w:lvlJc w:val="left"/>
      <w:lvlText w:val="(%1)"/>
      <w:numFmt w:val="lowerLetter"/>
      <w:start w:val="1"/>
    </w:lvl>
  </w:abstractNum>
  <w:abstractNum w:abstractNumId="139">
    <w:nsid w:val="746F2E30"/>
    <w:multiLevelType w:val="hybridMultilevel"/>
    <w:lvl w:ilvl="0">
      <w:lvlJc w:val="left"/>
      <w:lvlText w:val="(%1)"/>
      <w:numFmt w:val="lowerLetter"/>
      <w:start w:val="3"/>
    </w:lvl>
  </w:abstractNum>
  <w:abstractNum w:abstractNumId="140">
    <w:nsid w:val="6FDE8AF6"/>
    <w:multiLevelType w:val="hybridMultilevel"/>
    <w:lvl w:ilvl="0">
      <w:lvlJc w:val="left"/>
      <w:lvlText w:val="(%1)"/>
      <w:numFmt w:val="lowerLetter"/>
      <w:start w:val="1"/>
    </w:lvl>
  </w:abstractNum>
  <w:abstractNum w:abstractNumId="141">
    <w:nsid w:val="3FC32E20"/>
    <w:multiLevelType w:val="hybridMultilevel"/>
    <w:lvl w:ilvl="0">
      <w:lvlJc w:val="left"/>
      <w:lvlText w:val="(%1)"/>
      <w:numFmt w:val="lowerLetter"/>
      <w:start w:val="11"/>
    </w:lvl>
  </w:abstractNum>
  <w:abstractNum w:abstractNumId="142">
    <w:nsid w:val="49C0E823"/>
    <w:multiLevelType w:val="hybridMultilevel"/>
    <w:lvl w:ilvl="0">
      <w:lvlJc w:val="left"/>
      <w:lvlText w:val="(%1)"/>
      <w:numFmt w:val="lowerLetter"/>
      <w:start w:val="1"/>
    </w:lvl>
  </w:abstractNum>
  <w:abstractNum w:abstractNumId="143">
    <w:nsid w:val="14D53685"/>
    <w:multiLevelType w:val="hybridMultilevel"/>
    <w:lvl w:ilvl="0">
      <w:lvlJc w:val="left"/>
      <w:lvlText w:val="•"/>
      <w:numFmt w:val="bullet"/>
      <w:start w:val="1"/>
    </w:lvl>
  </w:abstractNum>
  <w:abstractNum w:abstractNumId="144">
    <w:nsid w:val="230F856C"/>
    <w:multiLevelType w:val="hybridMultilevel"/>
    <w:lvl w:ilvl="0">
      <w:lvlJc w:val="left"/>
      <w:lvlText w:val="•"/>
      <w:numFmt w:val="bullet"/>
      <w:start w:val="1"/>
    </w:lvl>
  </w:abstractNum>
  <w:abstractNum w:abstractNumId="145">
    <w:nsid w:val="6EAA85FB"/>
    <w:multiLevelType w:val="hybridMultilevel"/>
    <w:lvl w:ilvl="0">
      <w:lvlJc w:val="left"/>
      <w:lvlText w:val="(%1)"/>
      <w:numFmt w:val="decimal"/>
      <w:start w:val="2"/>
    </w:lvl>
  </w:abstractNum>
  <w:abstractNum w:abstractNumId="146">
    <w:nsid w:val="3F06ECB2"/>
    <w:multiLevelType w:val="hybridMultilevel"/>
    <w:lvl w:ilvl="0">
      <w:lvlJc w:val="left"/>
      <w:lvlText w:val="(%1)"/>
      <w:numFmt w:val="lowerLetter"/>
      <w:start w:val="1"/>
    </w:lvl>
    <w:lvl w:ilvl="1">
      <w:lvlJc w:val="left"/>
      <w:lvlText w:val="•"/>
      <w:numFmt w:val="bullet"/>
      <w:start w:val="1"/>
    </w:lvl>
  </w:abstractNum>
  <w:abstractNum w:abstractNumId="147">
    <w:nsid w:val="3B594807"/>
    <w:multiLevelType w:val="hybridMultilevel"/>
    <w:lvl w:ilvl="0">
      <w:lvlJc w:val="left"/>
      <w:lvlText w:val="•"/>
      <w:numFmt w:val="bullet"/>
      <w:start w:val="1"/>
    </w:lvl>
  </w:abstractNum>
  <w:abstractNum w:abstractNumId="148">
    <w:nsid w:val="6CAA2304"/>
    <w:multiLevelType w:val="hybridMultilevel"/>
    <w:lvl w:ilvl="0">
      <w:lvlJc w:val="left"/>
      <w:lvlText w:val="(%1)"/>
      <w:numFmt w:val="lowerLetter"/>
      <w:start w:val="1"/>
    </w:lvl>
  </w:abstractNum>
  <w:abstractNum w:abstractNumId="149">
    <w:nsid w:val="3F7C2FF4"/>
    <w:multiLevelType w:val="hybridMultilevel"/>
    <w:lvl w:ilvl="0">
      <w:lvlJc w:val="left"/>
      <w:lvlText w:val="(%1)"/>
      <w:numFmt w:val="lowerLetter"/>
      <w:start w:val="2"/>
    </w:lvl>
  </w:abstractNum>
  <w:abstractNum w:abstractNumId="150">
    <w:nsid w:val="25413BEC"/>
    <w:multiLevelType w:val="hybridMultilevel"/>
    <w:lvl w:ilvl="0">
      <w:lvlJc w:val="left"/>
      <w:lvlText w:val="(%1)"/>
      <w:numFmt w:val="lowerLetter"/>
      <w:start w:val="1"/>
    </w:lvl>
  </w:abstractNum>
  <w:abstractNum w:abstractNumId="151">
    <w:nsid w:val="17180B0B"/>
    <w:multiLevelType w:val="hybridMultilevel"/>
    <w:lvl w:ilvl="0">
      <w:lvlJc w:val="left"/>
      <w:lvlText w:val="(%1)"/>
      <w:numFmt w:val="lowerLetter"/>
      <w:start w:val="1"/>
    </w:lvl>
  </w:abstractNum>
  <w:abstractNum w:abstractNumId="152">
    <w:nsid w:val="579328B9"/>
    <w:multiLevelType w:val="hybridMultilevel"/>
    <w:lvl w:ilvl="0">
      <w:lvlJc w:val="left"/>
      <w:lvlText w:val="(%1)"/>
      <w:numFmt w:val="decimal"/>
      <w:start w:val="2"/>
    </w:lvl>
  </w:abstractNum>
  <w:abstractNum w:abstractNumId="153">
    <w:nsid w:val="5D205E20"/>
    <w:multiLevelType w:val="hybridMultilevel"/>
    <w:lvl w:ilvl="0">
      <w:lvlJc w:val="left"/>
      <w:lvlText w:val="•"/>
      <w:numFmt w:val="bullet"/>
      <w:start w:val="1"/>
    </w:lvl>
  </w:abstractNum>
  <w:abstractNum w:abstractNumId="154">
    <w:nsid w:val="11CCA8BA"/>
    <w:multiLevelType w:val="hybridMultilevel"/>
    <w:lvl w:ilvl="0">
      <w:lvlJc w:val="left"/>
      <w:lvlText w:val="(%1)"/>
      <w:numFmt w:val="lowerLetter"/>
      <w:start w:val="1"/>
    </w:lvl>
  </w:abstractNum>
  <w:abstractNum w:abstractNumId="155">
    <w:nsid w:val="4D32AB86"/>
    <w:multiLevelType w:val="hybridMultilevel"/>
    <w:lvl w:ilvl="0">
      <w:lvlJc w:val="left"/>
      <w:lvlText w:val="(%1)"/>
      <w:numFmt w:val="lowerLetter"/>
      <w:start w:val="7"/>
    </w:lvl>
  </w:abstractNum>
  <w:abstractNum w:abstractNumId="156">
    <w:nsid w:val="3F07ACC3"/>
    <w:multiLevelType w:val="hybridMultilevel"/>
    <w:lvl w:ilvl="0">
      <w:lvlJc w:val="left"/>
      <w:lvlText w:val="•"/>
      <w:numFmt w:val="bullet"/>
      <w:start w:val="1"/>
    </w:lvl>
  </w:abstractNum>
  <w:abstractNum w:abstractNumId="157">
    <w:nsid w:val="6B47F63E"/>
    <w:multiLevelType w:val="hybridMultilevel"/>
    <w:lvl w:ilvl="0">
      <w:lvlJc w:val="left"/>
      <w:lvlText w:val="•"/>
      <w:numFmt w:val="bullet"/>
      <w:start w:val="1"/>
    </w:lvl>
    <w:lvl w:ilvl="1">
      <w:lvlJc w:val="left"/>
      <w:lvlText w:val="◦"/>
      <w:numFmt w:val="bullet"/>
      <w:start w:val="1"/>
    </w:lvl>
  </w:abstractNum>
  <w:abstractNum w:abstractNumId="158">
    <w:nsid w:val="5CB44A05"/>
    <w:multiLevelType w:val="hybridMultilevel"/>
    <w:lvl w:ilvl="0">
      <w:lvlJc w:val="left"/>
      <w:lvlText w:val="•"/>
      <w:numFmt w:val="bullet"/>
      <w:start w:val="1"/>
    </w:lvl>
  </w:abstractNum>
  <w:abstractNum w:abstractNumId="159">
    <w:nsid w:val="16CF80F1"/>
    <w:multiLevelType w:val="hybridMultilevel"/>
    <w:lvl w:ilvl="0">
      <w:lvlJc w:val="left"/>
      <w:lvlText w:val="(%1)"/>
      <w:numFmt w:val="lowerLetter"/>
      <w:start w:val="1"/>
    </w:lvl>
  </w:abstractNum>
  <w:abstractNum w:abstractNumId="160">
    <w:nsid w:val="1C695DEC"/>
    <w:multiLevelType w:val="hybridMultilevel"/>
    <w:lvl w:ilvl="0">
      <w:lvlJc w:val="left"/>
      <w:lvlText w:val="•"/>
      <w:numFmt w:val="bullet"/>
      <w:start w:val="1"/>
    </w:lvl>
  </w:abstractNum>
  <w:abstractNum w:abstractNumId="161">
    <w:nsid w:val="3FCFAED9"/>
    <w:multiLevelType w:val="hybridMultilevel"/>
    <w:lvl w:ilvl="0">
      <w:lvlJc w:val="left"/>
      <w:lvlText w:val="•"/>
      <w:numFmt w:val="bullet"/>
      <w:start w:val="1"/>
    </w:lvl>
    <w:lvl w:ilvl="1">
      <w:lvlJc w:val="left"/>
      <w:lvlText w:val="%2)"/>
      <w:numFmt w:val="lowerLetter"/>
      <w:start w:val="1"/>
    </w:lvl>
  </w:abstractNum>
  <w:abstractNum w:abstractNumId="162">
    <w:nsid w:val="F85686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jpeg"/><Relationship Id="rId360" Type="http://schemas.openxmlformats.org/officeDocument/2006/relationships/image" Target="media/image353.jpeg"/><Relationship Id="rId361" Type="http://schemas.openxmlformats.org/officeDocument/2006/relationships/image" Target="media/image354.png"/><Relationship Id="rId362" Type="http://schemas.openxmlformats.org/officeDocument/2006/relationships/image" Target="media/image355.jpeg"/><Relationship Id="rId363" Type="http://schemas.openxmlformats.org/officeDocument/2006/relationships/image" Target="media/image356.jpeg"/><Relationship Id="rId364" Type="http://schemas.openxmlformats.org/officeDocument/2006/relationships/image" Target="media/image357.png"/><Relationship Id="rId365" Type="http://schemas.openxmlformats.org/officeDocument/2006/relationships/image" Target="media/image358.jpeg"/><Relationship Id="rId366" Type="http://schemas.openxmlformats.org/officeDocument/2006/relationships/image" Target="media/image359.png"/><Relationship Id="rId367" Type="http://schemas.openxmlformats.org/officeDocument/2006/relationships/image" Target="media/image360.jpeg"/><Relationship Id="rId368" Type="http://schemas.openxmlformats.org/officeDocument/2006/relationships/image" Target="media/image361.jpe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jpe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jpe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jpe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jpe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jpeg"/><Relationship Id="rId631" Type="http://schemas.openxmlformats.org/officeDocument/2006/relationships/image" Target="media/image624.png"/><Relationship Id="rId632" Type="http://schemas.openxmlformats.org/officeDocument/2006/relationships/image" Target="media/image625.jpe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jpe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jpeg"/><Relationship Id="rId644" Type="http://schemas.openxmlformats.org/officeDocument/2006/relationships/image" Target="media/image637.png"/><Relationship Id="rId645" Type="http://schemas.openxmlformats.org/officeDocument/2006/relationships/image" Target="media/image638.jpeg"/><Relationship Id="rId646" Type="http://schemas.openxmlformats.org/officeDocument/2006/relationships/image" Target="media/image639.png"/><Relationship Id="rId647" Type="http://schemas.openxmlformats.org/officeDocument/2006/relationships/image" Target="media/image640.jpe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jpeg"/><Relationship Id="rId651" Type="http://schemas.openxmlformats.org/officeDocument/2006/relationships/image" Target="media/image644.png"/><Relationship Id="rId652" Type="http://schemas.openxmlformats.org/officeDocument/2006/relationships/image" Target="media/image645.jpeg"/><Relationship Id="rId653" Type="http://schemas.openxmlformats.org/officeDocument/2006/relationships/image" Target="media/image646.png"/><Relationship Id="rId654" Type="http://schemas.openxmlformats.org/officeDocument/2006/relationships/image" Target="media/image647.jpeg"/><Relationship Id="rId655" Type="http://schemas.openxmlformats.org/officeDocument/2006/relationships/image" Target="media/image648.png"/><Relationship Id="rId656" Type="http://schemas.openxmlformats.org/officeDocument/2006/relationships/image" Target="media/image649.jpe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jpeg"/><Relationship Id="rId660" Type="http://schemas.openxmlformats.org/officeDocument/2006/relationships/image" Target="media/image653.png"/><Relationship Id="rId661" Type="http://schemas.openxmlformats.org/officeDocument/2006/relationships/image" Target="media/image654.jpeg"/><Relationship Id="rId662" Type="http://schemas.openxmlformats.org/officeDocument/2006/relationships/image" Target="media/image655.png"/><Relationship Id="rId663" Type="http://schemas.openxmlformats.org/officeDocument/2006/relationships/image" Target="media/image656.jpeg"/><Relationship Id="rId664" Type="http://schemas.openxmlformats.org/officeDocument/2006/relationships/image" Target="media/image657.png"/><Relationship Id="rId665" Type="http://schemas.openxmlformats.org/officeDocument/2006/relationships/image" Target="media/image658.jpeg"/><Relationship Id="rId666" Type="http://schemas.openxmlformats.org/officeDocument/2006/relationships/image" Target="media/image659.png"/><Relationship Id="rId667" Type="http://schemas.openxmlformats.org/officeDocument/2006/relationships/image" Target="media/image660.jpeg"/><Relationship Id="rId668" Type="http://schemas.openxmlformats.org/officeDocument/2006/relationships/image" Target="media/image661.png"/><Relationship Id="rId669" Type="http://schemas.openxmlformats.org/officeDocument/2006/relationships/image" Target="media/image662.jpe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jpe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jpeg"/><Relationship Id="rId683" Type="http://schemas.openxmlformats.org/officeDocument/2006/relationships/image" Target="media/image676.png"/><Relationship Id="rId684" Type="http://schemas.openxmlformats.org/officeDocument/2006/relationships/image" Target="media/image677.jpeg"/><Relationship Id="rId685" Type="http://schemas.openxmlformats.org/officeDocument/2006/relationships/image" Target="media/image678.png"/><Relationship Id="rId686" Type="http://schemas.openxmlformats.org/officeDocument/2006/relationships/image" Target="media/image679.jpeg"/><Relationship Id="rId687" Type="http://schemas.openxmlformats.org/officeDocument/2006/relationships/image" Target="media/image680.png"/><Relationship Id="rId688" Type="http://schemas.openxmlformats.org/officeDocument/2006/relationships/image" Target="media/image681.jpeg"/><Relationship Id="rId689" Type="http://schemas.openxmlformats.org/officeDocument/2006/relationships/image" Target="media/image682.png"/><Relationship Id="rId690" Type="http://schemas.openxmlformats.org/officeDocument/2006/relationships/image" Target="media/image683.jpeg"/><Relationship Id="rId691" Type="http://schemas.openxmlformats.org/officeDocument/2006/relationships/image" Target="media/image684.png"/><Relationship Id="rId692" Type="http://schemas.openxmlformats.org/officeDocument/2006/relationships/image" Target="media/image685.jpeg"/><Relationship Id="rId693" Type="http://schemas.openxmlformats.org/officeDocument/2006/relationships/image" Target="media/image686.png"/><Relationship Id="rId694" Type="http://schemas.openxmlformats.org/officeDocument/2006/relationships/image" Target="media/image687.jpeg"/><Relationship Id="rId695" Type="http://schemas.openxmlformats.org/officeDocument/2006/relationships/image" Target="media/image688.png"/><Relationship Id="rId696" Type="http://schemas.openxmlformats.org/officeDocument/2006/relationships/image" Target="media/image689.jpe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jpeg"/><Relationship Id="rId711" Type="http://schemas.openxmlformats.org/officeDocument/2006/relationships/image" Target="media/image704.png"/><Relationship Id="rId712" Type="http://schemas.openxmlformats.org/officeDocument/2006/relationships/image" Target="media/image705.jpeg"/><Relationship Id="rId713" Type="http://schemas.openxmlformats.org/officeDocument/2006/relationships/image" Target="media/image706.png"/><Relationship Id="rId714" Type="http://schemas.openxmlformats.org/officeDocument/2006/relationships/image" Target="media/image707.jpeg"/><Relationship Id="rId715" Type="http://schemas.openxmlformats.org/officeDocument/2006/relationships/image" Target="media/image708.jpeg"/><Relationship Id="rId716" Type="http://schemas.openxmlformats.org/officeDocument/2006/relationships/image" Target="media/image709.jpeg"/><Relationship Id="rId717" Type="http://schemas.openxmlformats.org/officeDocument/2006/relationships/image" Target="media/image710.png"/><Relationship Id="rId718" Type="http://schemas.openxmlformats.org/officeDocument/2006/relationships/image" Target="media/image711.jpeg"/><Relationship Id="rId719" Type="http://schemas.openxmlformats.org/officeDocument/2006/relationships/image" Target="media/image712.jpeg"/><Relationship Id="rId720" Type="http://schemas.openxmlformats.org/officeDocument/2006/relationships/image" Target="media/image713.png"/><Relationship Id="rId721" Type="http://schemas.openxmlformats.org/officeDocument/2006/relationships/image" Target="media/image714.jpeg"/><Relationship Id="rId722" Type="http://schemas.openxmlformats.org/officeDocument/2006/relationships/image" Target="media/image715.jpe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jpeg"/><Relationship Id="rId756" Type="http://schemas.openxmlformats.org/officeDocument/2006/relationships/image" Target="media/image749.png"/><Relationship Id="rId757" Type="http://schemas.openxmlformats.org/officeDocument/2006/relationships/image" Target="media/image750.jpeg"/><Relationship Id="rId758" Type="http://schemas.openxmlformats.org/officeDocument/2006/relationships/image" Target="media/image751.png"/><Relationship Id="rId759" Type="http://schemas.openxmlformats.org/officeDocument/2006/relationships/image" Target="media/image752.jpeg"/><Relationship Id="rId760" Type="http://schemas.openxmlformats.org/officeDocument/2006/relationships/image" Target="media/image753.png"/><Relationship Id="rId761" Type="http://schemas.openxmlformats.org/officeDocument/2006/relationships/image" Target="media/image754.jpeg"/><Relationship Id="rId762" Type="http://schemas.openxmlformats.org/officeDocument/2006/relationships/image" Target="media/image755.png"/><Relationship Id="rId763" Type="http://schemas.openxmlformats.org/officeDocument/2006/relationships/image" Target="media/image756.jpeg"/><Relationship Id="rId764" Type="http://schemas.openxmlformats.org/officeDocument/2006/relationships/image" Target="media/image757.png"/><Relationship Id="rId765" Type="http://schemas.openxmlformats.org/officeDocument/2006/relationships/image" Target="media/image758.jpeg"/><Relationship Id="rId766" Type="http://schemas.openxmlformats.org/officeDocument/2006/relationships/image" Target="media/image759.png"/><Relationship Id="rId767" Type="http://schemas.openxmlformats.org/officeDocument/2006/relationships/image" Target="media/image760.jpe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jpeg"/><Relationship Id="rId777" Type="http://schemas.openxmlformats.org/officeDocument/2006/relationships/image" Target="media/image770.png"/><Relationship Id="rId778" Type="http://schemas.openxmlformats.org/officeDocument/2006/relationships/image" Target="media/image771.jpeg"/><Relationship Id="rId779" Type="http://schemas.openxmlformats.org/officeDocument/2006/relationships/image" Target="media/image772.png"/><Relationship Id="rId780" Type="http://schemas.openxmlformats.org/officeDocument/2006/relationships/image" Target="media/image773.jpeg"/><Relationship Id="rId781" Type="http://schemas.openxmlformats.org/officeDocument/2006/relationships/image" Target="media/image774.png"/><Relationship Id="rId782" Type="http://schemas.openxmlformats.org/officeDocument/2006/relationships/image" Target="media/image775.jpeg"/><Relationship Id="rId783" Type="http://schemas.openxmlformats.org/officeDocument/2006/relationships/image" Target="media/image776.png"/><Relationship Id="rId784" Type="http://schemas.openxmlformats.org/officeDocument/2006/relationships/image" Target="media/image777.jpeg"/><Relationship Id="rId785" Type="http://schemas.openxmlformats.org/officeDocument/2006/relationships/image" Target="media/image778.png"/><Relationship Id="rId786" Type="http://schemas.openxmlformats.org/officeDocument/2006/relationships/image" Target="media/image779.jpeg"/><Relationship Id="rId787" Type="http://schemas.openxmlformats.org/officeDocument/2006/relationships/image" Target="media/image780.png"/><Relationship Id="rId788" Type="http://schemas.openxmlformats.org/officeDocument/2006/relationships/image" Target="media/image781.jpeg"/><Relationship Id="rId789" Type="http://schemas.openxmlformats.org/officeDocument/2006/relationships/image" Target="media/image782.png"/><Relationship Id="rId790" Type="http://schemas.openxmlformats.org/officeDocument/2006/relationships/image" Target="media/image783.jpeg"/><Relationship Id="rId791" Type="http://schemas.openxmlformats.org/officeDocument/2006/relationships/image" Target="media/image784.png"/><Relationship Id="rId792" Type="http://schemas.openxmlformats.org/officeDocument/2006/relationships/image" Target="media/image785.jpeg"/><Relationship Id="rId793" Type="http://schemas.openxmlformats.org/officeDocument/2006/relationships/image" Target="media/image786.jpe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2026-04-06T15:50:38Z</dcterms:created>
  <dcterms:modified xsi:type="dcterms:W3CDTF">2026-04-06T15:50:38Z</dcterms:modified>
</cp:coreProperties>
</file>