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294005</wp:posOffset>
            </wp:positionH>
            <wp:positionV relativeFrom="page">
              <wp:posOffset>491490</wp:posOffset>
            </wp:positionV>
            <wp:extent cx="69608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6087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6" w:lineRule="exact"/>
        <w:rPr>
          <w:sz w:val="24"/>
          <w:szCs w:val="24"/>
          <w:color w:val="auto"/>
        </w:rPr>
      </w:pPr>
    </w:p>
    <w:p>
      <w:pPr>
        <w:ind w:left="4660"/>
        <w:spacing w:after="0"/>
        <w:rPr>
          <w:sz w:val="20"/>
          <w:szCs w:val="20"/>
          <w:color w:val="auto"/>
        </w:rPr>
      </w:pPr>
      <w:r>
        <w:rPr>
          <w:rFonts w:ascii="Arial" w:cs="Arial" w:eastAsia="Arial" w:hAnsi="Arial"/>
          <w:sz w:val="11"/>
          <w:szCs w:val="11"/>
          <w:color w:val="auto"/>
        </w:rPr>
        <w:t>____________________________________</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ectPr>
          <w:pgSz w:w="11900" w:h="16838" w:orient="portrait"/>
          <w:cols w:equalWidth="0" w:num="1">
            <w:col w:w="11240"/>
          </w:cols>
          <w:pgMar w:left="320" w:top="1160" w:right="339" w:bottom="1440" w:gutter="0" w:footer="0" w:header="0"/>
        </w:sectPr>
      </w:pPr>
    </w:p>
    <w:p>
      <w:pPr>
        <w:spacing w:after="0" w:line="192" w:lineRule="exact"/>
        <w:rPr>
          <w:sz w:val="24"/>
          <w:szCs w:val="24"/>
          <w:color w:val="auto"/>
        </w:rPr>
      </w:pPr>
    </w:p>
    <w:p>
      <w:pPr>
        <w:ind w:left="1100"/>
        <w:spacing w:after="0" w:line="191" w:lineRule="exact"/>
        <w:rPr>
          <w:sz w:val="20"/>
          <w:szCs w:val="20"/>
          <w:color w:val="auto"/>
        </w:rPr>
      </w:pPr>
      <w:r>
        <w:rPr>
          <w:rFonts w:ascii="MS PGothic" w:cs="MS PGothic" w:eastAsia="MS PGothic" w:hAnsi="MS PGothic"/>
          <w:sz w:val="19"/>
          <w:szCs w:val="19"/>
          <w:color w:val="auto"/>
        </w:rPr>
        <w:t>☒</w:t>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ind w:left="1100"/>
        <w:spacing w:after="0" w:line="191" w:lineRule="exact"/>
        <w:rPr>
          <w:sz w:val="20"/>
          <w:szCs w:val="20"/>
          <w:color w:val="auto"/>
        </w:rPr>
      </w:pP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ind w:left="3260"/>
        <w:spacing w:after="0"/>
        <w:rPr>
          <w:sz w:val="20"/>
          <w:szCs w:val="20"/>
          <w:color w:val="auto"/>
        </w:rPr>
      </w:pPr>
      <w:r>
        <w:rPr>
          <w:rFonts w:ascii="Arial" w:cs="Arial" w:eastAsia="Arial" w:hAnsi="Arial"/>
          <w:sz w:val="11"/>
          <w:szCs w:val="11"/>
          <w:color w:val="auto"/>
        </w:rPr>
        <w:t>___________________________________</w:t>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208" w:lineRule="exact"/>
        <w:rPr>
          <w:sz w:val="24"/>
          <w:szCs w:val="24"/>
          <w:color w:val="auto"/>
        </w:rPr>
      </w:pPr>
    </w:p>
    <w:p>
      <w:pPr>
        <w:jc w:val="center"/>
        <w:ind w:right="1420"/>
        <w:spacing w:after="0"/>
        <w:rPr>
          <w:sz w:val="20"/>
          <w:szCs w:val="20"/>
          <w:color w:val="auto"/>
        </w:rPr>
      </w:pPr>
      <w:r>
        <w:rPr>
          <w:rFonts w:ascii="Arial" w:cs="Arial" w:eastAsia="Arial" w:hAnsi="Arial"/>
          <w:sz w:val="14"/>
          <w:szCs w:val="14"/>
          <w:color w:val="auto"/>
        </w:rPr>
        <w:t>For the quarterly period ended March 31, 2021</w:t>
      </w:r>
    </w:p>
    <w:p>
      <w:pPr>
        <w:spacing w:after="0" w:line="42" w:lineRule="exact"/>
        <w:rPr>
          <w:sz w:val="24"/>
          <w:szCs w:val="24"/>
          <w:color w:val="auto"/>
        </w:rPr>
      </w:pPr>
    </w:p>
    <w:p>
      <w:pPr>
        <w:jc w:val="center"/>
        <w:ind w:right="1420"/>
        <w:spacing w:after="0"/>
        <w:rPr>
          <w:sz w:val="20"/>
          <w:szCs w:val="20"/>
          <w:color w:val="auto"/>
        </w:rPr>
      </w:pPr>
      <w:r>
        <w:rPr>
          <w:rFonts w:ascii="Arial" w:cs="Arial" w:eastAsia="Arial" w:hAnsi="Arial"/>
          <w:sz w:val="14"/>
          <w:szCs w:val="14"/>
          <w:color w:val="auto"/>
        </w:rPr>
        <w:t>OR</w:t>
      </w:r>
    </w:p>
    <w:p>
      <w:pPr>
        <w:spacing w:after="0" w:line="11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94" w:lineRule="exact"/>
        <w:rPr>
          <w:sz w:val="24"/>
          <w:szCs w:val="24"/>
          <w:color w:val="auto"/>
        </w:rPr>
      </w:pPr>
    </w:p>
    <w:p>
      <w:pPr>
        <w:ind w:left="2960"/>
        <w:spacing w:after="0"/>
        <w:tabs>
          <w:tab w:leader="none" w:pos="4840" w:val="left"/>
        </w:tabs>
        <w:rPr>
          <w:sz w:val="20"/>
          <w:szCs w:val="20"/>
          <w:color w:val="auto"/>
        </w:rPr>
      </w:pPr>
      <w:r>
        <w:rPr>
          <w:rFonts w:ascii="Arial" w:cs="Arial" w:eastAsia="Arial" w:hAnsi="Arial"/>
          <w:sz w:val="14"/>
          <w:szCs w:val="14"/>
          <w:color w:val="auto"/>
        </w:rPr>
        <w:t>For the transition period</w:t>
      </w:r>
      <w:r>
        <w:rPr>
          <w:sz w:val="20"/>
          <w:szCs w:val="20"/>
          <w:color w:val="auto"/>
        </w:rPr>
        <w:tab/>
      </w:r>
      <w:r>
        <w:rPr>
          <w:rFonts w:ascii="Arial" w:cs="Arial" w:eastAsia="Arial" w:hAnsi="Arial"/>
          <w:sz w:val="14"/>
          <w:szCs w:val="14"/>
          <w:color w:val="auto"/>
        </w:rPr>
        <w:t>to</w:t>
      </w:r>
    </w:p>
    <w:p>
      <w:pPr>
        <w:spacing w:after="0" w:line="109" w:lineRule="exact"/>
        <w:rPr>
          <w:sz w:val="24"/>
          <w:szCs w:val="24"/>
          <w:color w:val="auto"/>
        </w:rPr>
      </w:pPr>
    </w:p>
    <w:p>
      <w:pPr>
        <w:ind w:left="3100"/>
        <w:spacing w:after="0"/>
        <w:rPr>
          <w:sz w:val="20"/>
          <w:szCs w:val="20"/>
          <w:color w:val="auto"/>
        </w:rPr>
      </w:pPr>
      <w:r>
        <w:rPr>
          <w:rFonts w:ascii="Arial" w:cs="Arial" w:eastAsia="Arial" w:hAnsi="Arial"/>
          <w:sz w:val="14"/>
          <w:szCs w:val="14"/>
          <w:color w:val="auto"/>
        </w:rPr>
        <w:t>Commission File Number 333-187970</w:t>
      </w:r>
    </w:p>
    <w:p>
      <w:pPr>
        <w:spacing w:after="0" w:line="18" w:lineRule="exact"/>
        <w:rPr>
          <w:sz w:val="24"/>
          <w:szCs w:val="24"/>
          <w:color w:val="auto"/>
        </w:rPr>
      </w:pPr>
    </w:p>
    <w:p>
      <w:pPr>
        <w:sectPr>
          <w:pgSz w:w="11900" w:h="16838" w:orient="portrait"/>
          <w:cols w:equalWidth="0" w:num="2">
            <w:col w:w="1300" w:space="120"/>
            <w:col w:w="9820"/>
          </w:cols>
          <w:pgMar w:left="320" w:top="1160" w:right="339" w:bottom="1440" w:gutter="0" w:footer="0" w:header="0"/>
          <w:type w:val="continuous"/>
        </w:sectPr>
      </w:pPr>
    </w:p>
    <w:p>
      <w:pPr>
        <w:ind w:left="4660"/>
        <w:spacing w:after="0"/>
        <w:rPr>
          <w:sz w:val="20"/>
          <w:szCs w:val="20"/>
          <w:color w:val="auto"/>
        </w:rPr>
      </w:pPr>
      <w:r>
        <w:rPr>
          <w:rFonts w:ascii="Arial" w:cs="Arial" w:eastAsia="Arial" w:hAnsi="Arial"/>
          <w:sz w:val="11"/>
          <w:szCs w:val="11"/>
          <w:color w:val="auto"/>
        </w:rPr>
        <w:t>____________________________________</w:t>
      </w:r>
    </w:p>
    <w:p>
      <w:pPr>
        <w:jc w:val="center"/>
        <w:spacing w:after="0" w:line="232" w:lineRule="auto"/>
        <w:rPr>
          <w:sz w:val="20"/>
          <w:szCs w:val="20"/>
          <w:color w:val="auto"/>
        </w:rPr>
      </w:pPr>
      <w:r>
        <w:rPr>
          <w:rFonts w:ascii="Arial" w:cs="Arial" w:eastAsia="Arial" w:hAnsi="Arial"/>
          <w:sz w:val="43"/>
          <w:szCs w:val="43"/>
          <w:b w:val="1"/>
          <w:bCs w:val="1"/>
          <w:color w:val="auto"/>
        </w:rPr>
        <w:t>CC HOLDINGS GS V LLC</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165" w:lineRule="exact"/>
        <w:rPr>
          <w:sz w:val="24"/>
          <w:szCs w:val="24"/>
          <w:color w:val="auto"/>
        </w:rPr>
      </w:pPr>
    </w:p>
    <w:tbl>
      <w:tblPr>
        <w:tblLayout w:type="fixed"/>
        <w:tblInd w:w="2420" w:type="dxa"/>
        <w:tblCellMar>
          <w:top w:w="0" w:type="dxa"/>
          <w:left w:w="0" w:type="dxa"/>
          <w:bottom w:w="0" w:type="dxa"/>
          <w:right w:w="0" w:type="dxa"/>
        </w:tblCellMar>
      </w:tblPr>
      <w:tr>
        <w:trPr>
          <w:trHeight w:val="210"/>
        </w:trPr>
        <w:tc>
          <w:tcPr>
            <w:tcW w:w="3400" w:type="dxa"/>
            <w:vAlign w:val="bottom"/>
          </w:tcPr>
          <w:p>
            <w:pPr>
              <w:jc w:val="center"/>
              <w:ind w:right="1571"/>
              <w:spacing w:after="0"/>
              <w:rPr>
                <w:sz w:val="20"/>
                <w:szCs w:val="20"/>
                <w:color w:val="auto"/>
              </w:rPr>
            </w:pPr>
            <w:r>
              <w:rPr>
                <w:rFonts w:ascii="Arial" w:cs="Arial" w:eastAsia="Arial" w:hAnsi="Arial"/>
                <w:sz w:val="16"/>
                <w:szCs w:val="16"/>
                <w:b w:val="1"/>
                <w:bCs w:val="1"/>
                <w:color w:val="auto"/>
                <w:w w:val="91"/>
              </w:rPr>
              <w:t>Delaware</w:t>
            </w:r>
          </w:p>
        </w:tc>
        <w:tc>
          <w:tcPr>
            <w:tcW w:w="2600" w:type="dxa"/>
            <w:vAlign w:val="bottom"/>
          </w:tcPr>
          <w:p>
            <w:pPr>
              <w:jc w:val="center"/>
              <w:ind w:left="1551"/>
              <w:spacing w:after="0"/>
              <w:rPr>
                <w:sz w:val="20"/>
                <w:szCs w:val="20"/>
                <w:color w:val="auto"/>
              </w:rPr>
            </w:pPr>
            <w:r>
              <w:rPr>
                <w:rFonts w:ascii="Arial" w:cs="Arial" w:eastAsia="Arial" w:hAnsi="Arial"/>
                <w:sz w:val="16"/>
                <w:szCs w:val="16"/>
                <w:b w:val="1"/>
                <w:bCs w:val="1"/>
                <w:color w:val="auto"/>
                <w:w w:val="91"/>
              </w:rPr>
              <w:t>20-4300339</w:t>
            </w:r>
          </w:p>
        </w:tc>
      </w:tr>
      <w:tr>
        <w:trPr>
          <w:trHeight w:val="177"/>
        </w:trPr>
        <w:tc>
          <w:tcPr>
            <w:tcW w:w="3400" w:type="dxa"/>
            <w:vAlign w:val="bottom"/>
          </w:tcPr>
          <w:p>
            <w:pPr>
              <w:jc w:val="center"/>
              <w:ind w:right="1571"/>
              <w:spacing w:after="0"/>
              <w:rPr>
                <w:sz w:val="20"/>
                <w:szCs w:val="20"/>
                <w:color w:val="auto"/>
              </w:rPr>
            </w:pPr>
            <w:r>
              <w:rPr>
                <w:rFonts w:ascii="Arial" w:cs="Arial" w:eastAsia="Arial" w:hAnsi="Arial"/>
                <w:sz w:val="13"/>
                <w:szCs w:val="13"/>
                <w:b w:val="1"/>
                <w:bCs w:val="1"/>
                <w:color w:val="auto"/>
                <w:w w:val="88"/>
              </w:rPr>
              <w:t>(State or other jurisdiction</w:t>
            </w:r>
          </w:p>
        </w:tc>
        <w:tc>
          <w:tcPr>
            <w:tcW w:w="2600" w:type="dxa"/>
            <w:vAlign w:val="bottom"/>
          </w:tcPr>
          <w:p>
            <w:pPr>
              <w:jc w:val="center"/>
              <w:ind w:left="1551"/>
              <w:spacing w:after="0"/>
              <w:rPr>
                <w:sz w:val="20"/>
                <w:szCs w:val="20"/>
                <w:color w:val="auto"/>
              </w:rPr>
            </w:pPr>
            <w:r>
              <w:rPr>
                <w:rFonts w:ascii="Arial" w:cs="Arial" w:eastAsia="Arial" w:hAnsi="Arial"/>
                <w:sz w:val="13"/>
                <w:szCs w:val="13"/>
                <w:b w:val="1"/>
                <w:bCs w:val="1"/>
                <w:color w:val="auto"/>
                <w:w w:val="90"/>
              </w:rPr>
              <w:t>(I.R.S. Employer</w:t>
            </w:r>
          </w:p>
        </w:tc>
      </w:tr>
      <w:tr>
        <w:trPr>
          <w:trHeight w:val="164"/>
        </w:trPr>
        <w:tc>
          <w:tcPr>
            <w:tcW w:w="3400" w:type="dxa"/>
            <w:vAlign w:val="bottom"/>
          </w:tcPr>
          <w:p>
            <w:pPr>
              <w:jc w:val="center"/>
              <w:ind w:right="1551"/>
              <w:spacing w:after="0"/>
              <w:rPr>
                <w:sz w:val="20"/>
                <w:szCs w:val="20"/>
                <w:color w:val="auto"/>
              </w:rPr>
            </w:pPr>
            <w:r>
              <w:rPr>
                <w:rFonts w:ascii="Arial" w:cs="Arial" w:eastAsia="Arial" w:hAnsi="Arial"/>
                <w:sz w:val="13"/>
                <w:szCs w:val="13"/>
                <w:b w:val="1"/>
                <w:bCs w:val="1"/>
                <w:color w:val="auto"/>
                <w:w w:val="88"/>
              </w:rPr>
              <w:t>of incorporation or organization)</w:t>
            </w:r>
          </w:p>
        </w:tc>
        <w:tc>
          <w:tcPr>
            <w:tcW w:w="2600" w:type="dxa"/>
            <w:vAlign w:val="bottom"/>
          </w:tcPr>
          <w:p>
            <w:pPr>
              <w:jc w:val="center"/>
              <w:ind w:left="1551"/>
              <w:spacing w:after="0"/>
              <w:rPr>
                <w:sz w:val="20"/>
                <w:szCs w:val="20"/>
                <w:color w:val="auto"/>
              </w:rPr>
            </w:pPr>
            <w:r>
              <w:rPr>
                <w:rFonts w:ascii="Arial" w:cs="Arial" w:eastAsia="Arial" w:hAnsi="Arial"/>
                <w:sz w:val="13"/>
                <w:szCs w:val="13"/>
                <w:b w:val="1"/>
                <w:bCs w:val="1"/>
                <w:color w:val="auto"/>
                <w:w w:val="89"/>
              </w:rPr>
              <w:t>Identification No.)</w:t>
            </w:r>
          </w:p>
        </w:tc>
      </w:tr>
    </w:tbl>
    <w:p>
      <w:pPr>
        <w:spacing w:after="0" w:line="21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1220 Augusta Drive, Suite 600, Houston, Texas 77057-2261</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(Address of principal executives office) (Zip Code)</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(713) 570-3000</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48" w:lineRule="exact"/>
        <w:rPr>
          <w:sz w:val="24"/>
          <w:szCs w:val="24"/>
          <w:color w:val="auto"/>
        </w:rPr>
      </w:pPr>
    </w:p>
    <w:p>
      <w:pPr>
        <w:ind w:left="4660"/>
        <w:spacing w:after="0"/>
        <w:rPr>
          <w:sz w:val="20"/>
          <w:szCs w:val="20"/>
          <w:color w:val="auto"/>
        </w:rPr>
      </w:pPr>
      <w:r>
        <w:rPr>
          <w:rFonts w:ascii="Arial" w:cs="Arial" w:eastAsia="Arial" w:hAnsi="Arial"/>
          <w:sz w:val="11"/>
          <w:szCs w:val="11"/>
          <w:color w:val="auto"/>
        </w:rPr>
        <w:t>____________________________________</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Securities registered pursuant to Section 12(b) of the Act: None.</w:t>
      </w:r>
    </w:p>
    <w:p>
      <w:pPr>
        <w:spacing w:after="0" w:line="108" w:lineRule="exact"/>
        <w:rPr>
          <w:sz w:val="24"/>
          <w:szCs w:val="24"/>
          <w:color w:val="auto"/>
        </w:rPr>
      </w:pPr>
    </w:p>
    <w:tbl>
      <w:tblPr>
        <w:tblLayout w:type="fixed"/>
        <w:tblInd w:w="30" w:type="dxa"/>
        <w:tblCellMar>
          <w:top w:w="0" w:type="dxa"/>
          <w:left w:w="0" w:type="dxa"/>
          <w:bottom w:w="0" w:type="dxa"/>
          <w:right w:w="0" w:type="dxa"/>
        </w:tblCellMar>
      </w:tblPr>
      <w:tr>
        <w:trPr>
          <w:trHeight w:val="201"/>
        </w:trPr>
        <w:tc>
          <w:tcPr>
            <w:tcW w:w="40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31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40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81"/>
        </w:trPr>
        <w:tc>
          <w:tcPr>
            <w:tcW w:w="40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4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r>
    </w:tbl>
    <w:p>
      <w:pPr>
        <w:spacing w:after="0" w:line="184" w:lineRule="exact"/>
        <w:rPr>
          <w:sz w:val="24"/>
          <w:szCs w:val="24"/>
          <w:color w:val="auto"/>
        </w:rPr>
      </w:pPr>
    </w:p>
    <w:p>
      <w:pPr>
        <w:jc w:val="both"/>
        <w:ind w:right="20" w:firstLine="324"/>
        <w:spacing w:after="0" w:line="20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70" w:lineRule="exact"/>
        <w:rPr>
          <w:sz w:val="24"/>
          <w:szCs w:val="24"/>
          <w:color w:val="auto"/>
        </w:rPr>
      </w:pPr>
    </w:p>
    <w:p>
      <w:pPr>
        <w:jc w:val="both"/>
        <w:ind w:firstLine="324"/>
        <w:spacing w:after="0" w:line="257" w:lineRule="auto"/>
        <w:rPr>
          <w:sz w:val="20"/>
          <w:szCs w:val="20"/>
          <w:color w:val="auto"/>
        </w:rPr>
      </w:pPr>
      <w:r>
        <w:rPr>
          <w:rFonts w:ascii="Arial" w:cs="Arial" w:eastAsia="Arial" w:hAnsi="Arial"/>
          <w:sz w:val="14"/>
          <w:szCs w:val="14"/>
          <w:i w:val="1"/>
          <w:iCs w:val="1"/>
          <w:color w:val="auto"/>
        </w:rPr>
        <w:t>Explanatory Note: The registrant is a voluntary filer and not subject to the filing requirements of Section 13 or 15(d) of the Securities Exchange Act of 1934; however, the registrant has filed all reports that would have been required to be filed by Section 13 or 15(d) of the Securities Exchange Act of 1934 during the preceding 12 months had the registrant been subject to such filing requirements.</w:t>
      </w:r>
    </w:p>
    <w:p>
      <w:pPr>
        <w:spacing w:after="0" w:line="77" w:lineRule="exact"/>
        <w:rPr>
          <w:sz w:val="24"/>
          <w:szCs w:val="24"/>
          <w:color w:val="auto"/>
        </w:rPr>
      </w:pPr>
    </w:p>
    <w:p>
      <w:pPr>
        <w:jc w:val="both"/>
        <w:ind w:firstLine="324"/>
        <w:spacing w:after="0" w:line="20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70" w:lineRule="exact"/>
        <w:rPr>
          <w:sz w:val="24"/>
          <w:szCs w:val="24"/>
          <w:color w:val="auto"/>
        </w:rPr>
      </w:pPr>
    </w:p>
    <w:p>
      <w:pPr>
        <w:jc w:val="both"/>
        <w:ind w:firstLine="324"/>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2" w:lineRule="exact"/>
        <w:rPr>
          <w:sz w:val="24"/>
          <w:szCs w:val="24"/>
          <w:color w:val="auto"/>
        </w:rPr>
      </w:pPr>
    </w:p>
    <w:tbl>
      <w:tblPr>
        <w:tblLayout w:type="fixed"/>
        <w:tblInd w:w="380" w:type="dxa"/>
        <w:tblCellMar>
          <w:top w:w="0" w:type="dxa"/>
          <w:left w:w="0" w:type="dxa"/>
          <w:bottom w:w="0" w:type="dxa"/>
          <w:right w:w="0" w:type="dxa"/>
        </w:tblCellMar>
      </w:tblPr>
      <w:tr>
        <w:trPr>
          <w:trHeight w:val="230"/>
        </w:trPr>
        <w:tc>
          <w:tcPr>
            <w:tcW w:w="18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90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4560" w:type="dxa"/>
            <w:vAlign w:val="bottom"/>
          </w:tcPr>
          <w:p>
            <w:pPr>
              <w:ind w:left="2160"/>
              <w:spacing w:after="0"/>
              <w:rPr>
                <w:sz w:val="20"/>
                <w:szCs w:val="20"/>
                <w:color w:val="auto"/>
              </w:rPr>
            </w:pPr>
            <w:r>
              <w:rPr>
                <w:rFonts w:ascii="Arial" w:cs="Arial" w:eastAsia="Arial" w:hAnsi="Arial"/>
                <w:sz w:val="14"/>
                <w:szCs w:val="14"/>
                <w:color w:val="auto"/>
              </w:rPr>
              <w:t>Accelerated filer</w:t>
            </w:r>
          </w:p>
        </w:tc>
        <w:tc>
          <w:tcPr>
            <w:tcW w:w="980" w:type="dxa"/>
            <w:vAlign w:val="bottom"/>
          </w:tcPr>
          <w:p>
            <w:pPr>
              <w:ind w:left="8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1860" w:type="dxa"/>
            <w:vAlign w:val="bottom"/>
          </w:tcPr>
          <w:p>
            <w:pPr>
              <w:spacing w:after="0"/>
              <w:rPr>
                <w:sz w:val="20"/>
                <w:szCs w:val="20"/>
                <w:color w:val="auto"/>
              </w:rPr>
            </w:pPr>
            <w:r>
              <w:rPr>
                <w:rFonts w:ascii="Arial" w:cs="Arial" w:eastAsia="Arial" w:hAnsi="Arial"/>
                <w:sz w:val="14"/>
                <w:szCs w:val="14"/>
                <w:color w:val="auto"/>
              </w:rPr>
              <w:t>Non-accelerated filer</w:t>
            </w:r>
          </w:p>
        </w:tc>
        <w:tc>
          <w:tcPr>
            <w:tcW w:w="290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4560" w:type="dxa"/>
            <w:vAlign w:val="bottom"/>
          </w:tcPr>
          <w:p>
            <w:pPr>
              <w:ind w:left="2160"/>
              <w:spacing w:after="0"/>
              <w:rPr>
                <w:sz w:val="20"/>
                <w:szCs w:val="20"/>
                <w:color w:val="auto"/>
              </w:rPr>
            </w:pPr>
            <w:r>
              <w:rPr>
                <w:rFonts w:ascii="Arial" w:cs="Arial" w:eastAsia="Arial" w:hAnsi="Arial"/>
                <w:sz w:val="14"/>
                <w:szCs w:val="14"/>
                <w:color w:val="auto"/>
              </w:rPr>
              <w:t>Smaller reporting company</w:t>
            </w:r>
          </w:p>
        </w:tc>
        <w:tc>
          <w:tcPr>
            <w:tcW w:w="980" w:type="dxa"/>
            <w:vAlign w:val="bottom"/>
          </w:tcPr>
          <w:p>
            <w:pPr>
              <w:ind w:left="8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186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4560" w:type="dxa"/>
            <w:vAlign w:val="bottom"/>
          </w:tcPr>
          <w:p>
            <w:pPr>
              <w:ind w:left="2160"/>
              <w:spacing w:after="0"/>
              <w:rPr>
                <w:sz w:val="20"/>
                <w:szCs w:val="20"/>
                <w:color w:val="auto"/>
              </w:rPr>
            </w:pPr>
            <w:r>
              <w:rPr>
                <w:rFonts w:ascii="Arial" w:cs="Arial" w:eastAsia="Arial" w:hAnsi="Arial"/>
                <w:sz w:val="14"/>
                <w:szCs w:val="14"/>
                <w:color w:val="auto"/>
              </w:rPr>
              <w:t>Emerging growth company</w:t>
            </w:r>
          </w:p>
        </w:tc>
        <w:tc>
          <w:tcPr>
            <w:tcW w:w="980" w:type="dxa"/>
            <w:vAlign w:val="bottom"/>
          </w:tcPr>
          <w:p>
            <w:pPr>
              <w:ind w:left="820"/>
              <w:spacing w:after="0" w:line="181" w:lineRule="exact"/>
              <w:rPr>
                <w:sz w:val="20"/>
                <w:szCs w:val="20"/>
                <w:color w:val="auto"/>
              </w:rPr>
            </w:pPr>
            <w:r>
              <w:rPr>
                <w:rFonts w:ascii="MS PGothic" w:cs="MS PGothic" w:eastAsia="MS PGothic" w:hAnsi="MS PGothic"/>
                <w:sz w:val="18"/>
                <w:szCs w:val="18"/>
                <w:color w:val="auto"/>
                <w:w w:val="77"/>
              </w:rPr>
              <w:t>☐</w:t>
            </w:r>
          </w:p>
        </w:tc>
      </w:tr>
    </w:tbl>
    <w:p>
      <w:pPr>
        <w:ind w:left="380" w:right="860"/>
        <w:spacing w:after="0" w:line="189"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0" w:lineRule="exact"/>
        <w:rPr>
          <w:sz w:val="24"/>
          <w:szCs w:val="24"/>
          <w:color w:val="auto"/>
        </w:rPr>
      </w:pPr>
    </w:p>
    <w:p>
      <w:pPr>
        <w:spacing w:after="0" w:line="207" w:lineRule="exact"/>
        <w:rPr>
          <w:sz w:val="24"/>
          <w:szCs w:val="24"/>
          <w:color w:val="auto"/>
        </w:rPr>
      </w:pPr>
    </w:p>
    <w:p>
      <w:pPr>
        <w:ind w:firstLine="324"/>
        <w:spacing w:after="0" w:line="18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44" w:lineRule="exact"/>
        <w:rPr>
          <w:sz w:val="24"/>
          <w:szCs w:val="24"/>
          <w:color w:val="auto"/>
        </w:rPr>
      </w:pPr>
    </w:p>
    <w:p>
      <w:pPr>
        <w:ind w:left="340" w:right="3240"/>
        <w:spacing w:after="0" w:line="267"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3"/>
          <w:szCs w:val="13"/>
          <w:color w:val="auto"/>
        </w:rPr>
        <w:t xml:space="preserve"> No </w:t>
      </w:r>
      <w:r>
        <w:rPr>
          <w:rFonts w:ascii="MS PGothic" w:cs="MS PGothic" w:eastAsia="MS PGothic" w:hAnsi="MS PGothic"/>
          <w:sz w:val="15"/>
          <w:szCs w:val="15"/>
          <w:color w:val="auto"/>
        </w:rPr>
        <w:t>☒</w:t>
      </w:r>
      <w:r>
        <w:rPr>
          <w:rFonts w:ascii="Arial" w:cs="Arial" w:eastAsia="Arial" w:hAnsi="Arial"/>
          <w:sz w:val="13"/>
          <w:szCs w:val="13"/>
          <w:color w:val="auto"/>
        </w:rPr>
        <w:t xml:space="preserve"> As of March 31, 2021, the only member of the registrant is a wholly-owned indirect subsidiary of Crown Castle International Corp.</w:t>
      </w:r>
    </w:p>
    <w:p>
      <w:pPr>
        <w:spacing w:after="0" w:line="88" w:lineRule="exact"/>
        <w:rPr>
          <w:sz w:val="24"/>
          <w:szCs w:val="24"/>
          <w:color w:val="auto"/>
        </w:rPr>
      </w:pPr>
    </w:p>
    <w:p>
      <w:pPr>
        <w:ind w:firstLine="324"/>
        <w:spacing w:after="0" w:line="273" w:lineRule="auto"/>
        <w:rPr>
          <w:sz w:val="20"/>
          <w:szCs w:val="20"/>
          <w:color w:val="auto"/>
        </w:rPr>
      </w:pPr>
      <w:r>
        <w:rPr>
          <w:rFonts w:ascii="Arial" w:cs="Arial" w:eastAsia="Arial" w:hAnsi="Arial"/>
          <w:sz w:val="14"/>
          <w:szCs w:val="14"/>
          <w:color w:val="auto"/>
        </w:rPr>
        <w:t>The registrant is a wholly-owned indirect subsidiary of Crown Castle International Corp. and meets the conditions set forth in General Instruction (H)(1)(a) and (b) of Form 10-Q and is therefore filing this form with the reduced disclosure format.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297815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0"/>
        </w:trPr>
        <w:tc>
          <w:tcPr>
            <w:tcW w:w="2980" w:type="dxa"/>
            <w:vAlign w:val="bottom"/>
            <w:gridSpan w:val="7"/>
          </w:tcPr>
          <w:p>
            <w:pPr>
              <w:spacing w:after="0" w:line="190" w:lineRule="exact"/>
              <w:rPr>
                <w:sz w:val="20"/>
                <w:szCs w:val="20"/>
                <w:color w:val="auto"/>
              </w:rPr>
            </w:pPr>
            <w:r>
              <w:rPr>
                <w:rFonts w:ascii="Arial" w:cs="Arial" w:eastAsia="Arial" w:hAnsi="Arial"/>
                <w:sz w:val="18"/>
                <w:szCs w:val="18"/>
                <w:color w:val="auto"/>
                <w:w w:val="98"/>
              </w:rPr>
              <w:t>PART I—FINANCIAL INFORMATION</w:t>
            </w:r>
          </w:p>
        </w:tc>
        <w:tc>
          <w:tcPr>
            <w:tcW w:w="7080" w:type="dxa"/>
            <w:vAlign w:val="bottom"/>
            <w:gridSpan w:val="10"/>
          </w:tcPr>
          <w:p>
            <w:pPr>
              <w:spacing w:after="0"/>
              <w:rPr>
                <w:sz w:val="16"/>
                <w:szCs w:val="16"/>
                <w:color w:val="auto"/>
              </w:rPr>
            </w:pPr>
          </w:p>
        </w:tc>
        <w:tc>
          <w:tcPr>
            <w:tcW w:w="1100" w:type="dxa"/>
            <w:vAlign w:val="bottom"/>
            <w:gridSpan w:val="3"/>
          </w:tcPr>
          <w:p>
            <w:pPr>
              <w:jc w:val="right"/>
              <w:spacing w:after="0" w:line="190" w:lineRule="exact"/>
              <w:rPr>
                <w:rFonts w:ascii="Arial" w:cs="Arial" w:eastAsia="Arial" w:hAnsi="Arial"/>
                <w:sz w:val="18"/>
                <w:szCs w:val="18"/>
                <w:color w:val="0000FF"/>
              </w:rPr>
            </w:pPr>
            <w:hyperlink w:anchor="page2">
              <w:r>
                <w:rPr>
                  <w:rFonts w:ascii="Arial" w:cs="Arial" w:eastAsia="Arial" w:hAnsi="Arial"/>
                  <w:sz w:val="18"/>
                  <w:szCs w:val="18"/>
                  <w:color w:val="0000FF"/>
                </w:rPr>
                <w:t>2</w:t>
              </w:r>
            </w:hyperlink>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80" w:type="dxa"/>
            <w:vAlign w:val="bottom"/>
            <w:gridSpan w:val="3"/>
          </w:tcPr>
          <w:p>
            <w:pPr>
              <w:spacing w:after="0"/>
              <w:rPr>
                <w:sz w:val="20"/>
                <w:szCs w:val="20"/>
                <w:color w:val="auto"/>
              </w:rPr>
            </w:pPr>
            <w:r>
              <w:rPr>
                <w:rFonts w:ascii="Arial" w:cs="Arial" w:eastAsia="Arial" w:hAnsi="Arial"/>
                <w:sz w:val="18"/>
                <w:szCs w:val="18"/>
                <w:color w:val="auto"/>
              </w:rPr>
              <w:t>ITEM 1.</w:t>
            </w:r>
          </w:p>
        </w:tc>
        <w:tc>
          <w:tcPr>
            <w:tcW w:w="8480" w:type="dxa"/>
            <w:vAlign w:val="bottom"/>
            <w:gridSpan w:val="14"/>
          </w:tcPr>
          <w:p>
            <w:pPr>
              <w:spacing w:after="0"/>
              <w:rPr>
                <w:sz w:val="20"/>
                <w:szCs w:val="20"/>
                <w:color w:val="auto"/>
              </w:rPr>
            </w:pPr>
            <w:r>
              <w:rPr>
                <w:rFonts w:ascii="Arial" w:cs="Arial" w:eastAsia="Arial" w:hAnsi="Arial"/>
                <w:sz w:val="18"/>
                <w:szCs w:val="18"/>
                <w:color w:val="auto"/>
              </w:rPr>
              <w:t>FINANCIAL STATEMENTS</w:t>
            </w:r>
          </w:p>
        </w:tc>
        <w:tc>
          <w:tcPr>
            <w:tcW w:w="1100" w:type="dxa"/>
            <w:vAlign w:val="bottom"/>
            <w:gridSpan w:val="3"/>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2</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80" w:type="dxa"/>
            <w:vAlign w:val="bottom"/>
            <w:gridSpan w:val="14"/>
          </w:tcPr>
          <w:p>
            <w:pPr>
              <w:spacing w:after="0"/>
              <w:rPr>
                <w:sz w:val="20"/>
                <w:szCs w:val="20"/>
                <w:color w:val="auto"/>
              </w:rPr>
            </w:pPr>
            <w:r>
              <w:rPr>
                <w:rFonts w:ascii="Arial" w:cs="Arial" w:eastAsia="Arial" w:hAnsi="Arial"/>
                <w:sz w:val="18"/>
                <w:szCs w:val="18"/>
                <w:color w:val="auto"/>
              </w:rPr>
              <w:t>CONDENSED CONSOLIDATED BALANCE SHEET (Unaudited)</w:t>
            </w:r>
          </w:p>
        </w:tc>
        <w:tc>
          <w:tcPr>
            <w:tcW w:w="1100" w:type="dxa"/>
            <w:vAlign w:val="bottom"/>
            <w:gridSpan w:val="3"/>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2</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920" w:type="dxa"/>
            <w:vAlign w:val="bottom"/>
            <w:gridSpan w:val="9"/>
          </w:tcPr>
          <w:p>
            <w:pPr>
              <w:spacing w:after="0"/>
              <w:rPr>
                <w:sz w:val="20"/>
                <w:szCs w:val="20"/>
                <w:color w:val="auto"/>
              </w:rPr>
            </w:pPr>
            <w:r>
              <w:rPr>
                <w:rFonts w:ascii="Arial" w:cs="Arial" w:eastAsia="Arial" w:hAnsi="Arial"/>
                <w:sz w:val="18"/>
                <w:szCs w:val="18"/>
                <w:color w:val="auto"/>
                <w:w w:val="93"/>
              </w:rPr>
              <w:t>CONDENSED CONSOLIDATED STATEMENT OF OPERATIONS (Unaudited)</w:t>
            </w:r>
          </w:p>
        </w:tc>
        <w:tc>
          <w:tcPr>
            <w:tcW w:w="2560" w:type="dxa"/>
            <w:vAlign w:val="bottom"/>
            <w:gridSpan w:val="5"/>
          </w:tcPr>
          <w:p>
            <w:pPr>
              <w:spacing w:after="0"/>
              <w:rPr>
                <w:sz w:val="18"/>
                <w:szCs w:val="18"/>
                <w:color w:val="auto"/>
              </w:rPr>
            </w:pPr>
          </w:p>
        </w:tc>
        <w:tc>
          <w:tcPr>
            <w:tcW w:w="1100" w:type="dxa"/>
            <w:vAlign w:val="bottom"/>
            <w:gridSpan w:val="3"/>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33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960" w:type="dxa"/>
            <w:vAlign w:val="bottom"/>
            <w:gridSpan w:val="10"/>
          </w:tcPr>
          <w:p>
            <w:pPr>
              <w:spacing w:after="0"/>
              <w:rPr>
                <w:sz w:val="20"/>
                <w:szCs w:val="20"/>
                <w:color w:val="auto"/>
              </w:rPr>
            </w:pPr>
            <w:r>
              <w:rPr>
                <w:rFonts w:ascii="Arial" w:cs="Arial" w:eastAsia="Arial" w:hAnsi="Arial"/>
                <w:sz w:val="18"/>
                <w:szCs w:val="18"/>
                <w:color w:val="auto"/>
                <w:w w:val="94"/>
              </w:rPr>
              <w:t>CONDENSED CONSOLIDATED STATEMENT OF CASH FLOWS (Unaudited)</w:t>
            </w:r>
          </w:p>
        </w:tc>
        <w:tc>
          <w:tcPr>
            <w:tcW w:w="2520" w:type="dxa"/>
            <w:vAlign w:val="bottom"/>
            <w:gridSpan w:val="4"/>
          </w:tcPr>
          <w:p>
            <w:pPr>
              <w:spacing w:after="0"/>
              <w:rPr>
                <w:sz w:val="18"/>
                <w:szCs w:val="18"/>
                <w:color w:val="auto"/>
              </w:rPr>
            </w:pPr>
          </w:p>
        </w:tc>
        <w:tc>
          <w:tcPr>
            <w:tcW w:w="110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3360" w:type="dxa"/>
            <w:vAlign w:val="bottom"/>
            <w:gridSpan w:val="3"/>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580" w:type="dxa"/>
            <w:vAlign w:val="bottom"/>
            <w:gridSpan w:val="12"/>
          </w:tcPr>
          <w:p>
            <w:pPr>
              <w:spacing w:after="0"/>
              <w:rPr>
                <w:sz w:val="20"/>
                <w:szCs w:val="20"/>
                <w:color w:val="auto"/>
              </w:rPr>
            </w:pPr>
            <w:r>
              <w:rPr>
                <w:rFonts w:ascii="Arial" w:cs="Arial" w:eastAsia="Arial" w:hAnsi="Arial"/>
                <w:sz w:val="18"/>
                <w:szCs w:val="18"/>
                <w:color w:val="auto"/>
                <w:w w:val="95"/>
              </w:rPr>
              <w:t>CONDENSED CONSOLIDATED STATEMENT OF CHANGES IN MEMBER'S EQUITY (Unaudited)</w:t>
            </w:r>
          </w:p>
        </w:tc>
        <w:tc>
          <w:tcPr>
            <w:tcW w:w="900" w:type="dxa"/>
            <w:vAlign w:val="bottom"/>
            <w:gridSpan w:val="2"/>
          </w:tcPr>
          <w:p>
            <w:pPr>
              <w:spacing w:after="0"/>
              <w:rPr>
                <w:sz w:val="18"/>
                <w:szCs w:val="18"/>
                <w:color w:val="auto"/>
              </w:rPr>
            </w:pPr>
          </w:p>
        </w:tc>
        <w:tc>
          <w:tcPr>
            <w:tcW w:w="1100" w:type="dxa"/>
            <w:vAlign w:val="bottom"/>
            <w:gridSpan w:val="3"/>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3920" w:type="dxa"/>
            <w:vAlign w:val="bottom"/>
            <w:gridSpan w:val="4"/>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520" w:type="dxa"/>
            <w:vAlign w:val="bottom"/>
            <w:gridSpan w:val="11"/>
          </w:tcPr>
          <w:p>
            <w:pPr>
              <w:spacing w:after="0"/>
              <w:rPr>
                <w:sz w:val="20"/>
                <w:szCs w:val="20"/>
                <w:color w:val="auto"/>
              </w:rPr>
            </w:pPr>
            <w:r>
              <w:rPr>
                <w:rFonts w:ascii="Arial" w:cs="Arial" w:eastAsia="Arial" w:hAnsi="Arial"/>
                <w:sz w:val="18"/>
                <w:szCs w:val="18"/>
                <w:color w:val="auto"/>
                <w:w w:val="95"/>
              </w:rPr>
              <w:t>NOTES TO CONDENSED CONSOLIDATED FINANCIAL STATEMENTS (Unaudited)</w:t>
            </w:r>
          </w:p>
        </w:tc>
        <w:tc>
          <w:tcPr>
            <w:tcW w:w="106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1100" w:type="dxa"/>
            <w:vAlign w:val="bottom"/>
            <w:gridSpan w:val="3"/>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3920" w:type="dxa"/>
            <w:vAlign w:val="bottom"/>
            <w:gridSpan w:val="4"/>
            <w:shd w:val="clear" w:color="auto" w:fill="000000"/>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580" w:type="dxa"/>
            <w:vAlign w:val="bottom"/>
            <w:gridSpan w:val="3"/>
          </w:tcPr>
          <w:p>
            <w:pPr>
              <w:spacing w:after="0"/>
              <w:rPr>
                <w:sz w:val="20"/>
                <w:szCs w:val="20"/>
                <w:color w:val="auto"/>
              </w:rPr>
            </w:pPr>
            <w:r>
              <w:rPr>
                <w:rFonts w:ascii="Arial" w:cs="Arial" w:eastAsia="Arial" w:hAnsi="Arial"/>
                <w:sz w:val="18"/>
                <w:szCs w:val="18"/>
                <w:color w:val="auto"/>
              </w:rPr>
              <w:t>ITEM 2.</w:t>
            </w:r>
          </w:p>
        </w:tc>
        <w:tc>
          <w:tcPr>
            <w:tcW w:w="8480" w:type="dxa"/>
            <w:vAlign w:val="bottom"/>
            <w:gridSpan w:val="14"/>
          </w:tcPr>
          <w:p>
            <w:pPr>
              <w:spacing w:after="0"/>
              <w:rPr>
                <w:sz w:val="20"/>
                <w:szCs w:val="20"/>
                <w:color w:val="auto"/>
              </w:rPr>
            </w:pPr>
            <w:r>
              <w:rPr>
                <w:rFonts w:ascii="Arial" w:cs="Arial" w:eastAsia="Arial" w:hAnsi="Arial"/>
                <w:sz w:val="18"/>
                <w:szCs w:val="18"/>
                <w:color w:val="auto"/>
              </w:rPr>
              <w:t>MANAGEMENT'S DISCUSSION AND ANALYSIS OF FINANCIAL CONDITION AND RESULTS OF</w:t>
            </w:r>
          </w:p>
        </w:tc>
        <w:tc>
          <w:tcPr>
            <w:tcW w:w="1100" w:type="dxa"/>
            <w:vAlign w:val="bottom"/>
            <w:gridSpan w:val="3"/>
            <w:vMerge w:val="restart"/>
          </w:tcPr>
          <w:p>
            <w:pPr>
              <w:jc w:val="right"/>
              <w:spacing w:after="0"/>
              <w:rPr>
                <w:rFonts w:ascii="Arial" w:cs="Arial" w:eastAsia="Arial" w:hAnsi="Arial"/>
                <w:sz w:val="18"/>
                <w:szCs w:val="18"/>
                <w:color w:val="0000FF"/>
              </w:rPr>
            </w:pPr>
            <w:hyperlink w:anchor="page9">
              <w:r>
                <w:rPr>
                  <w:rFonts w:ascii="Arial" w:cs="Arial" w:eastAsia="Arial" w:hAnsi="Arial"/>
                  <w:sz w:val="18"/>
                  <w:szCs w:val="18"/>
                  <w:color w:val="0000FF"/>
                </w:rPr>
                <w:t>9</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Borders>
              <w:top w:val="single" w:sz="8" w:color="auto"/>
            </w:tcBorders>
            <w:gridSpan w:val="2"/>
          </w:tcPr>
          <w:p>
            <w:pPr>
              <w:spacing w:after="0" w:line="156" w:lineRule="exact"/>
              <w:rPr>
                <w:sz w:val="20"/>
                <w:szCs w:val="20"/>
                <w:color w:val="auto"/>
              </w:rPr>
            </w:pPr>
            <w:r>
              <w:rPr>
                <w:rFonts w:ascii="Arial" w:cs="Arial" w:eastAsia="Arial" w:hAnsi="Arial"/>
                <w:sz w:val="18"/>
                <w:szCs w:val="18"/>
                <w:color w:val="auto"/>
                <w:w w:val="88"/>
              </w:rPr>
              <w:t>OPERATIONS</w:t>
            </w:r>
          </w:p>
        </w:tc>
        <w:tc>
          <w:tcPr>
            <w:tcW w:w="6660" w:type="dxa"/>
            <w:vAlign w:val="bottom"/>
            <w:tcBorders>
              <w:top w:val="single" w:sz="8" w:color="auto"/>
            </w:tcBorders>
            <w:gridSpan w:val="11"/>
          </w:tcPr>
          <w:p>
            <w:pPr>
              <w:spacing w:after="0"/>
              <w:rPr>
                <w:sz w:val="13"/>
                <w:szCs w:val="13"/>
                <w:color w:val="auto"/>
              </w:rPr>
            </w:pPr>
          </w:p>
        </w:tc>
        <w:tc>
          <w:tcPr>
            <w:tcW w:w="740" w:type="dxa"/>
            <w:vAlign w:val="bottom"/>
          </w:tcPr>
          <w:p>
            <w:pPr>
              <w:spacing w:after="0"/>
              <w:rPr>
                <w:sz w:val="13"/>
                <w:szCs w:val="13"/>
                <w:color w:val="auto"/>
              </w:rPr>
            </w:pPr>
          </w:p>
        </w:tc>
        <w:tc>
          <w:tcPr>
            <w:tcW w:w="11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880" w:type="dxa"/>
            <w:vAlign w:val="bottom"/>
            <w:gridSpan w:val="7"/>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580" w:type="dxa"/>
            <w:vAlign w:val="bottom"/>
            <w:gridSpan w:val="3"/>
          </w:tcPr>
          <w:p>
            <w:pPr>
              <w:spacing w:after="0"/>
              <w:rPr>
                <w:sz w:val="20"/>
                <w:szCs w:val="20"/>
                <w:color w:val="auto"/>
              </w:rPr>
            </w:pPr>
            <w:r>
              <w:rPr>
                <w:rFonts w:ascii="Arial" w:cs="Arial" w:eastAsia="Arial" w:hAnsi="Arial"/>
                <w:sz w:val="18"/>
                <w:szCs w:val="18"/>
                <w:color w:val="auto"/>
              </w:rPr>
              <w:t>ITEM 4.</w:t>
            </w:r>
          </w:p>
        </w:tc>
        <w:tc>
          <w:tcPr>
            <w:tcW w:w="260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93"/>
              </w:rPr>
              <w:t>CONTROLS AND PROCEDURES</w:t>
            </w:r>
          </w:p>
        </w:tc>
        <w:tc>
          <w:tcPr>
            <w:tcW w:w="5880" w:type="dxa"/>
            <w:vAlign w:val="bottom"/>
            <w:gridSpan w:val="7"/>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6">
              <w:r>
                <w:rPr>
                  <w:rFonts w:ascii="Arial" w:cs="Arial" w:eastAsia="Arial" w:hAnsi="Arial"/>
                  <w:sz w:val="18"/>
                  <w:szCs w:val="18"/>
                  <w:color w:val="0000FF"/>
                  <w:w w:val="79"/>
                </w:rPr>
                <w:t>15</w:t>
              </w:r>
            </w:hyperlink>
          </w:p>
        </w:tc>
        <w:tc>
          <w:tcPr>
            <w:tcW w:w="0" w:type="dxa"/>
            <w:vAlign w:val="bottom"/>
          </w:tcPr>
          <w:p>
            <w:pPr>
              <w:spacing w:after="0"/>
              <w:rPr>
                <w:sz w:val="1"/>
                <w:szCs w:val="1"/>
                <w:color w:val="auto"/>
              </w:rPr>
            </w:pPr>
          </w:p>
        </w:tc>
      </w:tr>
      <w:tr>
        <w:trPr>
          <w:trHeight w:val="209"/>
        </w:trPr>
        <w:tc>
          <w:tcPr>
            <w:tcW w:w="10060" w:type="dxa"/>
            <w:vAlign w:val="bottom"/>
            <w:gridSpan w:val="17"/>
          </w:tcPr>
          <w:p>
            <w:pPr>
              <w:spacing w:after="0"/>
              <w:rPr>
                <w:sz w:val="20"/>
                <w:szCs w:val="20"/>
                <w:color w:val="auto"/>
              </w:rPr>
            </w:pPr>
            <w:r>
              <w:rPr>
                <w:rFonts w:ascii="Arial" w:cs="Arial" w:eastAsia="Arial" w:hAnsi="Arial"/>
                <w:sz w:val="18"/>
                <w:szCs w:val="18"/>
                <w:color w:val="auto"/>
              </w:rPr>
              <w:t>PART II—OTHER INFORMATION</w:t>
            </w:r>
          </w:p>
        </w:tc>
        <w:tc>
          <w:tcPr>
            <w:tcW w:w="1100" w:type="dxa"/>
            <w:vAlign w:val="bottom"/>
            <w:gridSpan w:val="3"/>
          </w:tcPr>
          <w:p>
            <w:pPr>
              <w:jc w:val="right"/>
              <w:spacing w:after="0"/>
              <w:rPr>
                <w:rFonts w:ascii="Arial" w:cs="Arial" w:eastAsia="Arial" w:hAnsi="Arial"/>
                <w:sz w:val="18"/>
                <w:szCs w:val="18"/>
                <w:color w:val="0000FF"/>
              </w:rPr>
            </w:pPr>
            <w:hyperlink w:anchor="page16">
              <w:r>
                <w:rPr>
                  <w:rFonts w:ascii="Arial" w:cs="Arial" w:eastAsia="Arial" w:hAnsi="Arial"/>
                  <w:sz w:val="18"/>
                  <w:szCs w:val="18"/>
                  <w:color w:val="0000FF"/>
                </w:rPr>
                <w:t>16</w:t>
              </w:r>
            </w:hyperlink>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600" w:type="dxa"/>
            <w:vAlign w:val="bottom"/>
            <w:gridSpan w:val="9"/>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80" w:type="dxa"/>
            <w:vAlign w:val="bottom"/>
            <w:gridSpan w:val="3"/>
          </w:tcPr>
          <w:p>
            <w:pPr>
              <w:spacing w:after="0"/>
              <w:rPr>
                <w:sz w:val="20"/>
                <w:szCs w:val="20"/>
                <w:color w:val="auto"/>
              </w:rPr>
            </w:pPr>
            <w:r>
              <w:rPr>
                <w:rFonts w:ascii="Arial" w:cs="Arial" w:eastAsia="Arial" w:hAnsi="Arial"/>
                <w:sz w:val="18"/>
                <w:szCs w:val="18"/>
                <w:color w:val="auto"/>
              </w:rPr>
              <w:t>ITEM 1.</w:t>
            </w:r>
          </w:p>
        </w:tc>
        <w:tc>
          <w:tcPr>
            <w:tcW w:w="188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4"/>
              </w:rPr>
              <w:t>LEGAL PROCEEDINGS</w:t>
            </w:r>
          </w:p>
        </w:tc>
        <w:tc>
          <w:tcPr>
            <w:tcW w:w="6600" w:type="dxa"/>
            <w:vAlign w:val="bottom"/>
            <w:gridSpan w:val="9"/>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7">
              <w:r>
                <w:rPr>
                  <w:rFonts w:ascii="Arial" w:cs="Arial" w:eastAsia="Arial" w:hAnsi="Arial"/>
                  <w:sz w:val="18"/>
                  <w:szCs w:val="18"/>
                  <w:color w:val="0000FF"/>
                  <w:w w:val="79"/>
                </w:rPr>
                <w:t>16</w:t>
              </w:r>
            </w:hyperlink>
          </w:p>
        </w:tc>
        <w:tc>
          <w:tcPr>
            <w:tcW w:w="0" w:type="dxa"/>
            <w:vAlign w:val="bottom"/>
          </w:tcPr>
          <w:p>
            <w:pPr>
              <w:spacing w:after="0"/>
              <w:rPr>
                <w:sz w:val="1"/>
                <w:szCs w:val="1"/>
                <w:color w:val="auto"/>
              </w:rPr>
            </w:pPr>
          </w:p>
        </w:tc>
      </w:tr>
      <w:tr>
        <w:trPr>
          <w:trHeight w:val="209"/>
        </w:trPr>
        <w:tc>
          <w:tcPr>
            <w:tcW w:w="158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8480" w:type="dxa"/>
            <w:vAlign w:val="bottom"/>
            <w:gridSpan w:val="14"/>
          </w:tcPr>
          <w:p>
            <w:pPr>
              <w:spacing w:after="0"/>
              <w:rPr>
                <w:sz w:val="20"/>
                <w:szCs w:val="20"/>
                <w:color w:val="auto"/>
              </w:rPr>
            </w:pPr>
            <w:r>
              <w:rPr>
                <w:rFonts w:ascii="Arial" w:cs="Arial" w:eastAsia="Arial" w:hAnsi="Arial"/>
                <w:sz w:val="18"/>
                <w:szCs w:val="18"/>
                <w:color w:val="auto"/>
              </w:rPr>
              <w:t>RISK FACTORS</w:t>
            </w:r>
          </w:p>
        </w:tc>
        <w:tc>
          <w:tcPr>
            <w:tcW w:w="1100" w:type="dxa"/>
            <w:vAlign w:val="bottom"/>
            <w:gridSpan w:val="3"/>
          </w:tcPr>
          <w:p>
            <w:pPr>
              <w:jc w:val="right"/>
              <w:spacing w:after="0"/>
              <w:rPr>
                <w:rFonts w:ascii="Arial" w:cs="Arial" w:eastAsia="Arial" w:hAnsi="Arial"/>
                <w:sz w:val="18"/>
                <w:szCs w:val="18"/>
                <w:color w:val="0000FF"/>
              </w:rPr>
            </w:pPr>
            <w:hyperlink w:anchor="page17">
              <w:r>
                <w:rPr>
                  <w:rFonts w:ascii="Arial" w:cs="Arial" w:eastAsia="Arial" w:hAnsi="Arial"/>
                  <w:sz w:val="18"/>
                  <w:szCs w:val="18"/>
                  <w:color w:val="0000FF"/>
                </w:rPr>
                <w:t>16</w:t>
              </w:r>
            </w:hyperlink>
          </w:p>
        </w:tc>
        <w:tc>
          <w:tcPr>
            <w:tcW w:w="0" w:type="dxa"/>
            <w:vAlign w:val="bottom"/>
          </w:tcPr>
          <w:p>
            <w:pPr>
              <w:spacing w:after="0"/>
              <w:rPr>
                <w:sz w:val="1"/>
                <w:szCs w:val="1"/>
                <w:color w:val="auto"/>
              </w:rPr>
            </w:pPr>
          </w:p>
        </w:tc>
      </w:tr>
      <w:tr>
        <w:trPr>
          <w:trHeight w:val="210"/>
        </w:trPr>
        <w:tc>
          <w:tcPr>
            <w:tcW w:w="1580" w:type="dxa"/>
            <w:vAlign w:val="bottom"/>
            <w:gridSpan w:val="3"/>
          </w:tcPr>
          <w:p>
            <w:pPr>
              <w:spacing w:after="0"/>
              <w:rPr>
                <w:sz w:val="20"/>
                <w:szCs w:val="20"/>
                <w:color w:val="auto"/>
              </w:rPr>
            </w:pPr>
            <w:r>
              <w:rPr>
                <w:rFonts w:ascii="Arial" w:cs="Arial" w:eastAsia="Arial" w:hAnsi="Arial"/>
                <w:sz w:val="18"/>
                <w:szCs w:val="18"/>
                <w:color w:val="auto"/>
              </w:rPr>
              <w:t>ITEM 6.</w:t>
            </w:r>
          </w:p>
        </w:tc>
        <w:tc>
          <w:tcPr>
            <w:tcW w:w="8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7"/>
              </w:rPr>
              <w:t>EXHIBITS</w:t>
            </w:r>
          </w:p>
        </w:tc>
        <w:tc>
          <w:tcPr>
            <w:tcW w:w="420" w:type="dxa"/>
            <w:vAlign w:val="bottom"/>
            <w:tcBorders>
              <w:top w:val="single" w:sz="8" w:color="auto"/>
            </w:tcBorders>
            <w:gridSpan w:val="2"/>
          </w:tcPr>
          <w:p>
            <w:pPr>
              <w:spacing w:after="0"/>
              <w:rPr>
                <w:sz w:val="18"/>
                <w:szCs w:val="18"/>
                <w:color w:val="auto"/>
              </w:rPr>
            </w:pPr>
          </w:p>
        </w:tc>
        <w:tc>
          <w:tcPr>
            <w:tcW w:w="7240" w:type="dxa"/>
            <w:vAlign w:val="bottom"/>
            <w:gridSpan w:val="11"/>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17">
              <w:r>
                <w:rPr>
                  <w:rFonts w:ascii="Arial" w:cs="Arial" w:eastAsia="Arial" w:hAnsi="Arial"/>
                  <w:sz w:val="18"/>
                  <w:szCs w:val="18"/>
                  <w:color w:val="0000FF"/>
                  <w:w w:val="79"/>
                </w:rPr>
                <w:t>16</w:t>
              </w:r>
            </w:hyperlink>
          </w:p>
        </w:tc>
        <w:tc>
          <w:tcPr>
            <w:tcW w:w="0" w:type="dxa"/>
            <w:vAlign w:val="bottom"/>
          </w:tcPr>
          <w:p>
            <w:pPr>
              <w:spacing w:after="0"/>
              <w:rPr>
                <w:sz w:val="1"/>
                <w:szCs w:val="1"/>
                <w:color w:val="auto"/>
              </w:rPr>
            </w:pPr>
          </w:p>
        </w:tc>
      </w:tr>
      <w:tr>
        <w:trPr>
          <w:trHeight w:val="209"/>
        </w:trPr>
        <w:tc>
          <w:tcPr>
            <w:tcW w:w="1580" w:type="dxa"/>
            <w:vAlign w:val="bottom"/>
            <w:gridSpan w:val="3"/>
          </w:tcPr>
          <w:p>
            <w:pPr>
              <w:spacing w:after="0"/>
              <w:rPr>
                <w:sz w:val="20"/>
                <w:szCs w:val="20"/>
                <w:color w:val="auto"/>
              </w:rPr>
            </w:pPr>
            <w:r>
              <w:rPr>
                <w:rFonts w:ascii="Arial" w:cs="Arial" w:eastAsia="Arial" w:hAnsi="Arial"/>
                <w:sz w:val="18"/>
                <w:szCs w:val="18"/>
                <w:color w:val="auto"/>
              </w:rPr>
              <w:t>EXHIBIT INDEX</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00" w:type="dxa"/>
            <w:vAlign w:val="bottom"/>
            <w:gridSpan w:val="3"/>
          </w:tcPr>
          <w:p>
            <w:pPr>
              <w:jc w:val="right"/>
              <w:spacing w:after="0"/>
              <w:rPr>
                <w:rFonts w:ascii="Arial" w:cs="Arial" w:eastAsia="Arial" w:hAnsi="Arial"/>
                <w:sz w:val="18"/>
                <w:szCs w:val="18"/>
                <w:color w:val="0000FF"/>
              </w:rPr>
            </w:pPr>
            <w:hyperlink w:anchor="page17">
              <w:r>
                <w:rPr>
                  <w:rFonts w:ascii="Arial" w:cs="Arial" w:eastAsia="Arial" w:hAnsi="Arial"/>
                  <w:sz w:val="18"/>
                  <w:szCs w:val="18"/>
                  <w:color w:val="0000FF"/>
                </w:rPr>
                <w:t>16</w:t>
              </w:r>
            </w:hyperlink>
          </w:p>
        </w:tc>
        <w:tc>
          <w:tcPr>
            <w:tcW w:w="0" w:type="dxa"/>
            <w:vAlign w:val="bottom"/>
          </w:tcPr>
          <w:p>
            <w:pPr>
              <w:spacing w:after="0"/>
              <w:rPr>
                <w:sz w:val="1"/>
                <w:szCs w:val="1"/>
                <w:color w:val="auto"/>
              </w:rPr>
            </w:pPr>
          </w:p>
        </w:tc>
      </w:tr>
      <w:tr>
        <w:trPr>
          <w:trHeight w:val="209"/>
        </w:trPr>
        <w:tc>
          <w:tcPr>
            <w:tcW w:w="1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2"/>
              </w:rPr>
              <w:t>SIGNATURES</w:t>
            </w:r>
          </w:p>
        </w:tc>
        <w:tc>
          <w:tcPr>
            <w:tcW w:w="2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17">
              <w:r>
                <w:rPr>
                  <w:rFonts w:ascii="Arial" w:cs="Arial" w:eastAsia="Arial" w:hAnsi="Arial"/>
                  <w:sz w:val="18"/>
                  <w:szCs w:val="18"/>
                  <w:color w:val="0000FF"/>
                  <w:w w:val="79"/>
                </w:rPr>
                <w:t>17</w:t>
              </w:r>
            </w:hyperlink>
          </w:p>
        </w:tc>
        <w:tc>
          <w:tcPr>
            <w:tcW w:w="0" w:type="dxa"/>
            <w:vAlign w:val="bottom"/>
          </w:tcPr>
          <w:p>
            <w:pPr>
              <w:spacing w:after="0"/>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Language Regarding Forward-Looking Statements</w:t>
      </w:r>
    </w:p>
    <w:p>
      <w:pPr>
        <w:spacing w:after="0" w:line="175"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 xml:space="preserve">This Quarterly Report on Form 10-Q ("Form 10-Q") contains forward-looking statements that are based on our management's expectations as of the filing date of this report with the Securities and Exchange Commission ("SEC"). Statements that are not historical facts are hereby identified as forward-looking statements. In addition, words such as "estimate," "anticipate," "project," "plan," "intend," "believe," "expect," "likely," "predicted," "positioned," "continue," "target," "seek," "focus" and any variations of these words, and similar expressions are intended to identify forward-looking statements. Such statements include plans, projections and estimates contained in </w:t>
      </w:r>
      <w:r>
        <w:rPr>
          <w:rFonts w:ascii="Arial" w:cs="Arial" w:eastAsia="Arial" w:hAnsi="Arial"/>
          <w:sz w:val="16"/>
          <w:szCs w:val="16"/>
          <w:i w:val="1"/>
          <w:iCs w:val="1"/>
          <w:color w:val="auto"/>
        </w:rPr>
        <w:t>"Part I—Item 2. Management's Discussion and Analysis of Financial Condition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Results of Operations" </w:t>
      </w:r>
      <w:r>
        <w:rPr>
          <w:rFonts w:ascii="Arial" w:cs="Arial" w:eastAsia="Arial" w:hAnsi="Arial"/>
          <w:sz w:val="16"/>
          <w:szCs w:val="16"/>
          <w:color w:val="auto"/>
        </w:rPr>
        <w:t>("MD&amp;A") herein. Such forward-looking statements include (1) anticipated growth in the wireless industry and demand for wireless</w:t>
      </w:r>
      <w:r>
        <w:rPr>
          <w:rFonts w:ascii="Arial" w:cs="Arial" w:eastAsia="Arial" w:hAnsi="Arial"/>
          <w:sz w:val="16"/>
          <w:szCs w:val="16"/>
          <w:i w:val="1"/>
          <w:iCs w:val="1"/>
          <w:color w:val="auto"/>
        </w:rPr>
        <w:t xml:space="preserve"> </w:t>
      </w:r>
      <w:r>
        <w:rPr>
          <w:rFonts w:ascii="Arial" w:cs="Arial" w:eastAsia="Arial" w:hAnsi="Arial"/>
          <w:sz w:val="16"/>
          <w:szCs w:val="16"/>
          <w:color w:val="auto"/>
        </w:rPr>
        <w:t>data, including factors driving such demand, (2) wireless carriers' focus on improving network quality and expanding capacity, (3) demand for our towers, including factors driving such demand, and the potential benefits that may be derived therefrom, (4) availability and adequacy of cash flows and liquidity,</w:t>
      </w:r>
    </w:p>
    <w:p>
      <w:pPr>
        <w:spacing w:after="0" w:line="1" w:lineRule="exact"/>
        <w:rPr>
          <w:sz w:val="20"/>
          <w:szCs w:val="20"/>
          <w:color w:val="auto"/>
        </w:rPr>
      </w:pPr>
    </w:p>
    <w:p>
      <w:pPr>
        <w:ind w:firstLine="8"/>
        <w:spacing w:after="0" w:line="260" w:lineRule="auto"/>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value which may be derived from our allocation of cash generated from our business, (6) debt maturities, (7) income taxes and (8) the potential impact of novel coronavirus (COVID-19) pandemic.</w:t>
      </w:r>
    </w:p>
    <w:p>
      <w:pPr>
        <w:spacing w:after="0" w:line="13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Such forward-looking statements should, therefore, be considered in light of various risks, uncertainties and assumptions, including prevailing market conditions, risk factors described in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of the Annual Report on Form 10-K for the fiscal year ended December 31, 2020 ("2020 Form 10-K") and other factors. Should one or more of these risks or uncertainties materialize, or should underlying assumptions prove incorrect, actual results may vary materially from those expected.</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filings with the SEC are available through the SEC website at www.sec.gov or through CCIC's investor relations website at investor.crowncastle.com. CCIC uses its investor relations website to disclose information about CCIC and us that may be deemed to be material. We encourage investors, the media and others interested to visit CCIC's investor relations website from time to time to review up-to-date information or to sign up for e-mail alerts to be notified when new or updated information is posted on the site.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Interpretation</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 used herein, the term "including," and any variation thereof, means "including without limitation." The use of the word "or" herein is not exclusive. Unless this 2021 Form 10-Q indicates otherwise or the context otherwise requires, the terms, "we," "our," or "us" as used in this 2021 Form 10-Q refer to CC Holdings GS V LLC ("CCL") and its consolidated wholly owned subsidiaries (collectively, "Company"). The Company is a wholly owned subsidiary of Global Signal Operating Partnership, L.P. ("GSOP"), which is an indirect subsidiary of CCIC. Capitalized terms used but not defined in this 2021 Form 10-Q have the same meaning given to them in the 2020 Form 10-K.</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I—FINANCIAL INFORMATION</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2021</w:t>
            </w:r>
          </w:p>
        </w:tc>
        <w:tc>
          <w:tcPr>
            <w:tcW w:w="140" w:type="dxa"/>
            <w:vAlign w:val="bottom"/>
          </w:tcPr>
          <w:p>
            <w:pPr>
              <w:spacing w:after="0"/>
              <w:rPr>
                <w:sz w:val="16"/>
                <w:szCs w:val="16"/>
                <w:color w:val="auto"/>
              </w:rPr>
            </w:pPr>
          </w:p>
        </w:tc>
        <w:tc>
          <w:tcPr>
            <w:tcW w:w="1420" w:type="dxa"/>
            <w:vAlign w:val="bottom"/>
          </w:tcPr>
          <w:p>
            <w:pPr>
              <w:jc w:val="right"/>
              <w:ind w:right="119"/>
              <w:spacing w:after="0"/>
              <w:rPr>
                <w:sz w:val="20"/>
                <w:szCs w:val="20"/>
                <w:color w:val="auto"/>
              </w:rPr>
            </w:pPr>
            <w:r>
              <w:rPr>
                <w:rFonts w:ascii="Arial" w:cs="Arial" w:eastAsia="Arial" w:hAnsi="Arial"/>
                <w:sz w:val="14"/>
                <w:szCs w:val="14"/>
                <w:b w:val="1"/>
                <w:bCs w:val="1"/>
                <w:color w:val="auto"/>
                <w:w w:val="95"/>
              </w:rPr>
              <w:t>December 31, 2020</w:t>
            </w:r>
          </w:p>
        </w:tc>
      </w:tr>
      <w:tr>
        <w:trPr>
          <w:trHeight w:val="215"/>
        </w:trPr>
        <w:tc>
          <w:tcPr>
            <w:tcW w:w="8000" w:type="dxa"/>
            <w:vAlign w:val="bottom"/>
            <w:tcBorders>
              <w:top w:val="single" w:sz="8" w:color="CCEEFF"/>
            </w:tcBorders>
            <w:shd w:val="clear" w:color="auto" w:fill="CCEEFF"/>
          </w:tcPr>
          <w:p>
            <w:pPr>
              <w:ind w:left="370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r>
      <w:tr>
        <w:trPr>
          <w:trHeight w:val="213"/>
        </w:trPr>
        <w:tc>
          <w:tcPr>
            <w:tcW w:w="80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9"/>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34,727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17,439</w:t>
            </w:r>
          </w:p>
        </w:tc>
      </w:tr>
      <w:tr>
        <w:trPr>
          <w:trHeight w:val="213"/>
        </w:trPr>
        <w:tc>
          <w:tcPr>
            <w:tcW w:w="8000" w:type="dxa"/>
            <w:vAlign w:val="bottom"/>
          </w:tcPr>
          <w:p>
            <w:pPr>
              <w:ind w:left="220"/>
              <w:spacing w:after="0"/>
              <w:rPr>
                <w:sz w:val="20"/>
                <w:szCs w:val="20"/>
                <w:color w:val="auto"/>
              </w:rPr>
            </w:pPr>
            <w:r>
              <w:rPr>
                <w:rFonts w:ascii="Arial" w:cs="Arial" w:eastAsia="Arial" w:hAnsi="Arial"/>
                <w:sz w:val="16"/>
                <w:szCs w:val="16"/>
                <w:color w:val="auto"/>
              </w:rPr>
              <w:t>Receivables, net</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4,925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4,712</w:t>
            </w:r>
          </w:p>
        </w:tc>
      </w:tr>
      <w:tr>
        <w:trPr>
          <w:trHeight w:val="219"/>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13,274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12,499</w:t>
            </w:r>
          </w:p>
        </w:tc>
      </w:tr>
      <w:tr>
        <w:trPr>
          <w:trHeight w:val="213"/>
        </w:trPr>
        <w:tc>
          <w:tcPr>
            <w:tcW w:w="80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Deferred site rental receivables and other current assets</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40,238</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38,136</w:t>
            </w:r>
          </w:p>
        </w:tc>
      </w:tr>
      <w:tr>
        <w:trPr>
          <w:trHeight w:val="213"/>
        </w:trPr>
        <w:tc>
          <w:tcPr>
            <w:tcW w:w="8000" w:type="dxa"/>
            <w:vAlign w:val="bottom"/>
            <w:shd w:val="clear" w:color="auto" w:fill="CCEEFF"/>
          </w:tcPr>
          <w:p>
            <w:pPr>
              <w:ind w:left="560"/>
              <w:spacing w:after="0"/>
              <w:rPr>
                <w:sz w:val="20"/>
                <w:szCs w:val="20"/>
                <w:color w:val="auto"/>
              </w:rPr>
            </w:pPr>
            <w:r>
              <w:rPr>
                <w:rFonts w:ascii="Arial" w:cs="Arial" w:eastAsia="Arial" w:hAnsi="Arial"/>
                <w:sz w:val="16"/>
                <w:szCs w:val="16"/>
                <w:color w:val="auto"/>
              </w:rPr>
              <w:t>Total current assets</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93,164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72,786</w:t>
            </w:r>
          </w:p>
        </w:tc>
      </w:tr>
      <w:tr>
        <w:trPr>
          <w:trHeight w:val="213"/>
        </w:trPr>
        <w:tc>
          <w:tcPr>
            <w:tcW w:w="8000" w:type="dxa"/>
            <w:vAlign w:val="bottom"/>
          </w:tcPr>
          <w:p>
            <w:pPr>
              <w:ind w:left="20"/>
              <w:spacing w:after="0"/>
              <w:rPr>
                <w:sz w:val="20"/>
                <w:szCs w:val="20"/>
                <w:color w:val="auto"/>
              </w:rPr>
            </w:pPr>
            <w:r>
              <w:rPr>
                <w:rFonts w:ascii="Arial" w:cs="Arial" w:eastAsia="Arial" w:hAnsi="Arial"/>
                <w:sz w:val="16"/>
                <w:szCs w:val="16"/>
                <w:color w:val="auto"/>
              </w:rPr>
              <w:t>Deferred site rental receivables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341,017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346,019</w:t>
            </w: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 of accumulated depreciation of $1,213,284 and $1,190,055, respectively</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931,432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951,870</w:t>
            </w:r>
          </w:p>
        </w:tc>
      </w:tr>
      <w:tr>
        <w:trPr>
          <w:trHeight w:val="213"/>
        </w:trPr>
        <w:tc>
          <w:tcPr>
            <w:tcW w:w="800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1,166,886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1,166,726</w:t>
            </w: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1,338,730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1,338,730</w:t>
            </w:r>
          </w:p>
        </w:tc>
      </w:tr>
      <w:tr>
        <w:trPr>
          <w:trHeight w:val="213"/>
        </w:trPr>
        <w:tc>
          <w:tcPr>
            <w:tcW w:w="8000" w:type="dxa"/>
            <w:vAlign w:val="bottom"/>
          </w:tcPr>
          <w:p>
            <w:pPr>
              <w:ind w:left="20"/>
              <w:spacing w:after="0"/>
              <w:rPr>
                <w:sz w:val="20"/>
                <w:szCs w:val="20"/>
                <w:color w:val="auto"/>
              </w:rPr>
            </w:pPr>
            <w:r>
              <w:rPr>
                <w:rFonts w:ascii="Arial" w:cs="Arial" w:eastAsia="Arial" w:hAnsi="Arial"/>
                <w:sz w:val="16"/>
                <w:szCs w:val="16"/>
                <w:color w:val="auto"/>
              </w:rPr>
              <w:t>Other intangible assets, net</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536,854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565,274</w:t>
            </w:r>
          </w:p>
        </w:tc>
      </w:tr>
      <w:tr>
        <w:trPr>
          <w:trHeight w:val="216"/>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1,627</w:t>
            </w:r>
          </w:p>
        </w:tc>
      </w:tr>
      <w:tr>
        <w:trPr>
          <w:trHeight w:val="212"/>
        </w:trPr>
        <w:tc>
          <w:tcPr>
            <w:tcW w:w="8000" w:type="dxa"/>
            <w:vAlign w:val="bottom"/>
          </w:tcPr>
          <w:p>
            <w:pPr>
              <w:ind w:left="56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4,409,815</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4,443,032</w:t>
            </w: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23"/>
        </w:trPr>
        <w:tc>
          <w:tcPr>
            <w:tcW w:w="8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3"/>
        </w:trPr>
        <w:tc>
          <w:tcPr>
            <w:tcW w:w="8000" w:type="dxa"/>
            <w:vAlign w:val="bottom"/>
          </w:tcPr>
          <w:p>
            <w:pPr>
              <w:ind w:left="2960"/>
              <w:spacing w:after="0"/>
              <w:rPr>
                <w:sz w:val="20"/>
                <w:szCs w:val="20"/>
                <w:color w:val="auto"/>
              </w:rPr>
            </w:pPr>
            <w:r>
              <w:rPr>
                <w:rFonts w:ascii="Arial" w:cs="Arial" w:eastAsia="Arial" w:hAnsi="Arial"/>
                <w:sz w:val="16"/>
                <w:szCs w:val="16"/>
                <w:b w:val="1"/>
                <w:bCs w:val="1"/>
                <w:color w:val="auto"/>
              </w:rPr>
              <w:t>LIABILITIES AND EQUITY</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3"/>
        </w:trPr>
        <w:tc>
          <w:tcPr>
            <w:tcW w:w="800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1,997</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1,515</w:t>
            </w:r>
          </w:p>
        </w:tc>
      </w:tr>
      <w:tr>
        <w:trPr>
          <w:trHeight w:val="219"/>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interest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17,748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8,126</w:t>
            </w:r>
          </w:p>
        </w:tc>
      </w:tr>
      <w:tr>
        <w:trPr>
          <w:trHeight w:val="213"/>
        </w:trPr>
        <w:tc>
          <w:tcPr>
            <w:tcW w:w="8000" w:type="dxa"/>
            <w:vAlign w:val="bottom"/>
          </w:tcPr>
          <w:p>
            <w:pPr>
              <w:ind w:left="220"/>
              <w:spacing w:after="0"/>
              <w:rPr>
                <w:sz w:val="20"/>
                <w:szCs w:val="20"/>
                <w:color w:val="auto"/>
              </w:rPr>
            </w:pPr>
            <w:r>
              <w:rPr>
                <w:rFonts w:ascii="Arial" w:cs="Arial" w:eastAsia="Arial" w:hAnsi="Arial"/>
                <w:sz w:val="16"/>
                <w:szCs w:val="16"/>
                <w:color w:val="auto"/>
              </w:rPr>
              <w:t>Deferred revenues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86,737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71,427</w:t>
            </w:r>
          </w:p>
        </w:tc>
      </w:tr>
      <w:tr>
        <w:trPr>
          <w:trHeight w:val="219"/>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accrued liabilities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6,107</w:t>
            </w:r>
          </w:p>
        </w:tc>
      </w:tr>
      <w:tr>
        <w:trPr>
          <w:trHeight w:val="213"/>
        </w:trPr>
        <w:tc>
          <w:tcPr>
            <w:tcW w:w="8000" w:type="dxa"/>
            <w:vAlign w:val="bottom"/>
          </w:tcPr>
          <w:p>
            <w:pPr>
              <w:ind w:left="220"/>
              <w:spacing w:after="0"/>
              <w:rPr>
                <w:sz w:val="20"/>
                <w:szCs w:val="20"/>
                <w:color w:val="auto"/>
              </w:rPr>
            </w:pPr>
            <w:r>
              <w:rPr>
                <w:rFonts w:ascii="Arial" w:cs="Arial" w:eastAsia="Arial" w:hAnsi="Arial"/>
                <w:sz w:val="16"/>
                <w:szCs w:val="16"/>
                <w:color w:val="auto"/>
              </w:rPr>
              <w:t>Current portion of operating lease liabilities—third parties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39,881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40,825</w:t>
            </w:r>
          </w:p>
        </w:tc>
      </w:tr>
      <w:tr>
        <w:trPr>
          <w:trHeight w:val="219"/>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Current portion of operating lease liabilities—related parties</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24,327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24,211</w:t>
            </w:r>
          </w:p>
        </w:tc>
      </w:tr>
      <w:tr>
        <w:trPr>
          <w:trHeight w:val="207"/>
        </w:trPr>
        <w:tc>
          <w:tcPr>
            <w:tcW w:w="8000" w:type="dxa"/>
            <w:vAlign w:val="bottom"/>
          </w:tcPr>
          <w:p>
            <w:pPr>
              <w:ind w:left="560"/>
              <w:spacing w:after="0"/>
              <w:rPr>
                <w:sz w:val="20"/>
                <w:szCs w:val="20"/>
                <w:color w:val="auto"/>
              </w:rPr>
            </w:pPr>
            <w:r>
              <w:rPr>
                <w:rFonts w:ascii="Arial" w:cs="Arial" w:eastAsia="Arial" w:hAnsi="Arial"/>
                <w:sz w:val="16"/>
                <w:szCs w:val="16"/>
                <w:color w:val="auto"/>
              </w:rPr>
              <w:t>Total current liabilities</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180,840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152,211</w:t>
            </w: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Debt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997,161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996,815</w:t>
            </w:r>
          </w:p>
        </w:tc>
      </w:tr>
      <w:tr>
        <w:trPr>
          <w:trHeight w:val="213"/>
        </w:trPr>
        <w:tc>
          <w:tcPr>
            <w:tcW w:w="8000" w:type="dxa"/>
            <w:vAlign w:val="bottom"/>
          </w:tcPr>
          <w:p>
            <w:pPr>
              <w:ind w:left="20"/>
              <w:spacing w:after="0"/>
              <w:rPr>
                <w:sz w:val="20"/>
                <w:szCs w:val="20"/>
                <w:color w:val="auto"/>
              </w:rPr>
            </w:pPr>
            <w:r>
              <w:rPr>
                <w:rFonts w:ascii="Arial" w:cs="Arial" w:eastAsia="Arial" w:hAnsi="Arial"/>
                <w:sz w:val="16"/>
                <w:szCs w:val="16"/>
                <w:color w:val="auto"/>
              </w:rPr>
              <w:t>Operating lease liabilities—third parties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850,973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850,272</w:t>
            </w: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liabilities—related parties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323,664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322,817</w:t>
            </w:r>
          </w:p>
        </w:tc>
      </w:tr>
      <w:tr>
        <w:trPr>
          <w:trHeight w:val="213"/>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liabilities</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171,881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183,966</w:t>
            </w:r>
          </w:p>
        </w:tc>
      </w:tr>
      <w:tr>
        <w:trPr>
          <w:trHeight w:val="213"/>
        </w:trPr>
        <w:tc>
          <w:tcPr>
            <w:tcW w:w="8000" w:type="dxa"/>
            <w:vAlign w:val="bottom"/>
            <w:shd w:val="clear" w:color="auto" w:fill="CCEEFF"/>
          </w:tcPr>
          <w:p>
            <w:pPr>
              <w:ind w:left="560"/>
              <w:spacing w:after="0"/>
              <w:rPr>
                <w:sz w:val="20"/>
                <w:szCs w:val="20"/>
                <w:color w:val="auto"/>
              </w:rPr>
            </w:pPr>
            <w:r>
              <w:rPr>
                <w:rFonts w:ascii="Arial" w:cs="Arial" w:eastAsia="Arial" w:hAnsi="Arial"/>
                <w:sz w:val="16"/>
                <w:szCs w:val="16"/>
                <w:color w:val="auto"/>
              </w:rPr>
              <w:t>Total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2,524,519</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2,506,081</w:t>
            </w:r>
          </w:p>
        </w:tc>
      </w:tr>
      <w:tr>
        <w:trPr>
          <w:trHeight w:val="193"/>
        </w:trPr>
        <w:tc>
          <w:tcPr>
            <w:tcW w:w="8000" w:type="dxa"/>
            <w:vAlign w:val="bottom"/>
          </w:tcPr>
          <w:p>
            <w:pPr>
              <w:ind w:left="20"/>
              <w:spacing w:after="0"/>
              <w:rPr>
                <w:sz w:val="20"/>
                <w:szCs w:val="20"/>
                <w:color w:val="auto"/>
              </w:rPr>
            </w:pPr>
            <w:r>
              <w:rPr>
                <w:rFonts w:ascii="Arial" w:cs="Arial" w:eastAsia="Arial" w:hAnsi="Arial"/>
                <w:sz w:val="16"/>
                <w:szCs w:val="16"/>
                <w:color w:val="auto"/>
              </w:rPr>
              <w:t>Commitments and contingencies (note 7)</w:t>
            </w: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Member's equity:</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3"/>
        </w:trPr>
        <w:tc>
          <w:tcPr>
            <w:tcW w:w="8000" w:type="dxa"/>
            <w:vAlign w:val="bottom"/>
          </w:tcPr>
          <w:p>
            <w:pPr>
              <w:ind w:left="220"/>
              <w:spacing w:after="0"/>
              <w:rPr>
                <w:sz w:val="20"/>
                <w:szCs w:val="20"/>
                <w:color w:val="auto"/>
              </w:rPr>
            </w:pPr>
            <w:r>
              <w:rPr>
                <w:rFonts w:ascii="Arial" w:cs="Arial" w:eastAsia="Arial" w:hAnsi="Arial"/>
                <w:sz w:val="16"/>
                <w:szCs w:val="16"/>
                <w:color w:val="auto"/>
              </w:rPr>
              <w:t>Member's equity</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1,885,296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1,936,951</w:t>
            </w:r>
          </w:p>
        </w:tc>
      </w:tr>
      <w:tr>
        <w:trPr>
          <w:trHeight w:val="219"/>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earnings (deficit)</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800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Total member's equity</w:t>
            </w:r>
          </w:p>
        </w:tc>
        <w:tc>
          <w:tcPr>
            <w:tcW w:w="20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1,885,296</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1,936,951</w:t>
            </w:r>
          </w:p>
        </w:tc>
      </w:tr>
      <w:tr>
        <w:trPr>
          <w:trHeight w:val="237"/>
        </w:trPr>
        <w:tc>
          <w:tcPr>
            <w:tcW w:w="80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Total liabilities and equity</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4,409,815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4,443,032</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83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2020</w:t>
            </w:r>
          </w:p>
        </w:tc>
      </w:tr>
      <w:tr>
        <w:trPr>
          <w:trHeight w:val="197"/>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Site rental revenues:</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3"/>
        </w:trPr>
        <w:tc>
          <w:tcPr>
            <w:tcW w:w="8360" w:type="dxa"/>
            <w:vAlign w:val="bottom"/>
          </w:tcPr>
          <w:p>
            <w:pPr>
              <w:ind w:left="360"/>
              <w:spacing w:after="0"/>
              <w:rPr>
                <w:sz w:val="20"/>
                <w:szCs w:val="20"/>
                <w:color w:val="auto"/>
              </w:rPr>
            </w:pPr>
            <w:r>
              <w:rPr>
                <w:rFonts w:ascii="Arial" w:cs="Arial" w:eastAsia="Arial" w:hAnsi="Arial"/>
                <w:sz w:val="16"/>
                <w:szCs w:val="16"/>
                <w:color w:val="auto"/>
              </w:rPr>
              <w:t>Revenues from tenant contracts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176,106</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172,389</w:t>
            </w:r>
          </w:p>
        </w:tc>
      </w:tr>
      <w:tr>
        <w:trPr>
          <w:trHeight w:val="219"/>
        </w:trPr>
        <w:tc>
          <w:tcPr>
            <w:tcW w:w="8360" w:type="dxa"/>
            <w:vAlign w:val="bottom"/>
            <w:shd w:val="clear" w:color="auto" w:fill="CCEEFF"/>
          </w:tcPr>
          <w:p>
            <w:pPr>
              <w:ind w:left="360"/>
              <w:spacing w:after="0" w:line="219" w:lineRule="exact"/>
              <w:rPr>
                <w:sz w:val="20"/>
                <w:szCs w:val="20"/>
                <w:color w:val="auto"/>
              </w:rPr>
            </w:pPr>
            <w:r>
              <w:rPr>
                <w:rFonts w:ascii="Arial" w:cs="Arial" w:eastAsia="Arial" w:hAnsi="Arial"/>
                <w:sz w:val="16"/>
                <w:szCs w:val="16"/>
                <w:color w:val="auto"/>
              </w:rPr>
              <w:t>Amortization of tower installations and modifications</w:t>
            </w:r>
            <w:r>
              <w:rPr>
                <w:rFonts w:ascii="Arial" w:cs="Arial" w:eastAsia="Arial" w:hAnsi="Arial"/>
                <w:sz w:val="21"/>
                <w:szCs w:val="21"/>
                <w:color w:val="auto"/>
                <w:vertAlign w:val="superscript"/>
              </w:rPr>
              <w:t>(a)</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15,109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14,052</w:t>
            </w:r>
          </w:p>
        </w:tc>
      </w:tr>
      <w:tr>
        <w:trPr>
          <w:trHeight w:val="207"/>
        </w:trPr>
        <w:tc>
          <w:tcPr>
            <w:tcW w:w="8360" w:type="dxa"/>
            <w:vAlign w:val="bottom"/>
          </w:tcPr>
          <w:p>
            <w:pPr>
              <w:ind w:left="560"/>
              <w:spacing w:after="0"/>
              <w:rPr>
                <w:sz w:val="20"/>
                <w:szCs w:val="20"/>
                <w:color w:val="auto"/>
              </w:rPr>
            </w:pPr>
            <w:r>
              <w:rPr>
                <w:rFonts w:ascii="Arial" w:cs="Arial" w:eastAsia="Arial" w:hAnsi="Arial"/>
                <w:sz w:val="16"/>
                <w:szCs w:val="16"/>
                <w:color w:val="auto"/>
              </w:rPr>
              <w:t>Total site rental revenues</w:t>
            </w:r>
          </w:p>
        </w:tc>
        <w:tc>
          <w:tcPr>
            <w:tcW w:w="2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191,215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186,441</w:t>
            </w:r>
          </w:p>
        </w:tc>
      </w:tr>
      <w:tr>
        <w:trPr>
          <w:trHeight w:val="219"/>
        </w:trPr>
        <w:tc>
          <w:tcPr>
            <w:tcW w:w="8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836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8360" w:type="dxa"/>
            <w:vAlign w:val="bottom"/>
            <w:shd w:val="clear" w:color="auto" w:fill="CCEEFF"/>
          </w:tcPr>
          <w:p>
            <w:pPr>
              <w:ind w:left="360"/>
              <w:spacing w:after="0" w:line="219" w:lineRule="exact"/>
              <w:rPr>
                <w:sz w:val="20"/>
                <w:szCs w:val="20"/>
                <w:color w:val="auto"/>
              </w:rPr>
            </w:pPr>
            <w:r>
              <w:rPr>
                <w:rFonts w:ascii="Arial" w:cs="Arial" w:eastAsia="Arial" w:hAnsi="Arial"/>
                <w:sz w:val="16"/>
                <w:szCs w:val="16"/>
                <w:color w:val="auto"/>
              </w:rPr>
              <w:t>Site rental cost of operations—third parties</w:t>
            </w:r>
            <w:r>
              <w:rPr>
                <w:rFonts w:ascii="Arial" w:cs="Arial" w:eastAsia="Arial" w:hAnsi="Arial"/>
                <w:sz w:val="21"/>
                <w:szCs w:val="21"/>
                <w:color w:val="auto"/>
                <w:vertAlign w:val="superscript"/>
              </w:rPr>
              <w:t>(b)</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37,827</w:t>
            </w:r>
          </w:p>
        </w:tc>
      </w:tr>
      <w:tr>
        <w:trPr>
          <w:trHeight w:val="213"/>
        </w:trPr>
        <w:tc>
          <w:tcPr>
            <w:tcW w:w="83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Ground rent expenses—related parties</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11,804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11,281</w:t>
            </w:r>
          </w:p>
        </w:tc>
      </w:tr>
      <w:tr>
        <w:trPr>
          <w:trHeight w:val="213"/>
        </w:trPr>
        <w:tc>
          <w:tcPr>
            <w:tcW w:w="8360" w:type="dxa"/>
            <w:vAlign w:val="bottom"/>
            <w:shd w:val="clear" w:color="auto" w:fill="CCEEFF"/>
          </w:tcPr>
          <w:p>
            <w:pPr>
              <w:ind w:left="360"/>
              <w:spacing w:after="0" w:line="213" w:lineRule="exact"/>
              <w:rPr>
                <w:sz w:val="20"/>
                <w:szCs w:val="20"/>
                <w:color w:val="auto"/>
              </w:rPr>
            </w:pPr>
            <w:r>
              <w:rPr>
                <w:rFonts w:ascii="Arial" w:cs="Arial" w:eastAsia="Arial" w:hAnsi="Arial"/>
                <w:sz w:val="16"/>
                <w:szCs w:val="16"/>
                <w:color w:val="auto"/>
              </w:rPr>
              <w:t>Site rental cost of operations—total</w:t>
            </w:r>
            <w:r>
              <w:rPr>
                <w:rFonts w:ascii="Arial" w:cs="Arial" w:eastAsia="Arial" w:hAnsi="Arial"/>
                <w:sz w:val="21"/>
                <w:szCs w:val="21"/>
                <w:color w:val="auto"/>
                <w:vertAlign w:val="superscript"/>
              </w:rPr>
              <w:t>(b)</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49,984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49,108</w:t>
            </w:r>
          </w:p>
        </w:tc>
      </w:tr>
      <w:tr>
        <w:trPr>
          <w:trHeight w:val="213"/>
        </w:trPr>
        <w:tc>
          <w:tcPr>
            <w:tcW w:w="8360" w:type="dxa"/>
            <w:vAlign w:val="bottom"/>
          </w:tcPr>
          <w:p>
            <w:pPr>
              <w:ind w:left="360"/>
              <w:spacing w:after="0"/>
              <w:rPr>
                <w:sz w:val="20"/>
                <w:szCs w:val="20"/>
                <w:color w:val="auto"/>
              </w:rPr>
            </w:pPr>
            <w:r>
              <w:rPr>
                <w:rFonts w:ascii="Arial" w:cs="Arial" w:eastAsia="Arial" w:hAnsi="Arial"/>
                <w:sz w:val="16"/>
                <w:szCs w:val="16"/>
                <w:color w:val="auto"/>
              </w:rPr>
              <w:t>Management fee—related party</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13,423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12,722</w:t>
            </w:r>
          </w:p>
        </w:tc>
      </w:tr>
      <w:tr>
        <w:trPr>
          <w:trHeight w:val="219"/>
        </w:trPr>
        <w:tc>
          <w:tcPr>
            <w:tcW w:w="8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Asset write-down charges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w:t>
            </w:r>
          </w:p>
        </w:tc>
      </w:tr>
      <w:tr>
        <w:trPr>
          <w:trHeight w:val="213"/>
        </w:trPr>
        <w:tc>
          <w:tcPr>
            <w:tcW w:w="83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Depreciation, amortization and accretion</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52,695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52,346</w:t>
            </w:r>
          </w:p>
        </w:tc>
      </w:tr>
      <w:tr>
        <w:trPr>
          <w:trHeight w:val="213"/>
        </w:trPr>
        <w:tc>
          <w:tcPr>
            <w:tcW w:w="83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operating expenses</w:t>
            </w: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116,659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114,600</w:t>
            </w:r>
          </w:p>
        </w:tc>
      </w:tr>
      <w:tr>
        <w:trPr>
          <w:trHeight w:val="207"/>
        </w:trPr>
        <w:tc>
          <w:tcPr>
            <w:tcW w:w="836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2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74,556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71,841</w:t>
            </w:r>
          </w:p>
        </w:tc>
      </w:tr>
      <w:tr>
        <w:trPr>
          <w:trHeight w:val="219"/>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and amortization of deferred financing costs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(9,969)</w:t>
            </w:r>
          </w:p>
        </w:tc>
      </w:tr>
      <w:tr>
        <w:trPr>
          <w:trHeight w:val="213"/>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 (expense)</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r>
      <w:tr>
        <w:trPr>
          <w:trHeight w:val="213"/>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64,590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61,887</w:t>
            </w:r>
          </w:p>
        </w:tc>
      </w:tr>
      <w:tr>
        <w:trPr>
          <w:trHeight w:val="213"/>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Benefit (provision) for income taxes</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r>
      <w:tr>
        <w:trPr>
          <w:trHeight w:val="234"/>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64,491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61,781</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91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1440" cy="8255"/>
                    </a:xfrm>
                    <a:prstGeom prst="rect">
                      <a:avLst/>
                    </a:prstGeom>
                    <a:noFill/>
                  </pic:spPr>
                </pic:pic>
              </a:graphicData>
            </a:graphic>
          </wp:anchor>
        </w:drawing>
      </w:r>
    </w:p>
    <w:p>
      <w:pPr>
        <w:spacing w:after="0" w:line="218" w:lineRule="exact"/>
        <w:rPr>
          <w:sz w:val="20"/>
          <w:szCs w:val="20"/>
          <w:color w:val="auto"/>
        </w:rPr>
      </w:pPr>
    </w:p>
    <w:p>
      <w:pPr>
        <w:ind w:left="340" w:right="840" w:hanging="332"/>
        <w:spacing w:after="0" w:line="250" w:lineRule="auto"/>
        <w:tabs>
          <w:tab w:leader="none" w:pos="337" w:val="left"/>
        </w:tabs>
        <w:numPr>
          <w:ilvl w:val="0"/>
          <w:numId w:val="2"/>
        </w:numPr>
        <w:rPr>
          <w:rFonts w:ascii="Arial" w:cs="Arial" w:eastAsia="Arial" w:hAnsi="Arial"/>
          <w:sz w:val="14"/>
          <w:szCs w:val="14"/>
          <w:color w:val="auto"/>
        </w:rPr>
      </w:pPr>
      <w:r>
        <w:rPr>
          <w:rFonts w:ascii="Arial" w:cs="Arial" w:eastAsia="Arial" w:hAnsi="Arial"/>
          <w:sz w:val="14"/>
          <w:szCs w:val="14"/>
          <w:color w:val="auto"/>
        </w:rPr>
        <w:t>Represents the amortization of deferred revenues recorded in connection with the tower installation and modification transactions (described in note 4) that result in permanent improvements to the Company's towers. The Company receives no cash from, and is not party to, such transactions.</w:t>
      </w:r>
    </w:p>
    <w:p>
      <w:pPr>
        <w:ind w:left="320" w:hanging="312"/>
        <w:spacing w:after="0"/>
        <w:tabs>
          <w:tab w:leader="none" w:pos="320" w:val="left"/>
        </w:tabs>
        <w:numPr>
          <w:ilvl w:val="0"/>
          <w:numId w:val="2"/>
        </w:numPr>
        <w:rPr>
          <w:rFonts w:ascii="Arial" w:cs="Arial" w:eastAsia="Arial" w:hAnsi="Arial"/>
          <w:sz w:val="14"/>
          <w:szCs w:val="14"/>
          <w:color w:val="auto"/>
        </w:rPr>
      </w:pPr>
      <w:r>
        <w:rPr>
          <w:rFonts w:ascii="Arial" w:cs="Arial" w:eastAsia="Arial" w:hAnsi="Arial"/>
          <w:sz w:val="14"/>
          <w:szCs w:val="14"/>
          <w:color w:val="auto"/>
        </w:rPr>
        <w:t>Exclusive of depreciation, amortization and accretion shown separately and certain indirect costs included in the management fee.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4" w:name="page5"/>
    <w:bookmarkEnd w:id="4"/>
    <w:p>
      <w:pPr>
        <w:jc w:val="center"/>
        <w:ind w:right="-11"/>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CONDENSED CONSOLIDATED STATEMENT OF CASH FLOWS (Unaudited)</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(In thousands of dollars)</w:t>
      </w:r>
    </w:p>
    <w:p>
      <w:pPr>
        <w:spacing w:after="0" w:line="297" w:lineRule="exact"/>
        <w:rPr>
          <w:sz w:val="20"/>
          <w:szCs w:val="20"/>
          <w:color w:val="auto"/>
        </w:rPr>
      </w:pPr>
    </w:p>
    <w:tbl>
      <w:tblPr>
        <w:tblLayout w:type="fixed"/>
        <w:tblInd w:w="12" w:type="dxa"/>
        <w:tblCellMar>
          <w:top w:w="0" w:type="dxa"/>
          <w:left w:w="0" w:type="dxa"/>
          <w:bottom w:w="0" w:type="dxa"/>
          <w:right w:w="0" w:type="dxa"/>
        </w:tblCellMar>
      </w:tblPr>
      <w:tr>
        <w:trPr>
          <w:trHeight w:val="192"/>
        </w:trPr>
        <w:tc>
          <w:tcPr>
            <w:tcW w:w="8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83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2020</w:t>
            </w:r>
          </w:p>
        </w:tc>
      </w:tr>
      <w:tr>
        <w:trPr>
          <w:trHeight w:val="211"/>
        </w:trPr>
        <w:tc>
          <w:tcPr>
            <w:tcW w:w="8300" w:type="dxa"/>
            <w:vAlign w:val="bottom"/>
            <w:shd w:val="clear" w:color="auto" w:fill="CCEEFF"/>
          </w:tcPr>
          <w:p>
            <w:pPr>
              <w:ind w:left="20"/>
              <w:spacing w:after="0" w:line="211" w:lineRule="exact"/>
              <w:rPr>
                <w:sz w:val="20"/>
                <w:szCs w:val="20"/>
                <w:color w:val="auto"/>
              </w:rPr>
            </w:pPr>
            <w:r>
              <w:rPr>
                <w:rFonts w:ascii="Arial" w:cs="Arial" w:eastAsia="Arial" w:hAnsi="Arial"/>
                <w:sz w:val="16"/>
                <w:szCs w:val="16"/>
                <w:b w:val="1"/>
                <w:bCs w:val="1"/>
                <w:color w:val="auto"/>
              </w:rPr>
              <w:t>Cash flows from operating activities:</w:t>
            </w:r>
            <w:r>
              <w:rPr>
                <w:rFonts w:ascii="Arial" w:cs="Arial" w:eastAsia="Arial" w:hAnsi="Arial"/>
                <w:sz w:val="21"/>
                <w:szCs w:val="21"/>
                <w:b w:val="1"/>
                <w:bCs w:val="1"/>
                <w:color w:val="auto"/>
                <w:vertAlign w:val="superscript"/>
              </w:rPr>
              <w:t>(a)</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3"/>
        </w:trPr>
        <w:tc>
          <w:tcPr>
            <w:tcW w:w="8300" w:type="dxa"/>
            <w:vAlign w:val="bottom"/>
          </w:tcPr>
          <w:p>
            <w:pPr>
              <w:ind w:left="220"/>
              <w:spacing w:after="0"/>
              <w:rPr>
                <w:sz w:val="20"/>
                <w:szCs w:val="20"/>
                <w:color w:val="auto"/>
              </w:rPr>
            </w:pPr>
            <w:r>
              <w:rPr>
                <w:rFonts w:ascii="Arial" w:cs="Arial" w:eastAsia="Arial" w:hAnsi="Arial"/>
                <w:sz w:val="16"/>
                <w:szCs w:val="16"/>
                <w:color w:val="auto"/>
              </w:rPr>
              <w:t>Net income (loss)</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64,491</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61,781</w:t>
            </w:r>
          </w:p>
        </w:tc>
      </w:tr>
      <w:tr>
        <w:trPr>
          <w:trHeight w:val="219"/>
        </w:trPr>
        <w:tc>
          <w:tcPr>
            <w:tcW w:w="8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8300" w:type="dxa"/>
            <w:vAlign w:val="bottom"/>
          </w:tcPr>
          <w:p>
            <w:pPr>
              <w:ind w:left="460"/>
              <w:spacing w:after="0"/>
              <w:rPr>
                <w:sz w:val="20"/>
                <w:szCs w:val="20"/>
                <w:color w:val="auto"/>
              </w:rPr>
            </w:pPr>
            <w:r>
              <w:rPr>
                <w:rFonts w:ascii="Arial" w:cs="Arial" w:eastAsia="Arial" w:hAnsi="Arial"/>
                <w:sz w:val="16"/>
                <w:szCs w:val="16"/>
                <w:color w:val="auto"/>
              </w:rPr>
              <w:t>Depreciation, amortization and accretion</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52,695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52,346</w:t>
            </w:r>
          </w:p>
        </w:tc>
      </w:tr>
      <w:tr>
        <w:trPr>
          <w:trHeight w:val="219"/>
        </w:trPr>
        <w:tc>
          <w:tcPr>
            <w:tcW w:w="83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Amortization of deferred financing costs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w:t>
            </w:r>
          </w:p>
        </w:tc>
      </w:tr>
      <w:tr>
        <w:trPr>
          <w:trHeight w:val="213"/>
        </w:trPr>
        <w:tc>
          <w:tcPr>
            <w:tcW w:w="8300" w:type="dxa"/>
            <w:vAlign w:val="bottom"/>
          </w:tcPr>
          <w:p>
            <w:pPr>
              <w:ind w:left="460"/>
              <w:spacing w:after="0"/>
              <w:rPr>
                <w:sz w:val="20"/>
                <w:szCs w:val="20"/>
                <w:color w:val="auto"/>
              </w:rPr>
            </w:pPr>
            <w:r>
              <w:rPr>
                <w:rFonts w:ascii="Arial" w:cs="Arial" w:eastAsia="Arial" w:hAnsi="Arial"/>
                <w:sz w:val="16"/>
                <w:szCs w:val="16"/>
                <w:color w:val="auto"/>
              </w:rPr>
              <w:t>Asset write-down charges</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557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424</w:t>
            </w:r>
          </w:p>
        </w:tc>
      </w:tr>
      <w:tr>
        <w:trPr>
          <w:trHeight w:val="219"/>
        </w:trPr>
        <w:tc>
          <w:tcPr>
            <w:tcW w:w="83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Changes in assets and liabilities: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8300" w:type="dxa"/>
            <w:vAlign w:val="bottom"/>
          </w:tcPr>
          <w:p>
            <w:pPr>
              <w:ind w:left="660"/>
              <w:spacing w:after="0"/>
              <w:rPr>
                <w:sz w:val="20"/>
                <w:szCs w:val="20"/>
                <w:color w:val="auto"/>
              </w:rPr>
            </w:pPr>
            <w:r>
              <w:rPr>
                <w:rFonts w:ascii="Arial" w:cs="Arial" w:eastAsia="Arial" w:hAnsi="Arial"/>
                <w:sz w:val="16"/>
                <w:szCs w:val="16"/>
                <w:color w:val="auto"/>
              </w:rPr>
              <w:t>Increase (decrease) in accrued interest</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9,622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9,622</w:t>
            </w:r>
          </w:p>
        </w:tc>
      </w:tr>
      <w:tr>
        <w:trPr>
          <w:trHeight w:val="219"/>
        </w:trPr>
        <w:tc>
          <w:tcPr>
            <w:tcW w:w="83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Increase (decrease) in accounts payable</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w:t>
            </w:r>
          </w:p>
        </w:tc>
      </w:tr>
      <w:tr>
        <w:trPr>
          <w:trHeight w:val="213"/>
        </w:trPr>
        <w:tc>
          <w:tcPr>
            <w:tcW w:w="8300" w:type="dxa"/>
            <w:vAlign w:val="bottom"/>
          </w:tcPr>
          <w:p>
            <w:pPr>
              <w:ind w:left="660"/>
              <w:spacing w:after="0"/>
              <w:rPr>
                <w:sz w:val="20"/>
                <w:szCs w:val="20"/>
                <w:color w:val="auto"/>
              </w:rPr>
            </w:pPr>
            <w:r>
              <w:rPr>
                <w:rFonts w:ascii="Arial" w:cs="Arial" w:eastAsia="Arial" w:hAnsi="Arial"/>
                <w:sz w:val="16"/>
                <w:szCs w:val="16"/>
                <w:color w:val="auto"/>
              </w:rPr>
              <w:t>Increase (decrease) in other liabilities</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11,187</w:t>
            </w:r>
          </w:p>
        </w:tc>
      </w:tr>
      <w:tr>
        <w:trPr>
          <w:trHeight w:val="219"/>
        </w:trPr>
        <w:tc>
          <w:tcPr>
            <w:tcW w:w="83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Decrease (increase) in receivables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(1,141)</w:t>
            </w:r>
          </w:p>
        </w:tc>
      </w:tr>
      <w:tr>
        <w:trPr>
          <w:trHeight w:val="213"/>
        </w:trPr>
        <w:tc>
          <w:tcPr>
            <w:tcW w:w="830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Decrease (increase) in other assets</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(2,143)</w:t>
            </w:r>
          </w:p>
        </w:tc>
      </w:tr>
      <w:tr>
        <w:trPr>
          <w:trHeight w:val="213"/>
        </w:trPr>
        <w:tc>
          <w:tcPr>
            <w:tcW w:w="8300" w:type="dxa"/>
            <w:vAlign w:val="bottom"/>
            <w:shd w:val="clear" w:color="auto" w:fill="CCEEFF"/>
          </w:tcPr>
          <w:p>
            <w:pPr>
              <w:ind w:left="880"/>
              <w:spacing w:after="0"/>
              <w:rPr>
                <w:sz w:val="20"/>
                <w:szCs w:val="20"/>
                <w:color w:val="auto"/>
              </w:rPr>
            </w:pPr>
            <w:r>
              <w:rPr>
                <w:rFonts w:ascii="Arial" w:cs="Arial" w:eastAsia="Arial" w:hAnsi="Arial"/>
                <w:sz w:val="16"/>
                <w:szCs w:val="16"/>
                <w:color w:val="auto"/>
              </w:rPr>
              <w:t>Net cash provided by (used for) operating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137,995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133,622</w:t>
            </w:r>
          </w:p>
        </w:tc>
      </w:tr>
      <w:tr>
        <w:trPr>
          <w:trHeight w:val="193"/>
        </w:trPr>
        <w:tc>
          <w:tcPr>
            <w:tcW w:w="830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9"/>
        </w:trPr>
        <w:tc>
          <w:tcPr>
            <w:tcW w:w="8300" w:type="dxa"/>
            <w:vAlign w:val="bottom"/>
            <w:shd w:val="clear" w:color="auto" w:fill="CCEEFF"/>
          </w:tcPr>
          <w:p>
            <w:pPr>
              <w:ind w:left="220"/>
              <w:spacing w:after="0" w:line="219" w:lineRule="exact"/>
              <w:rPr>
                <w:sz w:val="20"/>
                <w:szCs w:val="20"/>
                <w:color w:val="auto"/>
              </w:rPr>
            </w:pPr>
            <w:r>
              <w:rPr>
                <w:rFonts w:ascii="Arial" w:cs="Arial" w:eastAsia="Arial" w:hAnsi="Arial"/>
                <w:sz w:val="16"/>
                <w:szCs w:val="16"/>
                <w:color w:val="auto"/>
              </w:rPr>
              <w:t>Capital expenditures</w:t>
            </w:r>
            <w:r>
              <w:rPr>
                <w:rFonts w:ascii="Arial" w:cs="Arial" w:eastAsia="Arial" w:hAnsi="Arial"/>
                <w:sz w:val="21"/>
                <w:szCs w:val="21"/>
                <w:color w:val="auto"/>
                <w:vertAlign w:val="superscript"/>
              </w:rPr>
              <w:t>(b)</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(4,561)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(16,442)</w:t>
            </w:r>
          </w:p>
        </w:tc>
      </w:tr>
      <w:tr>
        <w:trPr>
          <w:trHeight w:val="207"/>
        </w:trPr>
        <w:tc>
          <w:tcPr>
            <w:tcW w:w="8300" w:type="dxa"/>
            <w:vAlign w:val="bottom"/>
            <w:tcBorders>
              <w:bottom w:val="single" w:sz="8" w:color="CCEEFF"/>
            </w:tcBorders>
          </w:tcPr>
          <w:p>
            <w:pPr>
              <w:ind w:left="880"/>
              <w:spacing w:after="0"/>
              <w:rPr>
                <w:sz w:val="20"/>
                <w:szCs w:val="20"/>
                <w:color w:val="auto"/>
              </w:rPr>
            </w:pPr>
            <w:r>
              <w:rPr>
                <w:rFonts w:ascii="Arial" w:cs="Arial" w:eastAsia="Arial" w:hAnsi="Arial"/>
                <w:sz w:val="16"/>
                <w:szCs w:val="16"/>
                <w:color w:val="auto"/>
              </w:rPr>
              <w:t>Net cash provided by (used for) investing activities</w:t>
            </w: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(16,442)</w:t>
            </w:r>
          </w:p>
        </w:tc>
      </w:tr>
      <w:tr>
        <w:trPr>
          <w:trHeight w:val="199"/>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3"/>
        </w:trPr>
        <w:tc>
          <w:tcPr>
            <w:tcW w:w="83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Distributions to member</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(116,146)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(108,620)</w:t>
            </w:r>
          </w:p>
        </w:tc>
      </w:tr>
      <w:tr>
        <w:trPr>
          <w:trHeight w:val="213"/>
        </w:trPr>
        <w:tc>
          <w:tcPr>
            <w:tcW w:w="8300" w:type="dxa"/>
            <w:vAlign w:val="bottom"/>
            <w:shd w:val="clear" w:color="auto" w:fill="CCEEFF"/>
          </w:tcPr>
          <w:p>
            <w:pPr>
              <w:ind w:left="880"/>
              <w:spacing w:after="0"/>
              <w:rPr>
                <w:sz w:val="20"/>
                <w:szCs w:val="20"/>
                <w:color w:val="auto"/>
              </w:rPr>
            </w:pPr>
            <w:r>
              <w:rPr>
                <w:rFonts w:ascii="Arial" w:cs="Arial" w:eastAsia="Arial" w:hAnsi="Arial"/>
                <w:sz w:val="16"/>
                <w:szCs w:val="16"/>
                <w:color w:val="auto"/>
              </w:rPr>
              <w:t>Net cash provided by (used for) financing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(116,146)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(108,620)</w:t>
            </w:r>
          </w:p>
        </w:tc>
      </w:tr>
      <w:tr>
        <w:trPr>
          <w:trHeight w:val="206"/>
        </w:trPr>
        <w:tc>
          <w:tcPr>
            <w:tcW w:w="8300" w:type="dxa"/>
            <w:vAlign w:val="bottom"/>
          </w:tcPr>
          <w:p>
            <w:pPr>
              <w:ind w:left="880"/>
              <w:spacing w:after="0"/>
              <w:rPr>
                <w:sz w:val="20"/>
                <w:szCs w:val="20"/>
                <w:color w:val="auto"/>
              </w:rPr>
            </w:pPr>
            <w:r>
              <w:rPr>
                <w:rFonts w:ascii="Arial" w:cs="Arial" w:eastAsia="Arial" w:hAnsi="Arial"/>
                <w:sz w:val="16"/>
                <w:szCs w:val="16"/>
                <w:color w:val="auto"/>
              </w:rPr>
              <w:t>Net increase (decrease) in cash and cash equivalents</w:t>
            </w: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17,288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8,560</w:t>
            </w:r>
          </w:p>
        </w:tc>
      </w:tr>
      <w:tr>
        <w:trPr>
          <w:trHeight w:val="216"/>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at beginning of period</w:t>
            </w: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17,439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20,407</w:t>
            </w:r>
          </w:p>
        </w:tc>
      </w:tr>
      <w:tr>
        <w:trPr>
          <w:trHeight w:val="212"/>
        </w:trPr>
        <w:tc>
          <w:tcPr>
            <w:tcW w:w="830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 at end of period</w:t>
            </w:r>
          </w:p>
        </w:tc>
        <w:tc>
          <w:tcPr>
            <w:tcW w:w="2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34,727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28,967</w:t>
            </w:r>
          </w:p>
        </w:tc>
      </w:tr>
      <w:tr>
        <w:trPr>
          <w:trHeight w:val="20"/>
        </w:trPr>
        <w:tc>
          <w:tcPr>
            <w:tcW w:w="8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146050</wp:posOffset>
            </wp:positionV>
            <wp:extent cx="91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1440" cy="8255"/>
                    </a:xfrm>
                    <a:prstGeom prst="rect">
                      <a:avLst/>
                    </a:prstGeom>
                    <a:noFill/>
                  </pic:spPr>
                </pic:pic>
              </a:graphicData>
            </a:graphic>
          </wp:anchor>
        </w:drawing>
      </w:r>
    </w:p>
    <w:p>
      <w:pPr>
        <w:spacing w:after="0" w:line="218" w:lineRule="exact"/>
        <w:rPr>
          <w:sz w:val="20"/>
          <w:szCs w:val="20"/>
          <w:color w:val="auto"/>
        </w:rPr>
      </w:pPr>
    </w:p>
    <w:p>
      <w:pPr>
        <w:ind w:left="332" w:right="100" w:hanging="332"/>
        <w:spacing w:after="0" w:line="247" w:lineRule="auto"/>
        <w:tabs>
          <w:tab w:leader="none" w:pos="329"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Company receives no cash from, and is not party to, the tower installation and modification transactions described in note 4. Such transactions, however, are reflected on the cash flow statement for GAAP purposes as if an amount equal to the lease component for such transactions had been received by the Company, and, as such, the amounts have been recorded as deferred revenues.</w:t>
      </w:r>
    </w:p>
    <w:p>
      <w:pPr>
        <w:ind w:left="332" w:hanging="332"/>
        <w:spacing w:after="0" w:line="255" w:lineRule="auto"/>
        <w:tabs>
          <w:tab w:leader="none" w:pos="324"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Includes permanent improvements recorded in connection with the tower installation and modification transactions described in note 4. The Company receives no cash from, and is not party to, such transactions.</w:t>
      </w:r>
    </w:p>
    <w:p>
      <w:pPr>
        <w:spacing w:after="0" w:line="200" w:lineRule="exact"/>
        <w:rPr>
          <w:sz w:val="20"/>
          <w:szCs w:val="20"/>
          <w:color w:val="auto"/>
        </w:rPr>
      </w:pPr>
    </w:p>
    <w:p>
      <w:pPr>
        <w:spacing w:after="0" w:line="34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174" w:right="3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MEMBER'S EQUITY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vMerge w:val="restart"/>
          </w:tcPr>
          <w:p>
            <w:pPr>
              <w:jc w:val="right"/>
              <w:ind w:right="61"/>
              <w:spacing w:after="0"/>
              <w:rPr>
                <w:sz w:val="20"/>
                <w:szCs w:val="20"/>
                <w:color w:val="auto"/>
              </w:rPr>
            </w:pPr>
            <w:r>
              <w:rPr>
                <w:rFonts w:ascii="Arial" w:cs="Arial" w:eastAsia="Arial" w:hAnsi="Arial"/>
                <w:sz w:val="14"/>
                <w:szCs w:val="14"/>
                <w:b w:val="1"/>
                <w:bCs w:val="1"/>
                <w:color w:val="auto"/>
                <w:w w:val="96"/>
              </w:rPr>
              <w:t>Member's Equity</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300" w:type="dxa"/>
            <w:vAlign w:val="bottom"/>
          </w:tcPr>
          <w:p>
            <w:pPr>
              <w:spacing w:after="0"/>
              <w:rPr>
                <w:sz w:val="14"/>
                <w:szCs w:val="14"/>
                <w:color w:val="auto"/>
              </w:rPr>
            </w:pPr>
          </w:p>
        </w:tc>
        <w:tc>
          <w:tcPr>
            <w:tcW w:w="1060" w:type="dxa"/>
            <w:vAlign w:val="bottom"/>
            <w:vMerge w:val="restart"/>
          </w:tcPr>
          <w:p>
            <w:pPr>
              <w:jc w:val="right"/>
              <w:ind w:right="44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9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4"/>
              </w:rPr>
              <w:t>Earnings (Deficit)</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December 31, 2020</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1,936,951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1,936,951</w:t>
            </w:r>
          </w:p>
        </w:tc>
        <w:tc>
          <w:tcPr>
            <w:tcW w:w="0" w:type="dxa"/>
            <w:vAlign w:val="bottom"/>
          </w:tcPr>
          <w:p>
            <w:pPr>
              <w:spacing w:after="0"/>
              <w:rPr>
                <w:sz w:val="1"/>
                <w:szCs w:val="1"/>
                <w:color w:val="auto"/>
              </w:rPr>
            </w:pPr>
          </w:p>
        </w:tc>
      </w:tr>
      <w:tr>
        <w:trPr>
          <w:trHeight w:val="213"/>
        </w:trPr>
        <w:tc>
          <w:tcPr>
            <w:tcW w:w="6940" w:type="dxa"/>
            <w:vAlign w:val="bottom"/>
          </w:tcPr>
          <w:p>
            <w:pPr>
              <w:ind w:left="220"/>
              <w:spacing w:after="0"/>
              <w:rPr>
                <w:sz w:val="20"/>
                <w:szCs w:val="20"/>
                <w:color w:val="auto"/>
              </w:rPr>
            </w:pPr>
            <w:r>
              <w:rPr>
                <w:rFonts w:ascii="Arial" w:cs="Arial" w:eastAsia="Arial" w:hAnsi="Arial"/>
                <w:sz w:val="16"/>
                <w:szCs w:val="16"/>
                <w:color w:val="auto"/>
              </w:rPr>
              <w:t>Distributions to member</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(51,655)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(64,491)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(116,146)</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income (loss)</w:t>
            </w: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64,491</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64,491</w:t>
            </w:r>
          </w:p>
        </w:tc>
        <w:tc>
          <w:tcPr>
            <w:tcW w:w="0" w:type="dxa"/>
            <w:vAlign w:val="bottom"/>
          </w:tcPr>
          <w:p>
            <w:pPr>
              <w:spacing w:after="0"/>
              <w:rPr>
                <w:sz w:val="1"/>
                <w:szCs w:val="1"/>
                <w:color w:val="auto"/>
              </w:rPr>
            </w:pPr>
          </w:p>
        </w:tc>
      </w:tr>
      <w:tr>
        <w:trPr>
          <w:trHeight w:val="213"/>
        </w:trPr>
        <w:tc>
          <w:tcPr>
            <w:tcW w:w="6940" w:type="dxa"/>
            <w:vAlign w:val="bottom"/>
          </w:tcPr>
          <w:p>
            <w:pPr>
              <w:ind w:left="20"/>
              <w:spacing w:after="0"/>
              <w:rPr>
                <w:sz w:val="20"/>
                <w:szCs w:val="20"/>
                <w:color w:val="auto"/>
              </w:rPr>
            </w:pPr>
            <w:r>
              <w:rPr>
                <w:rFonts w:ascii="Arial" w:cs="Arial" w:eastAsia="Arial" w:hAnsi="Arial"/>
                <w:sz w:val="16"/>
                <w:szCs w:val="16"/>
                <w:color w:val="auto"/>
              </w:rPr>
              <w:t>Balance, March 31, 2021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1,885,296</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1,885,296</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6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vMerge w:val="restart"/>
          </w:tcPr>
          <w:p>
            <w:pPr>
              <w:jc w:val="right"/>
              <w:ind w:right="61"/>
              <w:spacing w:after="0"/>
              <w:rPr>
                <w:sz w:val="20"/>
                <w:szCs w:val="20"/>
                <w:color w:val="auto"/>
              </w:rPr>
            </w:pPr>
            <w:r>
              <w:rPr>
                <w:rFonts w:ascii="Arial" w:cs="Arial" w:eastAsia="Arial" w:hAnsi="Arial"/>
                <w:sz w:val="14"/>
                <w:szCs w:val="14"/>
                <w:b w:val="1"/>
                <w:bCs w:val="1"/>
                <w:color w:val="auto"/>
                <w:w w:val="96"/>
              </w:rPr>
              <w:t>Member's Equity</w:t>
            </w:r>
          </w:p>
        </w:tc>
        <w:tc>
          <w:tcPr>
            <w:tcW w:w="10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300" w:type="dxa"/>
            <w:vAlign w:val="bottom"/>
          </w:tcPr>
          <w:p>
            <w:pPr>
              <w:spacing w:after="0"/>
              <w:rPr>
                <w:sz w:val="24"/>
                <w:szCs w:val="24"/>
                <w:color w:val="auto"/>
              </w:rPr>
            </w:pPr>
          </w:p>
        </w:tc>
        <w:tc>
          <w:tcPr>
            <w:tcW w:w="1060" w:type="dxa"/>
            <w:vAlign w:val="bottom"/>
            <w:vMerge w:val="restart"/>
          </w:tcPr>
          <w:p>
            <w:pPr>
              <w:jc w:val="right"/>
              <w:ind w:right="44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9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4"/>
              </w:rPr>
              <w:t>Earnings (Deficit)</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December 31, 2019</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2,096,954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2,096,954</w:t>
            </w:r>
          </w:p>
        </w:tc>
        <w:tc>
          <w:tcPr>
            <w:tcW w:w="0" w:type="dxa"/>
            <w:vAlign w:val="bottom"/>
          </w:tcPr>
          <w:p>
            <w:pPr>
              <w:spacing w:after="0"/>
              <w:rPr>
                <w:sz w:val="1"/>
                <w:szCs w:val="1"/>
                <w:color w:val="auto"/>
              </w:rPr>
            </w:pPr>
          </w:p>
        </w:tc>
      </w:tr>
      <w:tr>
        <w:trPr>
          <w:trHeight w:val="213"/>
        </w:trPr>
        <w:tc>
          <w:tcPr>
            <w:tcW w:w="6940" w:type="dxa"/>
            <w:vAlign w:val="bottom"/>
          </w:tcPr>
          <w:p>
            <w:pPr>
              <w:ind w:left="220"/>
              <w:spacing w:after="0"/>
              <w:rPr>
                <w:sz w:val="20"/>
                <w:szCs w:val="20"/>
                <w:color w:val="auto"/>
              </w:rPr>
            </w:pPr>
            <w:r>
              <w:rPr>
                <w:rFonts w:ascii="Arial" w:cs="Arial" w:eastAsia="Arial" w:hAnsi="Arial"/>
                <w:sz w:val="16"/>
                <w:szCs w:val="16"/>
                <w:color w:val="auto"/>
              </w:rPr>
              <w:t>Distributions to member</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(46,839)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(61,781)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(108,620)</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income (loss)</w:t>
            </w: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61,781</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61,781</w:t>
            </w:r>
          </w:p>
        </w:tc>
        <w:tc>
          <w:tcPr>
            <w:tcW w:w="0" w:type="dxa"/>
            <w:vAlign w:val="bottom"/>
          </w:tcPr>
          <w:p>
            <w:pPr>
              <w:spacing w:after="0"/>
              <w:rPr>
                <w:sz w:val="1"/>
                <w:szCs w:val="1"/>
                <w:color w:val="auto"/>
              </w:rPr>
            </w:pPr>
          </w:p>
        </w:tc>
      </w:tr>
      <w:tr>
        <w:trPr>
          <w:trHeight w:val="212"/>
        </w:trPr>
        <w:tc>
          <w:tcPr>
            <w:tcW w:w="6940" w:type="dxa"/>
            <w:vAlign w:val="bottom"/>
          </w:tcPr>
          <w:p>
            <w:pPr>
              <w:ind w:left="20"/>
              <w:spacing w:after="0"/>
              <w:rPr>
                <w:sz w:val="20"/>
                <w:szCs w:val="20"/>
                <w:color w:val="auto"/>
              </w:rPr>
            </w:pPr>
            <w:r>
              <w:rPr>
                <w:rFonts w:ascii="Arial" w:cs="Arial" w:eastAsia="Arial" w:hAnsi="Arial"/>
                <w:sz w:val="16"/>
                <w:szCs w:val="16"/>
                <w:color w:val="auto"/>
              </w:rPr>
              <w:t>Balance, March 31, 2020</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2,050,115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2,050,115</w:t>
            </w:r>
          </w:p>
        </w:tc>
        <w:tc>
          <w:tcPr>
            <w:tcW w:w="0" w:type="dxa"/>
            <w:vAlign w:val="bottom"/>
          </w:tcPr>
          <w:p>
            <w:pPr>
              <w:spacing w:after="0"/>
              <w:rPr>
                <w:sz w:val="1"/>
                <w:szCs w:val="1"/>
                <w:color w:val="auto"/>
              </w:rPr>
            </w:pPr>
          </w:p>
        </w:tc>
      </w:tr>
      <w:tr>
        <w:trPr>
          <w:trHeight w:val="21"/>
        </w:trPr>
        <w:tc>
          <w:tcPr>
            <w:tcW w:w="6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20" w:hanging="412"/>
        <w:spacing w:after="0"/>
        <w:tabs>
          <w:tab w:leader="none" w:pos="4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accompanying condensed consolidated financial statements reflect the condensed consolidated financial position, results of operations and cash flows of CC Holdings GS V LLC ("CCL") and its consolidated wholly-owned subsidiaries (collectively, "Company"). The Company is a wholly-owned subsidiary of Global Signal Operating Partnership, L.P. ("GSOP"), which is an indirect subsidiary of Crown Castle International Corp., a Delaware corporation ("CCIC"). CCL is a Delaware limited liability company that is a holding company and an issuer of the Company's debt. Intercompany accounts, transactions and profits have been eliminated. As used herein, the term "including," and any variation thereof means "including without limitation." The use of the word "or" herein is not exclusive.</w:t>
      </w:r>
    </w:p>
    <w:p>
      <w:pPr>
        <w:spacing w:after="0" w:line="13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information contained in the following notes to the condensed consolidated financial statements is condensed from that which would appear in the annual consolidated financial statements; accordingly, the condensed consolidated financial statements included herein should be reviewed in conjunction with the consolidated financial statements for the fiscal year ended December 31, 2020, and related notes thereto, included in the 2020 Form 10-K filed by the Company with the SEC.</w:t>
      </w:r>
    </w:p>
    <w:p>
      <w:pPr>
        <w:spacing w:after="0" w:line="13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is organized specifically to own, lease and manage towers and other structures (collectively, "towers"), and to a lesser extent, interests in land under third party and related party towers in various forms ("land interests") (collectively, "sites") that are geographically dispersed throughout the U.S. The Company's core business is providing access, including space or capacity, to its sites via long-term contracts in various forms, including lease, license and sublease agreements (collectively, "tenant contracts"). The Company's customers on its sites are referred to herein as "tenants." Management services related to the Company's sites are performed by Crown Castle USA Inc. ("CCUSA"), an affiliate of the Company, under the Management Agreement, as the Company has no employees.</w:t>
      </w:r>
    </w:p>
    <w:p>
      <w:pPr>
        <w:spacing w:after="0" w:line="13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Approximately 68% of the Company's sites are leased or subleased or operated and managed for an initial period of 32 years (through May 2037) under master leases or other agreements with T-Mobile (which T-Mobile assumed in connection with its merger with Sprint) ("T-Mobile Sites"). CCIC, through its subsidiaries (including the Company), has the option to purchase in 2037 all (but not less than all) of the T-Mobile Sites from T-Mobile for approximately $2.3 billion. CCIC has no obligation to exercise the purchase option.</w:t>
      </w:r>
    </w:p>
    <w:p>
      <w:pPr>
        <w:spacing w:after="0" w:line="13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U.S federal income tax purposes, CCIC operates as a real estate investment trust ("REIT"), and as its indirect subsidiary, the Company's assets and operations are included in the CCIC REIT. See note 5.</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Basis of Presentation</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condensed consolidated financial statements included herein are unaudited; however, they include all adjustments (consisting only of normal recurring adjustments) which, in the opinion of management, are necessary to state fairly the condensed consolidated financial position of the Company at March 31, 2021, the condensed consolidated results of operations for the three months ended March 31, 2021 and 2020 and the condensed consolidated cash flows for the three months ended March 31, 2021 and 2020. The year-end condensed consolidated balance sheet data was derived from audited financial statements, but does not include all disclosures required by GAAP. The results of operations for the interim periods presented are not necessarily indicative of the results to be expected for the full year.</w:t>
      </w:r>
    </w:p>
    <w:p>
      <w:pPr>
        <w:spacing w:after="0" w:line="13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the disclosure of contingent assets and liabilities as of the date of the financial statements and the reported amounts of revenues and expenses during the reporting period. Actual results could differ from those estimates.</w:t>
      </w:r>
    </w:p>
    <w:p>
      <w:pPr>
        <w:spacing w:after="0" w:line="126" w:lineRule="exact"/>
        <w:rPr>
          <w:sz w:val="20"/>
          <w:szCs w:val="20"/>
          <w:color w:val="auto"/>
        </w:rPr>
      </w:pPr>
    </w:p>
    <w:p>
      <w:pPr>
        <w:jc w:val="both"/>
        <w:ind w:left="420" w:right="7440" w:hanging="412"/>
        <w:spacing w:after="0" w:line="495" w:lineRule="auto"/>
        <w:tabs>
          <w:tab w:leader="none" w:pos="42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i w:val="1"/>
          <w:iCs w:val="1"/>
          <w:color w:val="auto"/>
        </w:rPr>
        <w:t>Recently Adopted Accounting Pronouncements</w:t>
      </w:r>
    </w:p>
    <w:p>
      <w:pPr>
        <w:spacing w:after="0" w:line="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No accounting pronouncements adopted during the three months ended March 31, 2021 had a material impact on the Company's condensed consolidated financial statements.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171"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No new accounting pronouncements issued but not yet adopted are expected to have a material impact on the Company's condensed consolidated financial statements.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367" w:lineRule="exact"/>
        <w:rPr>
          <w:sz w:val="20"/>
          <w:szCs w:val="20"/>
          <w:color w:val="auto"/>
        </w:rPr>
      </w:pPr>
    </w:p>
    <w:p>
      <w:pPr>
        <w:ind w:left="420" w:hanging="412"/>
        <w:spacing w:after="0"/>
        <w:tabs>
          <w:tab w:leader="none" w:pos="4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outstanding balance of the 3.849% Secured Notes due April 2023 as of March 31, 2021 and December 31, 2020 was $997.2 million and $996.8 million, respectively.</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Interest Expense and Amortization of Deferred Financing Costs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interest expense and amortization of deferred financing costs are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2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60" w:type="dxa"/>
            <w:vAlign w:val="bottom"/>
            <w:tcBorders>
              <w:bottom w:val="single" w:sz="8" w:color="auto"/>
            </w:tcBorders>
          </w:tcPr>
          <w:p>
            <w:pPr>
              <w:spacing w:after="0"/>
              <w:rPr>
                <w:sz w:val="16"/>
                <w:szCs w:val="16"/>
                <w:color w:val="auto"/>
              </w:rPr>
            </w:pPr>
          </w:p>
        </w:tc>
      </w:tr>
      <w:tr>
        <w:trPr>
          <w:trHeight w:val="187"/>
        </w:trPr>
        <w:tc>
          <w:tcPr>
            <w:tcW w:w="826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r>
      <w:tr>
        <w:trPr>
          <w:trHeight w:val="211"/>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on debt obligations</w:t>
            </w:r>
          </w:p>
        </w:tc>
        <w:tc>
          <w:tcPr>
            <w:tcW w:w="940" w:type="dxa"/>
            <w:vAlign w:val="bottom"/>
            <w:shd w:val="clear" w:color="auto" w:fill="CCEEFF"/>
          </w:tcPr>
          <w:p>
            <w:pPr>
              <w:jc w:val="right"/>
              <w:ind w:right="764"/>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9,623</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9,623</w:t>
            </w:r>
          </w:p>
        </w:tc>
      </w:tr>
      <w:tr>
        <w:trPr>
          <w:trHeight w:val="21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Amortization of deferred financing costs</w:t>
            </w:r>
          </w:p>
        </w:tc>
        <w:tc>
          <w:tcPr>
            <w:tcW w:w="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w:t>
            </w:r>
          </w:p>
        </w:tc>
      </w:tr>
      <w:tr>
        <w:trPr>
          <w:trHeight w:val="238"/>
        </w:trPr>
        <w:tc>
          <w:tcPr>
            <w:tcW w:w="8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940" w:type="dxa"/>
            <w:vAlign w:val="bottom"/>
            <w:tcBorders>
              <w:bottom w:val="single" w:sz="8" w:color="auto"/>
            </w:tcBorders>
            <w:shd w:val="clear" w:color="auto" w:fill="CCEEFF"/>
          </w:tcPr>
          <w:p>
            <w:pPr>
              <w:jc w:val="right"/>
              <w:ind w:right="764"/>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9,969</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9,969</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420" w:hanging="412"/>
        <w:spacing w:after="0"/>
        <w:tabs>
          <w:tab w:leader="none" w:pos="4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7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Pursuant to the Management Agreement, CCUSA has agreed to employ, supervise and pay at all times a sufficient number of capable employees as may be necessary to perform services in accordance with the operation standards defined in the Management Agreement. CCUSA currently acts as the Manager of the sites held by subsidiaries of CCIC. The management fee is equal to 7.5% of the Company's "Operating Revenues," as defined in the Management Agreement, which is based on the Company's reported revenues adjusted to exclude certain items including revenues related to the accounting for leases with fixed escalators. The fee is compensation for those functions reasonably necessary to maintain, market, operate, manage and administer the sites, other than the operating expenses (which includes real estate and personal property taxes, ground lease and easement payments, and insurance premiums).</w:t>
      </w:r>
    </w:p>
    <w:p>
      <w:pPr>
        <w:spacing w:after="0" w:line="14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Further, in connection with its role as Manager, CCUSA may offer certain installation and modification services to tenants on the Company's towers; however, the Company receives no cash from, and is not party to, such transactions. The Company includes the deferred revenue for a portion of the transaction price for the tower installation and modification services, which represents a lease component under GAAP, within "Deferred revenues," on the Company's condensed consolidated balance sheet and recognizes it as "Amortization of tower installations and modifications" on the Company's condensed consolidated statement of operations over the associated estimated lease term. The portions of the transaction price which do not represent a lease component are not reflected in the Company's operating results.</w:t>
      </w:r>
    </w:p>
    <w:p>
      <w:pPr>
        <w:spacing w:after="0" w:line="138"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As part of CCIC's strategy to obtain long-term control of the land under its towers, affiliates of the Company have acquired rights to land under the Company's towers. These affiliates then lease the land to the Company, and the Company pays ground rent expenses to the affiliates. Under such circumstances, the Company's obligation typically continues with the same or similar economic terms as the contract for the land that existed prior to the purchase of such land by the affiliate. As of March 31, 2021, more than 30% of the Company's towers were located on land controlled by an affiliate. Also, the Company receives site rental revenues from affiliates for land owned by the Company on which affiliates have towers.</w:t>
      </w:r>
    </w:p>
    <w:p>
      <w:pPr>
        <w:spacing w:after="0" w:line="12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For the three months ended March 31, 2021 and 2020, the Company recorded equity distributions of $116.1 million and $108.6 million, respectively, reflecting distributions to its member. Cash on-hand above the amount that is required by the Management Agreement has been, and is expected to continue to be, distributed to the Company's parent company. As of March 31, 2021 and 2020, other than the amounts of its ROU assets and operating lease liabilities related to land leased from affiliates of the Company reflected in "Operating lease right-of-use assets," "Current portion of operating lease liabilities</w:t>
      </w:r>
      <w:r>
        <w:rPr>
          <w:rFonts w:ascii="Arial" w:cs="Arial" w:eastAsia="Arial" w:hAnsi="Arial"/>
          <w:sz w:val="14"/>
          <w:szCs w:val="14"/>
          <w:color w:val="auto"/>
        </w:rPr>
        <w:t>—</w:t>
      </w:r>
      <w:r>
        <w:rPr>
          <w:rFonts w:ascii="Arial" w:cs="Arial" w:eastAsia="Arial" w:hAnsi="Arial"/>
          <w:sz w:val="18"/>
          <w:szCs w:val="18"/>
          <w:color w:val="auto"/>
        </w:rPr>
        <w:t>related parties" and "Operating lease liabilities</w:t>
      </w:r>
      <w:r>
        <w:rPr>
          <w:rFonts w:ascii="Arial" w:cs="Arial" w:eastAsia="Arial" w:hAnsi="Arial"/>
          <w:sz w:val="14"/>
          <w:szCs w:val="14"/>
          <w:color w:val="auto"/>
        </w:rPr>
        <w:t>—</w:t>
      </w:r>
      <w:r>
        <w:rPr>
          <w:rFonts w:ascii="Arial" w:cs="Arial" w:eastAsia="Arial" w:hAnsi="Arial"/>
          <w:sz w:val="18"/>
          <w:szCs w:val="18"/>
          <w:color w:val="auto"/>
        </w:rPr>
        <w:t>related parties," the Company had no material related party assets or liabilities on its condensed consolidated balance sheet.</w:t>
      </w:r>
    </w:p>
    <w:p>
      <w:pPr>
        <w:spacing w:after="0" w:line="134" w:lineRule="exact"/>
        <w:rPr>
          <w:sz w:val="20"/>
          <w:szCs w:val="20"/>
          <w:color w:val="auto"/>
        </w:rPr>
      </w:pPr>
    </w:p>
    <w:p>
      <w:pPr>
        <w:ind w:left="420" w:hanging="412"/>
        <w:spacing w:after="0"/>
        <w:tabs>
          <w:tab w:leader="none" w:pos="4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CCIC operates as a REIT for U.S. federal income tax purposes. As a REIT, CCIC is generally entitled to a deduction for dividends that it pays and therefore is not subject to U.S. federal corporate income tax on its net taxable income that is currently distributed to its stockholders. For U.S. federal income tax purposes, the Company's assets and operations are included in the CCIC REIT.</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three months ended March 31, 2021 and 2020, the Company's effective tax rate differed from the federal statutory rate predominately due to</w:t>
      </w:r>
    </w:p>
    <w:p>
      <w:pPr>
        <w:spacing w:after="0" w:line="46"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CCIC's REIT status, including the dividends paid deduction, and (2) state taxes.</w:t>
      </w:r>
    </w:p>
    <w:p>
      <w:pPr>
        <w:spacing w:after="0" w:line="200" w:lineRule="exact"/>
        <w:rPr>
          <w:rFonts w:ascii="Arial" w:cs="Arial" w:eastAsia="Arial" w:hAnsi="Arial"/>
          <w:sz w:val="18"/>
          <w:szCs w:val="18"/>
          <w:color w:val="auto"/>
        </w:rPr>
      </w:pPr>
    </w:p>
    <w:p>
      <w:pPr>
        <w:spacing w:after="0" w:line="388"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6.</w:t>
            </w:r>
          </w:p>
        </w:tc>
        <w:tc>
          <w:tcPr>
            <w:tcW w:w="5000" w:type="dxa"/>
            <w:vAlign w:val="bottom"/>
          </w:tcPr>
          <w:p>
            <w:pPr>
              <w:ind w:left="220"/>
              <w:spacing w:after="0"/>
              <w:rPr>
                <w:sz w:val="20"/>
                <w:szCs w:val="20"/>
                <w:color w:val="auto"/>
              </w:rPr>
            </w:pPr>
            <w:r>
              <w:rPr>
                <w:rFonts w:ascii="Arial" w:cs="Arial" w:eastAsia="Arial" w:hAnsi="Arial"/>
                <w:sz w:val="18"/>
                <w:szCs w:val="18"/>
                <w:b w:val="1"/>
                <w:bCs w:val="1"/>
                <w:color w:val="auto"/>
              </w:rPr>
              <w:t>Fair Values</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3"/>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Level in Fair</w:t>
            </w:r>
          </w:p>
        </w:tc>
        <w:tc>
          <w:tcPr>
            <w:tcW w:w="1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4"/>
          </w:tcPr>
          <w:p>
            <w:pPr>
              <w:jc w:val="right"/>
              <w:ind w:right="624"/>
              <w:spacing w:after="0"/>
              <w:rPr>
                <w:sz w:val="20"/>
                <w:szCs w:val="20"/>
                <w:color w:val="auto"/>
              </w:rPr>
            </w:pPr>
            <w:r>
              <w:rPr>
                <w:rFonts w:ascii="Arial" w:cs="Arial" w:eastAsia="Arial" w:hAnsi="Arial"/>
                <w:sz w:val="14"/>
                <w:szCs w:val="14"/>
                <w:b w:val="1"/>
                <w:bCs w:val="1"/>
                <w:color w:val="auto"/>
              </w:rPr>
              <w:t>March 31, 2021</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4"/>
          </w:tcPr>
          <w:p>
            <w:pPr>
              <w:jc w:val="right"/>
              <w:ind w:right="544"/>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4"/>
                <w:szCs w:val="4"/>
                <w:color w:val="auto"/>
              </w:rPr>
            </w:pPr>
          </w:p>
        </w:tc>
        <w:tc>
          <w:tcPr>
            <w:tcW w:w="10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4"/>
                <w:szCs w:val="4"/>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Carrying</w:t>
            </w:r>
          </w:p>
        </w:tc>
        <w:tc>
          <w:tcPr>
            <w:tcW w:w="240" w:type="dxa"/>
            <w:vAlign w:val="bottom"/>
          </w:tcPr>
          <w:p>
            <w:pPr>
              <w:spacing w:after="0"/>
              <w:rPr>
                <w:sz w:val="4"/>
                <w:szCs w:val="4"/>
                <w:color w:val="auto"/>
              </w:rPr>
            </w:pPr>
          </w:p>
        </w:tc>
        <w:tc>
          <w:tcPr>
            <w:tcW w:w="900" w:type="dxa"/>
            <w:vAlign w:val="bottom"/>
            <w:vMerge w:val="restart"/>
          </w:tcPr>
          <w:p>
            <w:pPr>
              <w:jc w:val="right"/>
              <w:ind w:right="36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11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6"/>
              </w:rPr>
              <w:t>Value</w:t>
            </w:r>
          </w:p>
        </w:tc>
        <w:tc>
          <w:tcPr>
            <w:tcW w:w="18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Hierarchy</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6"/>
                <w:szCs w:val="16"/>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6"/>
                <w:szCs w:val="16"/>
                <w:color w:val="auto"/>
              </w:rPr>
            </w:pPr>
          </w:p>
        </w:tc>
        <w:tc>
          <w:tcPr>
            <w:tcW w:w="900" w:type="dxa"/>
            <w:vAlign w:val="bottom"/>
          </w:tcPr>
          <w:p>
            <w:pPr>
              <w:jc w:val="right"/>
              <w:ind w:right="32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51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0" w:type="dxa"/>
            <w:vAlign w:val="bottom"/>
          </w:tcPr>
          <w:p>
            <w:pPr>
              <w:ind w:left="60"/>
              <w:spacing w:after="0"/>
              <w:rPr>
                <w:sz w:val="20"/>
                <w:szCs w:val="20"/>
                <w:color w:val="auto"/>
              </w:rPr>
            </w:pPr>
            <w:r>
              <w:rPr>
                <w:rFonts w:ascii="Arial" w:cs="Arial" w:eastAsia="Arial" w:hAnsi="Arial"/>
                <w:sz w:val="16"/>
                <w:szCs w:val="16"/>
                <w:color w:val="auto"/>
              </w:rPr>
              <w:t>Cash and cash equivalents</w:t>
            </w: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2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34,727</w:t>
            </w:r>
          </w:p>
        </w:tc>
        <w:tc>
          <w:tcPr>
            <w:tcW w:w="120" w:type="dxa"/>
            <w:vAlign w:val="bottom"/>
          </w:tcPr>
          <w:p>
            <w:pPr>
              <w:spacing w:after="0"/>
              <w:rPr>
                <w:sz w:val="18"/>
                <w:szCs w:val="18"/>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34,727</w:t>
            </w:r>
          </w:p>
        </w:tc>
        <w:tc>
          <w:tcPr>
            <w:tcW w:w="12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4"/>
              <w:spacing w:after="0"/>
              <w:rPr>
                <w:sz w:val="20"/>
                <w:szCs w:val="20"/>
                <w:color w:val="auto"/>
              </w:rPr>
            </w:pPr>
            <w:r>
              <w:rPr>
                <w:rFonts w:ascii="Arial" w:cs="Arial" w:eastAsia="Arial" w:hAnsi="Arial"/>
                <w:sz w:val="16"/>
                <w:szCs w:val="16"/>
                <w:color w:val="auto"/>
              </w:rPr>
              <w:t>17,439</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
              <w:spacing w:after="0"/>
              <w:rPr>
                <w:sz w:val="20"/>
                <w:szCs w:val="20"/>
                <w:color w:val="auto"/>
              </w:rPr>
            </w:pPr>
            <w:r>
              <w:rPr>
                <w:rFonts w:ascii="Arial" w:cs="Arial" w:eastAsia="Arial" w:hAnsi="Arial"/>
                <w:sz w:val="16"/>
                <w:szCs w:val="16"/>
                <w:color w:val="auto"/>
              </w:rPr>
              <w:t>17,439</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5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0" w:type="dxa"/>
            <w:vAlign w:val="bottom"/>
          </w:tcPr>
          <w:p>
            <w:pPr>
              <w:ind w:left="60"/>
              <w:spacing w:after="0"/>
              <w:rPr>
                <w:sz w:val="20"/>
                <w:szCs w:val="20"/>
                <w:color w:val="auto"/>
              </w:rPr>
            </w:pPr>
            <w:r>
              <w:rPr>
                <w:rFonts w:ascii="Arial" w:cs="Arial" w:eastAsia="Arial" w:hAnsi="Arial"/>
                <w:sz w:val="16"/>
                <w:szCs w:val="16"/>
                <w:color w:val="auto"/>
              </w:rPr>
              <w:t>Debt</w:t>
            </w: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997,161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1,063,900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4"/>
              <w:spacing w:after="0"/>
              <w:rPr>
                <w:sz w:val="20"/>
                <w:szCs w:val="20"/>
                <w:color w:val="auto"/>
              </w:rPr>
            </w:pPr>
            <w:r>
              <w:rPr>
                <w:rFonts w:ascii="Arial" w:cs="Arial" w:eastAsia="Arial" w:hAnsi="Arial"/>
                <w:sz w:val="16"/>
                <w:szCs w:val="16"/>
                <w:color w:val="auto"/>
              </w:rPr>
              <w:t>996,815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6"/>
                <w:szCs w:val="16"/>
                <w:color w:val="auto"/>
              </w:rPr>
              <w:t>1,076,000</w:t>
            </w:r>
          </w:p>
        </w:tc>
        <w:tc>
          <w:tcPr>
            <w:tcW w:w="0" w:type="dxa"/>
            <w:vAlign w:val="bottom"/>
          </w:tcPr>
          <w:p>
            <w:pPr>
              <w:spacing w:after="0"/>
              <w:rPr>
                <w:sz w:val="1"/>
                <w:szCs w:val="1"/>
                <w:color w:val="auto"/>
              </w:rPr>
            </w:pPr>
          </w:p>
        </w:tc>
      </w:tr>
    </w:tbl>
    <w:p>
      <w:pPr>
        <w:spacing w:after="0" w:line="23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fair value of cash and cash equivalents approximates the carrying value. The Company determines the fair value of its debt securities based on indicative, non-binding quotes from brokers. Quotes from brokers require judgment and are based on the brokers' interpretation of market information, including implied credit spreads for similar borrowings on recent trades or bid/ask prices or quotes from active markets if available. Since December 31, 2020, there have been no changes in the Company's valuation techniques used to measure fair values.</w:t>
      </w:r>
    </w:p>
    <w:p>
      <w:pPr>
        <w:spacing w:after="0" w:line="113" w:lineRule="exact"/>
        <w:rPr>
          <w:sz w:val="20"/>
          <w:szCs w:val="20"/>
          <w:color w:val="auto"/>
        </w:rPr>
      </w:pPr>
    </w:p>
    <w:p>
      <w:pPr>
        <w:ind w:left="420" w:hanging="412"/>
        <w:spacing w:after="0"/>
        <w:tabs>
          <w:tab w:leader="none" w:pos="4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5" w:lineRule="exact"/>
        <w:rPr>
          <w:sz w:val="20"/>
          <w:szCs w:val="20"/>
          <w:color w:val="auto"/>
        </w:rPr>
      </w:pPr>
    </w:p>
    <w:p>
      <w:pPr>
        <w:jc w:val="both"/>
        <w:ind w:right="40" w:firstLine="405"/>
        <w:spacing w:after="0" w:line="296" w:lineRule="auto"/>
        <w:rPr>
          <w:sz w:val="20"/>
          <w:szCs w:val="20"/>
          <w:color w:val="auto"/>
        </w:rPr>
      </w:pPr>
      <w:r>
        <w:rPr>
          <w:rFonts w:ascii="Arial" w:cs="Arial" w:eastAsia="Arial" w:hAnsi="Arial"/>
          <w:sz w:val="16"/>
          <w:szCs w:val="16"/>
          <w:color w:val="auto"/>
        </w:rPr>
        <w:t>The Company is involved in various claims, assessments, lawsuits or proceedings arising in the ordinary course of business. While there are uncertainties inherent in the ultimate outcome of such matters, and it is impossible to presently determine the ultimate costs or losses that may be incurred, if any, management believes the adverse resolution of such uncertainties and the incurrence of such costs should not have a material adverse effect on the Company's condensed consolidated financial position or results of operations. In addition, see note 1 for a discussion of CCIC's option to purchase approximately 68% of the Company's towers at the end of their respective lease terms. CCIC has no obligation to exercise such purchase option.</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r>
              <w:rPr>
                <w:rFonts w:ascii="Arial" w:cs="Arial" w:eastAsia="Arial" w:hAnsi="Arial"/>
                <w:sz w:val="18"/>
                <w:szCs w:val="18"/>
                <w:b w:val="1"/>
                <w:bCs w:val="1"/>
                <w:color w:val="auto"/>
              </w:rPr>
              <w:t>8.</w:t>
            </w:r>
          </w:p>
        </w:tc>
        <w:tc>
          <w:tcPr>
            <w:tcW w:w="7920" w:type="dxa"/>
            <w:vAlign w:val="bottom"/>
          </w:tcPr>
          <w:p>
            <w:pPr>
              <w:ind w:left="240"/>
              <w:spacing w:after="0"/>
              <w:rPr>
                <w:sz w:val="20"/>
                <w:szCs w:val="20"/>
                <w:color w:val="auto"/>
              </w:rPr>
            </w:pPr>
            <w:r>
              <w:rPr>
                <w:rFonts w:ascii="Arial" w:cs="Arial" w:eastAsia="Arial" w:hAnsi="Arial"/>
                <w:sz w:val="18"/>
                <w:szCs w:val="18"/>
                <w:b w:val="1"/>
                <w:bCs w:val="1"/>
                <w:color w:val="auto"/>
              </w:rPr>
              <w:t>Supplemental Cash Flow Information</w:t>
            </w:r>
          </w:p>
        </w:tc>
        <w:tc>
          <w:tcPr>
            <w:tcW w:w="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05"/>
        </w:trPr>
        <w:tc>
          <w:tcPr>
            <w:tcW w:w="18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26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40" w:type="dxa"/>
            <w:vAlign w:val="bottom"/>
            <w:tcBorders>
              <w:bottom w:val="single" w:sz="8" w:color="auto"/>
            </w:tcBorders>
          </w:tcPr>
          <w:p>
            <w:pPr>
              <w:spacing w:after="0"/>
              <w:rPr>
                <w:sz w:val="24"/>
                <w:szCs w:val="24"/>
                <w:color w:val="auto"/>
              </w:rPr>
            </w:pPr>
          </w:p>
        </w:tc>
      </w:tr>
      <w:tr>
        <w:trPr>
          <w:trHeight w:val="187"/>
        </w:trPr>
        <w:tc>
          <w:tcPr>
            <w:tcW w:w="180" w:type="dxa"/>
            <w:vAlign w:val="bottom"/>
            <w:tcBorders>
              <w:bottom w:val="single" w:sz="8" w:color="CCEEFF"/>
            </w:tcBorders>
          </w:tcPr>
          <w:p>
            <w:pPr>
              <w:spacing w:after="0"/>
              <w:rPr>
                <w:sz w:val="16"/>
                <w:szCs w:val="16"/>
                <w:color w:val="auto"/>
              </w:rPr>
            </w:pPr>
          </w:p>
        </w:tc>
        <w:tc>
          <w:tcPr>
            <w:tcW w:w="79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6"/>
                <w:szCs w:val="16"/>
                <w:color w:val="auto"/>
              </w:rPr>
            </w:pPr>
          </w:p>
        </w:tc>
      </w:tr>
      <w:tr>
        <w:trPr>
          <w:trHeight w:val="197"/>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Supplemental disclosure of cash flow information:</w:t>
            </w:r>
          </w:p>
        </w:tc>
        <w:tc>
          <w:tcPr>
            <w:tcW w:w="9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216"/>
        </w:trPr>
        <w:tc>
          <w:tcPr>
            <w:tcW w:w="180" w:type="dxa"/>
            <w:vAlign w:val="bottom"/>
          </w:tcPr>
          <w:p>
            <w:pPr>
              <w:spacing w:after="0"/>
              <w:rPr>
                <w:sz w:val="18"/>
                <w:szCs w:val="18"/>
                <w:color w:val="auto"/>
              </w:rPr>
            </w:pPr>
          </w:p>
        </w:tc>
        <w:tc>
          <w:tcPr>
            <w:tcW w:w="7920" w:type="dxa"/>
            <w:vAlign w:val="bottom"/>
          </w:tcPr>
          <w:p>
            <w:pPr>
              <w:ind w:left="40"/>
              <w:spacing w:after="0" w:line="216" w:lineRule="exact"/>
              <w:rPr>
                <w:sz w:val="20"/>
                <w:szCs w:val="20"/>
                <w:color w:val="auto"/>
              </w:rPr>
            </w:pPr>
            <w:r>
              <w:rPr>
                <w:rFonts w:ascii="Arial" w:cs="Arial" w:eastAsia="Arial" w:hAnsi="Arial"/>
                <w:sz w:val="16"/>
                <w:szCs w:val="16"/>
                <w:color w:val="auto"/>
              </w:rPr>
              <w:t>Cash payments related to operating lease liabilities</w:t>
            </w:r>
            <w:r>
              <w:rPr>
                <w:rFonts w:ascii="Arial" w:cs="Arial" w:eastAsia="Arial" w:hAnsi="Arial"/>
                <w:sz w:val="21"/>
                <w:szCs w:val="21"/>
                <w:color w:val="auto"/>
                <w:vertAlign w:val="superscript"/>
              </w:rPr>
              <w:t>(a)(b)</w:t>
            </w:r>
          </w:p>
        </w:tc>
        <w:tc>
          <w:tcPr>
            <w:tcW w:w="960" w:type="dxa"/>
            <w:vAlign w:val="bottom"/>
          </w:tcPr>
          <w:p>
            <w:pPr>
              <w:jc w:val="right"/>
              <w:ind w:right="785"/>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98"/>
              </w:rPr>
              <w:t>26,699</w:t>
            </w:r>
          </w:p>
        </w:tc>
        <w:tc>
          <w:tcPr>
            <w:tcW w:w="100" w:type="dxa"/>
            <w:vAlign w:val="bottom"/>
          </w:tcPr>
          <w:p>
            <w:pPr>
              <w:spacing w:after="0"/>
              <w:rPr>
                <w:sz w:val="18"/>
                <w:szCs w:val="18"/>
                <w:color w:val="auto"/>
              </w:rPr>
            </w:pPr>
          </w:p>
        </w:tc>
        <w:tc>
          <w:tcPr>
            <w:tcW w:w="980" w:type="dxa"/>
            <w:vAlign w:val="bottom"/>
          </w:tcPr>
          <w:p>
            <w:pPr>
              <w:jc w:val="right"/>
              <w:ind w:right="804"/>
              <w:spacing w:after="0"/>
              <w:rPr>
                <w:sz w:val="20"/>
                <w:szCs w:val="20"/>
                <w:color w:val="auto"/>
              </w:rPr>
            </w:pPr>
            <w:r>
              <w:rPr>
                <w:rFonts w:ascii="Arial" w:cs="Arial" w:eastAsia="Arial" w:hAnsi="Arial"/>
                <w:sz w:val="16"/>
                <w:szCs w:val="16"/>
                <w:color w:val="auto"/>
                <w:w w:val="89"/>
              </w:rPr>
              <w:t>$</w:t>
            </w:r>
          </w:p>
        </w:tc>
        <w:tc>
          <w:tcPr>
            <w:tcW w:w="540" w:type="dxa"/>
            <w:vAlign w:val="bottom"/>
          </w:tcPr>
          <w:p>
            <w:pPr>
              <w:ind w:left="20"/>
              <w:spacing w:after="0"/>
              <w:rPr>
                <w:sz w:val="20"/>
                <w:szCs w:val="20"/>
                <w:color w:val="auto"/>
              </w:rPr>
            </w:pPr>
            <w:r>
              <w:rPr>
                <w:rFonts w:ascii="Arial" w:cs="Arial" w:eastAsia="Arial" w:hAnsi="Arial"/>
                <w:sz w:val="16"/>
                <w:szCs w:val="16"/>
                <w:color w:val="auto"/>
              </w:rPr>
              <w:t>26,402</w:t>
            </w:r>
          </w:p>
        </w:tc>
      </w:tr>
      <w:tr>
        <w:trPr>
          <w:trHeight w:val="216"/>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Supplemental disclosure of non-cash operating, investing and financing activities:</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7920" w:type="dxa"/>
            <w:vAlign w:val="bottom"/>
          </w:tcPr>
          <w:p>
            <w:pPr>
              <w:ind w:left="40"/>
              <w:spacing w:after="0" w:line="216" w:lineRule="exact"/>
              <w:rPr>
                <w:sz w:val="20"/>
                <w:szCs w:val="20"/>
                <w:color w:val="auto"/>
              </w:rPr>
            </w:pPr>
            <w:r>
              <w:rPr>
                <w:rFonts w:ascii="Arial" w:cs="Arial" w:eastAsia="Arial" w:hAnsi="Arial"/>
                <w:sz w:val="16"/>
                <w:szCs w:val="16"/>
                <w:color w:val="auto"/>
              </w:rPr>
              <w:t>New ROU assets obtained in exchange for operating lease liabilities</w:t>
            </w:r>
            <w:r>
              <w:rPr>
                <w:rFonts w:ascii="Arial" w:cs="Arial" w:eastAsia="Arial" w:hAnsi="Arial"/>
                <w:sz w:val="21"/>
                <w:szCs w:val="21"/>
                <w:color w:val="auto"/>
                <w:vertAlign w:val="superscript"/>
              </w:rPr>
              <w:t>(b)</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8,599</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ind w:left="40"/>
              <w:spacing w:after="0"/>
              <w:rPr>
                <w:sz w:val="20"/>
                <w:szCs w:val="20"/>
                <w:color w:val="auto"/>
              </w:rPr>
            </w:pPr>
            <w:r>
              <w:rPr>
                <w:rFonts w:ascii="Arial" w:cs="Arial" w:eastAsia="Arial" w:hAnsi="Arial"/>
                <w:sz w:val="16"/>
                <w:szCs w:val="16"/>
                <w:color w:val="auto"/>
                <w:w w:val="98"/>
              </w:rPr>
              <w:t>11,756</w:t>
            </w:r>
          </w:p>
        </w:tc>
      </w:tr>
      <w:tr>
        <w:trPr>
          <w:trHeight w:val="216"/>
        </w:trPr>
        <w:tc>
          <w:tcPr>
            <w:tcW w:w="180" w:type="dxa"/>
            <w:vAlign w:val="bottom"/>
            <w:shd w:val="clear" w:color="auto" w:fill="CCEEFF"/>
          </w:tcPr>
          <w:p>
            <w:pPr>
              <w:spacing w:after="0"/>
              <w:rPr>
                <w:sz w:val="18"/>
                <w:szCs w:val="18"/>
                <w:color w:val="auto"/>
              </w:rPr>
            </w:pPr>
          </w:p>
        </w:tc>
        <w:tc>
          <w:tcPr>
            <w:tcW w:w="7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Increase (decrease) in accounts payable for purchases of property and equipment</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(1,798)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914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1440" cy="8255"/>
                    </a:xfrm>
                    <a:prstGeom prst="rect">
                      <a:avLst/>
                    </a:prstGeom>
                    <a:noFill/>
                  </pic:spPr>
                </pic:pic>
              </a:graphicData>
            </a:graphic>
          </wp:anchor>
        </w:drawing>
      </w:r>
    </w:p>
    <w:p>
      <w:pPr>
        <w:spacing w:after="0" w:line="218"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Excludes the Company's contingent payments pursuant to operating leases, which are recorded as expense in the period such contingencies are resolved.</w:t>
      </w:r>
    </w:p>
    <w:p>
      <w:pPr>
        <w:spacing w:after="0" w:line="13" w:lineRule="exact"/>
        <w:rPr>
          <w:rFonts w:ascii="Arial" w:cs="Arial" w:eastAsia="Arial" w:hAnsi="Arial"/>
          <w:sz w:val="14"/>
          <w:szCs w:val="14"/>
          <w:color w:val="auto"/>
        </w:rPr>
      </w:pPr>
    </w:p>
    <w:p>
      <w:pPr>
        <w:ind w:left="320" w:hanging="312"/>
        <w:spacing w:after="0"/>
        <w:tabs>
          <w:tab w:leader="none" w:pos="3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Inclusive of leases with related parties. See note 4.</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 w:name="page10"/>
    <w:bookmarkEnd w:id="9"/>
    <w:p>
      <w:pPr>
        <w:spacing w:after="0"/>
        <w:tabs>
          <w:tab w:leader="none" w:pos="1280" w:val="left"/>
        </w:tabs>
        <w:rPr>
          <w:sz w:val="20"/>
          <w:szCs w:val="20"/>
          <w:color w:val="auto"/>
        </w:rPr>
      </w:pPr>
      <w:r>
        <w:rPr>
          <w:rFonts w:ascii="Arial" w:cs="Arial" w:eastAsia="Arial" w:hAnsi="Arial"/>
          <w:sz w:val="18"/>
          <w:szCs w:val="18"/>
          <w:b w:val="1"/>
          <w:bCs w:val="1"/>
          <w:color w:val="231F20"/>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discussion should be read in conjunction with the response to Part I, Item 1 of this Form 10-Q and the consolidated financial statements of the Company including the related notes and MD&amp;A included in the 2020 Form 10-K.</w:t>
      </w:r>
    </w:p>
    <w:p>
      <w:pPr>
        <w:spacing w:after="0" w:line="116"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Throughout this Item 2 and this Form 10-Q, site rental revenues include both revenues from tenant contracts and amortization of tower installations and modifications.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General Overview</w:t>
      </w:r>
    </w:p>
    <w:p>
      <w:pPr>
        <w:spacing w:after="0" w:line="175"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We own, lease and manage sites that are geographically dispersed throughout the United States. The vast majority of our site rental revenues is of a recurring nature and is subject to long-term contracts with our tenants.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Fundamentals and Results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are certain highlights of our business fundamentals and results as of and for the three months ended March 31, 2021:</w:t>
      </w:r>
    </w:p>
    <w:p>
      <w:pPr>
        <w:spacing w:after="0" w:line="23" w:lineRule="exact"/>
        <w:rPr>
          <w:sz w:val="20"/>
          <w:szCs w:val="20"/>
          <w:color w:val="auto"/>
        </w:rPr>
      </w:pPr>
    </w:p>
    <w:p>
      <w:pPr>
        <w:ind w:left="820" w:hanging="407"/>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growth resulting from the increasing demand for wireless data</w:t>
      </w:r>
    </w:p>
    <w:p>
      <w:pPr>
        <w:spacing w:after="0" w:line="9" w:lineRule="exact"/>
        <w:rPr>
          <w:rFonts w:ascii="Arial" w:cs="Arial" w:eastAsia="Arial" w:hAnsi="Arial"/>
          <w:sz w:val="18"/>
          <w:szCs w:val="18"/>
          <w:color w:val="auto"/>
        </w:rPr>
      </w:pPr>
    </w:p>
    <w:p>
      <w:pPr>
        <w:ind w:left="1220" w:hanging="402"/>
        <w:spacing w:after="0" w:line="250" w:lineRule="auto"/>
        <w:tabs>
          <w:tab w:leader="none" w:pos="1230" w:val="left"/>
        </w:tabs>
        <w:numPr>
          <w:ilvl w:val="1"/>
          <w:numId w:val="12"/>
        </w:numPr>
        <w:rPr>
          <w:rFonts w:ascii="Arial" w:cs="Arial" w:eastAsia="Arial" w:hAnsi="Arial"/>
          <w:sz w:val="18"/>
          <w:szCs w:val="18"/>
          <w:color w:val="auto"/>
        </w:rPr>
      </w:pPr>
      <w:r>
        <w:rPr>
          <w:rFonts w:ascii="Arial" w:cs="Arial" w:eastAsia="Arial" w:hAnsi="Arial"/>
          <w:sz w:val="18"/>
          <w:szCs w:val="18"/>
          <w:color w:val="auto"/>
        </w:rPr>
        <w:t>We expect U.S. wireless carriers will continue their focus on improving network quality and expanding capacity (including through 5G initiatives) by adding additional antennas or other equipment on our sites.</w:t>
      </w:r>
    </w:p>
    <w:p>
      <w:pPr>
        <w:jc w:val="both"/>
        <w:ind w:left="1220" w:hanging="402"/>
        <w:spacing w:after="0" w:line="250" w:lineRule="auto"/>
        <w:tabs>
          <w:tab w:leader="none" w:pos="1216" w:val="left"/>
        </w:tabs>
        <w:numPr>
          <w:ilvl w:val="1"/>
          <w:numId w:val="12"/>
        </w:numPr>
        <w:rPr>
          <w:rFonts w:ascii="Arial" w:cs="Arial" w:eastAsia="Arial" w:hAnsi="Arial"/>
          <w:sz w:val="18"/>
          <w:szCs w:val="18"/>
          <w:color w:val="auto"/>
        </w:rPr>
      </w:pPr>
      <w:r>
        <w:rPr>
          <w:rFonts w:ascii="Arial" w:cs="Arial" w:eastAsia="Arial" w:hAnsi="Arial"/>
          <w:sz w:val="18"/>
          <w:szCs w:val="18"/>
          <w:color w:val="auto"/>
        </w:rPr>
        <w:t>We expect existing and potential new tenant demand for our towers will result from (1) new technologies, (2) increased usage of mobile entertainment, mobile internet, and machine-to-machine applications, (3) adoption of other emerging and embedded wireless devices (including smartphones, laptops, tablets, wearables and other devices), (4) increasing smartphone penetration, (5) wireless carrier focus on expanding both network quality and capacity, (6) the adoption of other bandwidth-intensive applications (such as cloud services and video communications), (7) the availability of additional spectrum and (8) increased government initiatives to support connectivity throughout the U.S.</w:t>
      </w:r>
    </w:p>
    <w:p>
      <w:pPr>
        <w:spacing w:after="0" w:line="2" w:lineRule="exact"/>
        <w:rPr>
          <w:rFonts w:ascii="Arial" w:cs="Arial" w:eastAsia="Arial" w:hAnsi="Arial"/>
          <w:sz w:val="18"/>
          <w:szCs w:val="18"/>
          <w:color w:val="auto"/>
        </w:rPr>
      </w:pPr>
    </w:p>
    <w:p>
      <w:pPr>
        <w:ind w:left="1220" w:hanging="402"/>
        <w:spacing w:after="0"/>
        <w:tabs>
          <w:tab w:leader="none" w:pos="12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Tenant additions on our existing sites are achieved at a low incremental operating cost, delivering high incremental returns.</w:t>
      </w:r>
    </w:p>
    <w:p>
      <w:pPr>
        <w:spacing w:after="0" w:line="9" w:lineRule="exact"/>
        <w:rPr>
          <w:rFonts w:ascii="Arial" w:cs="Arial" w:eastAsia="Arial" w:hAnsi="Arial"/>
          <w:sz w:val="18"/>
          <w:szCs w:val="18"/>
          <w:color w:val="auto"/>
        </w:rPr>
      </w:pPr>
    </w:p>
    <w:p>
      <w:pPr>
        <w:ind w:left="1880" w:hanging="414"/>
        <w:spacing w:after="0" w:line="250" w:lineRule="auto"/>
        <w:tabs>
          <w:tab w:leader="none" w:pos="1930" w:val="left"/>
        </w:tabs>
        <w:numPr>
          <w:ilvl w:val="2"/>
          <w:numId w:val="12"/>
        </w:numPr>
        <w:rPr>
          <w:rFonts w:ascii="Arial" w:cs="Arial" w:eastAsia="Arial" w:hAnsi="Arial"/>
          <w:sz w:val="18"/>
          <w:szCs w:val="18"/>
          <w:color w:val="auto"/>
        </w:rPr>
      </w:pPr>
      <w:r>
        <w:rPr>
          <w:rFonts w:ascii="Arial" w:cs="Arial" w:eastAsia="Arial" w:hAnsi="Arial"/>
          <w:sz w:val="18"/>
          <w:szCs w:val="18"/>
          <w:color w:val="auto"/>
        </w:rPr>
        <w:t>Substantially all of our sites can accommodate additional tenancy, either as currently constructed or with appropriate modifications to the structure (which may include extensions or structural reinforcement).</w:t>
      </w:r>
    </w:p>
    <w:p>
      <w:pPr>
        <w:ind w:left="820" w:hanging="407"/>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Organizational structure</w:t>
      </w:r>
    </w:p>
    <w:p>
      <w:pPr>
        <w:spacing w:after="0" w:line="9" w:lineRule="exact"/>
        <w:rPr>
          <w:rFonts w:ascii="Arial" w:cs="Arial" w:eastAsia="Arial" w:hAnsi="Arial"/>
          <w:sz w:val="18"/>
          <w:szCs w:val="18"/>
          <w:color w:val="auto"/>
        </w:rPr>
      </w:pPr>
    </w:p>
    <w:p>
      <w:pPr>
        <w:ind w:left="1220" w:hanging="402"/>
        <w:spacing w:after="0"/>
        <w:tabs>
          <w:tab w:leader="none" w:pos="1220" w:val="left"/>
        </w:tabs>
        <w:numPr>
          <w:ilvl w:val="1"/>
          <w:numId w:val="12"/>
        </w:numPr>
        <w:rPr>
          <w:rFonts w:ascii="Arial" w:cs="Arial" w:eastAsia="Arial" w:hAnsi="Arial"/>
          <w:sz w:val="16"/>
          <w:szCs w:val="16"/>
          <w:color w:val="auto"/>
        </w:rPr>
      </w:pPr>
      <w:r>
        <w:rPr>
          <w:rFonts w:ascii="Arial" w:cs="Arial" w:eastAsia="Arial" w:hAnsi="Arial"/>
          <w:sz w:val="16"/>
          <w:szCs w:val="16"/>
          <w:color w:val="auto"/>
        </w:rPr>
        <w:t>For U.S. federal income tax purposes, CCIC operates as a REIT and, as its indirect subsidiary, our assets and operations are included in the</w:t>
      </w:r>
    </w:p>
    <w:p>
      <w:pPr>
        <w:spacing w:after="0" w:line="32" w:lineRule="exact"/>
        <w:rPr>
          <w:rFonts w:ascii="Arial" w:cs="Arial" w:eastAsia="Arial" w:hAnsi="Arial"/>
          <w:sz w:val="16"/>
          <w:szCs w:val="16"/>
          <w:color w:val="auto"/>
        </w:rPr>
      </w:pPr>
    </w:p>
    <w:p>
      <w:pPr>
        <w:ind w:left="1220"/>
        <w:spacing w:after="0"/>
        <w:rPr>
          <w:rFonts w:ascii="Arial" w:cs="Arial" w:eastAsia="Arial" w:hAnsi="Arial"/>
          <w:sz w:val="16"/>
          <w:szCs w:val="16"/>
          <w:color w:val="auto"/>
        </w:rPr>
      </w:pPr>
      <w:r>
        <w:rPr>
          <w:rFonts w:ascii="Arial" w:cs="Arial" w:eastAsia="Arial" w:hAnsi="Arial"/>
          <w:sz w:val="18"/>
          <w:szCs w:val="18"/>
          <w:color w:val="auto"/>
        </w:rPr>
        <w:t>CCIC REIT.</w:t>
      </w:r>
    </w:p>
    <w:p>
      <w:pPr>
        <w:spacing w:after="0" w:line="9" w:lineRule="exact"/>
        <w:rPr>
          <w:rFonts w:ascii="Arial" w:cs="Arial" w:eastAsia="Arial" w:hAnsi="Arial"/>
          <w:sz w:val="16"/>
          <w:szCs w:val="16"/>
          <w:color w:val="auto"/>
        </w:rPr>
      </w:pPr>
    </w:p>
    <w:p>
      <w:pPr>
        <w:ind w:left="1220" w:hanging="402"/>
        <w:spacing w:after="0" w:line="250" w:lineRule="auto"/>
        <w:tabs>
          <w:tab w:leader="none" w:pos="1216" w:val="left"/>
        </w:tabs>
        <w:numPr>
          <w:ilvl w:val="1"/>
          <w:numId w:val="12"/>
        </w:numPr>
        <w:rPr>
          <w:rFonts w:ascii="Arial" w:cs="Arial" w:eastAsia="Arial" w:hAnsi="Arial"/>
          <w:sz w:val="18"/>
          <w:szCs w:val="18"/>
          <w:color w:val="auto"/>
        </w:rPr>
      </w:pPr>
      <w:r>
        <w:rPr>
          <w:rFonts w:ascii="Arial" w:cs="Arial" w:eastAsia="Arial" w:hAnsi="Arial"/>
          <w:sz w:val="18"/>
          <w:szCs w:val="18"/>
          <w:color w:val="auto"/>
        </w:rPr>
        <w:t>Our subsidiaries (other than Crown Castle GS III Corp.) were organized specifically to own, lease and manage certain sites, such as towers or other structures, and have no employees.</w:t>
      </w:r>
    </w:p>
    <w:p>
      <w:pPr>
        <w:ind w:left="1220" w:hanging="402"/>
        <w:spacing w:after="0" w:line="281" w:lineRule="auto"/>
        <w:tabs>
          <w:tab w:leader="none" w:pos="1230" w:val="left"/>
        </w:tabs>
        <w:numPr>
          <w:ilvl w:val="1"/>
          <w:numId w:val="12"/>
        </w:numPr>
        <w:rPr>
          <w:rFonts w:ascii="Arial" w:cs="Arial" w:eastAsia="Arial" w:hAnsi="Arial"/>
          <w:sz w:val="16"/>
          <w:szCs w:val="16"/>
          <w:color w:val="auto"/>
        </w:rPr>
      </w:pPr>
      <w:r>
        <w:rPr>
          <w:rFonts w:ascii="Arial" w:cs="Arial" w:eastAsia="Arial" w:hAnsi="Arial"/>
          <w:sz w:val="16"/>
          <w:szCs w:val="16"/>
          <w:color w:val="auto"/>
        </w:rPr>
        <w:t>Management services, including those functions reasonably necessary to maintain, market, operate, manage or administer our sites, are performed by CCUSA. The management fee is equal to 7.5% of our Operating Revenues as defined in the Management Agreement.</w:t>
      </w:r>
    </w:p>
    <w:p>
      <w:pPr>
        <w:spacing w:after="0" w:line="1" w:lineRule="exact"/>
        <w:rPr>
          <w:rFonts w:ascii="Arial" w:cs="Arial" w:eastAsia="Arial" w:hAnsi="Arial"/>
          <w:sz w:val="16"/>
          <w:szCs w:val="16"/>
          <w:color w:val="auto"/>
        </w:rPr>
      </w:pPr>
    </w:p>
    <w:p>
      <w:pPr>
        <w:ind w:left="820" w:hanging="407"/>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Site rental revenues under long-term tenant contracts</w:t>
      </w:r>
    </w:p>
    <w:p>
      <w:pPr>
        <w:spacing w:after="0" w:line="9" w:lineRule="exact"/>
        <w:rPr>
          <w:rFonts w:ascii="Arial" w:cs="Arial" w:eastAsia="Arial" w:hAnsi="Arial"/>
          <w:sz w:val="18"/>
          <w:szCs w:val="18"/>
          <w:color w:val="auto"/>
        </w:rPr>
      </w:pPr>
    </w:p>
    <w:p>
      <w:pPr>
        <w:ind w:left="1220" w:hanging="402"/>
        <w:spacing w:after="0" w:line="250" w:lineRule="auto"/>
        <w:tabs>
          <w:tab w:leader="none" w:pos="1230" w:val="left"/>
        </w:tabs>
        <w:numPr>
          <w:ilvl w:val="1"/>
          <w:numId w:val="12"/>
        </w:numPr>
        <w:rPr>
          <w:rFonts w:ascii="Arial" w:cs="Arial" w:eastAsia="Arial" w:hAnsi="Arial"/>
          <w:sz w:val="18"/>
          <w:szCs w:val="18"/>
          <w:color w:val="auto"/>
        </w:rPr>
      </w:pPr>
      <w:r>
        <w:rPr>
          <w:rFonts w:ascii="Arial" w:cs="Arial" w:eastAsia="Arial" w:hAnsi="Arial"/>
          <w:sz w:val="18"/>
          <w:szCs w:val="18"/>
          <w:color w:val="auto"/>
        </w:rPr>
        <w:t>Initial terms of five to 15 years for site rental revenues derived from tenant contracts, with contractual escalations and multiple renewal periods of five to 10 years each, exercisable at the option of the tenant.</w:t>
      </w:r>
    </w:p>
    <w:p>
      <w:pPr>
        <w:ind w:left="1220" w:hanging="402"/>
        <w:spacing w:after="0" w:line="250" w:lineRule="auto"/>
        <w:tabs>
          <w:tab w:leader="none" w:pos="1257" w:val="left"/>
        </w:tabs>
        <w:numPr>
          <w:ilvl w:val="1"/>
          <w:numId w:val="12"/>
        </w:numPr>
        <w:rPr>
          <w:rFonts w:ascii="Arial" w:cs="Arial" w:eastAsia="Arial" w:hAnsi="Arial"/>
          <w:sz w:val="18"/>
          <w:szCs w:val="18"/>
          <w:color w:val="auto"/>
        </w:rPr>
      </w:pPr>
      <w:r>
        <w:rPr>
          <w:rFonts w:ascii="Arial" w:cs="Arial" w:eastAsia="Arial" w:hAnsi="Arial"/>
          <w:sz w:val="18"/>
          <w:szCs w:val="18"/>
          <w:color w:val="auto"/>
        </w:rPr>
        <w:t>Weighted-average remaining term of approximately five years, exclusive of renewals exercisable at the tenants' option, currently representing approximately $4.1 billion of expected future cash inflows.</w:t>
      </w:r>
    </w:p>
    <w:p>
      <w:pPr>
        <w:ind w:left="820" w:hanging="407"/>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Majority of our revenues from large wireless carriers</w:t>
      </w:r>
    </w:p>
    <w:p>
      <w:pPr>
        <w:spacing w:after="0" w:line="9" w:lineRule="exact"/>
        <w:rPr>
          <w:rFonts w:ascii="Arial" w:cs="Arial" w:eastAsia="Arial" w:hAnsi="Arial"/>
          <w:sz w:val="18"/>
          <w:szCs w:val="18"/>
          <w:color w:val="auto"/>
        </w:rPr>
      </w:pPr>
    </w:p>
    <w:p>
      <w:pPr>
        <w:ind w:left="1220" w:hanging="402"/>
        <w:spacing w:after="0"/>
        <w:tabs>
          <w:tab w:leader="none" w:pos="12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Approximately 89% of our site rental revenues were derived from T-Mobile, AT&amp;T and Verizon Wireless.</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Majority of land under our towers under long-term control</w:t>
      </w:r>
    </w:p>
    <w:p>
      <w:pPr>
        <w:spacing w:after="0" w:line="9" w:lineRule="exact"/>
        <w:rPr>
          <w:rFonts w:ascii="Arial" w:cs="Arial" w:eastAsia="Arial" w:hAnsi="Arial"/>
          <w:sz w:val="18"/>
          <w:szCs w:val="18"/>
          <w:color w:val="auto"/>
        </w:rPr>
      </w:pPr>
    </w:p>
    <w:p>
      <w:pPr>
        <w:ind w:left="1220" w:hanging="402"/>
        <w:spacing w:after="0" w:line="265" w:lineRule="auto"/>
        <w:tabs>
          <w:tab w:leader="none" w:pos="1216" w:val="left"/>
        </w:tabs>
        <w:numPr>
          <w:ilvl w:val="1"/>
          <w:numId w:val="12"/>
        </w:numPr>
        <w:rPr>
          <w:rFonts w:ascii="Arial" w:cs="Arial" w:eastAsia="Arial" w:hAnsi="Arial"/>
          <w:sz w:val="17"/>
          <w:szCs w:val="17"/>
          <w:color w:val="auto"/>
        </w:rPr>
      </w:pPr>
      <w:r>
        <w:rPr>
          <w:rFonts w:ascii="Arial" w:cs="Arial" w:eastAsia="Arial" w:hAnsi="Arial"/>
          <w:sz w:val="17"/>
          <w:szCs w:val="17"/>
          <w:color w:val="auto"/>
        </w:rPr>
        <w:t>More than 80% and more than 50% of our sites are under our control for greater than 10 and 20 years, respectively. The aforementioned percentages include towers located on land that is owned, including through fee interests and perpetual easements.</w:t>
      </w:r>
    </w:p>
    <w:p>
      <w:pPr>
        <w:jc w:val="both"/>
        <w:ind w:left="1220" w:hanging="402"/>
        <w:spacing w:after="0" w:line="250" w:lineRule="auto"/>
        <w:tabs>
          <w:tab w:leader="none" w:pos="1216" w:val="left"/>
        </w:tabs>
        <w:numPr>
          <w:ilvl w:val="1"/>
          <w:numId w:val="12"/>
        </w:numPr>
        <w:rPr>
          <w:rFonts w:ascii="Arial" w:cs="Arial" w:eastAsia="Arial" w:hAnsi="Arial"/>
          <w:sz w:val="18"/>
          <w:szCs w:val="18"/>
          <w:color w:val="auto"/>
        </w:rPr>
      </w:pPr>
      <w:r>
        <w:rPr>
          <w:rFonts w:ascii="Arial" w:cs="Arial" w:eastAsia="Arial" w:hAnsi="Arial"/>
          <w:sz w:val="18"/>
          <w:szCs w:val="18"/>
          <w:color w:val="auto"/>
        </w:rPr>
        <w:t>Approximately one-fourth of our site rental costs of operations represent ground lease payments to our affiliates. Such affiliates acquired the rights to such land interests as a result of negotiated transactions with third parties in connection with a program established by CCIC to extend the rights to the land under its portfolio of towers.</w:t>
      </w:r>
    </w:p>
    <w:p>
      <w:pPr>
        <w:spacing w:after="0" w:line="1" w:lineRule="exact"/>
        <w:rPr>
          <w:rFonts w:ascii="Arial" w:cs="Arial" w:eastAsia="Arial" w:hAnsi="Arial"/>
          <w:sz w:val="18"/>
          <w:szCs w:val="18"/>
          <w:color w:val="auto"/>
        </w:rPr>
      </w:pPr>
    </w:p>
    <w:p>
      <w:pPr>
        <w:ind w:left="820" w:hanging="407"/>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Relatively fixed tower operating costs</w:t>
      </w:r>
    </w:p>
    <w:p>
      <w:pPr>
        <w:spacing w:after="0" w:line="9" w:lineRule="exact"/>
        <w:rPr>
          <w:rFonts w:ascii="Arial" w:cs="Arial" w:eastAsia="Arial" w:hAnsi="Arial"/>
          <w:sz w:val="18"/>
          <w:szCs w:val="18"/>
          <w:color w:val="auto"/>
        </w:rPr>
      </w:pPr>
    </w:p>
    <w:p>
      <w:pPr>
        <w:ind w:left="1220" w:hanging="402"/>
        <w:spacing w:after="0" w:line="260" w:lineRule="auto"/>
        <w:tabs>
          <w:tab w:leader="none" w:pos="1230" w:val="left"/>
        </w:tabs>
        <w:numPr>
          <w:ilvl w:val="1"/>
          <w:numId w:val="12"/>
        </w:numPr>
        <w:rPr>
          <w:rFonts w:ascii="Arial" w:cs="Arial" w:eastAsia="Arial" w:hAnsi="Arial"/>
          <w:sz w:val="18"/>
          <w:szCs w:val="18"/>
          <w:color w:val="auto"/>
        </w:rPr>
      </w:pPr>
      <w:r>
        <w:rPr>
          <w:rFonts w:ascii="Arial" w:cs="Arial" w:eastAsia="Arial" w:hAnsi="Arial"/>
          <w:sz w:val="18"/>
          <w:szCs w:val="18"/>
          <w:color w:val="auto"/>
        </w:rPr>
        <w:t>Our operating costs tend to escalate at approximately the rate of inflation and are not typically influenced by tenant additions or non-renewals.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0" w:name="page11"/>
    <w:bookmarkEnd w:id="10"/>
    <w:p>
      <w:pPr>
        <w:ind w:left="820" w:hanging="407"/>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Minimal sustaining capital expenditure requirements</w:t>
      </w:r>
    </w:p>
    <w:p>
      <w:pPr>
        <w:spacing w:after="0" w:line="23" w:lineRule="exact"/>
        <w:rPr>
          <w:rFonts w:ascii="Arial" w:cs="Arial" w:eastAsia="Arial" w:hAnsi="Arial"/>
          <w:sz w:val="18"/>
          <w:szCs w:val="18"/>
          <w:color w:val="auto"/>
        </w:rPr>
      </w:pPr>
    </w:p>
    <w:p>
      <w:pPr>
        <w:ind w:left="1220" w:hanging="402"/>
        <w:spacing w:after="0"/>
        <w:tabs>
          <w:tab w:leader="none" w:pos="12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Sustaining capital expenditures represented less than 1% of total site rental revenues.</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Fixed rate debt with no short-term maturities</w:t>
      </w:r>
    </w:p>
    <w:p>
      <w:pPr>
        <w:spacing w:after="0" w:line="9" w:lineRule="exact"/>
        <w:rPr>
          <w:rFonts w:ascii="Arial" w:cs="Arial" w:eastAsia="Arial" w:hAnsi="Arial"/>
          <w:sz w:val="18"/>
          <w:szCs w:val="18"/>
          <w:color w:val="auto"/>
        </w:rPr>
      </w:pPr>
    </w:p>
    <w:p>
      <w:pPr>
        <w:ind w:left="1220" w:hanging="402"/>
        <w:spacing w:after="0" w:line="250" w:lineRule="auto"/>
        <w:tabs>
          <w:tab w:leader="none" w:pos="1216" w:val="left"/>
        </w:tabs>
        <w:numPr>
          <w:ilvl w:val="1"/>
          <w:numId w:val="13"/>
        </w:numPr>
        <w:rPr>
          <w:rFonts w:ascii="Arial" w:cs="Arial" w:eastAsia="Arial" w:hAnsi="Arial"/>
          <w:sz w:val="18"/>
          <w:szCs w:val="18"/>
          <w:color w:val="auto"/>
        </w:rPr>
      </w:pPr>
      <w:r>
        <w:rPr>
          <w:rFonts w:ascii="Arial" w:cs="Arial" w:eastAsia="Arial" w:hAnsi="Arial"/>
          <w:sz w:val="18"/>
          <w:szCs w:val="18"/>
          <w:color w:val="auto"/>
        </w:rPr>
        <w:t>Our debt consists of $1.0 billion aggregate principal amount of 3.849% Secured Notes. See note 3 to our condensed consolidated financial statements.</w:t>
      </w:r>
    </w:p>
    <w:p>
      <w:pPr>
        <w:ind w:left="820" w:hanging="407"/>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Significant cash flows from operations</w:t>
      </w:r>
    </w:p>
    <w:p>
      <w:pPr>
        <w:spacing w:after="0" w:line="9" w:lineRule="exact"/>
        <w:rPr>
          <w:rFonts w:ascii="Arial" w:cs="Arial" w:eastAsia="Arial" w:hAnsi="Arial"/>
          <w:sz w:val="18"/>
          <w:szCs w:val="18"/>
          <w:color w:val="auto"/>
        </w:rPr>
      </w:pPr>
    </w:p>
    <w:p>
      <w:pPr>
        <w:ind w:left="1220" w:hanging="402"/>
        <w:spacing w:after="0"/>
        <w:tabs>
          <w:tab w:leader="none" w:pos="12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 xml:space="preserve">Net cash provided by operating activities was $138.0 million. See </w:t>
      </w:r>
      <w:r>
        <w:rPr>
          <w:rFonts w:ascii="Arial" w:cs="Arial" w:eastAsia="Arial" w:hAnsi="Arial"/>
          <w:sz w:val="18"/>
          <w:szCs w:val="18"/>
          <w:i w:val="1"/>
          <w:iCs w:val="1"/>
          <w:color w:val="auto"/>
        </w:rPr>
        <w:t>"Item 2. MD&amp;A—Liquidity and Capital Resources."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Coronavirus (COVID-19)</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In accordance with the U.S. Department of Homeland Security guidance issued in March 2020 designating telecommunications infrastructure and networks as critical infrastructure, we have continued our operations to ensure viability of communications networks, which are essential to public health and safety. We do not believe that COVID-19 had a material impact on our financial position, results of operations and cash flows during the three months ended March 31, 2021. We currently anticipate that we will be able to maintain sufficient liquidity as we manage through the current environment. See also </w:t>
      </w:r>
      <w:r>
        <w:rPr>
          <w:rFonts w:ascii="Arial" w:cs="Arial" w:eastAsia="Arial" w:hAnsi="Arial"/>
          <w:sz w:val="18"/>
          <w:szCs w:val="18"/>
          <w:i w:val="1"/>
          <w:iCs w:val="1"/>
          <w:color w:val="auto"/>
        </w:rPr>
        <w:t>"Item 2. MD&amp;A—Liquidity and Capital Resources—Liquidity Position."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Guarantor Subsidiaries</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Summary financial information of certain of CCL’s wholly owned subsidiaries whose securities are pledged as collateral for our 3.849% Secured Notes is not provided in this Form 10-Q because the assets, liabilities and results of operations of the combined guarantors of the 3.849% Secured Notes and CCL affiliates whose securities are so pledged are not materially different than the corresponding amounts presented in CCL's condensed consolidated financial statements. Below is a description of certain material terms of the guarantees of the 3.849% Secured Notes and the pledge of the equity interests of the Guarantors (as defined below) that secures the 3.849% Secured Notes.</w:t>
      </w:r>
    </w:p>
    <w:p>
      <w:pPr>
        <w:spacing w:after="0" w:line="134"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The 3.849% Secured Notes were co-issued by CCL and its wholly owned finance subsidiary, Crown Castle GS III Corp. ("Co-Issuer" and, together with CCL, "Issuers"), and are guaranteed by all direct and indirect wholly owned subsidiaries of CCL, other than Co-Issuer (collectively, "Guarantors"). Subject to the provisions of the Secured Notes Indenture, a Guarantor may be released and relieved of its obligations under its guarantee under certain circumstances, including: (1) in the event of any sale or other disposition of all or substantially all of the assets of any Guarantor, by way of merger, consolidation or otherwise to a person that is not (either before or after giving effect to such transaction) CCL or one of its subsidiaries, (2) in the event of any sale or other disposition of all of the capital stock of any Guarantor, to a person that is not (either before or after giving effect to such transaction) CCL or a subsidiary of CCL, (3) upon CCL's exercise of legal defeasance in accordance with the relevant provisions of the Secured Notes Indenture or (4) upon the discharge of the Secured Notes Indenture in accordance with its terms.</w:t>
      </w:r>
    </w:p>
    <w:p>
      <w:pPr>
        <w:spacing w:after="0" w:line="124"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CCL is a holding company with no significant operations or material assets other than the direct and indirect equity interests it holds in the Co-Issuer and the Guarantors. CCL conducts all of its business operations through the Guarantors. As a result, its ability to pay principal and interest on the 3.849% Secured Notes is dependent on the cash flow generated by the Guarantors and their ability to make such cash available to CCL by dividend or otherwise. The Guarantors' earnings will depend on their financial and operating performance, which will be affected by general economic, industry, financial, competitive, operating, legislative, regulatory and other factors beyond CCL's control. Any payments of dividends, distributions, loans or advances to CCL by the Guarantors could also be subject to restrictions on dividends under applicable local law in the jurisdictions in which the Guarantors operate. In the event that CCL does not receive distributions from the Guarantors, or to the extent that the earnings from, or other available assets of, the Guarantors are insufficient, CCL may be unable to make payments on the 3.849% Secured Notes. Furthermore, the Co-Issuer has no material assets and conducts no operations. Therefore, the Co-Issuer has no independent ability to service the interest and principal obligations under the 3.849% Secured Notes.</w:t>
      </w:r>
    </w:p>
    <w:p>
      <w:pPr>
        <w:spacing w:after="0" w:line="11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Pursuant to the Secured Notes Indenture, and the terms of a pledge and security agreement related thereto ("Pledge Agreement" and, together with the Secured Notes Indenture, "Notes Documents"), the 3.849% Secured Notes and the related guarantees are secured by perfected, first priority (subject to certain permitted liens set forth in the Secured Notes Indenture) pledges of the equity interests of each of the Guarantors and proceeds thereof. The 3.849% Secured Notes are not secured by any other assets, including any mortgage liens on properties.</w:t>
      </w:r>
    </w:p>
    <w:p>
      <w:pPr>
        <w:spacing w:after="0" w:line="11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Pursuant to the terms of the Notes Documents, the trustee under the Secured Notes Indenture may pursue remedies under the Secured Notes Indenture, or pursue foreclosure proceedings on the collateral, following an event of default under the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11" w:name="page12"/>
    <w:bookmarkEnd w:id="11"/>
    <w:p>
      <w:pPr>
        <w:jc w:val="both"/>
        <w:spacing w:after="0" w:line="273" w:lineRule="auto"/>
        <w:rPr>
          <w:sz w:val="20"/>
          <w:szCs w:val="20"/>
          <w:color w:val="auto"/>
        </w:rPr>
      </w:pPr>
      <w:r>
        <w:rPr>
          <w:rFonts w:ascii="Arial" w:cs="Arial" w:eastAsia="Arial" w:hAnsi="Arial"/>
          <w:sz w:val="17"/>
          <w:szCs w:val="17"/>
          <w:color w:val="auto"/>
        </w:rPr>
        <w:t>Secured Notes Indenture. However, unless a principal payment event of default or a bankruptcy event of default under the Secured Notes Indenture has occurred and is continuing or any other event has occurred that resulted in the acceleration of the 3.849% Secured Notes, the pledgors of such equity interests will receive any dividends and distributions on such pledged equity interests free and clear of the lien securing the 3.849% Secured Notes. Because the collateral consists of equity interests, its value is subject to fluctuations based on factors that include, among other things, general economic conditions and the ability to realize on the collateral as part of a going concern and in an orderly fashion to available and willing buyers and not under distressed circumstances. There is no trading market for the pledged equity interests.</w:t>
      </w:r>
    </w:p>
    <w:p>
      <w:pPr>
        <w:spacing w:after="0" w:line="124"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Under the terms of the Notes Documents, the Issuers and the Guarantors will be entitled to the release of the collateral from the liens securing the 3.849% Secured Notes under one or more circumstances, including (1) to enable the Issuers or any subsidiary to consummate the disposition of such collateral as described under the asset sale covenant of the Secured Notes Indenture; (2) as permitted under the amendment provisions of the Secured Notes Indenture; or (3) as otherwise provided in the Pledge Agreement. Upon the release of any subsidiary from its guarantee, if any, in accordance with the terms of the Secured Notes Indenture, the lien on any collateral held by such Guarantor and the lien on any pledged equity interests issued by such Guarantor will automatically terminate. In addition, upon the occurrence of (i) payment in full of the 3.849% Secured Notes and any other payment obligations under the Notes Documents, together with accrued and unpaid interest, or (ii) a defeasance or discharge of the Secured Notes Indenture as provided in the Secured Notes Indenture, the liens on all collateral created under the Pledge Agreement will terminate.</w:t>
      </w:r>
    </w:p>
    <w:p>
      <w:pPr>
        <w:spacing w:after="0" w:line="12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foregoing description of the Notes Documents is qualified in its entirety by the terms of the Secured Notes Indenture and the Pledge Agreement, which are incorporated by reference as Exhibit 4.1 and Exhibit 4.2, respectively, to our 2020 Form 10-K.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discussion of our results of operations should be read in conjunction with our condensed consolidated financial statements and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 Form 10-K.</w:t>
      </w:r>
    </w:p>
    <w:p>
      <w:pPr>
        <w:spacing w:after="0" w:line="15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 xml:space="preserve">The following discussion of our results of operations is based on our condensed consolidated financial statements prepared in accordance with GAAP which requires us to make estimates and judgments that affect the reported amounts (see </w:t>
      </w:r>
      <w:r>
        <w:rPr>
          <w:rFonts w:ascii="Arial" w:cs="Arial" w:eastAsia="Arial" w:hAnsi="Arial"/>
          <w:sz w:val="18"/>
          <w:szCs w:val="18"/>
          <w:i w:val="1"/>
          <w:iCs w:val="1"/>
          <w:color w:val="auto"/>
        </w:rPr>
        <w:t>"Item 2. MD&amp;A—Accounting and Reporting Matters—Critical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Policies and Estimates" </w:t>
      </w:r>
      <w:r>
        <w:rPr>
          <w:rFonts w:ascii="Arial" w:cs="Arial" w:eastAsia="Arial" w:hAnsi="Arial"/>
          <w:sz w:val="18"/>
          <w:szCs w:val="18"/>
          <w:color w:val="auto"/>
        </w:rPr>
        <w:t>herein and note 2 to the 2020 Form 10-K).</w:t>
      </w:r>
    </w:p>
    <w:p>
      <w:pPr>
        <w:sectPr>
          <w:pgSz w:w="11900" w:h="16838" w:orient="portrait"/>
          <w:cols w:equalWidth="0" w:num="1">
            <w:col w:w="11240"/>
          </w:cols>
          <w:pgMar w:left="320" w:top="13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type w:val="continuous"/>
        </w:sectPr>
      </w:pPr>
    </w:p>
    <w:bookmarkStart w:id="12" w:name="page13"/>
    <w:bookmarkEnd w:id="12"/>
    <w:p>
      <w:pPr>
        <w:ind w:left="420"/>
        <w:spacing w:after="0"/>
        <w:rPr>
          <w:sz w:val="20"/>
          <w:szCs w:val="20"/>
          <w:color w:val="auto"/>
        </w:rPr>
      </w:pPr>
      <w:r>
        <w:rPr>
          <w:rFonts w:ascii="Arial" w:cs="Arial" w:eastAsia="Arial" w:hAnsi="Arial"/>
          <w:sz w:val="18"/>
          <w:szCs w:val="18"/>
          <w:color w:val="auto"/>
        </w:rPr>
        <w:t>Highlights of our results of operations for the three months ended March 31, 2021 and 2020 are depicted below.</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0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March 31,</w:t>
            </w:r>
          </w:p>
        </w:tc>
        <w:tc>
          <w:tcPr>
            <w:tcW w:w="1640" w:type="dxa"/>
            <w:vAlign w:val="bottom"/>
          </w:tcPr>
          <w:p>
            <w:pPr>
              <w:spacing w:after="0"/>
              <w:rPr>
                <w:sz w:val="16"/>
                <w:szCs w:val="16"/>
                <w:color w:val="auto"/>
              </w:rPr>
            </w:pPr>
          </w:p>
        </w:tc>
      </w:tr>
      <w:tr>
        <w:trPr>
          <w:trHeight w:val="188"/>
        </w:trPr>
        <w:tc>
          <w:tcPr>
            <w:tcW w:w="630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thousands of dollars)</w:t>
            </w:r>
          </w:p>
        </w:tc>
        <w:tc>
          <w:tcPr>
            <w:tcW w:w="3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Percent Change</w:t>
            </w:r>
          </w:p>
        </w:tc>
      </w:tr>
      <w:tr>
        <w:trPr>
          <w:trHeight w:val="197"/>
        </w:trPr>
        <w:tc>
          <w:tcPr>
            <w:tcW w:w="6300" w:type="dxa"/>
            <w:vAlign w:val="bottom"/>
            <w:shd w:val="clear" w:color="auto" w:fill="CCEEFF"/>
          </w:tcPr>
          <w:p>
            <w:pPr>
              <w:spacing w:after="0"/>
              <w:rPr>
                <w:sz w:val="20"/>
                <w:szCs w:val="20"/>
                <w:color w:val="auto"/>
              </w:rPr>
            </w:pPr>
            <w:r>
              <w:rPr>
                <w:rFonts w:ascii="Arial" w:cs="Arial" w:eastAsia="Arial" w:hAnsi="Arial"/>
                <w:sz w:val="16"/>
                <w:szCs w:val="16"/>
                <w:color w:val="auto"/>
              </w:rPr>
              <w:t>Site rental revenues: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13"/>
        </w:trPr>
        <w:tc>
          <w:tcPr>
            <w:tcW w:w="6300" w:type="dxa"/>
            <w:vAlign w:val="bottom"/>
          </w:tcPr>
          <w:p>
            <w:pPr>
              <w:ind w:left="200"/>
              <w:spacing w:after="0"/>
              <w:rPr>
                <w:sz w:val="20"/>
                <w:szCs w:val="20"/>
                <w:color w:val="auto"/>
              </w:rPr>
            </w:pPr>
            <w:r>
              <w:rPr>
                <w:rFonts w:ascii="Arial" w:cs="Arial" w:eastAsia="Arial" w:hAnsi="Arial"/>
                <w:sz w:val="16"/>
                <w:szCs w:val="16"/>
                <w:color w:val="auto"/>
              </w:rPr>
              <w:t>Revenues from tenant contracts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176,106</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172,389</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2 %</w:t>
            </w:r>
          </w:p>
        </w:tc>
      </w:tr>
      <w:tr>
        <w:trPr>
          <w:trHeight w:val="219"/>
        </w:trPr>
        <w:tc>
          <w:tcPr>
            <w:tcW w:w="6300" w:type="dxa"/>
            <w:vAlign w:val="bottom"/>
            <w:shd w:val="clear" w:color="auto" w:fill="CCEEFF"/>
          </w:tcPr>
          <w:p>
            <w:pPr>
              <w:ind w:left="200"/>
              <w:spacing w:after="0" w:line="219" w:lineRule="exact"/>
              <w:rPr>
                <w:sz w:val="20"/>
                <w:szCs w:val="20"/>
                <w:color w:val="auto"/>
              </w:rPr>
            </w:pPr>
            <w:r>
              <w:rPr>
                <w:rFonts w:ascii="Arial" w:cs="Arial" w:eastAsia="Arial" w:hAnsi="Arial"/>
                <w:sz w:val="16"/>
                <w:szCs w:val="16"/>
                <w:color w:val="auto"/>
              </w:rPr>
              <w:t>Amortization of tower installations and modifications</w:t>
            </w:r>
            <w:r>
              <w:rPr>
                <w:rFonts w:ascii="Arial" w:cs="Arial" w:eastAsia="Arial" w:hAnsi="Arial"/>
                <w:sz w:val="21"/>
                <w:szCs w:val="21"/>
                <w:color w:val="auto"/>
                <w:vertAlign w:val="superscript"/>
              </w:rPr>
              <w:t>(a)</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15,109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14,052</w:t>
            </w:r>
          </w:p>
        </w:tc>
        <w:tc>
          <w:tcPr>
            <w:tcW w:w="10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8 %</w:t>
            </w:r>
          </w:p>
        </w:tc>
      </w:tr>
      <w:tr>
        <w:trPr>
          <w:trHeight w:val="207"/>
        </w:trPr>
        <w:tc>
          <w:tcPr>
            <w:tcW w:w="6300" w:type="dxa"/>
            <w:vAlign w:val="bottom"/>
          </w:tcPr>
          <w:p>
            <w:pPr>
              <w:ind w:left="460"/>
              <w:spacing w:after="0"/>
              <w:rPr>
                <w:sz w:val="20"/>
                <w:szCs w:val="20"/>
                <w:color w:val="auto"/>
              </w:rPr>
            </w:pPr>
            <w:r>
              <w:rPr>
                <w:rFonts w:ascii="Arial" w:cs="Arial" w:eastAsia="Arial" w:hAnsi="Arial"/>
                <w:sz w:val="16"/>
                <w:szCs w:val="16"/>
                <w:color w:val="auto"/>
              </w:rPr>
              <w:t>Total site rental revenues</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191,215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186,441</w:t>
            </w:r>
          </w:p>
        </w:tc>
        <w:tc>
          <w:tcPr>
            <w:tcW w:w="1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3 %</w:t>
            </w:r>
          </w:p>
        </w:tc>
      </w:tr>
      <w:tr>
        <w:trPr>
          <w:trHeight w:val="219"/>
        </w:trPr>
        <w:tc>
          <w:tcPr>
            <w:tcW w:w="63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13"/>
        </w:trPr>
        <w:tc>
          <w:tcPr>
            <w:tcW w:w="6300" w:type="dxa"/>
            <w:vAlign w:val="bottom"/>
          </w:tcPr>
          <w:p>
            <w:pPr>
              <w:spacing w:after="0"/>
              <w:rPr>
                <w:sz w:val="20"/>
                <w:szCs w:val="20"/>
                <w:color w:val="auto"/>
              </w:rPr>
            </w:pPr>
            <w:r>
              <w:rPr>
                <w:rFonts w:ascii="Arial" w:cs="Arial" w:eastAsia="Arial" w:hAnsi="Arial"/>
                <w:sz w:val="16"/>
                <w:szCs w:val="16"/>
                <w:color w:val="auto"/>
              </w:rPr>
              <w:t>Operating expenses: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9"/>
        </w:trPr>
        <w:tc>
          <w:tcPr>
            <w:tcW w:w="6300" w:type="dxa"/>
            <w:vAlign w:val="bottom"/>
            <w:shd w:val="clear" w:color="auto" w:fill="CCEEFF"/>
          </w:tcPr>
          <w:p>
            <w:pPr>
              <w:spacing w:after="0" w:line="219" w:lineRule="exact"/>
              <w:rPr>
                <w:sz w:val="20"/>
                <w:szCs w:val="20"/>
                <w:color w:val="auto"/>
              </w:rPr>
            </w:pPr>
            <w:r>
              <w:rPr>
                <w:rFonts w:ascii="Arial" w:cs="Arial" w:eastAsia="Arial" w:hAnsi="Arial"/>
                <w:sz w:val="16"/>
                <w:szCs w:val="16"/>
                <w:color w:val="auto"/>
              </w:rPr>
              <w:t>Site rental cost of operations—third parties</w:t>
            </w:r>
            <w:r>
              <w:rPr>
                <w:rFonts w:ascii="Arial" w:cs="Arial" w:eastAsia="Arial" w:hAnsi="Arial"/>
                <w:sz w:val="21"/>
                <w:szCs w:val="21"/>
                <w:color w:val="auto"/>
                <w:vertAlign w:val="superscript"/>
              </w:rPr>
              <w:t>(b)</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37,827</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1 %</w:t>
            </w:r>
          </w:p>
        </w:tc>
      </w:tr>
      <w:tr>
        <w:trPr>
          <w:trHeight w:val="213"/>
        </w:trPr>
        <w:tc>
          <w:tcPr>
            <w:tcW w:w="63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Ground rent expenses—related parties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11,804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11,281</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5 %</w:t>
            </w:r>
          </w:p>
        </w:tc>
      </w:tr>
      <w:tr>
        <w:trPr>
          <w:trHeight w:val="213"/>
        </w:trPr>
        <w:tc>
          <w:tcPr>
            <w:tcW w:w="6300" w:type="dxa"/>
            <w:vAlign w:val="bottom"/>
            <w:shd w:val="clear" w:color="auto" w:fill="CCEEFF"/>
          </w:tcPr>
          <w:p>
            <w:pPr>
              <w:spacing w:after="0" w:line="213" w:lineRule="exact"/>
              <w:rPr>
                <w:sz w:val="20"/>
                <w:szCs w:val="20"/>
                <w:color w:val="auto"/>
              </w:rPr>
            </w:pPr>
            <w:r>
              <w:rPr>
                <w:rFonts w:ascii="Arial" w:cs="Arial" w:eastAsia="Arial" w:hAnsi="Arial"/>
                <w:sz w:val="16"/>
                <w:szCs w:val="16"/>
                <w:color w:val="auto"/>
              </w:rPr>
              <w:t>Site rental cost of operations—total</w:t>
            </w:r>
            <w:r>
              <w:rPr>
                <w:rFonts w:ascii="Arial" w:cs="Arial" w:eastAsia="Arial" w:hAnsi="Arial"/>
                <w:sz w:val="21"/>
                <w:szCs w:val="21"/>
                <w:color w:val="auto"/>
                <w:vertAlign w:val="superscript"/>
              </w:rPr>
              <w:t>(b)</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49,984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49,108</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2 %</w:t>
            </w:r>
          </w:p>
        </w:tc>
      </w:tr>
      <w:tr>
        <w:trPr>
          <w:trHeight w:val="213"/>
        </w:trPr>
        <w:tc>
          <w:tcPr>
            <w:tcW w:w="6300" w:type="dxa"/>
            <w:vAlign w:val="bottom"/>
          </w:tcPr>
          <w:p>
            <w:pPr>
              <w:spacing w:after="0"/>
              <w:rPr>
                <w:sz w:val="20"/>
                <w:szCs w:val="20"/>
                <w:color w:val="auto"/>
              </w:rPr>
            </w:pPr>
            <w:r>
              <w:rPr>
                <w:rFonts w:ascii="Arial" w:cs="Arial" w:eastAsia="Arial" w:hAnsi="Arial"/>
                <w:sz w:val="16"/>
                <w:szCs w:val="16"/>
                <w:color w:val="auto"/>
              </w:rPr>
              <w:t>Management fee—related party</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13,423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12,722</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6 %</w:t>
            </w:r>
          </w:p>
        </w:tc>
      </w:tr>
      <w:tr>
        <w:trPr>
          <w:trHeight w:val="219"/>
        </w:trPr>
        <w:tc>
          <w:tcPr>
            <w:tcW w:w="6300" w:type="dxa"/>
            <w:vAlign w:val="bottom"/>
            <w:shd w:val="clear" w:color="auto" w:fill="CCEEFF"/>
          </w:tcPr>
          <w:p>
            <w:pPr>
              <w:spacing w:after="0"/>
              <w:rPr>
                <w:sz w:val="20"/>
                <w:szCs w:val="20"/>
                <w:color w:val="auto"/>
              </w:rPr>
            </w:pPr>
            <w:r>
              <w:rPr>
                <w:rFonts w:ascii="Arial" w:cs="Arial" w:eastAsia="Arial" w:hAnsi="Arial"/>
                <w:sz w:val="16"/>
                <w:szCs w:val="16"/>
                <w:color w:val="auto"/>
              </w:rPr>
              <w:t>Asset write-down charges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3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Depreciation, amortization and accretion</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52,695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52,346</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1 %</w:t>
            </w:r>
          </w:p>
        </w:tc>
      </w:tr>
      <w:tr>
        <w:trPr>
          <w:trHeight w:val="213"/>
        </w:trPr>
        <w:tc>
          <w:tcPr>
            <w:tcW w:w="63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116,659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114,600</w:t>
            </w:r>
          </w:p>
        </w:tc>
        <w:tc>
          <w:tcPr>
            <w:tcW w:w="100" w:type="dxa"/>
            <w:vAlign w:val="bottom"/>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2 %</w:t>
            </w:r>
          </w:p>
        </w:tc>
      </w:tr>
      <w:tr>
        <w:trPr>
          <w:trHeight w:val="207"/>
        </w:trPr>
        <w:tc>
          <w:tcPr>
            <w:tcW w:w="6300" w:type="dxa"/>
            <w:vAlign w:val="bottom"/>
          </w:tcPr>
          <w:p>
            <w:pPr>
              <w:spacing w:after="0"/>
              <w:rPr>
                <w:sz w:val="20"/>
                <w:szCs w:val="20"/>
                <w:color w:val="auto"/>
              </w:rPr>
            </w:pPr>
            <w:r>
              <w:rPr>
                <w:rFonts w:ascii="Arial" w:cs="Arial" w:eastAsia="Arial" w:hAnsi="Arial"/>
                <w:sz w:val="16"/>
                <w:szCs w:val="16"/>
                <w:color w:val="auto"/>
              </w:rPr>
              <w:t>Operating income (loss)</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74,556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71,841</w:t>
            </w:r>
          </w:p>
        </w:tc>
        <w:tc>
          <w:tcPr>
            <w:tcW w:w="1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4 %</w:t>
            </w:r>
          </w:p>
        </w:tc>
      </w:tr>
      <w:tr>
        <w:trPr>
          <w:trHeight w:val="219"/>
        </w:trPr>
        <w:tc>
          <w:tcPr>
            <w:tcW w:w="630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 and amortization of deferred financing costs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(9,969)</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13"/>
        </w:trPr>
        <w:tc>
          <w:tcPr>
            <w:tcW w:w="63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income (expense)</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6300" w:type="dxa"/>
            <w:vAlign w:val="bottom"/>
            <w:shd w:val="clear" w:color="auto" w:fill="CCEEFF"/>
          </w:tcPr>
          <w:p>
            <w:pPr>
              <w:spacing w:after="0"/>
              <w:rPr>
                <w:sz w:val="20"/>
                <w:szCs w:val="20"/>
                <w:color w:val="auto"/>
              </w:rPr>
            </w:pPr>
            <w:r>
              <w:rPr>
                <w:rFonts w:ascii="Arial" w:cs="Arial" w:eastAsia="Arial" w:hAnsi="Arial"/>
                <w:sz w:val="16"/>
                <w:szCs w:val="16"/>
                <w:color w:val="auto"/>
              </w:rPr>
              <w:t>Income (loss) before income taxes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64,590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61,887</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4 %</w:t>
            </w:r>
          </w:p>
        </w:tc>
      </w:tr>
      <w:tr>
        <w:trPr>
          <w:trHeight w:val="213"/>
        </w:trPr>
        <w:tc>
          <w:tcPr>
            <w:tcW w:w="63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Benefit (provision) for income taxes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6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64,491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61,781</w:t>
            </w: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4 %</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914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177" w:lineRule="exact"/>
        <w:rPr>
          <w:sz w:val="20"/>
          <w:szCs w:val="20"/>
          <w:color w:val="auto"/>
        </w:rPr>
      </w:pPr>
    </w:p>
    <w:p>
      <w:pPr>
        <w:spacing w:after="0"/>
        <w:tabs>
          <w:tab w:leader="none" w:pos="200" w:val="left"/>
        </w:tabs>
        <w:rPr>
          <w:sz w:val="20"/>
          <w:szCs w:val="20"/>
          <w:color w:val="auto"/>
        </w:rPr>
      </w:pPr>
      <w:r>
        <w:rPr>
          <w:rFonts w:ascii="Arial" w:cs="Arial" w:eastAsia="Arial" w:hAnsi="Arial"/>
          <w:sz w:val="14"/>
          <w:szCs w:val="14"/>
          <w:color w:val="auto"/>
        </w:rPr>
        <w:t>*</w:t>
        <w:tab/>
        <w:t>Percentage is not meaningful.</w:t>
      </w:r>
    </w:p>
    <w:p>
      <w:pPr>
        <w:spacing w:after="0" w:line="13" w:lineRule="exact"/>
        <w:rPr>
          <w:sz w:val="20"/>
          <w:szCs w:val="20"/>
          <w:color w:val="auto"/>
        </w:rPr>
      </w:pPr>
    </w:p>
    <w:p>
      <w:pPr>
        <w:ind w:left="340" w:hanging="332"/>
        <w:spacing w:after="0" w:line="241" w:lineRule="auto"/>
        <w:tabs>
          <w:tab w:leader="none" w:pos="337"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Represents the amortization of deferred revenues recorded in connection with the tower installation and modification transactions described in note 4 to our condensed consolidated financial statements that result in permanent improvements to our towers. We receive no cash from, and are not party to, such transactions.</w:t>
      </w:r>
    </w:p>
    <w:p>
      <w:pPr>
        <w:ind w:left="320" w:hanging="312"/>
        <w:spacing w:after="0"/>
        <w:tabs>
          <w:tab w:leader="none" w:pos="3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Exclusive of depreciation, amortization and accretion shown separately and certain indirect costs included in the management fee.</w:t>
      </w:r>
    </w:p>
    <w:p>
      <w:pPr>
        <w:spacing w:after="0" w:line="15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First Quarter 2021 and 2020</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Total site rental revenues for the three months ended March 31, 2021 increased by $4.8 million, or 3%, from the same period in the prior year. The increase in total site rental revenues was impacted by the following items, inclusive of straight-line accounting: tenant additions across our entire portfolio, renewals or extensions of tenant contracts and escalations offset by non-renewals of tenant contracts. Tenant additions were influenced by our tenants' ongoing efforts to improve network quality and capacity.</w:t>
      </w:r>
    </w:p>
    <w:p>
      <w:pPr>
        <w:spacing w:after="0" w:line="13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Operating income for the three months ended March 31, 2021 increased by $2.7 million, or 4%, from the same period in the prior year. The increase in operating income was primarily due to the aforementioned increase in total site rental revenues, partially offset by an increase in the cost of operations from the three months ended March 31, 2020.</w:t>
      </w:r>
    </w:p>
    <w:p>
      <w:pPr>
        <w:spacing w:after="0" w:line="13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Interest expense and amortization of deferred financing costs for the three months ended March 31, 2021 remained unchanged from the same period in the prior year.</w:t>
      </w:r>
    </w:p>
    <w:p>
      <w:pPr>
        <w:spacing w:after="0" w:line="116"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Net income for the three months ended March 31, 2021 was $64.5 million, compared to net income of $61.8 million for the three months ended March 31, 2020. The increase was primarily due to the aforementioned increase in total site rental revenues.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i w:val="1"/>
          <w:iCs w:val="1"/>
          <w:color w:val="auto"/>
        </w:rPr>
        <w:t>General</w:t>
      </w:r>
      <w:r>
        <w:rPr>
          <w:rFonts w:ascii="Arial" w:cs="Arial" w:eastAsia="Arial" w:hAnsi="Arial"/>
          <w:sz w:val="17"/>
          <w:szCs w:val="17"/>
          <w:color w:val="auto"/>
        </w:rPr>
        <w:t>. Our core business generates revenues under long-term tenant contracts (See</w:t>
      </w:r>
      <w:r>
        <w:rPr>
          <w:rFonts w:ascii="Arial" w:cs="Arial" w:eastAsia="Arial" w:hAnsi="Arial"/>
          <w:sz w:val="17"/>
          <w:szCs w:val="17"/>
          <w:i w:val="1"/>
          <w:iCs w:val="1"/>
          <w:color w:val="auto"/>
        </w:rPr>
        <w:t xml:space="preserve"> "Item 2. MD&amp;A—General Overview"</w:t>
      </w:r>
      <w:r>
        <w:rPr>
          <w:rFonts w:ascii="Arial" w:cs="Arial" w:eastAsia="Arial" w:hAnsi="Arial"/>
          <w:sz w:val="17"/>
          <w:szCs w:val="17"/>
          <w:color w:val="auto"/>
        </w:rPr>
        <w:t>), from the largest U.S.</w:t>
      </w:r>
      <w:r>
        <w:rPr>
          <w:rFonts w:ascii="Arial" w:cs="Arial" w:eastAsia="Arial" w:hAnsi="Arial"/>
          <w:sz w:val="17"/>
          <w:szCs w:val="17"/>
          <w:i w:val="1"/>
          <w:iCs w:val="1"/>
          <w:color w:val="auto"/>
        </w:rPr>
        <w:t xml:space="preserve"> </w:t>
      </w:r>
      <w:r>
        <w:rPr>
          <w:rFonts w:ascii="Arial" w:cs="Arial" w:eastAsia="Arial" w:hAnsi="Arial"/>
          <w:sz w:val="17"/>
          <w:szCs w:val="17"/>
          <w:color w:val="auto"/>
        </w:rPr>
        <w:t>wireless carriers. Historically, our net cash provided by operating activities has exceeded our capital expenditures. For the foreseeable future, we expect to generate net cash provided by operating activities (exclusive of movements in working capital) that exceeds our capital expenditures. We seek to allocate the net cash generated from our business in a manner that we believe drives value for our member.</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sectPr>
      </w:pPr>
    </w:p>
    <w:bookmarkStart w:id="13" w:name="page14"/>
    <w:bookmarkEnd w:id="13"/>
    <w:p>
      <w:pPr>
        <w:jc w:val="both"/>
        <w:ind w:firstLine="405"/>
        <w:spacing w:after="0" w:line="263" w:lineRule="auto"/>
        <w:rPr>
          <w:sz w:val="20"/>
          <w:szCs w:val="20"/>
          <w:color w:val="auto"/>
        </w:rPr>
      </w:pPr>
      <w:r>
        <w:rPr>
          <w:rFonts w:ascii="Arial" w:cs="Arial" w:eastAsia="Arial" w:hAnsi="Arial"/>
          <w:sz w:val="18"/>
          <w:szCs w:val="18"/>
          <w:color w:val="auto"/>
        </w:rPr>
        <w:t>From a cash management perspective, we currently distribute cash on hand to our member above amounts required pursuant to the Management Agreement. If any future event would occur that would leave us with a deficiency in our operating cash flow, while not required, CCIC may contribute cash back to us.</w:t>
      </w:r>
    </w:p>
    <w:p>
      <w:pPr>
        <w:spacing w:after="0" w:line="13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CCIC operates as a REIT for U.S. federal income tax purposes. For U.S. federal income tax purposes, our assets and operations are included in the CCIC REIT. We expect to continue to pay minimal cash income taxes as a result of CCIC's REIT status and NOLs.</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Liquidity Position. </w:t>
      </w:r>
      <w:r>
        <w:rPr>
          <w:rFonts w:ascii="Arial" w:cs="Arial" w:eastAsia="Arial" w:hAnsi="Arial"/>
          <w:sz w:val="18"/>
          <w:szCs w:val="18"/>
          <w:color w:val="auto"/>
        </w:rPr>
        <w:t>The following is a summary of our capitalization and liquidity position as of March 31, 2021:</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9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of dollars)</w:t>
            </w:r>
          </w:p>
        </w:tc>
        <w:tc>
          <w:tcPr>
            <w:tcW w:w="3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March 31, 2021</w:t>
            </w:r>
          </w:p>
        </w:tc>
      </w:tr>
      <w:tr>
        <w:trPr>
          <w:trHeight w:val="216"/>
        </w:trPr>
        <w:tc>
          <w:tcPr>
            <w:tcW w:w="8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34,727</w:t>
            </w:r>
          </w:p>
        </w:tc>
      </w:tr>
      <w:tr>
        <w:trPr>
          <w:trHeight w:val="213"/>
        </w:trPr>
        <w:tc>
          <w:tcPr>
            <w:tcW w:w="8920" w:type="dxa"/>
            <w:vAlign w:val="bottom"/>
          </w:tcPr>
          <w:p>
            <w:pPr>
              <w:ind w:left="20"/>
              <w:spacing w:after="0"/>
              <w:rPr>
                <w:sz w:val="20"/>
                <w:szCs w:val="20"/>
                <w:color w:val="auto"/>
              </w:rPr>
            </w:pPr>
            <w:r>
              <w:rPr>
                <w:rFonts w:ascii="Arial" w:cs="Arial" w:eastAsia="Arial" w:hAnsi="Arial"/>
                <w:sz w:val="16"/>
                <w:szCs w:val="16"/>
                <w:color w:val="auto"/>
              </w:rPr>
              <w:t>Debt</w:t>
            </w:r>
          </w:p>
        </w:tc>
        <w:tc>
          <w:tcPr>
            <w:tcW w:w="3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997,161</w:t>
            </w:r>
          </w:p>
        </w:tc>
      </w:tr>
      <w:tr>
        <w:trPr>
          <w:trHeight w:val="219"/>
        </w:trPr>
        <w:tc>
          <w:tcPr>
            <w:tcW w:w="8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member's equity</w:t>
            </w:r>
          </w:p>
        </w:tc>
        <w:tc>
          <w:tcPr>
            <w:tcW w:w="3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1,885,296</w:t>
            </w:r>
          </w:p>
        </w:tc>
      </w:tr>
    </w:tbl>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Over the next 12 months:</w:t>
      </w:r>
    </w:p>
    <w:p>
      <w:pPr>
        <w:spacing w:after="0" w:line="117" w:lineRule="exact"/>
        <w:rPr>
          <w:sz w:val="20"/>
          <w:szCs w:val="20"/>
          <w:color w:val="auto"/>
        </w:rPr>
      </w:pPr>
    </w:p>
    <w:p>
      <w:pPr>
        <w:ind w:left="820" w:hanging="407"/>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expect that our net cash provided by operating activities should be sufficient to cover our expected capital expenditures.</w:t>
      </w:r>
    </w:p>
    <w:p>
      <w:pPr>
        <w:spacing w:after="0" w:line="23" w:lineRule="exact"/>
        <w:rPr>
          <w:rFonts w:ascii="Arial" w:cs="Arial" w:eastAsia="Arial" w:hAnsi="Arial"/>
          <w:sz w:val="18"/>
          <w:szCs w:val="18"/>
          <w:color w:val="auto"/>
        </w:rPr>
      </w:pPr>
    </w:p>
    <w:p>
      <w:pPr>
        <w:ind w:left="820" w:hanging="407"/>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no scheduled contractual debt maturities.</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3 to our condensed consolidated financial statements for additional information regarding our debt.</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Summary Cash Flow Information</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March 31,</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8"/>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of dollars)</w:t>
            </w:r>
          </w:p>
        </w:tc>
        <w:tc>
          <w:tcPr>
            <w:tcW w:w="26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Change</w:t>
            </w:r>
          </w:p>
        </w:tc>
      </w:tr>
      <w:tr>
        <w:trPr>
          <w:trHeight w:val="197"/>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for):</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6940" w:type="dxa"/>
            <w:vAlign w:val="bottom"/>
          </w:tcPr>
          <w:p>
            <w:pPr>
              <w:ind w:left="480"/>
              <w:spacing w:after="0"/>
              <w:rPr>
                <w:sz w:val="20"/>
                <w:szCs w:val="20"/>
                <w:color w:val="auto"/>
              </w:rPr>
            </w:pPr>
            <w:r>
              <w:rPr>
                <w:rFonts w:ascii="Arial" w:cs="Arial" w:eastAsia="Arial" w:hAnsi="Arial"/>
                <w:sz w:val="16"/>
                <w:szCs w:val="16"/>
                <w:color w:val="auto"/>
              </w:rPr>
              <w:t>Operating activities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137,995</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133,622</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4,373</w:t>
            </w:r>
          </w:p>
        </w:tc>
      </w:tr>
      <w:tr>
        <w:trPr>
          <w:trHeight w:val="219"/>
        </w:trPr>
        <w:tc>
          <w:tcPr>
            <w:tcW w:w="69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Investing activities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(16,442)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11,881</w:t>
            </w:r>
          </w:p>
        </w:tc>
      </w:tr>
      <w:tr>
        <w:trPr>
          <w:trHeight w:val="213"/>
        </w:trPr>
        <w:tc>
          <w:tcPr>
            <w:tcW w:w="694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Financing activities</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(116,146)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(108,620)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(7,526)</w:t>
            </w:r>
          </w:p>
        </w:tc>
      </w:tr>
      <w:tr>
        <w:trPr>
          <w:trHeight w:val="235"/>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17,288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8,560</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8,728</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71"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The increase in net cash provided by operating activities for the first three months of 2021 of $4.4 million, or 3%, from the first three months of 2020, was primarily due to growth in cash revenues, including cash escalations that are subject to straight-line accounting. Changes in working capital contribute to variability in net cash provided by operating activities, largely due to the timing of advanced payments by us and advanced receipts from tenants.</w:t>
      </w:r>
    </w:p>
    <w:p>
      <w:pPr>
        <w:sectPr>
          <w:pgSz w:w="11900" w:h="16838" w:orient="portrait"/>
          <w:cols w:equalWidth="0" w:num="1">
            <w:col w:w="11240"/>
          </w:cols>
          <w:pgMar w:left="320" w:top="13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type w:val="continuous"/>
        </w:sectPr>
      </w:pPr>
    </w:p>
    <w:bookmarkStart w:id="14" w:name="page15"/>
    <w:bookmarkEnd w:id="14"/>
    <w:p>
      <w:pPr>
        <w:ind w:left="420"/>
        <w:spacing w:after="0"/>
        <w:rPr>
          <w:sz w:val="20"/>
          <w:szCs w:val="20"/>
          <w:color w:val="auto"/>
        </w:rPr>
      </w:pPr>
      <w:r>
        <w:rPr>
          <w:rFonts w:ascii="Arial" w:cs="Arial" w:eastAsia="Arial" w:hAnsi="Arial"/>
          <w:sz w:val="18"/>
          <w:szCs w:val="18"/>
          <w:i w:val="1"/>
          <w:iCs w:val="1"/>
          <w:color w:val="auto"/>
        </w:rPr>
        <w:t>Investing Activities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Capital Expenditures</w:t>
      </w:r>
    </w:p>
    <w:p>
      <w:pPr>
        <w:spacing w:after="0" w:line="171" w:lineRule="exact"/>
        <w:rPr>
          <w:sz w:val="20"/>
          <w:szCs w:val="20"/>
          <w:color w:val="auto"/>
        </w:rPr>
      </w:pPr>
    </w:p>
    <w:p>
      <w:pPr>
        <w:ind w:firstLine="405"/>
        <w:spacing w:after="0" w:line="316" w:lineRule="auto"/>
        <w:rPr>
          <w:sz w:val="20"/>
          <w:szCs w:val="20"/>
          <w:color w:val="auto"/>
        </w:rPr>
      </w:pPr>
      <w:r>
        <w:rPr>
          <w:rFonts w:ascii="Arial" w:cs="Arial" w:eastAsia="Arial" w:hAnsi="Arial"/>
          <w:sz w:val="16"/>
          <w:szCs w:val="16"/>
          <w:color w:val="auto"/>
        </w:rPr>
        <w:t>Our capital expenditures are primarily recorded as a result of tower installation and modification services performed by CCUSA that result in permanent improvements to our towers. We receive no cash from, and are not party to, such transactions. Such capital expenditures include the following:</w:t>
      </w:r>
    </w:p>
    <w:p>
      <w:pPr>
        <w:spacing w:after="0" w:line="2" w:lineRule="exact"/>
        <w:rPr>
          <w:sz w:val="20"/>
          <w:szCs w:val="20"/>
          <w:color w:val="auto"/>
        </w:rPr>
      </w:pPr>
    </w:p>
    <w:p>
      <w:pPr>
        <w:jc w:val="both"/>
        <w:ind w:left="1140" w:hanging="241"/>
        <w:spacing w:after="0" w:line="269" w:lineRule="auto"/>
        <w:tabs>
          <w:tab w:leader="none" w:pos="1135" w:val="left"/>
        </w:tabs>
        <w:numPr>
          <w:ilvl w:val="0"/>
          <w:numId w:val="16"/>
        </w:numPr>
        <w:rPr>
          <w:rFonts w:ascii="Arial" w:cs="Arial" w:eastAsia="Arial" w:hAnsi="Arial"/>
          <w:sz w:val="17"/>
          <w:szCs w:val="17"/>
          <w:color w:val="auto"/>
        </w:rPr>
      </w:pPr>
      <w:r>
        <w:rPr>
          <w:rFonts w:ascii="Arial" w:cs="Arial" w:eastAsia="Arial" w:hAnsi="Arial"/>
          <w:sz w:val="17"/>
          <w:szCs w:val="17"/>
          <w:color w:val="auto"/>
        </w:rPr>
        <w:t>Discretionary capital expenditures primarily consist of expansion or development of sites (including capital expenditures related to (1) enhancing sites in order to add new tenants for the first time or support subsequent tenant equipment augmentations, or (2) modifying the structure of a site asset to accommodate additional tenants). Discretionary capital expenditures also include purchases of land interests (which primarily relate to land assets under towers as CCIC seeks to manage its interests in the land beneath its towers), certain technology-related investments necessary to support and scale future tenant demand for our sites, and other capital projects. The expansion or development of existing sites to accommodate new leasing typically varies based on, among other factors: (1) the type of site, (2) the scope, volume and mix of work performed on the site, (3) existing capacity prior to installation or (4) changes in structural engineering regulations and standards. Our decisions regarding discretionary capital expenditures are influenced by (1) sufficient potential to enhance CCIC's long-term stockholder value, (2) CCIC's availability and cost of capital and (3) CCIC's expected returns on alternative uses of cash, such as payments of dividends and investments.</w:t>
      </w:r>
    </w:p>
    <w:p>
      <w:pPr>
        <w:spacing w:after="0" w:line="23" w:lineRule="exact"/>
        <w:rPr>
          <w:rFonts w:ascii="Arial" w:cs="Arial" w:eastAsia="Arial" w:hAnsi="Arial"/>
          <w:sz w:val="17"/>
          <w:szCs w:val="17"/>
          <w:color w:val="auto"/>
        </w:rPr>
      </w:pPr>
    </w:p>
    <w:p>
      <w:pPr>
        <w:ind w:left="1140" w:hanging="241"/>
        <w:spacing w:after="0" w:line="277" w:lineRule="auto"/>
        <w:tabs>
          <w:tab w:leader="none" w:pos="11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Sustaining capital expenditures consist of maintenance capital expenditures on our sites that enable our tenants' ongoing quiet enjoyment of the site.</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Capital expenditures for the three months ended March 31, 2021 and 2020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March 31,</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8"/>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of dollars)</w:t>
            </w:r>
          </w:p>
        </w:tc>
        <w:tc>
          <w:tcPr>
            <w:tcW w:w="26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Change</w:t>
            </w:r>
          </w:p>
        </w:tc>
      </w:tr>
      <w:tr>
        <w:trPr>
          <w:trHeight w:val="211"/>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Discretionary</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3,811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15,311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(11,500)</w:t>
            </w:r>
          </w:p>
        </w:tc>
      </w:tr>
      <w:tr>
        <w:trPr>
          <w:trHeight w:val="213"/>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Sustaining</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750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1,131</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w:t>
            </w:r>
          </w:p>
        </w:tc>
      </w:tr>
      <w:tr>
        <w:trPr>
          <w:trHeight w:val="234"/>
        </w:trPr>
        <w:tc>
          <w:tcPr>
            <w:tcW w:w="6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4,561</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16,442</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(11,881)</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Discretionary capital expenditures were primarily impacted by the timing of tenant activity during the first three months of 2021 compared to the same period in 2020.</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Financing Activities</w:t>
      </w:r>
    </w:p>
    <w:p>
      <w:pPr>
        <w:spacing w:after="0" w:line="17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net cash flows used for financing activities during the three months ended March 31, 2021 and 2020 were impacted by our continued practice of distributing excess cash to our member.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2012 Secured Notes</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See the 2020 Form 10-K for a discussion of the 2012 Secured Notes, debt restrictions and disclosures about market risk. There are no financial maintenance covenants in the Secured Notes Indenture. We are currently not restricted in our ability to incur additional indebtedness or distribute cash to affiliates or issue dividends to our member.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and Reporting Matters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Accounting Policies and Estimates</w:t>
      </w:r>
    </w:p>
    <w:p>
      <w:pPr>
        <w:spacing w:after="0" w:line="17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 xml:space="preserve">Our critical accounting policies and estimates are those that we believe (1) are most important to the portrayal of our financial condition and results of operations or (2) require our most difficult, subjective or complex judgments, often as a result of the need to make estimates about the effect of matters that are inherently uncertain. In many cases, the accounting treatment of a particular transaction is specifically prescribed by GAAP. In other cases, management is required to exercise judgment in the application of accounting principles with respect to particular transactions. The critical accounting policies and estimates for 2021 are not intended to be a comprehensive list of our accounting policies and estimates. Our critical accounting policies and estimates as of December 31, 2020 are described in </w:t>
      </w:r>
      <w:r>
        <w:rPr>
          <w:rFonts w:ascii="Arial" w:cs="Arial" w:eastAsia="Arial" w:hAnsi="Arial"/>
          <w:sz w:val="18"/>
          <w:szCs w:val="18"/>
          <w:i w:val="1"/>
          <w:iCs w:val="1"/>
          <w:color w:val="auto"/>
        </w:rPr>
        <w:t>"Item 7. MD&amp;A—Accounting and Reporting Matters"</w:t>
      </w:r>
      <w:r>
        <w:rPr>
          <w:rFonts w:ascii="Arial" w:cs="Arial" w:eastAsia="Arial" w:hAnsi="Arial"/>
          <w:sz w:val="18"/>
          <w:szCs w:val="18"/>
          <w:color w:val="auto"/>
        </w:rPr>
        <w:t xml:space="preserve"> and in note 2 of our consolidated financial statements in the 2020 Form 10-K.</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Accounting Pronouncements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2 to our condensed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2 to our condensed consolidated financial statements.</w:t>
      </w:r>
    </w:p>
    <w:p>
      <w:pPr>
        <w:spacing w:after="0" w:line="16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75" w:lineRule="exact"/>
        <w:rPr>
          <w:sz w:val="20"/>
          <w:szCs w:val="20"/>
          <w:color w:val="auto"/>
        </w:rPr>
      </w:pPr>
    </w:p>
    <w:p>
      <w:pPr>
        <w:jc w:val="both"/>
        <w:ind w:firstLine="405"/>
        <w:spacing w:after="0" w:line="241" w:lineRule="auto"/>
        <w:rPr>
          <w:sz w:val="20"/>
          <w:szCs w:val="20"/>
          <w:color w:val="auto"/>
        </w:rPr>
      </w:pPr>
      <w:r>
        <w:rPr>
          <w:rFonts w:ascii="Arial" w:cs="Arial" w:eastAsia="Arial" w:hAnsi="Arial"/>
          <w:sz w:val="18"/>
          <w:szCs w:val="18"/>
          <w:color w:val="auto"/>
        </w:rPr>
        <w:t>The Company conducted an evaluation, under the supervision and with the participation of the Company's management, including the Company's Chief Executive Officer ("CEO") and Chief Financial Officer ("CFO"), of the effectiveness of the Company's disclosure controls and procedures as of the end of the period covered by this report. Based on their evaluation, the CEO and CFO concluded that as of March 31, 2021, the Company's disclosure controls and procedures were effective in alerting them in a timely manner to material information relating to the Company required to be included in the Company's periodic reports under the Securities Exchange Act of 1934, as amended.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There have been no changes in the Company's internal control over financial reporting during the fiscal quarter covered by this Form 10-Q that have materially affected, or are reasonably likely to materially affect, the Company's internal control over financial reporting.</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PART II—OTHER INFORMATION</w:t>
      </w:r>
    </w:p>
    <w:p>
      <w:pPr>
        <w:spacing w:after="0" w:line="17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the disclosure in note 7 to our condensed consolidated financial statements set forth in Part I, Item 1 of this Form 10-Q.</w:t>
      </w:r>
    </w:p>
    <w:p>
      <w:pPr>
        <w:spacing w:after="0" w:line="16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There are no material changes to the risk factors discussed in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in the 2020 Form 10-K.</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gridSpan w:val="4"/>
          </w:tcPr>
          <w:p>
            <w:pPr>
              <w:spacing w:after="0"/>
              <w:rPr>
                <w:sz w:val="20"/>
                <w:szCs w:val="20"/>
                <w:color w:val="auto"/>
              </w:rPr>
            </w:pPr>
            <w:r>
              <w:rPr>
                <w:rFonts w:ascii="Arial" w:cs="Arial" w:eastAsia="Arial" w:hAnsi="Arial"/>
                <w:sz w:val="18"/>
                <w:szCs w:val="18"/>
                <w:b w:val="1"/>
                <w:bCs w:val="1"/>
                <w:color w:val="auto"/>
              </w:rPr>
              <w:t>ITEM 6.</w:t>
            </w:r>
          </w:p>
        </w:tc>
        <w:tc>
          <w:tcPr>
            <w:tcW w:w="10000" w:type="dxa"/>
            <w:vAlign w:val="bottom"/>
            <w:gridSpan w:val="11"/>
          </w:tcPr>
          <w:p>
            <w:pPr>
              <w:ind w:left="200"/>
              <w:spacing w:after="0"/>
              <w:rPr>
                <w:sz w:val="20"/>
                <w:szCs w:val="20"/>
                <w:color w:val="auto"/>
              </w:rPr>
            </w:pPr>
            <w:r>
              <w:rPr>
                <w:rFonts w:ascii="Arial" w:cs="Arial" w:eastAsia="Arial" w:hAnsi="Arial"/>
                <w:sz w:val="18"/>
                <w:szCs w:val="18"/>
                <w:b w:val="1"/>
                <w:bCs w:val="1"/>
                <w:color w:val="auto"/>
              </w:rPr>
              <w:t>EXHIBITS</w:t>
            </w:r>
          </w:p>
        </w:tc>
      </w:tr>
      <w:tr>
        <w:trPr>
          <w:trHeight w:val="338"/>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40" w:type="dxa"/>
            <w:vAlign w:val="bottom"/>
            <w:gridSpan w:val="8"/>
          </w:tcPr>
          <w:p>
            <w:pPr>
              <w:ind w:left="2040"/>
              <w:spacing w:after="0"/>
              <w:rPr>
                <w:sz w:val="20"/>
                <w:szCs w:val="20"/>
                <w:color w:val="auto"/>
              </w:rPr>
            </w:pPr>
            <w:r>
              <w:rPr>
                <w:rFonts w:ascii="Arial" w:cs="Arial" w:eastAsia="Arial" w:hAnsi="Arial"/>
                <w:sz w:val="18"/>
                <w:szCs w:val="18"/>
                <w:b w:val="1"/>
                <w:bCs w:val="1"/>
                <w:color w:val="auto"/>
              </w:rPr>
              <w:t>Exhibit Index</w:t>
            </w:r>
          </w:p>
        </w:tc>
      </w:tr>
      <w:tr>
        <w:trPr>
          <w:trHeight w:val="331"/>
        </w:trPr>
        <w:tc>
          <w:tcPr>
            <w:tcW w:w="20" w:type="dxa"/>
            <w:vAlign w:val="bottom"/>
          </w:tcPr>
          <w:p>
            <w:pPr>
              <w:spacing w:after="0"/>
              <w:rPr>
                <w:sz w:val="24"/>
                <w:szCs w:val="24"/>
                <w:color w:val="auto"/>
              </w:rPr>
            </w:pPr>
          </w:p>
        </w:tc>
        <w:tc>
          <w:tcPr>
            <w:tcW w:w="108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560" w:type="dxa"/>
            <w:vAlign w:val="bottom"/>
          </w:tcPr>
          <w:p>
            <w:pPr>
              <w:spacing w:after="0"/>
              <w:rPr>
                <w:sz w:val="24"/>
                <w:szCs w:val="24"/>
                <w:color w:val="auto"/>
              </w:rPr>
            </w:pPr>
          </w:p>
        </w:tc>
        <w:tc>
          <w:tcPr>
            <w:tcW w:w="344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c>
          <w:tcPr>
            <w:tcW w:w="1060" w:type="dxa"/>
            <w:vAlign w:val="bottom"/>
            <w:tcBorders>
              <w:top w:val="single" w:sz="8" w:color="auto"/>
            </w:tcBorders>
          </w:tcPr>
          <w:p>
            <w:pPr>
              <w:spacing w:after="0"/>
              <w:rPr>
                <w:sz w:val="24"/>
                <w:szCs w:val="24"/>
                <w:color w:val="auto"/>
              </w:rPr>
            </w:pPr>
          </w:p>
        </w:tc>
        <w:tc>
          <w:tcPr>
            <w:tcW w:w="4940" w:type="dxa"/>
            <w:vAlign w:val="bottom"/>
            <w:gridSpan w:val="6"/>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90"/>
              </w:rPr>
              <w:t>(a)</w:t>
            </w:r>
          </w:p>
        </w:tc>
        <w:tc>
          <w:tcPr>
            <w:tcW w:w="440" w:type="dxa"/>
            <w:vAlign w:val="bottom"/>
          </w:tcPr>
          <w:p>
            <w:pPr>
              <w:ind w:left="80"/>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440" w:type="dxa"/>
            <w:vAlign w:val="bottom"/>
            <w:gridSpan w:val="10"/>
          </w:tcPr>
          <w:p>
            <w:pPr>
              <w:spacing w:after="0"/>
              <w:rPr>
                <w:rFonts w:ascii="Arial" w:cs="Arial" w:eastAsia="Arial" w:hAnsi="Arial"/>
                <w:sz w:val="18"/>
                <w:szCs w:val="18"/>
                <w:color w:val="0000FF"/>
              </w:rPr>
            </w:pPr>
            <w:hyperlink r:id="rId29">
              <w:r>
                <w:rPr>
                  <w:rFonts w:ascii="Arial" w:cs="Arial" w:eastAsia="Arial" w:hAnsi="Arial"/>
                  <w:sz w:val="18"/>
                  <w:szCs w:val="18"/>
                  <w:color w:val="0000FF"/>
                </w:rPr>
                <w:t>Certificate of Formation, as amended, of CC Holdings GS V LLC</w:t>
              </w:r>
            </w:hyperlink>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3340" w:type="dxa"/>
            <w:vAlign w:val="bottom"/>
            <w:gridSpan w:val="3"/>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90"/>
              </w:rPr>
              <w:t>(a)</w:t>
            </w:r>
          </w:p>
        </w:tc>
        <w:tc>
          <w:tcPr>
            <w:tcW w:w="440" w:type="dxa"/>
            <w:vAlign w:val="bottom"/>
          </w:tcPr>
          <w:p>
            <w:pPr>
              <w:ind w:left="8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140" w:type="dxa"/>
            <w:vAlign w:val="bottom"/>
            <w:tcBorders>
              <w:bottom w:val="single" w:sz="8" w:color="0000FF"/>
            </w:tcBorders>
            <w:gridSpan w:val="8"/>
          </w:tcPr>
          <w:p>
            <w:pPr>
              <w:spacing w:after="0"/>
              <w:rPr>
                <w:rFonts w:ascii="Arial" w:cs="Arial" w:eastAsia="Arial" w:hAnsi="Arial"/>
                <w:sz w:val="18"/>
                <w:szCs w:val="18"/>
                <w:color w:val="0000FF"/>
                <w:w w:val="92"/>
              </w:rPr>
            </w:pPr>
            <w:hyperlink r:id="rId30">
              <w:r>
                <w:rPr>
                  <w:rFonts w:ascii="Arial" w:cs="Arial" w:eastAsia="Arial" w:hAnsi="Arial"/>
                  <w:sz w:val="18"/>
                  <w:szCs w:val="18"/>
                  <w:color w:val="0000FF"/>
                  <w:w w:val="92"/>
                </w:rPr>
                <w:t>Second Amended and Restated Limited Liability Company Agreement of CC Holdings GS V LLC</w:t>
              </w:r>
            </w:hyperlink>
          </w:p>
        </w:tc>
        <w:tc>
          <w:tcPr>
            <w:tcW w:w="2300" w:type="dxa"/>
            <w:vAlign w:val="bottom"/>
            <w:gridSpan w:val="2"/>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90"/>
              </w:rPr>
              <w:t>(b)</w:t>
            </w:r>
          </w:p>
        </w:tc>
        <w:tc>
          <w:tcPr>
            <w:tcW w:w="440" w:type="dxa"/>
            <w:vAlign w:val="bottom"/>
          </w:tcPr>
          <w:p>
            <w:pPr>
              <w:ind w:left="8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0" w:type="dxa"/>
            <w:vAlign w:val="bottom"/>
            <w:tcBorders>
              <w:bottom w:val="single" w:sz="8" w:color="0000FF"/>
            </w:tcBorders>
            <w:gridSpan w:val="2"/>
          </w:tcPr>
          <w:p>
            <w:pPr>
              <w:spacing w:after="0"/>
              <w:rPr>
                <w:rFonts w:ascii="Arial" w:cs="Arial" w:eastAsia="Arial" w:hAnsi="Arial"/>
                <w:sz w:val="18"/>
                <w:szCs w:val="18"/>
                <w:color w:val="0000FF"/>
                <w:w w:val="91"/>
              </w:rPr>
            </w:pPr>
            <w:hyperlink r:id="rId31">
              <w:r>
                <w:rPr>
                  <w:rFonts w:ascii="Arial" w:cs="Arial" w:eastAsia="Arial" w:hAnsi="Arial"/>
                  <w:sz w:val="18"/>
                  <w:szCs w:val="18"/>
                  <w:color w:val="0000FF"/>
                  <w:w w:val="91"/>
                </w:rPr>
                <w:t>List of Subsidiaries</w:t>
              </w:r>
            </w:hyperlink>
          </w:p>
        </w:tc>
        <w:tc>
          <w:tcPr>
            <w:tcW w:w="8040" w:type="dxa"/>
            <w:vAlign w:val="bottom"/>
            <w:gridSpan w:val="8"/>
          </w:tcPr>
          <w:p>
            <w:pPr>
              <w:spacing w:after="0"/>
              <w:rPr>
                <w:sz w:val="22"/>
                <w:szCs w:val="22"/>
                <w:color w:val="auto"/>
              </w:rPr>
            </w:pPr>
          </w:p>
        </w:tc>
      </w:tr>
      <w:tr>
        <w:trPr>
          <w:trHeight w:val="263"/>
        </w:trPr>
        <w:tc>
          <w:tcPr>
            <w:tcW w:w="46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440" w:type="dxa"/>
            <w:vAlign w:val="bottom"/>
          </w:tcPr>
          <w:p>
            <w:pPr>
              <w:ind w:left="80"/>
              <w:spacing w:after="0"/>
              <w:rPr>
                <w:sz w:val="20"/>
                <w:szCs w:val="20"/>
                <w:color w:val="auto"/>
              </w:rPr>
            </w:pPr>
            <w:r>
              <w:rPr>
                <w:rFonts w:ascii="Arial" w:cs="Arial" w:eastAsia="Arial" w:hAnsi="Arial"/>
                <w:sz w:val="18"/>
                <w:szCs w:val="18"/>
                <w:color w:val="auto"/>
                <w:w w:val="96"/>
              </w:rPr>
              <w:t>31.1</w:t>
            </w: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920" w:type="dxa"/>
            <w:vAlign w:val="bottom"/>
            <w:tcBorders>
              <w:bottom w:val="single" w:sz="8" w:color="0000FF"/>
            </w:tcBorders>
            <w:gridSpan w:val="7"/>
          </w:tcPr>
          <w:p>
            <w:pPr>
              <w:spacing w:after="0"/>
              <w:rPr>
                <w:rFonts w:ascii="Arial" w:cs="Arial" w:eastAsia="Arial" w:hAnsi="Arial"/>
                <w:sz w:val="18"/>
                <w:szCs w:val="18"/>
                <w:color w:val="0000FF"/>
                <w:w w:val="92"/>
              </w:rPr>
            </w:pPr>
            <w:hyperlink w:anchor="page19">
              <w:r>
                <w:rPr>
                  <w:rFonts w:ascii="Arial" w:cs="Arial" w:eastAsia="Arial" w:hAnsi="Arial"/>
                  <w:sz w:val="18"/>
                  <w:szCs w:val="18"/>
                  <w:color w:val="0000FF"/>
                  <w:w w:val="92"/>
                </w:rPr>
                <w:t>Certification of Chief Executive Officer pursuant to Section 302 of Sarbanes-Oxley Act of 2002</w:t>
              </w:r>
            </w:hyperlink>
          </w:p>
        </w:tc>
        <w:tc>
          <w:tcPr>
            <w:tcW w:w="2520" w:type="dxa"/>
            <w:vAlign w:val="bottom"/>
            <w:gridSpan w:val="3"/>
          </w:tcPr>
          <w:p>
            <w:pPr>
              <w:spacing w:after="0"/>
              <w:rPr>
                <w:sz w:val="22"/>
                <w:szCs w:val="22"/>
                <w:color w:val="auto"/>
              </w:rPr>
            </w:pPr>
          </w:p>
        </w:tc>
      </w:tr>
      <w:tr>
        <w:trPr>
          <w:trHeight w:val="263"/>
        </w:trPr>
        <w:tc>
          <w:tcPr>
            <w:tcW w:w="46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440" w:type="dxa"/>
            <w:vAlign w:val="bottom"/>
          </w:tcPr>
          <w:p>
            <w:pPr>
              <w:ind w:left="80"/>
              <w:spacing w:after="0"/>
              <w:rPr>
                <w:sz w:val="20"/>
                <w:szCs w:val="20"/>
                <w:color w:val="auto"/>
              </w:rPr>
            </w:pPr>
            <w:r>
              <w:rPr>
                <w:rFonts w:ascii="Arial" w:cs="Arial" w:eastAsia="Arial" w:hAnsi="Arial"/>
                <w:sz w:val="18"/>
                <w:szCs w:val="18"/>
                <w:color w:val="auto"/>
                <w:w w:val="96"/>
              </w:rPr>
              <w:t>31.2</w:t>
            </w: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440" w:type="dxa"/>
            <w:vAlign w:val="bottom"/>
            <w:gridSpan w:val="10"/>
          </w:tcPr>
          <w:p>
            <w:pPr>
              <w:spacing w:after="0"/>
              <w:rPr>
                <w:rFonts w:ascii="Arial" w:cs="Arial" w:eastAsia="Arial" w:hAnsi="Arial"/>
                <w:sz w:val="18"/>
                <w:szCs w:val="18"/>
                <w:color w:val="0000FF"/>
              </w:rPr>
            </w:pPr>
            <w:hyperlink w:anchor="page20">
              <w:r>
                <w:rPr>
                  <w:rFonts w:ascii="Arial" w:cs="Arial" w:eastAsia="Arial" w:hAnsi="Arial"/>
                  <w:sz w:val="18"/>
                  <w:szCs w:val="18"/>
                  <w:color w:val="0000FF"/>
                </w:rPr>
                <w:t>Certification of Chief Financial Officer pursuant to Section 302 of Sarbanes-Oxley Act of 2002</w:t>
              </w:r>
            </w:hyperlink>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60" w:type="dxa"/>
            <w:vAlign w:val="bottom"/>
            <w:gridSpan w:val="6"/>
            <w:shd w:val="clear" w:color="auto" w:fill="0000FF"/>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440" w:type="dxa"/>
            <w:vAlign w:val="bottom"/>
          </w:tcPr>
          <w:p>
            <w:pPr>
              <w:ind w:left="80"/>
              <w:spacing w:after="0"/>
              <w:rPr>
                <w:sz w:val="20"/>
                <w:szCs w:val="20"/>
                <w:color w:val="auto"/>
              </w:rPr>
            </w:pPr>
            <w:r>
              <w:rPr>
                <w:rFonts w:ascii="Arial" w:cs="Arial" w:eastAsia="Arial" w:hAnsi="Arial"/>
                <w:sz w:val="18"/>
                <w:szCs w:val="18"/>
                <w:color w:val="auto"/>
                <w:w w:val="96"/>
              </w:rPr>
              <w:t>32.1</w:t>
            </w: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440" w:type="dxa"/>
            <w:vAlign w:val="bottom"/>
            <w:gridSpan w:val="10"/>
          </w:tcPr>
          <w:p>
            <w:pPr>
              <w:spacing w:after="0"/>
              <w:rPr>
                <w:rFonts w:ascii="Arial" w:cs="Arial" w:eastAsia="Arial" w:hAnsi="Arial"/>
                <w:sz w:val="18"/>
                <w:szCs w:val="18"/>
                <w:color w:val="0000FF"/>
                <w:w w:val="97"/>
              </w:rPr>
            </w:pPr>
            <w:hyperlink w:anchor="page21">
              <w:r>
                <w:rPr>
                  <w:rFonts w:ascii="Arial" w:cs="Arial" w:eastAsia="Arial" w:hAnsi="Arial"/>
                  <w:sz w:val="18"/>
                  <w:szCs w:val="18"/>
                  <w:color w:val="0000FF"/>
                  <w:w w:val="97"/>
                </w:rPr>
                <w:t>Certification of Chief Executive Officer and Chief Financial Officer pursuant to Section 906 of Sarbanes-Oxley Act of 2002</w:t>
              </w:r>
            </w:hyperlink>
          </w:p>
        </w:tc>
      </w:tr>
      <w:tr>
        <w:trPr>
          <w:trHeight w:val="20"/>
        </w:trPr>
        <w:tc>
          <w:tcPr>
            <w:tcW w:w="4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940" w:type="dxa"/>
            <w:vAlign w:val="bottom"/>
            <w:gridSpan w:val="9"/>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46"/>
        </w:trPr>
        <w:tc>
          <w:tcPr>
            <w:tcW w:w="46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440" w:type="dxa"/>
            <w:vAlign w:val="bottom"/>
          </w:tcPr>
          <w:p>
            <w:pPr>
              <w:ind w:left="80"/>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40" w:type="dxa"/>
            <w:vAlign w:val="bottom"/>
            <w:gridSpan w:val="10"/>
          </w:tcPr>
          <w:p>
            <w:pPr>
              <w:spacing w:after="0"/>
              <w:rPr>
                <w:sz w:val="20"/>
                <w:szCs w:val="20"/>
                <w:color w:val="auto"/>
              </w:rPr>
            </w:pPr>
            <w:r>
              <w:rPr>
                <w:rFonts w:ascii="Arial" w:cs="Arial" w:eastAsia="Arial" w:hAnsi="Arial"/>
                <w:sz w:val="17"/>
                <w:szCs w:val="17"/>
                <w:color w:val="auto"/>
                <w:w w:val="92"/>
              </w:rPr>
              <w:t>The following financial statements from CC Holdings GS V LLC's Quarterly Report on Form 10-Q for the quarter ended March 31, 2021,</w:t>
            </w:r>
          </w:p>
        </w:tc>
      </w:tr>
      <w:tr>
        <w:trPr>
          <w:trHeight w:val="162"/>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440" w:type="dxa"/>
            <w:vAlign w:val="bottom"/>
            <w:gridSpan w:val="10"/>
          </w:tcPr>
          <w:p>
            <w:pPr>
              <w:spacing w:after="0" w:line="162" w:lineRule="exact"/>
              <w:rPr>
                <w:sz w:val="20"/>
                <w:szCs w:val="20"/>
                <w:color w:val="auto"/>
              </w:rPr>
            </w:pPr>
            <w:r>
              <w:rPr>
                <w:rFonts w:ascii="Arial" w:cs="Arial" w:eastAsia="Arial" w:hAnsi="Arial"/>
                <w:sz w:val="17"/>
                <w:szCs w:val="17"/>
                <w:color w:val="auto"/>
              </w:rPr>
              <w:t>formatted in Inline XBRL: (i) Condensed Consolidated Balance Sheet, (ii) Condensed Consolidated Statement of Operations,</w:t>
            </w:r>
          </w:p>
        </w:tc>
      </w:tr>
    </w:tbl>
    <w:p>
      <w:pPr>
        <w:ind w:left="1660" w:right="100" w:hanging="1"/>
        <w:spacing w:after="0" w:line="223" w:lineRule="auto"/>
        <w:tabs>
          <w:tab w:leader="none" w:pos="1959"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Condensed Consolidated Statement of Cash Flows, (iv) Condensed Consolidated Statement of Changes of Member's Equity, and (v) Notes to Condensed Consolidated Financial Statements, tagged as blocks of text and including detailed tags</w:t>
      </w:r>
    </w:p>
    <w:p>
      <w:pPr>
        <w:spacing w:after="0" w:line="24"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1020" w:type="dxa"/>
            <w:vAlign w:val="bottom"/>
          </w:tcPr>
          <w:p>
            <w:pPr>
              <w:jc w:val="right"/>
              <w:ind w:right="350"/>
              <w:spacing w:after="0"/>
              <w:rPr>
                <w:sz w:val="20"/>
                <w:szCs w:val="20"/>
                <w:color w:val="auto"/>
              </w:rPr>
            </w:pPr>
            <w:r>
              <w:rPr>
                <w:rFonts w:ascii="Arial" w:cs="Arial" w:eastAsia="Arial" w:hAnsi="Arial"/>
                <w:sz w:val="18"/>
                <w:szCs w:val="18"/>
                <w:color w:val="auto"/>
              </w:rPr>
              <w:t>*   104</w:t>
            </w:r>
          </w:p>
        </w:tc>
        <w:tc>
          <w:tcPr>
            <w:tcW w:w="9860" w:type="dxa"/>
            <w:vAlign w:val="bottom"/>
          </w:tcPr>
          <w:p>
            <w:pPr>
              <w:ind w:left="420"/>
              <w:spacing w:after="0"/>
              <w:rPr>
                <w:sz w:val="20"/>
                <w:szCs w:val="20"/>
                <w:color w:val="auto"/>
              </w:rPr>
            </w:pPr>
            <w:r>
              <w:rPr>
                <w:rFonts w:ascii="Arial" w:cs="Arial" w:eastAsia="Arial" w:hAnsi="Arial"/>
                <w:sz w:val="17"/>
                <w:szCs w:val="17"/>
                <w:color w:val="auto"/>
                <w:w w:val="92"/>
              </w:rPr>
              <w:t>The cover page from CC Holdings GS V LLC's Quarterly Report on Form 10-Q for the quarter ended March 31, 2021, formatted in Inline</w:t>
            </w:r>
          </w:p>
        </w:tc>
      </w:tr>
      <w:tr>
        <w:trPr>
          <w:trHeight w:val="216"/>
        </w:trPr>
        <w:tc>
          <w:tcPr>
            <w:tcW w:w="1020" w:type="dxa"/>
            <w:vAlign w:val="bottom"/>
          </w:tcPr>
          <w:p>
            <w:pPr>
              <w:spacing w:after="0"/>
              <w:rPr>
                <w:sz w:val="18"/>
                <w:szCs w:val="18"/>
                <w:color w:val="auto"/>
              </w:rPr>
            </w:pPr>
          </w:p>
        </w:tc>
        <w:tc>
          <w:tcPr>
            <w:tcW w:w="9860" w:type="dxa"/>
            <w:vAlign w:val="bottom"/>
          </w:tcPr>
          <w:p>
            <w:pPr>
              <w:ind w:left="420"/>
              <w:spacing w:after="0"/>
              <w:rPr>
                <w:sz w:val="20"/>
                <w:szCs w:val="20"/>
                <w:color w:val="auto"/>
              </w:rPr>
            </w:pPr>
            <w:r>
              <w:rPr>
                <w:rFonts w:ascii="Arial" w:cs="Arial" w:eastAsia="Arial" w:hAnsi="Arial"/>
                <w:sz w:val="17"/>
                <w:szCs w:val="17"/>
                <w:color w:val="auto"/>
              </w:rPr>
              <w:t>XBRL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914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194" w:lineRule="exact"/>
        <w:rPr>
          <w:sz w:val="20"/>
          <w:szCs w:val="20"/>
          <w:color w:val="auto"/>
        </w:rPr>
      </w:pPr>
    </w:p>
    <w:p>
      <w:pPr>
        <w:spacing w:after="0"/>
        <w:tabs>
          <w:tab w:leader="none" w:pos="200" w:val="left"/>
        </w:tabs>
        <w:rPr>
          <w:sz w:val="20"/>
          <w:szCs w:val="20"/>
          <w:color w:val="auto"/>
        </w:rPr>
      </w:pPr>
      <w:r>
        <w:rPr>
          <w:rFonts w:ascii="Arial" w:cs="Arial" w:eastAsia="Arial" w:hAnsi="Arial"/>
          <w:sz w:val="14"/>
          <w:szCs w:val="14"/>
          <w:color w:val="auto"/>
        </w:rPr>
        <w:t>*</w:t>
        <w:tab/>
        <w:t>Filed herewith.</w:t>
      </w:r>
    </w:p>
    <w:p>
      <w:pPr>
        <w:spacing w:after="0" w:line="13" w:lineRule="exact"/>
        <w:rPr>
          <w:sz w:val="20"/>
          <w:szCs w:val="20"/>
          <w:color w:val="auto"/>
        </w:rPr>
      </w:pPr>
    </w:p>
    <w:p>
      <w:pPr>
        <w:spacing w:after="0"/>
        <w:tabs>
          <w:tab w:leader="none" w:pos="200" w:val="left"/>
        </w:tabs>
        <w:rPr>
          <w:sz w:val="20"/>
          <w:szCs w:val="20"/>
          <w:color w:val="auto"/>
        </w:rPr>
      </w:pPr>
      <w:r>
        <w:rPr>
          <w:rFonts w:ascii="Arial" w:cs="Arial" w:eastAsia="Arial" w:hAnsi="Arial"/>
          <w:sz w:val="14"/>
          <w:szCs w:val="14"/>
          <w:color w:val="auto"/>
        </w:rPr>
        <w:t>†</w:t>
        <w:tab/>
        <w:t>Furnished herewith.</w:t>
      </w:r>
    </w:p>
    <w:p>
      <w:pPr>
        <w:spacing w:after="0" w:line="1" w:lineRule="exact"/>
        <w:rPr>
          <w:sz w:val="20"/>
          <w:szCs w:val="20"/>
          <w:color w:val="auto"/>
        </w:rPr>
      </w:pPr>
    </w:p>
    <w:p>
      <w:pPr>
        <w:ind w:left="240" w:hanging="232"/>
        <w:spacing w:after="0"/>
        <w:tabs>
          <w:tab w:leader="none" w:pos="2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Incorporated by reference to the exhibit previously filed by the Registrant on Form S-4 (Registration No. 333-187970) on April 17, 2013.</w:t>
      </w:r>
    </w:p>
    <w:p>
      <w:pPr>
        <w:spacing w:after="0" w:line="1" w:lineRule="exact"/>
        <w:rPr>
          <w:rFonts w:ascii="Arial" w:cs="Arial" w:eastAsia="Arial" w:hAnsi="Arial"/>
          <w:sz w:val="14"/>
          <w:szCs w:val="14"/>
          <w:color w:val="auto"/>
        </w:rPr>
      </w:pPr>
    </w:p>
    <w:p>
      <w:pPr>
        <w:ind w:left="240" w:hanging="232"/>
        <w:spacing w:after="0"/>
        <w:tabs>
          <w:tab w:leader="none" w:pos="2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Incorporated by reference to the exhibit previously filed by the Registrant on Annual Report on Form 10-K for the year ended December 31, 2020.</w:t>
      </w:r>
    </w:p>
    <w:p>
      <w:pPr>
        <w:spacing w:after="0" w:line="200" w:lineRule="exact"/>
        <w:rPr>
          <w:sz w:val="20"/>
          <w:szCs w:val="20"/>
          <w:color w:val="auto"/>
        </w:rPr>
      </w:pPr>
    </w:p>
    <w:p>
      <w:pPr>
        <w:spacing w:after="0" w:line="34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53" w:right="479" w:bottom="1440" w:gutter="0" w:footer="0" w:header="0"/>
        </w:sectPr>
      </w:pPr>
    </w:p>
    <w:bookmarkStart w:id="17" w:name="page18"/>
    <w:bookmarkEnd w:id="17"/>
    <w:p>
      <w:pPr>
        <w:ind w:left="4560"/>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5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CC HOLDINGS GS V LLC</w:t>
      </w:r>
    </w:p>
    <w:p>
      <w:pPr>
        <w:spacing w:after="0" w:line="279" w:lineRule="exact"/>
        <w:rPr>
          <w:sz w:val="20"/>
          <w:szCs w:val="20"/>
          <w:color w:val="auto"/>
        </w:rPr>
      </w:pPr>
    </w:p>
    <w:p>
      <w:pPr>
        <w:ind w:left="1140"/>
        <w:spacing w:after="0"/>
        <w:tabs>
          <w:tab w:leader="none" w:pos="1660" w:val="left"/>
          <w:tab w:leader="none" w:pos="5820" w:val="left"/>
          <w:tab w:leader="none" w:pos="7220" w:val="left"/>
        </w:tabs>
        <w:rPr>
          <w:sz w:val="20"/>
          <w:szCs w:val="20"/>
          <w:color w:val="auto"/>
        </w:rPr>
      </w:pPr>
      <w:r>
        <w:rPr>
          <w:rFonts w:ascii="Arial" w:cs="Arial" w:eastAsia="Arial" w:hAnsi="Arial"/>
          <w:sz w:val="18"/>
          <w:szCs w:val="18"/>
          <w:color w:val="auto"/>
        </w:rPr>
        <w:t>Date:</w:t>
        <w:tab/>
        <w:t>May 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w:t>
      </w:r>
      <w:r>
        <w:rPr>
          <w:rFonts w:ascii="Arial" w:cs="Arial" w:eastAsia="Arial" w:hAnsi="Arial"/>
          <w:sz w:val="13"/>
          <w:szCs w:val="13"/>
          <w:color w:val="auto"/>
        </w:rPr>
        <w:t>ANIEL</w:t>
      </w:r>
      <w:r>
        <w:rPr>
          <w:rFonts w:ascii="Arial" w:cs="Arial" w:eastAsia="Arial" w:hAnsi="Arial"/>
          <w:sz w:val="17"/>
          <w:szCs w:val="17"/>
          <w:color w:val="auto"/>
        </w:rPr>
        <w:t xml:space="preserve"> K. S</w:t>
      </w:r>
      <w:r>
        <w:rPr>
          <w:rFonts w:ascii="Arial" w:cs="Arial" w:eastAsia="Arial" w:hAnsi="Arial"/>
          <w:sz w:val="13"/>
          <w:szCs w:val="13"/>
          <w:color w:val="auto"/>
        </w:rPr>
        <w:t>CHLANGER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14605</wp:posOffset>
            </wp:positionV>
            <wp:extent cx="24517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21" w:lineRule="exact"/>
        <w:rPr>
          <w:sz w:val="20"/>
          <w:szCs w:val="20"/>
          <w:color w:val="auto"/>
        </w:rPr>
      </w:pPr>
    </w:p>
    <w:p>
      <w:pPr>
        <w:jc w:val="center"/>
        <w:ind w:left="5160"/>
        <w:spacing w:after="0"/>
        <w:rPr>
          <w:sz w:val="20"/>
          <w:szCs w:val="20"/>
          <w:color w:val="auto"/>
        </w:rPr>
      </w:pPr>
      <w:r>
        <w:rPr>
          <w:rFonts w:ascii="Arial" w:cs="Arial" w:eastAsia="Arial" w:hAnsi="Arial"/>
          <w:sz w:val="14"/>
          <w:szCs w:val="14"/>
          <w:b w:val="1"/>
          <w:bCs w:val="1"/>
          <w:color w:val="auto"/>
        </w:rPr>
        <w:t>Daniel K. Schlanger</w:t>
      </w:r>
    </w:p>
    <w:p>
      <w:pPr>
        <w:spacing w:after="0" w:line="55" w:lineRule="exact"/>
        <w:rPr>
          <w:sz w:val="20"/>
          <w:szCs w:val="20"/>
          <w:color w:val="auto"/>
        </w:rPr>
      </w:pPr>
    </w:p>
    <w:p>
      <w:pPr>
        <w:jc w:val="center"/>
        <w:ind w:left="5160"/>
        <w:spacing w:after="0"/>
        <w:rPr>
          <w:sz w:val="20"/>
          <w:szCs w:val="20"/>
          <w:color w:val="auto"/>
        </w:rPr>
      </w:pPr>
      <w:r>
        <w:rPr>
          <w:rFonts w:ascii="Arial" w:cs="Arial" w:eastAsia="Arial" w:hAnsi="Arial"/>
          <w:sz w:val="14"/>
          <w:szCs w:val="14"/>
          <w:b w:val="1"/>
          <w:bCs w:val="1"/>
          <w:color w:val="auto"/>
        </w:rPr>
        <w:t>Executive Vice President and Chief Financial Officer</w:t>
      </w:r>
    </w:p>
    <w:p>
      <w:pPr>
        <w:spacing w:after="0" w:line="55" w:lineRule="exact"/>
        <w:rPr>
          <w:sz w:val="20"/>
          <w:szCs w:val="20"/>
          <w:color w:val="auto"/>
        </w:rPr>
      </w:pPr>
    </w:p>
    <w:p>
      <w:pPr>
        <w:jc w:val="center"/>
        <w:ind w:left="5160"/>
        <w:spacing w:after="0"/>
        <w:rPr>
          <w:sz w:val="20"/>
          <w:szCs w:val="20"/>
          <w:color w:val="auto"/>
        </w:rPr>
      </w:pPr>
      <w:r>
        <w:rPr>
          <w:rFonts w:ascii="Arial" w:cs="Arial" w:eastAsia="Arial" w:hAnsi="Arial"/>
          <w:sz w:val="14"/>
          <w:szCs w:val="14"/>
          <w:b w:val="1"/>
          <w:bCs w:val="1"/>
          <w:color w:val="auto"/>
        </w:rPr>
        <w:t>(Principal Financial Officer)</w:t>
      </w:r>
    </w:p>
    <w:p>
      <w:pPr>
        <w:spacing w:after="0" w:line="293" w:lineRule="exact"/>
        <w:rPr>
          <w:sz w:val="20"/>
          <w:szCs w:val="20"/>
          <w:color w:val="auto"/>
        </w:rPr>
      </w:pPr>
    </w:p>
    <w:p>
      <w:pPr>
        <w:ind w:left="1140"/>
        <w:spacing w:after="0"/>
        <w:tabs>
          <w:tab w:leader="none" w:pos="1660" w:val="left"/>
          <w:tab w:leader="none" w:pos="5820" w:val="left"/>
          <w:tab w:leader="none" w:pos="7320" w:val="left"/>
        </w:tabs>
        <w:rPr>
          <w:sz w:val="20"/>
          <w:szCs w:val="20"/>
          <w:color w:val="auto"/>
        </w:rPr>
      </w:pPr>
      <w:r>
        <w:rPr>
          <w:rFonts w:ascii="Arial" w:cs="Arial" w:eastAsia="Arial" w:hAnsi="Arial"/>
          <w:sz w:val="18"/>
          <w:szCs w:val="18"/>
          <w:color w:val="auto"/>
        </w:rPr>
        <w:t>Date:</w:t>
        <w:tab/>
        <w:t>May 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w:t>
      </w:r>
      <w:r>
        <w:rPr>
          <w:rFonts w:ascii="Arial" w:cs="Arial" w:eastAsia="Arial" w:hAnsi="Arial"/>
          <w:sz w:val="13"/>
          <w:szCs w:val="13"/>
          <w:color w:val="auto"/>
        </w:rPr>
        <w:t>OBERT</w:t>
      </w:r>
      <w:r>
        <w:rPr>
          <w:rFonts w:ascii="Arial" w:cs="Arial" w:eastAsia="Arial" w:hAnsi="Arial"/>
          <w:sz w:val="17"/>
          <w:szCs w:val="17"/>
          <w:color w:val="auto"/>
        </w:rPr>
        <w:t xml:space="preserve"> S. C</w:t>
      </w:r>
      <w:r>
        <w:rPr>
          <w:rFonts w:ascii="Arial" w:cs="Arial" w:eastAsia="Arial" w:hAnsi="Arial"/>
          <w:sz w:val="13"/>
          <w:szCs w:val="13"/>
          <w:color w:val="auto"/>
        </w:rPr>
        <w:t>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14605</wp:posOffset>
            </wp:positionV>
            <wp:extent cx="24517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21" w:lineRule="exact"/>
        <w:rPr>
          <w:sz w:val="20"/>
          <w:szCs w:val="20"/>
          <w:color w:val="auto"/>
        </w:rPr>
      </w:pPr>
    </w:p>
    <w:p>
      <w:pPr>
        <w:jc w:val="center"/>
        <w:ind w:left="5160"/>
        <w:spacing w:after="0"/>
        <w:rPr>
          <w:sz w:val="20"/>
          <w:szCs w:val="20"/>
          <w:color w:val="auto"/>
        </w:rPr>
      </w:pPr>
      <w:r>
        <w:rPr>
          <w:rFonts w:ascii="Arial" w:cs="Arial" w:eastAsia="Arial" w:hAnsi="Arial"/>
          <w:sz w:val="14"/>
          <w:szCs w:val="14"/>
          <w:b w:val="1"/>
          <w:bCs w:val="1"/>
          <w:color w:val="auto"/>
        </w:rPr>
        <w:t>Robert S. Collins</w:t>
      </w:r>
    </w:p>
    <w:p>
      <w:pPr>
        <w:spacing w:after="0" w:line="55" w:lineRule="exact"/>
        <w:rPr>
          <w:sz w:val="20"/>
          <w:szCs w:val="20"/>
          <w:color w:val="auto"/>
        </w:rPr>
      </w:pPr>
    </w:p>
    <w:p>
      <w:pPr>
        <w:jc w:val="center"/>
        <w:ind w:left="5160"/>
        <w:spacing w:after="0"/>
        <w:rPr>
          <w:sz w:val="20"/>
          <w:szCs w:val="20"/>
          <w:color w:val="auto"/>
        </w:rPr>
      </w:pPr>
      <w:r>
        <w:rPr>
          <w:rFonts w:ascii="Arial" w:cs="Arial" w:eastAsia="Arial" w:hAnsi="Arial"/>
          <w:sz w:val="14"/>
          <w:szCs w:val="14"/>
          <w:b w:val="1"/>
          <w:bCs w:val="1"/>
          <w:color w:val="auto"/>
        </w:rPr>
        <w:t>Vice President and Controller</w:t>
      </w:r>
    </w:p>
    <w:p>
      <w:pPr>
        <w:spacing w:after="0" w:line="55" w:lineRule="exact"/>
        <w:rPr>
          <w:sz w:val="20"/>
          <w:szCs w:val="20"/>
          <w:color w:val="auto"/>
        </w:rPr>
      </w:pPr>
    </w:p>
    <w:p>
      <w:pPr>
        <w:jc w:val="center"/>
        <w:ind w:left="5160"/>
        <w:spacing w:after="0"/>
        <w:rPr>
          <w:sz w:val="20"/>
          <w:szCs w:val="20"/>
          <w:color w:val="auto"/>
        </w:rPr>
      </w:pPr>
      <w:r>
        <w:rPr>
          <w:rFonts w:ascii="Arial" w:cs="Arial" w:eastAsia="Arial" w:hAnsi="Arial"/>
          <w:sz w:val="14"/>
          <w:szCs w:val="14"/>
          <w:b w:val="1"/>
          <w:b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174"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Jay A. Brown, certify that:</w:t>
      </w:r>
    </w:p>
    <w:p>
      <w:pPr>
        <w:spacing w:after="0" w:line="225"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report on Form 10-Q of CC Holdings GS V LLC (“registrant”);</w:t>
      </w:r>
    </w:p>
    <w:p>
      <w:pPr>
        <w:spacing w:after="0" w:line="171"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1300" w:hanging="644"/>
        <w:spacing w:after="0" w:line="263" w:lineRule="auto"/>
        <w:tabs>
          <w:tab w:leader="none" w:pos="1291"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1300" w:hanging="644"/>
        <w:spacing w:after="0" w:line="263" w:lineRule="auto"/>
        <w:tabs>
          <w:tab w:leader="none" w:pos="1288"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1300" w:hanging="644"/>
        <w:spacing w:after="0" w:line="342" w:lineRule="auto"/>
        <w:tabs>
          <w:tab w:leader="none" w:pos="1291"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hanging="644"/>
        <w:spacing w:after="0" w:line="263" w:lineRule="auto"/>
        <w:tabs>
          <w:tab w:leader="none" w:pos="1288"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hanging="644"/>
        <w:spacing w:after="0" w:line="308" w:lineRule="auto"/>
        <w:tabs>
          <w:tab w:leader="none" w:pos="1291" w:val="left"/>
        </w:tabs>
        <w:numPr>
          <w:ilvl w:val="1"/>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right="20" w:hanging="644"/>
        <w:spacing w:after="0" w:line="277" w:lineRule="auto"/>
        <w:tabs>
          <w:tab w:leader="none" w:pos="1288"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Date: May 3, 2021</w:t>
      </w:r>
    </w:p>
    <w:p>
      <w:pPr>
        <w:spacing w:after="0" w:line="200" w:lineRule="exact"/>
        <w:rPr>
          <w:sz w:val="20"/>
          <w:szCs w:val="20"/>
          <w:color w:val="auto"/>
        </w:rPr>
      </w:pPr>
    </w:p>
    <w:p>
      <w:pPr>
        <w:spacing w:after="0" w:line="349"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/s/ Jay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14605</wp:posOffset>
            </wp:positionV>
            <wp:extent cx="29146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spacing w:after="0" w:line="1"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Jay A. Brown</w:t>
      </w:r>
    </w:p>
    <w:p>
      <w:pPr>
        <w:ind w:left="66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9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Daniel K. Schlanger, certify that:</w:t>
      </w:r>
    </w:p>
    <w:p>
      <w:pPr>
        <w:spacing w:after="0" w:line="225"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report on Form 10-Q of CC Holdings GS V LLC (“registrant”);</w:t>
      </w:r>
    </w:p>
    <w:p>
      <w:pPr>
        <w:spacing w:after="0" w:line="171"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1300" w:hanging="644"/>
        <w:spacing w:after="0" w:line="263" w:lineRule="auto"/>
        <w:tabs>
          <w:tab w:leader="none" w:pos="1291"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1300" w:hanging="644"/>
        <w:spacing w:after="0" w:line="263" w:lineRule="auto"/>
        <w:tabs>
          <w:tab w:leader="none" w:pos="1288"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1300" w:hanging="644"/>
        <w:spacing w:after="0" w:line="342" w:lineRule="auto"/>
        <w:tabs>
          <w:tab w:leader="none" w:pos="1291"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hanging="644"/>
        <w:spacing w:after="0" w:line="263" w:lineRule="auto"/>
        <w:tabs>
          <w:tab w:leader="none" w:pos="1288"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hanging="644"/>
        <w:spacing w:after="0" w:line="308" w:lineRule="auto"/>
        <w:tabs>
          <w:tab w:leader="none" w:pos="1291" w:val="left"/>
        </w:tabs>
        <w:numPr>
          <w:ilvl w:val="1"/>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right="20" w:hanging="644"/>
        <w:spacing w:after="0" w:line="277" w:lineRule="auto"/>
        <w:tabs>
          <w:tab w:leader="none" w:pos="1288"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Date: May 3, 2021</w:t>
      </w:r>
    </w:p>
    <w:p>
      <w:pPr>
        <w:spacing w:after="0" w:line="200" w:lineRule="exact"/>
        <w:rPr>
          <w:sz w:val="20"/>
          <w:szCs w:val="20"/>
          <w:color w:val="auto"/>
        </w:rPr>
      </w:pPr>
    </w:p>
    <w:p>
      <w:pPr>
        <w:spacing w:after="0" w:line="34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Daniel K. Schlanger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21500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3215005" cy="8890"/>
                    </a:xfrm>
                    <a:prstGeom prst="rect">
                      <a:avLst/>
                    </a:prstGeom>
                    <a:noFill/>
                  </pic:spPr>
                </pic:pic>
              </a:graphicData>
            </a:graphic>
          </wp:anchor>
        </w:drawing>
      </w:r>
    </w:p>
    <w:p>
      <w:pPr>
        <w:spacing w:after="0" w:line="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Daniel K. Schlanger</w:t>
      </w:r>
    </w:p>
    <w:p>
      <w:pPr>
        <w:ind w:left="618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89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CC Holdings GS V LLC, a Delaware Corporation (“Company”), for the period ending March 31, 2021 as filed with the Securities and Exchange Commission on the date hereof (“Report”), each of the undersigned officers of the Company hereby certifies pursuant to 18 U.S.C. Section 1350, as adopted pursuant to Section 906 of the Sarbanes-Oxley Act of 2002, that to the best of such officer's knowledge:</w:t>
      </w:r>
    </w:p>
    <w:p>
      <w:pPr>
        <w:spacing w:after="0" w:line="214"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300" w:right="340" w:hanging="644"/>
        <w:spacing w:after="0" w:line="277" w:lineRule="auto"/>
        <w:tabs>
          <w:tab w:leader="none" w:pos="128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March 31, 2021 (the last date of the period covered by the Report).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 Jay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14605</wp:posOffset>
            </wp:positionV>
            <wp:extent cx="35915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3591560" cy="8890"/>
                    </a:xfrm>
                    <a:prstGeom prst="rect">
                      <a:avLst/>
                    </a:prstGeom>
                    <a:noFill/>
                  </pic:spPr>
                </pic:pic>
              </a:graphicData>
            </a:graphic>
          </wp:anchor>
        </w:drawing>
      </w:r>
    </w:p>
    <w:p>
      <w:pPr>
        <w:spacing w:after="0" w:line="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Jay A. Brown</w:t>
      </w:r>
    </w:p>
    <w:p>
      <w:pPr>
        <w:ind w:left="5340"/>
        <w:spacing w:after="0"/>
        <w:rPr>
          <w:sz w:val="20"/>
          <w:szCs w:val="20"/>
          <w:color w:val="auto"/>
        </w:rPr>
      </w:pPr>
      <w:r>
        <w:rPr>
          <w:rFonts w:ascii="Arial" w:cs="Arial" w:eastAsia="Arial" w:hAnsi="Arial"/>
          <w:sz w:val="18"/>
          <w:szCs w:val="18"/>
          <w:color w:val="auto"/>
        </w:rPr>
        <w:t>President and Chief Executive Officer</w:t>
      </w:r>
    </w:p>
    <w:p>
      <w:pPr>
        <w:spacing w:after="0" w:line="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May 3, 2021</w:t>
      </w:r>
    </w:p>
    <w:p>
      <w:pPr>
        <w:spacing w:after="0" w:line="238"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 Daniel K. Schlanger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14605</wp:posOffset>
            </wp:positionV>
            <wp:extent cx="35915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3591560" cy="8255"/>
                    </a:xfrm>
                    <a:prstGeom prst="rect">
                      <a:avLst/>
                    </a:prstGeom>
                    <a:noFill/>
                  </pic:spPr>
                </pic:pic>
              </a:graphicData>
            </a:graphic>
          </wp:anchor>
        </w:drawing>
      </w:r>
    </w:p>
    <w:p>
      <w:pPr>
        <w:spacing w:after="0" w:line="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Daniel K. Schlanger</w:t>
      </w:r>
    </w:p>
    <w:p>
      <w:pPr>
        <w:ind w:left="5340"/>
        <w:spacing w:after="0"/>
        <w:rPr>
          <w:sz w:val="20"/>
          <w:szCs w:val="20"/>
          <w:color w:val="auto"/>
        </w:rPr>
      </w:pPr>
      <w:r>
        <w:rPr>
          <w:rFonts w:ascii="Arial" w:cs="Arial" w:eastAsia="Arial" w:hAnsi="Arial"/>
          <w:sz w:val="18"/>
          <w:szCs w:val="18"/>
          <w:color w:val="auto"/>
        </w:rPr>
        <w:t>Executive Vice President and Chief Financial Officer</w:t>
      </w:r>
    </w:p>
    <w:p>
      <w:pPr>
        <w:spacing w:after="0" w:line="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May 3, 2021</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decimal"/>
      <w:start w:val="5"/>
    </w:lvl>
  </w:abstractNum>
  <w:abstractNum w:abstractNumId="1">
    <w:nsid w:val="1190CDE7"/>
    <w:multiLevelType w:val="hybridMultilevel"/>
    <w:lvl w:ilvl="0">
      <w:lvlJc w:val="left"/>
      <w:lvlText w:val="(%1)"/>
      <w:numFmt w:val="lowerLetter"/>
      <w:start w:val="1"/>
    </w:lvl>
  </w:abstractNum>
  <w:abstractNum w:abstractNumId="2">
    <w:nsid w:val="66EF438D"/>
    <w:multiLevelType w:val="hybridMultilevel"/>
    <w:lvl w:ilvl="0">
      <w:lvlJc w:val="left"/>
      <w:lvlText w:val="(%1)"/>
      <w:numFmt w:val="lowerLetter"/>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2"/>
    </w:lvl>
  </w:abstractNum>
  <w:abstractNum w:abstractNumId="5">
    <w:nsid w:val="109CF92E"/>
    <w:multiLevelType w:val="hybridMultilevel"/>
    <w:lvl w:ilvl="0">
      <w:lvlJc w:val="left"/>
      <w:lvlText w:val="%1."/>
      <w:numFmt w:val="decimal"/>
      <w:start w:val="3"/>
    </w:lvl>
  </w:abstractNum>
  <w:abstractNum w:abstractNumId="6">
    <w:nsid w:val="DED7263"/>
    <w:multiLevelType w:val="hybridMultilevel"/>
    <w:lvl w:ilvl="0">
      <w:lvlJc w:val="left"/>
      <w:lvlText w:val="%1."/>
      <w:numFmt w:val="decimal"/>
      <w:start w:val="4"/>
    </w:lvl>
  </w:abstractNum>
  <w:abstractNum w:abstractNumId="7">
    <w:nsid w:val="7FDCC233"/>
    <w:multiLevelType w:val="hybridMultilevel"/>
    <w:lvl w:ilvl="0">
      <w:lvlJc w:val="left"/>
      <w:lvlText w:val="%1."/>
      <w:numFmt w:val="decimal"/>
      <w:start w:val="5"/>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7"/>
    </w:lvl>
  </w:abstractNum>
  <w:abstractNum w:abstractNumId="10">
    <w:nsid w:val="6B68079A"/>
    <w:multiLevelType w:val="hybridMultilevel"/>
    <w:lvl w:ilvl="0">
      <w:lvlJc w:val="left"/>
      <w:lvlText w:val="(%1)"/>
      <w:numFmt w:val="lowerLetter"/>
      <w:start w:val="1"/>
    </w:lvl>
  </w:abstractNum>
  <w:abstractNum w:abstractNumId="11">
    <w:nsid w:val="4E6AFB66"/>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2">
    <w:nsid w:val="25E45D32"/>
    <w:multiLevelType w:val="hybridMultilevel"/>
    <w:lvl w:ilvl="0">
      <w:lvlJc w:val="left"/>
      <w:lvlText w:val="•"/>
      <w:numFmt w:val="bullet"/>
      <w:start w:val="1"/>
    </w:lvl>
    <w:lvl w:ilvl="1">
      <w:lvlJc w:val="left"/>
      <w:lvlText w:val="◦"/>
      <w:numFmt w:val="bullet"/>
      <w:start w:val="1"/>
    </w:lvl>
  </w:abstractNum>
  <w:abstractNum w:abstractNumId="13">
    <w:nsid w:val="519B500D"/>
    <w:multiLevelType w:val="hybridMultilevel"/>
    <w:lvl w:ilvl="0">
      <w:lvlJc w:val="left"/>
      <w:lvlText w:val="(%1)"/>
      <w:numFmt w:val="lowerLetter"/>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1)"/>
      <w:numFmt w:val="lowerRoman"/>
      <w:start w:val="3"/>
    </w:lvl>
  </w:abstractNum>
  <w:abstractNum w:abstractNumId="17">
    <w:nsid w:val="257130A3"/>
    <w:multiLevelType w:val="hybridMultilevel"/>
    <w:lvl w:ilvl="0">
      <w:lvlJc w:val="left"/>
      <w:lvlText w:val="(%1)"/>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29" Type="http://schemas.openxmlformats.org/officeDocument/2006/relationships/hyperlink" Target="http://www.sec.gov/Archives/edgar/data/1574211/000119312513158983/d519395dex31.htm" TargetMode="External"/><Relationship Id="rId30" Type="http://schemas.openxmlformats.org/officeDocument/2006/relationships/hyperlink" Target="http://www.sec.gov/Archives/edgar/data/1574211/000119312513158983/d519395dex32.htm" TargetMode="External"/><Relationship Id="rId31" Type="http://schemas.openxmlformats.org/officeDocument/2006/relationships/hyperlink" Target="https://www.sec.gov/Archives/edgar/data/1574291/000157429120000008/gsvexhibit2212311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2021-05-03T15:30:09Z</dcterms:created>
  <dcterms:modified xsi:type="dcterms:W3CDTF">2021-05-03T15:30:09Z</dcterms:modified>
</cp:coreProperties>
</file>