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608965</wp:posOffset>
            </wp:positionH>
            <wp:positionV relativeFrom="page">
              <wp:posOffset>482600</wp:posOffset>
            </wp:positionV>
            <wp:extent cx="67951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5135"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ind w:left="4680"/>
        <w:spacing w:after="0" w:line="236" w:lineRule="auto"/>
        <w:rPr>
          <w:sz w:val="20"/>
          <w:szCs w:val="20"/>
          <w:color w:val="auto"/>
        </w:rPr>
      </w:pPr>
      <w:r>
        <w:rPr>
          <w:rFonts w:ascii="Arial" w:cs="Arial" w:eastAsia="Arial" w:hAnsi="Arial"/>
          <w:sz w:val="11"/>
          <w:szCs w:val="11"/>
          <w:color w:val="auto"/>
        </w:rPr>
        <w:t>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ectPr>
          <w:pgSz w:w="11900" w:h="16838" w:orient="portrait"/>
          <w:cols w:equalWidth="0" w:num="1">
            <w:col w:w="11240"/>
          </w:cols>
          <w:pgMar w:left="320" w:top="1136" w:right="339" w:bottom="1440" w:gutter="0" w:footer="0" w:header="0"/>
        </w:sectPr>
      </w:pPr>
    </w:p>
    <w:p>
      <w:pPr>
        <w:spacing w:after="0" w:line="179" w:lineRule="exact"/>
        <w:rPr>
          <w:sz w:val="24"/>
          <w:szCs w:val="24"/>
          <w:color w:val="auto"/>
        </w:rPr>
      </w:pPr>
    </w:p>
    <w:p>
      <w:pPr>
        <w:ind w:left="122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2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180"/>
        <w:spacing w:after="0"/>
        <w:rPr>
          <w:sz w:val="20"/>
          <w:szCs w:val="20"/>
          <w:color w:val="auto"/>
        </w:rPr>
      </w:pPr>
      <w:r>
        <w:rPr>
          <w:rFonts w:ascii="Arial" w:cs="Arial" w:eastAsia="Arial" w:hAnsi="Arial"/>
          <w:sz w:val="11"/>
          <w:szCs w:val="11"/>
          <w:color w:val="auto"/>
        </w:rPr>
        <w:t>___________________________________</w:t>
      </w:r>
    </w:p>
    <w:p>
      <w:pPr>
        <w:spacing w:after="0" w:line="10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QUARTERLY REPORT PURSUANT TO SECTION 13 OR 15(d) OF THE SECURITIES EXCHANGE ACT OF 1934</w:t>
      </w:r>
    </w:p>
    <w:p>
      <w:pPr>
        <w:spacing w:after="0" w:line="211" w:lineRule="exact"/>
        <w:rPr>
          <w:sz w:val="24"/>
          <w:szCs w:val="24"/>
          <w:color w:val="auto"/>
        </w:rPr>
      </w:pPr>
    </w:p>
    <w:p>
      <w:pPr>
        <w:jc w:val="center"/>
        <w:ind w:right="1520"/>
        <w:spacing w:after="0"/>
        <w:rPr>
          <w:sz w:val="20"/>
          <w:szCs w:val="20"/>
          <w:color w:val="auto"/>
        </w:rPr>
      </w:pPr>
      <w:r>
        <w:rPr>
          <w:rFonts w:ascii="Arial" w:cs="Arial" w:eastAsia="Arial" w:hAnsi="Arial"/>
          <w:sz w:val="14"/>
          <w:szCs w:val="14"/>
          <w:color w:val="auto"/>
        </w:rPr>
        <w:t>For the quarterly period ended September 30, 2021</w:t>
      </w:r>
    </w:p>
    <w:p>
      <w:pPr>
        <w:spacing w:after="0" w:line="37" w:lineRule="exact"/>
        <w:rPr>
          <w:sz w:val="24"/>
          <w:szCs w:val="24"/>
          <w:color w:val="auto"/>
        </w:rPr>
      </w:pPr>
    </w:p>
    <w:p>
      <w:pPr>
        <w:jc w:val="center"/>
        <w:ind w:right="1520"/>
        <w:spacing w:after="0"/>
        <w:rPr>
          <w:sz w:val="20"/>
          <w:szCs w:val="20"/>
          <w:color w:val="auto"/>
        </w:rPr>
      </w:pPr>
      <w:r>
        <w:rPr>
          <w:rFonts w:ascii="Arial" w:cs="Arial" w:eastAsia="Arial" w:hAnsi="Arial"/>
          <w:sz w:val="14"/>
          <w:szCs w:val="14"/>
          <w:color w:val="auto"/>
        </w:rPr>
        <w:t>OR</w:t>
      </w:r>
    </w:p>
    <w:p>
      <w:pPr>
        <w:spacing w:after="0" w:line="11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97" w:lineRule="exact"/>
        <w:rPr>
          <w:sz w:val="24"/>
          <w:szCs w:val="24"/>
          <w:color w:val="auto"/>
        </w:rPr>
      </w:pPr>
    </w:p>
    <w:p>
      <w:pPr>
        <w:ind w:left="2900"/>
        <w:spacing w:after="0"/>
        <w:tabs>
          <w:tab w:leader="none" w:pos="4720" w:val="left"/>
        </w:tabs>
        <w:rPr>
          <w:sz w:val="20"/>
          <w:szCs w:val="20"/>
          <w:color w:val="auto"/>
        </w:rPr>
      </w:pPr>
      <w:r>
        <w:rPr>
          <w:rFonts w:ascii="Arial" w:cs="Arial" w:eastAsia="Arial" w:hAnsi="Arial"/>
          <w:sz w:val="14"/>
          <w:szCs w:val="14"/>
          <w:color w:val="auto"/>
        </w:rPr>
        <w:t>For the transition period</w:t>
      </w:r>
      <w:r>
        <w:rPr>
          <w:sz w:val="20"/>
          <w:szCs w:val="20"/>
          <w:color w:val="auto"/>
        </w:rPr>
        <w:tab/>
      </w:r>
      <w:r>
        <w:rPr>
          <w:rFonts w:ascii="Arial" w:cs="Arial" w:eastAsia="Arial" w:hAnsi="Arial"/>
          <w:sz w:val="14"/>
          <w:szCs w:val="14"/>
          <w:color w:val="auto"/>
        </w:rPr>
        <w:t>to</w:t>
      </w:r>
    </w:p>
    <w:p>
      <w:pPr>
        <w:spacing w:after="0" w:line="103"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Commission File Number 333-187970</w:t>
      </w:r>
    </w:p>
    <w:p>
      <w:pPr>
        <w:spacing w:after="0" w:line="12" w:lineRule="exact"/>
        <w:rPr>
          <w:sz w:val="24"/>
          <w:szCs w:val="24"/>
          <w:color w:val="auto"/>
        </w:rPr>
      </w:pPr>
    </w:p>
    <w:p>
      <w:pPr>
        <w:sectPr>
          <w:pgSz w:w="11900" w:h="16838" w:orient="portrait"/>
          <w:cols w:equalWidth="0" w:num="2">
            <w:col w:w="1400" w:space="120"/>
            <w:col w:w="9720"/>
          </w:cols>
          <w:pgMar w:left="320" w:top="1136" w:right="339" w:bottom="1440" w:gutter="0" w:footer="0" w:header="0"/>
          <w:type w:val="continuous"/>
        </w:sectPr>
      </w:pPr>
    </w:p>
    <w:p>
      <w:pPr>
        <w:ind w:left="4680"/>
        <w:spacing w:after="0"/>
        <w:rPr>
          <w:sz w:val="20"/>
          <w:szCs w:val="20"/>
          <w:color w:val="auto"/>
        </w:rPr>
      </w:pPr>
      <w:r>
        <w:rPr>
          <w:rFonts w:ascii="Arial" w:cs="Arial" w:eastAsia="Arial" w:hAnsi="Arial"/>
          <w:sz w:val="11"/>
          <w:szCs w:val="11"/>
          <w:color w:val="auto"/>
        </w:rPr>
        <w:t>____________________________________</w:t>
      </w:r>
    </w:p>
    <w:p>
      <w:pPr>
        <w:jc w:val="center"/>
        <w:spacing w:after="0" w:line="232" w:lineRule="auto"/>
        <w:rPr>
          <w:sz w:val="20"/>
          <w:szCs w:val="20"/>
          <w:color w:val="auto"/>
        </w:rPr>
      </w:pPr>
      <w:r>
        <w:rPr>
          <w:rFonts w:ascii="Arial" w:cs="Arial" w:eastAsia="Arial" w:hAnsi="Arial"/>
          <w:sz w:val="42"/>
          <w:szCs w:val="42"/>
          <w:b w:val="1"/>
          <w:bCs w:val="1"/>
          <w:color w:val="auto"/>
        </w:rPr>
        <w:t>CC HOLDINGS GS V LLC</w:t>
      </w: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69" w:lineRule="exact"/>
        <w:rPr>
          <w:sz w:val="24"/>
          <w:szCs w:val="24"/>
          <w:color w:val="auto"/>
        </w:rPr>
      </w:pPr>
    </w:p>
    <w:p>
      <w:pPr>
        <w:ind w:left="3040"/>
        <w:spacing w:after="0"/>
        <w:tabs>
          <w:tab w:leader="none" w:pos="74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20-4300339</w:t>
      </w:r>
    </w:p>
    <w:p>
      <w:pPr>
        <w:spacing w:after="0" w:line="49" w:lineRule="exact"/>
        <w:rPr>
          <w:sz w:val="24"/>
          <w:szCs w:val="24"/>
          <w:color w:val="auto"/>
        </w:rPr>
      </w:pPr>
    </w:p>
    <w:p>
      <w:pPr>
        <w:ind w:left="2660"/>
        <w:spacing w:after="0"/>
        <w:tabs>
          <w:tab w:leader="none" w:pos="7400" w:val="left"/>
        </w:tabs>
        <w:rPr>
          <w:sz w:val="20"/>
          <w:szCs w:val="20"/>
          <w:color w:val="auto"/>
        </w:rPr>
      </w:pPr>
      <w:r>
        <w:rPr>
          <w:rFonts w:ascii="Arial" w:cs="Arial" w:eastAsia="Arial" w:hAnsi="Arial"/>
          <w:sz w:val="12"/>
          <w:szCs w:val="12"/>
          <w:b w:val="1"/>
          <w:bCs w:val="1"/>
          <w:color w:val="auto"/>
        </w:rPr>
        <w:t>(State or other jurisdiction</w:t>
      </w:r>
      <w:r>
        <w:rPr>
          <w:sz w:val="20"/>
          <w:szCs w:val="20"/>
          <w:color w:val="auto"/>
        </w:rPr>
        <w:tab/>
      </w:r>
      <w:r>
        <w:rPr>
          <w:rFonts w:ascii="Arial" w:cs="Arial" w:eastAsia="Arial" w:hAnsi="Arial"/>
          <w:sz w:val="11"/>
          <w:szCs w:val="11"/>
          <w:b w:val="1"/>
          <w:bCs w:val="1"/>
          <w:color w:val="auto"/>
        </w:rPr>
        <w:t>(I.R.S. Employer</w:t>
      </w:r>
    </w:p>
    <w:p>
      <w:pPr>
        <w:spacing w:after="0" w:line="21" w:lineRule="exact"/>
        <w:rPr>
          <w:sz w:val="24"/>
          <w:szCs w:val="24"/>
          <w:color w:val="auto"/>
        </w:rPr>
      </w:pPr>
    </w:p>
    <w:p>
      <w:pPr>
        <w:ind w:left="2480"/>
        <w:spacing w:after="0"/>
        <w:tabs>
          <w:tab w:leader="none" w:pos="7380" w:val="left"/>
        </w:tabs>
        <w:rPr>
          <w:sz w:val="20"/>
          <w:szCs w:val="20"/>
          <w:color w:val="auto"/>
        </w:rPr>
      </w:pPr>
      <w:r>
        <w:rPr>
          <w:rFonts w:ascii="Arial" w:cs="Arial" w:eastAsia="Arial" w:hAnsi="Arial"/>
          <w:sz w:val="12"/>
          <w:szCs w:val="12"/>
          <w:b w:val="1"/>
          <w:bCs w:val="1"/>
          <w:color w:val="auto"/>
        </w:rPr>
        <w:t>of incorporation or organization)</w:t>
      </w:r>
      <w:r>
        <w:rPr>
          <w:sz w:val="20"/>
          <w:szCs w:val="20"/>
          <w:color w:val="auto"/>
        </w:rPr>
        <w:tab/>
      </w:r>
      <w:r>
        <w:rPr>
          <w:rFonts w:ascii="Arial" w:cs="Arial" w:eastAsia="Arial" w:hAnsi="Arial"/>
          <w:sz w:val="11"/>
          <w:szCs w:val="11"/>
          <w:b w:val="1"/>
          <w:bCs w:val="1"/>
          <w:color w:val="auto"/>
        </w:rPr>
        <w:t>Identification No.)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8020 Katy Freeway, Houston, Texas 77024-1908</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executives office) (Zip Code)</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(713) 570-3000</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54" w:lineRule="exact"/>
        <w:rPr>
          <w:sz w:val="24"/>
          <w:szCs w:val="24"/>
          <w:color w:val="auto"/>
        </w:rPr>
      </w:pPr>
    </w:p>
    <w:p>
      <w:pPr>
        <w:ind w:left="4680"/>
        <w:spacing w:after="0"/>
        <w:rPr>
          <w:sz w:val="20"/>
          <w:szCs w:val="20"/>
          <w:color w:val="auto"/>
        </w:rPr>
      </w:pPr>
      <w:r>
        <w:rPr>
          <w:rFonts w:ascii="Arial" w:cs="Arial" w:eastAsia="Arial" w:hAnsi="Arial"/>
          <w:sz w:val="11"/>
          <w:szCs w:val="11"/>
          <w:color w:val="auto"/>
        </w:rPr>
        <w:t>____________________________________</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 None.</w:t>
      </w:r>
    </w:p>
    <w:p>
      <w:pPr>
        <w:spacing w:after="0" w:line="88" w:lineRule="exact"/>
        <w:rPr>
          <w:sz w:val="24"/>
          <w:szCs w:val="24"/>
          <w:color w:val="auto"/>
        </w:rPr>
      </w:pPr>
    </w:p>
    <w:tbl>
      <w:tblPr>
        <w:tblLayout w:type="fixed"/>
        <w:tblInd w:w="30" w:type="dxa"/>
        <w:tblCellMar>
          <w:top w:w="0" w:type="dxa"/>
          <w:left w:w="0" w:type="dxa"/>
          <w:bottom w:w="0" w:type="dxa"/>
          <w:right w:w="0" w:type="dxa"/>
        </w:tblCellMar>
      </w:tblPr>
      <w:tr>
        <w:trPr>
          <w:trHeight w:val="197"/>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3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Trading Symbol(s)</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76"/>
        </w:trPr>
        <w:tc>
          <w:tcPr>
            <w:tcW w:w="40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3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4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N/A</w:t>
            </w:r>
          </w:p>
        </w:tc>
      </w:tr>
    </w:tbl>
    <w:p>
      <w:pPr>
        <w:spacing w:after="0" w:line="179" w:lineRule="exact"/>
        <w:rPr>
          <w:sz w:val="24"/>
          <w:szCs w:val="24"/>
          <w:color w:val="auto"/>
        </w:rPr>
      </w:pPr>
    </w:p>
    <w:p>
      <w:pPr>
        <w:jc w:val="both"/>
        <w:ind w:firstLine="316"/>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316"/>
        <w:spacing w:after="0" w:line="249" w:lineRule="auto"/>
        <w:rPr>
          <w:sz w:val="20"/>
          <w:szCs w:val="20"/>
          <w:color w:val="auto"/>
        </w:rPr>
      </w:pPr>
      <w:r>
        <w:rPr>
          <w:rFonts w:ascii="Arial" w:cs="Arial" w:eastAsia="Arial" w:hAnsi="Arial"/>
          <w:sz w:val="14"/>
          <w:szCs w:val="14"/>
          <w:i w:val="1"/>
          <w:iCs w:val="1"/>
          <w:color w:val="auto"/>
        </w:rPr>
        <w:t>Explanatory Note: The registrant is a voluntary filer and not subject to the filing requirements of Section 13 or 15(d) of the Securities Exchange Act of 1934; however, the registrant has filed all reports that would have been required to be filed by Section 13 or 15(d) of the Securities Exchange Act of 1934 during the preceding 12 months had the registrant been subject to such filing requirements.</w:t>
      </w:r>
    </w:p>
    <w:p>
      <w:pPr>
        <w:spacing w:after="0" w:line="79" w:lineRule="exact"/>
        <w:rPr>
          <w:sz w:val="24"/>
          <w:szCs w:val="24"/>
          <w:color w:val="auto"/>
        </w:rPr>
      </w:pPr>
    </w:p>
    <w:p>
      <w:pPr>
        <w:jc w:val="both"/>
        <w:ind w:firstLine="316"/>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7"/>
          <w:szCs w:val="17"/>
          <w:color w:val="auto"/>
        </w:rPr>
        <w:t>☐</w:t>
      </w:r>
    </w:p>
    <w:p>
      <w:pPr>
        <w:spacing w:after="0" w:line="68" w:lineRule="exact"/>
        <w:rPr>
          <w:sz w:val="24"/>
          <w:szCs w:val="24"/>
          <w:color w:val="auto"/>
        </w:rPr>
      </w:pPr>
    </w:p>
    <w:p>
      <w:pPr>
        <w:jc w:val="both"/>
        <w:ind w:firstLine="316"/>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tbl>
      <w:tblPr>
        <w:tblLayout w:type="fixed"/>
        <w:tblInd w:w="380" w:type="dxa"/>
        <w:tblCellMar>
          <w:top w:w="0" w:type="dxa"/>
          <w:left w:w="0" w:type="dxa"/>
          <w:bottom w:w="0" w:type="dxa"/>
          <w:right w:w="0" w:type="dxa"/>
        </w:tblCellMar>
      </w:tblPr>
      <w:tr>
        <w:trPr>
          <w:trHeight w:val="224"/>
        </w:trPr>
        <w:tc>
          <w:tcPr>
            <w:tcW w:w="18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9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4"/>
                <w:szCs w:val="14"/>
                <w:color w:val="auto"/>
              </w:rPr>
              <w:t>Accelerated filer</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4"/>
        </w:trPr>
        <w:tc>
          <w:tcPr>
            <w:tcW w:w="1840" w:type="dxa"/>
            <w:vAlign w:val="bottom"/>
          </w:tcPr>
          <w:p>
            <w:pPr>
              <w:spacing w:after="0"/>
              <w:rPr>
                <w:sz w:val="20"/>
                <w:szCs w:val="20"/>
                <w:color w:val="auto"/>
              </w:rPr>
            </w:pPr>
            <w:r>
              <w:rPr>
                <w:rFonts w:ascii="Arial" w:cs="Arial" w:eastAsia="Arial" w:hAnsi="Arial"/>
                <w:sz w:val="14"/>
                <w:szCs w:val="14"/>
                <w:color w:val="auto"/>
              </w:rPr>
              <w:t>Non-accelerated filer</w:t>
            </w:r>
          </w:p>
        </w:tc>
        <w:tc>
          <w:tcPr>
            <w:tcW w:w="29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160"/>
              <w:spacing w:after="0"/>
              <w:rPr>
                <w:sz w:val="20"/>
                <w:szCs w:val="20"/>
                <w:color w:val="auto"/>
              </w:rPr>
            </w:pPr>
            <w:r>
              <w:rPr>
                <w:rFonts w:ascii="Arial" w:cs="Arial" w:eastAsia="Arial" w:hAnsi="Arial"/>
                <w:sz w:val="14"/>
                <w:szCs w:val="14"/>
                <w:color w:val="auto"/>
              </w:rPr>
              <w:t>Smaller reporting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5"/>
        </w:trPr>
        <w:tc>
          <w:tcPr>
            <w:tcW w:w="18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40" w:type="dxa"/>
            <w:vAlign w:val="bottom"/>
          </w:tcPr>
          <w:p>
            <w:pPr>
              <w:ind w:left="2160"/>
              <w:spacing w:after="0"/>
              <w:rPr>
                <w:sz w:val="20"/>
                <w:szCs w:val="20"/>
                <w:color w:val="auto"/>
              </w:rPr>
            </w:pPr>
            <w:r>
              <w:rPr>
                <w:rFonts w:ascii="Arial" w:cs="Arial" w:eastAsia="Arial" w:hAnsi="Arial"/>
                <w:sz w:val="14"/>
                <w:szCs w:val="14"/>
                <w:color w:val="auto"/>
              </w:rPr>
              <w:t>Emerging growth company</w:t>
            </w:r>
          </w:p>
        </w:tc>
        <w:tc>
          <w:tcPr>
            <w:tcW w:w="100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74"/>
              </w:rPr>
              <w:t>☐</w:t>
            </w:r>
          </w:p>
        </w:tc>
      </w:tr>
    </w:tbl>
    <w:p>
      <w:pPr>
        <w:ind w:left="380" w:right="440"/>
        <w:spacing w:after="0" w:line="18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85" w:lineRule="exact"/>
        <w:rPr>
          <w:sz w:val="24"/>
          <w:szCs w:val="24"/>
          <w:color w:val="auto"/>
        </w:rPr>
      </w:pPr>
    </w:p>
    <w:p>
      <w:pPr>
        <w:ind w:firstLine="316"/>
        <w:spacing w:after="0" w:line="18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1" w:lineRule="exact"/>
        <w:rPr>
          <w:sz w:val="24"/>
          <w:szCs w:val="24"/>
          <w:color w:val="auto"/>
        </w:rPr>
      </w:pPr>
    </w:p>
    <w:p>
      <w:pPr>
        <w:ind w:left="320" w:right="3280"/>
        <w:spacing w:after="0" w:line="262"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5"/>
          <w:szCs w:val="15"/>
          <w:color w:val="auto"/>
        </w:rPr>
        <w:t>☒</w:t>
      </w:r>
      <w:r>
        <w:rPr>
          <w:rFonts w:ascii="Arial" w:cs="Arial" w:eastAsia="Arial" w:hAnsi="Arial"/>
          <w:sz w:val="13"/>
          <w:szCs w:val="13"/>
          <w:color w:val="auto"/>
        </w:rPr>
        <w:t xml:space="preserve"> As of September 30, 2021, the only member of the registrant is a wholly-owned indirect subsidiary of Crown Castle International Corp.</w:t>
      </w:r>
    </w:p>
    <w:p>
      <w:pPr>
        <w:spacing w:after="0" w:line="85" w:lineRule="exact"/>
        <w:rPr>
          <w:sz w:val="24"/>
          <w:szCs w:val="24"/>
          <w:color w:val="auto"/>
        </w:rPr>
      </w:pPr>
    </w:p>
    <w:p>
      <w:pPr>
        <w:ind w:firstLine="316"/>
        <w:spacing w:after="0" w:line="26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 (H)(1)(a) and (b) of Form 10-Q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294005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5"/>
        </w:trPr>
        <w:tc>
          <w:tcPr>
            <w:tcW w:w="2900" w:type="dxa"/>
            <w:vAlign w:val="bottom"/>
            <w:tcBorders>
              <w:bottom w:val="single" w:sz="8" w:color="auto"/>
            </w:tcBorders>
            <w:gridSpan w:val="8"/>
          </w:tcPr>
          <w:p>
            <w:pPr>
              <w:spacing w:after="0" w:line="185" w:lineRule="exact"/>
              <w:rPr>
                <w:sz w:val="20"/>
                <w:szCs w:val="20"/>
                <w:color w:val="auto"/>
              </w:rPr>
            </w:pPr>
            <w:r>
              <w:rPr>
                <w:rFonts w:ascii="Arial" w:cs="Arial" w:eastAsia="Arial" w:hAnsi="Arial"/>
                <w:sz w:val="18"/>
                <w:szCs w:val="18"/>
                <w:color w:val="auto"/>
                <w:w w:val="95"/>
              </w:rPr>
              <w:t>PART I—FINANCIAL INFORMATION</w:t>
            </w:r>
          </w:p>
        </w:tc>
        <w:tc>
          <w:tcPr>
            <w:tcW w:w="7080" w:type="dxa"/>
            <w:vAlign w:val="bottom"/>
            <w:gridSpan w:val="10"/>
          </w:tcPr>
          <w:p>
            <w:pPr>
              <w:spacing w:after="0"/>
              <w:rPr>
                <w:sz w:val="16"/>
                <w:szCs w:val="16"/>
                <w:color w:val="auto"/>
              </w:rPr>
            </w:pPr>
          </w:p>
        </w:tc>
        <w:tc>
          <w:tcPr>
            <w:tcW w:w="110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85"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1.</w:t>
            </w:r>
          </w:p>
        </w:tc>
        <w:tc>
          <w:tcPr>
            <w:tcW w:w="2100" w:type="dxa"/>
            <w:vAlign w:val="bottom"/>
            <w:tcBorders>
              <w:bottom w:val="single" w:sz="8" w:color="auto"/>
            </w:tcBorders>
            <w:gridSpan w:val="7"/>
          </w:tcPr>
          <w:p>
            <w:pPr>
              <w:spacing w:after="0" w:line="204" w:lineRule="exact"/>
              <w:rPr>
                <w:sz w:val="20"/>
                <w:szCs w:val="20"/>
                <w:color w:val="auto"/>
              </w:rPr>
            </w:pPr>
            <w:r>
              <w:rPr>
                <w:rFonts w:ascii="Arial" w:cs="Arial" w:eastAsia="Arial" w:hAnsi="Arial"/>
                <w:sz w:val="18"/>
                <w:szCs w:val="18"/>
                <w:color w:val="auto"/>
                <w:w w:val="94"/>
              </w:rPr>
              <w:t>FINANCIAL STATEMENTS</w:t>
            </w:r>
          </w:p>
        </w:tc>
        <w:tc>
          <w:tcPr>
            <w:tcW w:w="6300" w:type="dxa"/>
            <w:vAlign w:val="bottom"/>
            <w:gridSpan w:val="8"/>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4"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0" w:type="dxa"/>
            <w:vAlign w:val="bottom"/>
            <w:gridSpan w:val="15"/>
          </w:tcPr>
          <w:p>
            <w:pPr>
              <w:spacing w:after="0" w:line="204" w:lineRule="exact"/>
              <w:rPr>
                <w:sz w:val="20"/>
                <w:szCs w:val="20"/>
                <w:color w:val="auto"/>
              </w:rPr>
            </w:pPr>
            <w:r>
              <w:rPr>
                <w:rFonts w:ascii="Arial" w:cs="Arial" w:eastAsia="Arial" w:hAnsi="Arial"/>
                <w:sz w:val="18"/>
                <w:szCs w:val="18"/>
                <w:color w:val="auto"/>
              </w:rPr>
              <w:t>CONDENSED CONSOLIDATED BALANCE SHEET (Unaudited)</w:t>
            </w:r>
          </w:p>
        </w:tc>
        <w:tc>
          <w:tcPr>
            <w:tcW w:w="1200" w:type="dxa"/>
            <w:vAlign w:val="bottom"/>
            <w:gridSpan w:val="3"/>
          </w:tcPr>
          <w:p>
            <w:pPr>
              <w:jc w:val="right"/>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0" w:type="dxa"/>
            <w:vAlign w:val="bottom"/>
            <w:gridSpan w:val="15"/>
          </w:tcPr>
          <w:p>
            <w:pPr>
              <w:spacing w:after="0" w:line="204" w:lineRule="exact"/>
              <w:rPr>
                <w:sz w:val="20"/>
                <w:szCs w:val="20"/>
                <w:color w:val="auto"/>
              </w:rPr>
            </w:pPr>
            <w:r>
              <w:rPr>
                <w:rFonts w:ascii="Arial" w:cs="Arial" w:eastAsia="Arial" w:hAnsi="Arial"/>
                <w:sz w:val="18"/>
                <w:szCs w:val="18"/>
                <w:color w:val="auto"/>
              </w:rPr>
              <w:t>CONDENSED CONSOLIDATED STATEMENT OF OPERATIONS (Unaudited)</w:t>
            </w:r>
          </w:p>
        </w:tc>
        <w:tc>
          <w:tcPr>
            <w:tcW w:w="1200" w:type="dxa"/>
            <w:vAlign w:val="bottom"/>
            <w:gridSpan w:val="3"/>
          </w:tcPr>
          <w:p>
            <w:pPr>
              <w:jc w:val="right"/>
              <w:spacing w:after="0" w:line="204" w:lineRule="exact"/>
              <w:rPr>
                <w:rFonts w:ascii="Arial" w:cs="Arial" w:eastAsia="Arial" w:hAnsi="Arial"/>
                <w:sz w:val="18"/>
                <w:szCs w:val="18"/>
                <w:color w:val="0000FF"/>
              </w:rPr>
            </w:pPr>
            <w:hyperlink w:anchor="page3">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20" w:type="dxa"/>
            <w:vAlign w:val="bottom"/>
            <w:tcBorders>
              <w:bottom w:val="single" w:sz="8" w:color="auto"/>
            </w:tcBorders>
            <w:gridSpan w:val="11"/>
          </w:tcPr>
          <w:p>
            <w:pPr>
              <w:spacing w:after="0" w:line="204" w:lineRule="exact"/>
              <w:rPr>
                <w:sz w:val="20"/>
                <w:szCs w:val="20"/>
                <w:color w:val="auto"/>
              </w:rPr>
            </w:pPr>
            <w:r>
              <w:rPr>
                <w:rFonts w:ascii="Arial" w:cs="Arial" w:eastAsia="Arial" w:hAnsi="Arial"/>
                <w:sz w:val="18"/>
                <w:szCs w:val="18"/>
                <w:color w:val="auto"/>
                <w:w w:val="92"/>
              </w:rPr>
              <w:t>CONDENSED CONSOLIDATED STATEMENT OF CASH FLOWS (Unaudited)</w:t>
            </w:r>
          </w:p>
        </w:tc>
        <w:tc>
          <w:tcPr>
            <w:tcW w:w="2580" w:type="dxa"/>
            <w:vAlign w:val="bottom"/>
            <w:gridSpan w:val="4"/>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4"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4</w:t>
              </w:r>
            </w:hyperlink>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0" w:type="dxa"/>
            <w:vAlign w:val="bottom"/>
            <w:tcBorders>
              <w:bottom w:val="single" w:sz="8" w:color="auto"/>
            </w:tcBorders>
            <w:gridSpan w:val="13"/>
          </w:tcPr>
          <w:p>
            <w:pPr>
              <w:spacing w:after="0" w:line="204" w:lineRule="exact"/>
              <w:rPr>
                <w:sz w:val="20"/>
                <w:szCs w:val="20"/>
                <w:color w:val="auto"/>
              </w:rPr>
            </w:pPr>
            <w:r>
              <w:rPr>
                <w:rFonts w:ascii="Arial" w:cs="Arial" w:eastAsia="Arial" w:hAnsi="Arial"/>
                <w:sz w:val="18"/>
                <w:szCs w:val="18"/>
                <w:color w:val="auto"/>
                <w:w w:val="92"/>
              </w:rPr>
              <w:t>CONDENSED CONSOLIDATED STATEMENT OF CHANGES IN MEMBER'S EQUITY (Unaudited)</w:t>
            </w:r>
          </w:p>
        </w:tc>
        <w:tc>
          <w:tcPr>
            <w:tcW w:w="1000" w:type="dxa"/>
            <w:vAlign w:val="bottom"/>
            <w:gridSpan w:val="2"/>
          </w:tcPr>
          <w:p>
            <w:pPr>
              <w:spacing w:after="0"/>
              <w:rPr>
                <w:sz w:val="17"/>
                <w:szCs w:val="17"/>
                <w:color w:val="auto"/>
              </w:rPr>
            </w:pPr>
          </w:p>
        </w:tc>
        <w:tc>
          <w:tcPr>
            <w:tcW w:w="110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204"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5</w:t>
              </w:r>
            </w:hyperlink>
          </w:p>
        </w:tc>
        <w:tc>
          <w:tcPr>
            <w:tcW w:w="0" w:type="dxa"/>
            <w:vAlign w:val="bottom"/>
          </w:tcPr>
          <w:p>
            <w:pPr>
              <w:spacing w:after="0"/>
              <w:rPr>
                <w:sz w:val="1"/>
                <w:szCs w:val="1"/>
                <w:color w:val="auto"/>
              </w:rPr>
            </w:pPr>
          </w:p>
        </w:tc>
      </w:tr>
      <w:tr>
        <w:trPr>
          <w:trHeight w:val="204"/>
        </w:trPr>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0" w:type="dxa"/>
            <w:vAlign w:val="bottom"/>
            <w:gridSpan w:val="15"/>
          </w:tcPr>
          <w:p>
            <w:pPr>
              <w:spacing w:after="0" w:line="204" w:lineRule="exact"/>
              <w:rPr>
                <w:rFonts w:ascii="Arial" w:cs="Arial" w:eastAsia="Arial" w:hAnsi="Arial"/>
                <w:sz w:val="18"/>
                <w:szCs w:val="18"/>
                <w:color w:val="auto"/>
              </w:rPr>
            </w:pPr>
            <w:hyperlink w:anchor="page6">
              <w:r>
                <w:rPr>
                  <w:rFonts w:ascii="Arial" w:cs="Arial" w:eastAsia="Arial" w:hAnsi="Arial"/>
                  <w:sz w:val="18"/>
                  <w:szCs w:val="18"/>
                  <w:color w:val="auto"/>
                </w:rPr>
                <w:t>NOTES TO CONDENSED CONSOLIDATED FINANCIAL STATEMENTS (Unaudited)</w:t>
              </w:r>
            </w:hyperlink>
          </w:p>
        </w:tc>
        <w:tc>
          <w:tcPr>
            <w:tcW w:w="1200" w:type="dxa"/>
            <w:vAlign w:val="bottom"/>
            <w:gridSpan w:val="3"/>
          </w:tcPr>
          <w:p>
            <w:pPr>
              <w:jc w:val="right"/>
              <w:spacing w:after="0" w:line="204"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820" w:type="dxa"/>
            <w:vAlign w:val="bottom"/>
            <w:gridSpan w:val="4"/>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2.</w:t>
            </w:r>
          </w:p>
        </w:tc>
        <w:tc>
          <w:tcPr>
            <w:tcW w:w="8400" w:type="dxa"/>
            <w:vAlign w:val="bottom"/>
            <w:gridSpan w:val="15"/>
          </w:tcPr>
          <w:p>
            <w:pPr>
              <w:spacing w:after="0" w:line="204" w:lineRule="exact"/>
              <w:rPr>
                <w:sz w:val="20"/>
                <w:szCs w:val="20"/>
                <w:color w:val="auto"/>
              </w:rPr>
            </w:pPr>
            <w:r>
              <w:rPr>
                <w:rFonts w:ascii="Arial" w:cs="Arial" w:eastAsia="Arial" w:hAnsi="Arial"/>
                <w:sz w:val="18"/>
                <w:szCs w:val="18"/>
                <w:color w:val="auto"/>
              </w:rPr>
              <w:t>MANAGEMENT'S DISCUSSION AND ANALYSIS OF FINANCIAL CONDITION AND RESULTS OF</w:t>
            </w:r>
          </w:p>
        </w:tc>
        <w:tc>
          <w:tcPr>
            <w:tcW w:w="11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9</w:t>
              </w:r>
            </w:hyperlink>
          </w:p>
        </w:tc>
        <w:tc>
          <w:tcPr>
            <w:tcW w:w="0" w:type="dxa"/>
            <w:vAlign w:val="bottom"/>
          </w:tcPr>
          <w:p>
            <w:pPr>
              <w:spacing w:after="0"/>
              <w:rPr>
                <w:sz w:val="1"/>
                <w:szCs w:val="1"/>
                <w:color w:val="auto"/>
              </w:rPr>
            </w:pPr>
          </w:p>
        </w:tc>
      </w:tr>
      <w:tr>
        <w:trPr>
          <w:trHeight w:val="151"/>
        </w:trPr>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Borders>
              <w:top w:val="single" w:sz="8" w:color="auto"/>
              <w:bottom w:val="single" w:sz="8" w:color="auto"/>
            </w:tcBorders>
            <w:gridSpan w:val="3"/>
          </w:tcPr>
          <w:p>
            <w:pPr>
              <w:spacing w:after="0" w:line="152" w:lineRule="exact"/>
              <w:rPr>
                <w:sz w:val="20"/>
                <w:szCs w:val="20"/>
                <w:color w:val="auto"/>
              </w:rPr>
            </w:pPr>
            <w:r>
              <w:rPr>
                <w:rFonts w:ascii="Arial" w:cs="Arial" w:eastAsia="Arial" w:hAnsi="Arial"/>
                <w:sz w:val="16"/>
                <w:szCs w:val="16"/>
                <w:color w:val="auto"/>
              </w:rPr>
              <w:t>OPERATIONS</w:t>
            </w:r>
          </w:p>
        </w:tc>
        <w:tc>
          <w:tcPr>
            <w:tcW w:w="6480" w:type="dxa"/>
            <w:vAlign w:val="bottom"/>
            <w:tcBorders>
              <w:top w:val="single" w:sz="8" w:color="auto"/>
            </w:tcBorders>
            <w:gridSpan w:val="11"/>
          </w:tcPr>
          <w:p>
            <w:pPr>
              <w:spacing w:after="0"/>
              <w:rPr>
                <w:sz w:val="13"/>
                <w:szCs w:val="13"/>
                <w:color w:val="auto"/>
              </w:rPr>
            </w:pPr>
          </w:p>
        </w:tc>
        <w:tc>
          <w:tcPr>
            <w:tcW w:w="8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line="204" w:lineRule="exact"/>
              <w:rPr>
                <w:sz w:val="20"/>
                <w:szCs w:val="20"/>
                <w:color w:val="auto"/>
              </w:rPr>
            </w:pPr>
            <w:r>
              <w:rPr>
                <w:rFonts w:ascii="Arial" w:cs="Arial" w:eastAsia="Arial" w:hAnsi="Arial"/>
                <w:sz w:val="18"/>
                <w:szCs w:val="18"/>
                <w:color w:val="auto"/>
                <w:w w:val="91"/>
              </w:rPr>
              <w:t>CONTROLS AND PROCEDURES</w:t>
            </w:r>
          </w:p>
        </w:tc>
        <w:tc>
          <w:tcPr>
            <w:tcW w:w="5860" w:type="dxa"/>
            <w:vAlign w:val="bottom"/>
            <w:gridSpan w:val="7"/>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60" w:type="dxa"/>
            <w:vAlign w:val="bottom"/>
            <w:gridSpan w:val="7"/>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5"/>
          </w:tcPr>
          <w:p>
            <w:pPr>
              <w:spacing w:after="0" w:line="204" w:lineRule="exact"/>
              <w:rPr>
                <w:sz w:val="20"/>
                <w:szCs w:val="20"/>
                <w:color w:val="auto"/>
              </w:rPr>
            </w:pPr>
            <w:r>
              <w:rPr>
                <w:rFonts w:ascii="Arial" w:cs="Arial" w:eastAsia="Arial" w:hAnsi="Arial"/>
                <w:sz w:val="18"/>
                <w:szCs w:val="18"/>
                <w:color w:val="auto"/>
                <w:w w:val="93"/>
              </w:rPr>
              <w:t>PART II—OTHER INFORMATION</w:t>
            </w:r>
          </w:p>
        </w:tc>
        <w:tc>
          <w:tcPr>
            <w:tcW w:w="7380" w:type="dxa"/>
            <w:vAlign w:val="bottom"/>
            <w:gridSpan w:val="13"/>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6">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1.</w:t>
            </w:r>
          </w:p>
        </w:tc>
        <w:tc>
          <w:tcPr>
            <w:tcW w:w="8400" w:type="dxa"/>
            <w:vAlign w:val="bottom"/>
            <w:gridSpan w:val="15"/>
          </w:tcPr>
          <w:p>
            <w:pPr>
              <w:spacing w:after="0" w:line="204" w:lineRule="exact"/>
              <w:rPr>
                <w:rFonts w:ascii="Arial" w:cs="Arial" w:eastAsia="Arial" w:hAnsi="Arial"/>
                <w:sz w:val="18"/>
                <w:szCs w:val="18"/>
                <w:color w:val="auto"/>
              </w:rPr>
            </w:pPr>
            <w:hyperlink w:anchor="page17">
              <w:r>
                <w:rPr>
                  <w:rFonts w:ascii="Arial" w:cs="Arial" w:eastAsia="Arial" w:hAnsi="Arial"/>
                  <w:sz w:val="18"/>
                  <w:szCs w:val="18"/>
                  <w:color w:val="auto"/>
                </w:rPr>
                <w:t>LEGAL PROCEEDINGS</w:t>
              </w:r>
            </w:hyperlink>
          </w:p>
        </w:tc>
        <w:tc>
          <w:tcPr>
            <w:tcW w:w="1200" w:type="dxa"/>
            <w:vAlign w:val="bottom"/>
            <w:gridSpan w:val="3"/>
          </w:tcPr>
          <w:p>
            <w:pPr>
              <w:jc w:val="right"/>
              <w:spacing w:after="0" w:line="204"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58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1A.</w:t>
            </w:r>
          </w:p>
        </w:tc>
        <w:tc>
          <w:tcPr>
            <w:tcW w:w="1220" w:type="dxa"/>
            <w:vAlign w:val="bottom"/>
            <w:gridSpan w:val="4"/>
          </w:tcPr>
          <w:p>
            <w:pPr>
              <w:spacing w:after="0" w:line="204" w:lineRule="exact"/>
              <w:rPr>
                <w:rFonts w:ascii="Arial" w:cs="Arial" w:eastAsia="Arial" w:hAnsi="Arial"/>
                <w:sz w:val="18"/>
                <w:szCs w:val="18"/>
                <w:color w:val="auto"/>
                <w:w w:val="90"/>
              </w:rPr>
            </w:pPr>
            <w:hyperlink w:anchor="page17">
              <w:r>
                <w:rPr>
                  <w:rFonts w:ascii="Arial" w:cs="Arial" w:eastAsia="Arial" w:hAnsi="Arial"/>
                  <w:sz w:val="18"/>
                  <w:szCs w:val="18"/>
                  <w:color w:val="auto"/>
                  <w:w w:val="90"/>
                </w:rPr>
                <w:t>RISK FACTORS</w:t>
              </w:r>
            </w:hyperlink>
          </w:p>
        </w:tc>
        <w:tc>
          <w:tcPr>
            <w:tcW w:w="600" w:type="dxa"/>
            <w:vAlign w:val="bottom"/>
            <w:gridSpan w:val="2"/>
          </w:tcPr>
          <w:p>
            <w:pPr>
              <w:spacing w:after="0"/>
              <w:rPr>
                <w:sz w:val="17"/>
                <w:szCs w:val="17"/>
                <w:color w:val="auto"/>
              </w:rPr>
            </w:pPr>
          </w:p>
        </w:tc>
        <w:tc>
          <w:tcPr>
            <w:tcW w:w="6580" w:type="dxa"/>
            <w:vAlign w:val="bottom"/>
            <w:gridSpan w:val="9"/>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7180" w:type="dxa"/>
            <w:vAlign w:val="bottom"/>
            <w:gridSpan w:val="11"/>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3"/>
          </w:tcPr>
          <w:p>
            <w:pPr>
              <w:spacing w:after="0" w:line="204" w:lineRule="exact"/>
              <w:rPr>
                <w:sz w:val="20"/>
                <w:szCs w:val="20"/>
                <w:color w:val="auto"/>
              </w:rPr>
            </w:pPr>
            <w:r>
              <w:rPr>
                <w:rFonts w:ascii="Arial" w:cs="Arial" w:eastAsia="Arial" w:hAnsi="Arial"/>
                <w:sz w:val="18"/>
                <w:szCs w:val="18"/>
                <w:color w:val="auto"/>
              </w:rPr>
              <w:t>ITEM 6.</w:t>
            </w:r>
          </w:p>
        </w:tc>
        <w:tc>
          <w:tcPr>
            <w:tcW w:w="800" w:type="dxa"/>
            <w:vAlign w:val="bottom"/>
          </w:tcPr>
          <w:p>
            <w:pPr>
              <w:spacing w:after="0" w:line="204" w:lineRule="exact"/>
              <w:rPr>
                <w:sz w:val="20"/>
                <w:szCs w:val="20"/>
                <w:color w:val="auto"/>
              </w:rPr>
            </w:pPr>
            <w:r>
              <w:rPr>
                <w:rFonts w:ascii="Arial" w:cs="Arial" w:eastAsia="Arial" w:hAnsi="Arial"/>
                <w:sz w:val="18"/>
                <w:szCs w:val="18"/>
                <w:color w:val="auto"/>
                <w:w w:val="95"/>
              </w:rPr>
              <w:t>EXHIBITS</w:t>
            </w:r>
          </w:p>
        </w:tc>
        <w:tc>
          <w:tcPr>
            <w:tcW w:w="420" w:type="dxa"/>
            <w:vAlign w:val="bottom"/>
            <w:gridSpan w:val="3"/>
          </w:tcPr>
          <w:p>
            <w:pPr>
              <w:spacing w:after="0"/>
              <w:rPr>
                <w:sz w:val="17"/>
                <w:szCs w:val="17"/>
                <w:color w:val="auto"/>
              </w:rPr>
            </w:pPr>
          </w:p>
        </w:tc>
        <w:tc>
          <w:tcPr>
            <w:tcW w:w="7180" w:type="dxa"/>
            <w:vAlign w:val="bottom"/>
            <w:gridSpan w:val="11"/>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580" w:type="dxa"/>
            <w:vAlign w:val="bottom"/>
            <w:gridSpan w:val="3"/>
          </w:tcPr>
          <w:p>
            <w:pPr>
              <w:spacing w:after="0" w:line="204" w:lineRule="exact"/>
              <w:rPr>
                <w:rFonts w:ascii="Arial" w:cs="Arial" w:eastAsia="Arial" w:hAnsi="Arial"/>
                <w:sz w:val="18"/>
                <w:szCs w:val="18"/>
                <w:color w:val="auto"/>
              </w:rPr>
            </w:pPr>
            <w:hyperlink w:anchor="page17">
              <w:r>
                <w:rPr>
                  <w:rFonts w:ascii="Arial" w:cs="Arial" w:eastAsia="Arial" w:hAnsi="Arial"/>
                  <w:sz w:val="18"/>
                  <w:szCs w:val="18"/>
                  <w:color w:val="auto"/>
                </w:rPr>
                <w:t>EXHIBIT INDEX</w:t>
              </w:r>
            </w:hyperlink>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80" w:type="dxa"/>
            <w:vAlign w:val="bottom"/>
          </w:tcPr>
          <w:p>
            <w:pPr>
              <w:spacing w:after="0" w:line="204" w:lineRule="exact"/>
              <w:rPr>
                <w:rFonts w:ascii="Arial" w:cs="Arial" w:eastAsia="Arial" w:hAnsi="Arial"/>
                <w:sz w:val="18"/>
                <w:szCs w:val="18"/>
                <w:color w:val="auto"/>
                <w:w w:val="90"/>
              </w:rPr>
            </w:pPr>
            <w:hyperlink w:anchor="page17">
              <w:r>
                <w:rPr>
                  <w:rFonts w:ascii="Arial" w:cs="Arial" w:eastAsia="Arial" w:hAnsi="Arial"/>
                  <w:sz w:val="18"/>
                  <w:szCs w:val="18"/>
                  <w:color w:val="auto"/>
                  <w:w w:val="90"/>
                </w:rPr>
                <w:t>SIGNATURES</w:t>
              </w:r>
            </w:hyperlink>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0" w:type="dxa"/>
            <w:vAlign w:val="bottom"/>
            <w:gridSpan w:val="3"/>
          </w:tcPr>
          <w:p>
            <w:pPr>
              <w:jc w:val="right"/>
              <w:spacing w:after="0" w:line="204" w:lineRule="exact"/>
              <w:rPr>
                <w:rFonts w:ascii="Arial" w:cs="Arial" w:eastAsia="Arial" w:hAnsi="Arial"/>
                <w:sz w:val="18"/>
                <w:szCs w:val="18"/>
                <w:color w:val="0000FF"/>
              </w:rPr>
            </w:pPr>
            <w:hyperlink w:anchor="page17">
              <w:r>
                <w:rPr>
                  <w:rFonts w:ascii="Arial" w:cs="Arial" w:eastAsia="Arial" w:hAnsi="Arial"/>
                  <w:sz w:val="18"/>
                  <w:szCs w:val="18"/>
                  <w:color w:val="0000FF"/>
                </w:rPr>
                <w:t>17</w:t>
              </w:r>
            </w:hyperlink>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Language Regarding Forward-Looking Statements</w:t>
      </w:r>
    </w:p>
    <w:p>
      <w:pPr>
        <w:spacing w:after="0" w:line="168" w:lineRule="exact"/>
        <w:rPr>
          <w:sz w:val="20"/>
          <w:szCs w:val="20"/>
          <w:color w:val="auto"/>
        </w:rPr>
      </w:pPr>
    </w:p>
    <w:p>
      <w:pPr>
        <w:jc w:val="both"/>
        <w:ind w:firstLine="316"/>
        <w:spacing w:after="0" w:line="280" w:lineRule="auto"/>
        <w:rPr>
          <w:sz w:val="20"/>
          <w:szCs w:val="20"/>
          <w:color w:val="auto"/>
        </w:rPr>
      </w:pPr>
      <w:r>
        <w:rPr>
          <w:rFonts w:ascii="Arial" w:cs="Arial" w:eastAsia="Arial" w:hAnsi="Arial"/>
          <w:sz w:val="16"/>
          <w:szCs w:val="16"/>
          <w:color w:val="auto"/>
        </w:rPr>
        <w:t xml:space="preserve">This Quarterly Report on Form 10-Q ("Form 10-Q") contains forward-looking statements that are based on our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"predicted," "positioned," "continue," "target," "seek," "focus" and any variations of these words,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"Part I—Item 2.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("MD&amp;A") herein. Such forward-looking statements include (1) anticipated growth in the wireless industry and demand for wireless data,</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factors driving such demand, (2) wireless carriers' focus on improving network quality and expanding capacity, (3) demand for our towers, including factors driving such demand, and the potential benefits that may be derived therefrom, (4) availability and adequacy of cash flows and liquidity, (5) value which may be derived from our allocation of cash generated from our business, (6) debt maturities, (7) income taxes and (8) the potential impact of novel coronavirus (COVID-19) pandemic.</w:t>
      </w:r>
    </w:p>
    <w:p>
      <w:pPr>
        <w:spacing w:after="0" w:line="122"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of the Annual Report on Form 10-K for the fiscal year ended December 31, 2020 ("2020 Form 10-K") and other factors. Should one or more of these risks or uncertainties materialize, or should underlying assumptions prove incorrect, actual results may vary materially from those expected.</w:t>
      </w:r>
    </w:p>
    <w:p>
      <w:pPr>
        <w:spacing w:after="0" w:line="140" w:lineRule="exact"/>
        <w:rPr>
          <w:sz w:val="20"/>
          <w:szCs w:val="20"/>
          <w:color w:val="auto"/>
        </w:rPr>
      </w:pPr>
    </w:p>
    <w:p>
      <w:pPr>
        <w:jc w:val="both"/>
        <w:ind w:firstLine="316"/>
        <w:spacing w:after="0" w:line="250" w:lineRule="auto"/>
        <w:rPr>
          <w:sz w:val="20"/>
          <w:szCs w:val="20"/>
          <w:color w:val="auto"/>
        </w:rPr>
      </w:pPr>
      <w:r>
        <w:rPr>
          <w:rFonts w:ascii="Arial" w:cs="Arial" w:eastAsia="Arial" w:hAnsi="Arial"/>
          <w:sz w:val="18"/>
          <w:szCs w:val="18"/>
          <w:color w:val="auto"/>
        </w:rPr>
        <w:t>Our filings with the SEC are available through the SEC website at www.sec.gov or through CCIC's investor relations website at investor.crowncastle.com. CCIC uses its investor relations website to disclose information about CCIC and us that may be deemed to be material. We encourage investors, the media and others interested to visit CCIC's investor relations website from time to time to review up-to-date information or to sign up for e-mail alerts to be notified when new or updated information is posted on the site.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16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As used herein, the term "including," and any variation thereof, means "including without limitation." The use of the word "or" herein is not exclusive. Unless this 2021 Form 10-Q indicates otherwise or the context otherwise requires, the terms "we," "our," or "us" as used in this 2021 Form 10-Q refer to CC Holdings GS V LLC ("CCL") and its consolidated wholly owned subsidiaries (collectively, "Company"). The Company is a wholly owned subsidiary of Global Signal Operating Partnership, L.P. ("GSOP"), which is an indirect subsidiary of CCIC. Capitalized terms used but not defined in this 2021 Form 10-Q have the same meaning given to them in the 2020 Form 10-K.</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3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 (Unaudited)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1520" w:type="dxa"/>
            <w:vAlign w:val="bottom"/>
          </w:tcPr>
          <w:p>
            <w:pPr>
              <w:jc w:val="right"/>
              <w:ind w:right="201"/>
              <w:spacing w:after="0"/>
              <w:rPr>
                <w:sz w:val="20"/>
                <w:szCs w:val="20"/>
                <w:color w:val="auto"/>
              </w:rPr>
            </w:pPr>
            <w:r>
              <w:rPr>
                <w:rFonts w:ascii="Arial" w:cs="Arial" w:eastAsia="Arial" w:hAnsi="Arial"/>
                <w:sz w:val="14"/>
                <w:szCs w:val="14"/>
                <w:b w:val="1"/>
                <w:bCs w:val="1"/>
                <w:color w:val="auto"/>
                <w:w w:val="96"/>
              </w:rPr>
              <w:t>December 31, 2020</w:t>
            </w:r>
          </w:p>
        </w:tc>
      </w:tr>
      <w:tr>
        <w:trPr>
          <w:trHeight w:val="210"/>
        </w:trPr>
        <w:tc>
          <w:tcPr>
            <w:tcW w:w="7640" w:type="dxa"/>
            <w:vAlign w:val="bottom"/>
            <w:tcBorders>
              <w:top w:val="single" w:sz="8" w:color="CCEEFF"/>
            </w:tcBorders>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17,439</w:t>
            </w:r>
          </w:p>
        </w:tc>
      </w:tr>
      <w:tr>
        <w:trPr>
          <w:trHeight w:val="208"/>
        </w:trPr>
        <w:tc>
          <w:tcPr>
            <w:tcW w:w="7640" w:type="dxa"/>
            <w:vAlign w:val="bottom"/>
          </w:tcPr>
          <w:p>
            <w:pPr>
              <w:ind w:left="22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8,996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4,712</w:t>
            </w: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12,499</w:t>
            </w:r>
          </w:p>
        </w:tc>
      </w:tr>
      <w:tr>
        <w:trPr>
          <w:trHeight w:val="208"/>
        </w:trPr>
        <w:tc>
          <w:tcPr>
            <w:tcW w:w="76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Deferred site rental receivables and other current assets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38,136</w:t>
            </w:r>
          </w:p>
        </w:tc>
      </w:tr>
      <w:tr>
        <w:trPr>
          <w:trHeight w:val="208"/>
        </w:trPr>
        <w:tc>
          <w:tcPr>
            <w:tcW w:w="76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85,520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72,786</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Deferred site rental receivables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353,703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346,019</w:t>
            </w: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$1,260,538 and $1,190,055, respectively</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897,226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951,870</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1,180,816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1,166,726</w:t>
            </w: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1,338,730</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480,012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565,274</w:t>
            </w: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r>
      <w:tr>
        <w:trPr>
          <w:trHeight w:val="208"/>
        </w:trPr>
        <w:tc>
          <w:tcPr>
            <w:tcW w:w="7640" w:type="dxa"/>
            <w:vAlign w:val="bottom"/>
          </w:tcPr>
          <w:p>
            <w:pPr>
              <w:ind w:left="5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4,337,471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17"/>
        </w:trPr>
        <w:tc>
          <w:tcPr>
            <w:tcW w:w="7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8"/>
        </w:trPr>
        <w:tc>
          <w:tcPr>
            <w:tcW w:w="7640" w:type="dxa"/>
            <w:vAlign w:val="bottom"/>
          </w:tcPr>
          <w:p>
            <w:pPr>
              <w:ind w:left="282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8"/>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1,515</w:t>
            </w: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interest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8,126</w:t>
            </w:r>
          </w:p>
        </w:tc>
      </w:tr>
      <w:tr>
        <w:trPr>
          <w:trHeight w:val="208"/>
        </w:trPr>
        <w:tc>
          <w:tcPr>
            <w:tcW w:w="764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75,734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71,427</w:t>
            </w: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w:t>
            </w:r>
          </w:p>
        </w:tc>
      </w:tr>
      <w:tr>
        <w:trPr>
          <w:trHeight w:val="208"/>
        </w:trPr>
        <w:tc>
          <w:tcPr>
            <w:tcW w:w="7640" w:type="dxa"/>
            <w:vAlign w:val="bottom"/>
          </w:tcPr>
          <w:p>
            <w:pPr>
              <w:ind w:left="220"/>
              <w:spacing w:after="0"/>
              <w:rPr>
                <w:sz w:val="20"/>
                <w:szCs w:val="20"/>
                <w:color w:val="auto"/>
              </w:rPr>
            </w:pPr>
            <w:r>
              <w:rPr>
                <w:rFonts w:ascii="Arial" w:cs="Arial" w:eastAsia="Arial" w:hAnsi="Arial"/>
                <w:sz w:val="16"/>
                <w:szCs w:val="16"/>
                <w:color w:val="auto"/>
              </w:rPr>
              <w:t>Current portion of operating lease liabilities—third parties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42,821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40,825</w:t>
            </w: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portion of operating lease liabilities—related parties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24,211</w:t>
            </w:r>
          </w:p>
        </w:tc>
      </w:tr>
      <w:tr>
        <w:trPr>
          <w:trHeight w:val="201"/>
        </w:trPr>
        <w:tc>
          <w:tcPr>
            <w:tcW w:w="7640" w:type="dxa"/>
            <w:vAlign w:val="bottom"/>
          </w:tcPr>
          <w:p>
            <w:pPr>
              <w:ind w:left="54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171,535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152,211</w:t>
            </w: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996,815</w:t>
            </w:r>
          </w:p>
        </w:tc>
      </w:tr>
      <w:tr>
        <w:trPr>
          <w:trHeight w:val="208"/>
        </w:trPr>
        <w:tc>
          <w:tcPr>
            <w:tcW w:w="7640" w:type="dxa"/>
            <w:vAlign w:val="bottom"/>
          </w:tcPr>
          <w:p>
            <w:pPr>
              <w:ind w:left="20"/>
              <w:spacing w:after="0"/>
              <w:rPr>
                <w:sz w:val="20"/>
                <w:szCs w:val="20"/>
                <w:color w:val="auto"/>
              </w:rPr>
            </w:pPr>
            <w:r>
              <w:rPr>
                <w:rFonts w:ascii="Arial" w:cs="Arial" w:eastAsia="Arial" w:hAnsi="Arial"/>
                <w:sz w:val="16"/>
                <w:szCs w:val="16"/>
                <w:color w:val="auto"/>
              </w:rPr>
              <w:t>Operating lease liabilities—third parties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863,846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850,272</w:t>
            </w: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liabilities—related parties</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321,065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322,817</w:t>
            </w:r>
          </w:p>
        </w:tc>
      </w:tr>
      <w:tr>
        <w:trPr>
          <w:trHeight w:val="20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151,892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183,966</w:t>
            </w:r>
          </w:p>
        </w:tc>
      </w:tr>
      <w:tr>
        <w:trPr>
          <w:trHeight w:val="208"/>
        </w:trPr>
        <w:tc>
          <w:tcPr>
            <w:tcW w:w="76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2,506,191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2,506,081</w:t>
            </w:r>
          </w:p>
        </w:tc>
      </w:tr>
      <w:tr>
        <w:trPr>
          <w:trHeight w:val="188"/>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14"/>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Member's equity:</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08"/>
        </w:trPr>
        <w:tc>
          <w:tcPr>
            <w:tcW w:w="7640" w:type="dxa"/>
            <w:vAlign w:val="bottom"/>
          </w:tcPr>
          <w:p>
            <w:pPr>
              <w:ind w:left="220"/>
              <w:spacing w:after="0"/>
              <w:rPr>
                <w:sz w:val="20"/>
                <w:szCs w:val="20"/>
                <w:color w:val="auto"/>
              </w:rPr>
            </w:pPr>
            <w:r>
              <w:rPr>
                <w:rFonts w:ascii="Arial" w:cs="Arial" w:eastAsia="Arial" w:hAnsi="Arial"/>
                <w:sz w:val="16"/>
                <w:szCs w:val="16"/>
                <w:color w:val="auto"/>
              </w:rPr>
              <w:t>Member's equity</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1,831,280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1,936,951</w:t>
            </w:r>
          </w:p>
        </w:tc>
      </w:tr>
      <w:tr>
        <w:trPr>
          <w:trHeight w:val="214"/>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earnings (deficit)</w:t>
            </w:r>
          </w:p>
        </w:tc>
        <w:tc>
          <w:tcPr>
            <w:tcW w:w="2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76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member's equity</w:t>
            </w:r>
          </w:p>
        </w:tc>
        <w:tc>
          <w:tcPr>
            <w:tcW w:w="20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1,831,280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1,936,951</w:t>
            </w:r>
          </w:p>
        </w:tc>
      </w:tr>
      <w:tr>
        <w:trPr>
          <w:trHeight w:val="233"/>
        </w:trPr>
        <w:tc>
          <w:tcPr>
            <w:tcW w:w="7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4,337,471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4,443,032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03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20" w:type="dxa"/>
            <w:vAlign w:val="bottom"/>
            <w:gridSpan w:val="4"/>
          </w:tcPr>
          <w:p>
            <w:pPr>
              <w:jc w:val="right"/>
              <w:ind w:right="30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3"/>
        </w:trPr>
        <w:tc>
          <w:tcPr>
            <w:tcW w:w="54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192"/>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Site rental revenues: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8"/>
        </w:trPr>
        <w:tc>
          <w:tcPr>
            <w:tcW w:w="5400" w:type="dxa"/>
            <w:vAlign w:val="bottom"/>
          </w:tcPr>
          <w:p>
            <w:pPr>
              <w:ind w:left="340"/>
              <w:spacing w:after="0"/>
              <w:rPr>
                <w:sz w:val="20"/>
                <w:szCs w:val="20"/>
                <w:color w:val="auto"/>
              </w:rPr>
            </w:pPr>
            <w:r>
              <w:rPr>
                <w:rFonts w:ascii="Arial" w:cs="Arial" w:eastAsia="Arial" w:hAnsi="Arial"/>
                <w:sz w:val="16"/>
                <w:szCs w:val="16"/>
                <w:color w:val="auto"/>
              </w:rPr>
              <w:t>Revenues from tenant contracts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187,636</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173,348</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549,484</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517,041</w:t>
            </w:r>
          </w:p>
        </w:tc>
      </w:tr>
      <w:tr>
        <w:trPr>
          <w:trHeight w:val="214"/>
        </w:trPr>
        <w:tc>
          <w:tcPr>
            <w:tcW w:w="540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0"/>
                <w:szCs w:val="20"/>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14,409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44,168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43,639</w:t>
            </w:r>
          </w:p>
        </w:tc>
      </w:tr>
      <w:tr>
        <w:trPr>
          <w:trHeight w:val="201"/>
        </w:trPr>
        <w:tc>
          <w:tcPr>
            <w:tcW w:w="5400" w:type="dxa"/>
            <w:vAlign w:val="bottom"/>
          </w:tcPr>
          <w:p>
            <w:pPr>
              <w:ind w:left="540"/>
              <w:spacing w:after="0"/>
              <w:rPr>
                <w:sz w:val="20"/>
                <w:szCs w:val="20"/>
                <w:color w:val="auto"/>
              </w:rPr>
            </w:pPr>
            <w:r>
              <w:rPr>
                <w:rFonts w:ascii="Arial" w:cs="Arial" w:eastAsia="Arial" w:hAnsi="Arial"/>
                <w:sz w:val="16"/>
                <w:szCs w:val="16"/>
                <w:color w:val="auto"/>
              </w:rPr>
              <w:t>Total site rental revenues</w:t>
            </w:r>
          </w:p>
        </w:tc>
        <w:tc>
          <w:tcPr>
            <w:tcW w:w="22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202,045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188,166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593,652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560,680</w:t>
            </w:r>
          </w:p>
        </w:tc>
      </w:tr>
      <w:tr>
        <w:trPr>
          <w:trHeight w:val="214"/>
        </w:trPr>
        <w:tc>
          <w:tcPr>
            <w:tcW w:w="5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54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4"/>
        </w:trPr>
        <w:tc>
          <w:tcPr>
            <w:tcW w:w="5400" w:type="dxa"/>
            <w:vAlign w:val="bottom"/>
            <w:shd w:val="clear" w:color="auto" w:fill="CCEEFF"/>
          </w:tcPr>
          <w:p>
            <w:pPr>
              <w:ind w:left="340"/>
              <w:spacing w:after="0" w:line="214"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39,791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117,468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115,156</w:t>
            </w:r>
          </w:p>
        </w:tc>
      </w:tr>
      <w:tr>
        <w:trPr>
          <w:trHeight w:val="208"/>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Ground rent expenses—related parties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11,858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35,584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34,235</w:t>
            </w:r>
          </w:p>
        </w:tc>
      </w:tr>
      <w:tr>
        <w:trPr>
          <w:trHeight w:val="208"/>
        </w:trPr>
        <w:tc>
          <w:tcPr>
            <w:tcW w:w="5400" w:type="dxa"/>
            <w:vAlign w:val="bottom"/>
            <w:shd w:val="clear" w:color="auto" w:fill="CCEEFF"/>
          </w:tcPr>
          <w:p>
            <w:pPr>
              <w:ind w:left="340"/>
              <w:spacing w:after="0" w:line="207"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0"/>
                <w:szCs w:val="20"/>
                <w:color w:val="auto"/>
                <w:vertAlign w:val="superscript"/>
              </w:rPr>
              <w:t>(b)</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51,649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153,052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149,391</w:t>
            </w:r>
          </w:p>
        </w:tc>
      </w:tr>
      <w:tr>
        <w:trPr>
          <w:trHeight w:val="208"/>
        </w:trPr>
        <w:tc>
          <w:tcPr>
            <w:tcW w:w="5400" w:type="dxa"/>
            <w:vAlign w:val="bottom"/>
          </w:tcPr>
          <w:p>
            <w:pPr>
              <w:ind w:left="340"/>
              <w:spacing w:after="0"/>
              <w:rPr>
                <w:sz w:val="20"/>
                <w:szCs w:val="20"/>
                <w:color w:val="auto"/>
              </w:rPr>
            </w:pPr>
            <w:r>
              <w:rPr>
                <w:rFonts w:ascii="Arial" w:cs="Arial" w:eastAsia="Arial" w:hAnsi="Arial"/>
                <w:sz w:val="16"/>
                <w:szCs w:val="16"/>
                <w:color w:val="auto"/>
              </w:rPr>
              <w:t>Management fee—related party</w:t>
            </w:r>
          </w:p>
        </w:tc>
        <w:tc>
          <w:tcPr>
            <w:tcW w:w="220" w:type="dxa"/>
            <w:vAlign w:val="bottom"/>
          </w:tcPr>
          <w:p>
            <w:pPr>
              <w:spacing w:after="0"/>
              <w:rPr>
                <w:sz w:val="18"/>
                <w:szCs w:val="18"/>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13,923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13,084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40,835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38,596</w:t>
            </w:r>
          </w:p>
        </w:tc>
      </w:tr>
      <w:tr>
        <w:trPr>
          <w:trHeight w:val="214"/>
        </w:trPr>
        <w:tc>
          <w:tcPr>
            <w:tcW w:w="5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Asset write-down charges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w:t>
            </w:r>
          </w:p>
        </w:tc>
      </w:tr>
      <w:tr>
        <w:trPr>
          <w:trHeight w:val="208"/>
        </w:trPr>
        <w:tc>
          <w:tcPr>
            <w:tcW w:w="5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Depreciation, amortization and accretion</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52,335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53,048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157,552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158,138</w:t>
            </w:r>
          </w:p>
        </w:tc>
      </w:tr>
      <w:tr>
        <w:trPr>
          <w:trHeight w:val="208"/>
        </w:trPr>
        <w:tc>
          <w:tcPr>
            <w:tcW w:w="5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117,912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116,218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352,100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346,549</w:t>
            </w:r>
          </w:p>
        </w:tc>
      </w:tr>
      <w:tr>
        <w:trPr>
          <w:trHeight w:val="201"/>
        </w:trPr>
        <w:tc>
          <w:tcPr>
            <w:tcW w:w="540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84,133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71,948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ind w:right="2"/>
              <w:spacing w:after="0"/>
              <w:rPr>
                <w:sz w:val="20"/>
                <w:szCs w:val="20"/>
                <w:color w:val="auto"/>
              </w:rPr>
            </w:pPr>
            <w:r>
              <w:rPr>
                <w:rFonts w:ascii="Arial" w:cs="Arial" w:eastAsia="Arial" w:hAnsi="Arial"/>
                <w:sz w:val="16"/>
                <w:szCs w:val="16"/>
                <w:color w:val="auto"/>
              </w:rPr>
              <w:t>241,552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214,131</w:t>
            </w:r>
          </w:p>
        </w:tc>
      </w:tr>
      <w:tr>
        <w:trPr>
          <w:trHeight w:val="214"/>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amortization of deferred financing costs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(29,906)</w:t>
            </w:r>
          </w:p>
        </w:tc>
      </w:tr>
      <w:tr>
        <w:trPr>
          <w:trHeight w:val="20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8"/>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74,203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211,752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184,299</w:t>
            </w:r>
          </w:p>
        </w:tc>
      </w:tr>
      <w:tr>
        <w:trPr>
          <w:trHeight w:val="208"/>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Benefit (provision) for income taxes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29"/>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74,103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61,887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211,453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89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9535" cy="8255"/>
                    </a:xfrm>
                    <a:prstGeom prst="rect">
                      <a:avLst/>
                    </a:prstGeom>
                    <a:noFill/>
                  </pic:spPr>
                </pic:pic>
              </a:graphicData>
            </a:graphic>
          </wp:anchor>
        </w:drawing>
      </w:r>
    </w:p>
    <w:p>
      <w:pPr>
        <w:spacing w:after="0" w:line="212" w:lineRule="exact"/>
        <w:rPr>
          <w:sz w:val="20"/>
          <w:szCs w:val="20"/>
          <w:color w:val="auto"/>
        </w:rPr>
      </w:pPr>
    </w:p>
    <w:p>
      <w:pPr>
        <w:ind w:left="320" w:hanging="314"/>
        <w:spacing w:after="0" w:line="244" w:lineRule="auto"/>
        <w:tabs>
          <w:tab w:leader="none" w:pos="31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that result in permanent improvements to the Company's towers. The Company receives no cash from, and is not party to, such transactions.</w:t>
      </w:r>
    </w:p>
    <w:p>
      <w:pPr>
        <w:spacing w:after="0" w:line="1" w:lineRule="exact"/>
        <w:rPr>
          <w:rFonts w:ascii="Arial" w:cs="Arial" w:eastAsia="Arial" w:hAnsi="Arial"/>
          <w:sz w:val="14"/>
          <w:szCs w:val="14"/>
          <w:color w:val="auto"/>
        </w:rPr>
      </w:pPr>
    </w:p>
    <w:p>
      <w:pPr>
        <w:ind w:left="320" w:hanging="314"/>
        <w:spacing w:after="0"/>
        <w:tabs>
          <w:tab w:leader="none" w:pos="3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83"/>
        </w:trPr>
        <w:tc>
          <w:tcPr>
            <w:tcW w:w="8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r>
      <w:tr>
        <w:trPr>
          <w:trHeight w:val="205"/>
        </w:trPr>
        <w:tc>
          <w:tcPr>
            <w:tcW w:w="8300" w:type="dxa"/>
            <w:vAlign w:val="bottom"/>
            <w:shd w:val="clear" w:color="auto" w:fill="CCEEFF"/>
          </w:tcPr>
          <w:p>
            <w:pPr>
              <w:ind w:left="20"/>
              <w:spacing w:after="0" w:line="205" w:lineRule="exact"/>
              <w:rPr>
                <w:sz w:val="20"/>
                <w:szCs w:val="20"/>
                <w:color w:val="auto"/>
              </w:rPr>
            </w:pPr>
            <w:r>
              <w:rPr>
                <w:rFonts w:ascii="Arial" w:cs="Arial" w:eastAsia="Arial" w:hAnsi="Arial"/>
                <w:sz w:val="16"/>
                <w:szCs w:val="16"/>
                <w:b w:val="1"/>
                <w:bCs w:val="1"/>
                <w:color w:val="auto"/>
              </w:rPr>
              <w:t>Cash flows from operating activities:</w:t>
            </w:r>
            <w:r>
              <w:rPr>
                <w:rFonts w:ascii="Arial" w:cs="Arial" w:eastAsia="Arial" w:hAnsi="Arial"/>
                <w:sz w:val="20"/>
                <w:szCs w:val="20"/>
                <w:b w:val="1"/>
                <w:bCs w:val="1"/>
                <w:color w:val="auto"/>
                <w:vertAlign w:val="superscript"/>
              </w:rPr>
              <w:t>(a)</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8"/>
        </w:trPr>
        <w:tc>
          <w:tcPr>
            <w:tcW w:w="830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211,453</w:t>
            </w:r>
          </w:p>
        </w:tc>
        <w:tc>
          <w:tcPr>
            <w:tcW w:w="1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184,007</w:t>
            </w:r>
          </w:p>
        </w:tc>
      </w:tr>
      <w:tr>
        <w:trPr>
          <w:trHeight w:val="214"/>
        </w:trPr>
        <w:tc>
          <w:tcPr>
            <w:tcW w:w="83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300" w:type="dxa"/>
            <w:vAlign w:val="bottom"/>
          </w:tcPr>
          <w:p>
            <w:pPr>
              <w:ind w:left="460"/>
              <w:spacing w:after="0"/>
              <w:rPr>
                <w:sz w:val="20"/>
                <w:szCs w:val="20"/>
                <w:color w:val="auto"/>
              </w:rPr>
            </w:pPr>
            <w:r>
              <w:rPr>
                <w:rFonts w:ascii="Arial" w:cs="Arial" w:eastAsia="Arial" w:hAnsi="Arial"/>
                <w:sz w:val="16"/>
                <w:szCs w:val="16"/>
                <w:color w:val="auto"/>
              </w:rPr>
              <w:t>Depreciation, amortization and accretion</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157,552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158,138</w:t>
            </w:r>
          </w:p>
        </w:tc>
      </w:tr>
      <w:tr>
        <w:trPr>
          <w:trHeight w:val="214"/>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deferred financing costs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r>
      <w:tr>
        <w:trPr>
          <w:trHeight w:val="208"/>
        </w:trPr>
        <w:tc>
          <w:tcPr>
            <w:tcW w:w="8300" w:type="dxa"/>
            <w:vAlign w:val="bottom"/>
          </w:tcPr>
          <w:p>
            <w:pPr>
              <w:ind w:left="460"/>
              <w:spacing w:after="0"/>
              <w:rPr>
                <w:sz w:val="20"/>
                <w:szCs w:val="20"/>
                <w:color w:val="auto"/>
              </w:rPr>
            </w:pPr>
            <w:r>
              <w:rPr>
                <w:rFonts w:ascii="Arial" w:cs="Arial" w:eastAsia="Arial" w:hAnsi="Arial"/>
                <w:sz w:val="16"/>
                <w:szCs w:val="16"/>
                <w:color w:val="auto"/>
              </w:rPr>
              <w:t>Asset write-down charges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w:t>
            </w:r>
          </w:p>
        </w:tc>
      </w:tr>
      <w:tr>
        <w:trPr>
          <w:trHeight w:val="214"/>
        </w:trPr>
        <w:tc>
          <w:tcPr>
            <w:tcW w:w="83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assets and liabilities: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8"/>
        </w:trPr>
        <w:tc>
          <w:tcPr>
            <w:tcW w:w="8300" w:type="dxa"/>
            <w:vAlign w:val="bottom"/>
          </w:tcPr>
          <w:p>
            <w:pPr>
              <w:ind w:left="640"/>
              <w:spacing w:after="0"/>
              <w:rPr>
                <w:sz w:val="20"/>
                <w:szCs w:val="20"/>
                <w:color w:val="auto"/>
              </w:rPr>
            </w:pPr>
            <w:r>
              <w:rPr>
                <w:rFonts w:ascii="Arial" w:cs="Arial" w:eastAsia="Arial" w:hAnsi="Arial"/>
                <w:sz w:val="16"/>
                <w:szCs w:val="16"/>
                <w:color w:val="auto"/>
              </w:rPr>
              <w:t>Increase (decrease) in accrued interest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9,622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9,622</w:t>
            </w:r>
          </w:p>
        </w:tc>
      </w:tr>
      <w:tr>
        <w:trPr>
          <w:trHeight w:val="214"/>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Increase (decrease) in accounts payable</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w:t>
            </w:r>
          </w:p>
        </w:tc>
      </w:tr>
      <w:tr>
        <w:trPr>
          <w:trHeight w:val="208"/>
        </w:trPr>
        <w:tc>
          <w:tcPr>
            <w:tcW w:w="8300" w:type="dxa"/>
            <w:vAlign w:val="bottom"/>
          </w:tcPr>
          <w:p>
            <w:pPr>
              <w:ind w:left="640"/>
              <w:spacing w:after="0"/>
              <w:rPr>
                <w:sz w:val="20"/>
                <w:szCs w:val="20"/>
                <w:color w:val="auto"/>
              </w:rPr>
            </w:pPr>
            <w:r>
              <w:rPr>
                <w:rFonts w:ascii="Arial" w:cs="Arial" w:eastAsia="Arial" w:hAnsi="Arial"/>
                <w:sz w:val="16"/>
                <w:szCs w:val="16"/>
                <w:color w:val="auto"/>
              </w:rPr>
              <w:t>Increase (decrease) in other liabilities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6,800</w:t>
            </w:r>
          </w:p>
        </w:tc>
      </w:tr>
      <w:tr>
        <w:trPr>
          <w:trHeight w:val="214"/>
        </w:trPr>
        <w:tc>
          <w:tcPr>
            <w:tcW w:w="83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Decrease (increase) in receivables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r>
      <w:tr>
        <w:trPr>
          <w:trHeight w:val="208"/>
        </w:trPr>
        <w:tc>
          <w:tcPr>
            <w:tcW w:w="8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Decrease (increase) in other assets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(9,621)</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(5,051)</w:t>
            </w:r>
          </w:p>
        </w:tc>
      </w:tr>
      <w:tr>
        <w:trPr>
          <w:trHeight w:val="208"/>
        </w:trPr>
        <w:tc>
          <w:tcPr>
            <w:tcW w:w="830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provided by (used for)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338,846</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356,339</w:t>
            </w:r>
          </w:p>
        </w:tc>
      </w:tr>
      <w:tr>
        <w:trPr>
          <w:trHeight w:val="188"/>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8300" w:type="dxa"/>
            <w:vAlign w:val="bottom"/>
            <w:shd w:val="clear" w:color="auto" w:fill="CCEEFF"/>
          </w:tcPr>
          <w:p>
            <w:pPr>
              <w:ind w:left="220"/>
              <w:spacing w:after="0" w:line="214" w:lineRule="exact"/>
              <w:rPr>
                <w:sz w:val="20"/>
                <w:szCs w:val="20"/>
                <w:color w:val="auto"/>
              </w:rPr>
            </w:pPr>
            <w:r>
              <w:rPr>
                <w:rFonts w:ascii="Arial" w:cs="Arial" w:eastAsia="Arial" w:hAnsi="Arial"/>
                <w:sz w:val="16"/>
                <w:szCs w:val="16"/>
                <w:color w:val="auto"/>
              </w:rPr>
              <w:t>Capital expenditures</w:t>
            </w:r>
            <w:r>
              <w:rPr>
                <w:rFonts w:ascii="Arial" w:cs="Arial" w:eastAsia="Arial" w:hAnsi="Arial"/>
                <w:sz w:val="20"/>
                <w:szCs w:val="20"/>
                <w:color w:val="auto"/>
                <w:vertAlign w:val="superscript"/>
              </w:rPr>
              <w:t>(b)</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(16,517)</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(37,179)</w:t>
            </w:r>
          </w:p>
        </w:tc>
      </w:tr>
      <w:tr>
        <w:trPr>
          <w:trHeight w:val="201"/>
        </w:trPr>
        <w:tc>
          <w:tcPr>
            <w:tcW w:w="830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Net cash provided by (used for) investing activities</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(16,517)</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(37,179)</w:t>
            </w:r>
          </w:p>
        </w:tc>
      </w:tr>
      <w:tr>
        <w:trPr>
          <w:trHeight w:val="194"/>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8"/>
        </w:trPr>
        <w:tc>
          <w:tcPr>
            <w:tcW w:w="83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Distributions to member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(308,002)</w:t>
            </w:r>
          </w:p>
        </w:tc>
      </w:tr>
      <w:tr>
        <w:trPr>
          <w:trHeight w:val="208"/>
        </w:trPr>
        <w:tc>
          <w:tcPr>
            <w:tcW w:w="830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(317,124)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(308,002)</w:t>
            </w:r>
          </w:p>
        </w:tc>
      </w:tr>
      <w:tr>
        <w:trPr>
          <w:trHeight w:val="201"/>
        </w:trPr>
        <w:tc>
          <w:tcPr>
            <w:tcW w:w="8300" w:type="dxa"/>
            <w:vAlign w:val="bottom"/>
          </w:tcPr>
          <w:p>
            <w:pPr>
              <w:ind w:left="84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5,205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11,158</w:t>
            </w:r>
          </w:p>
        </w:tc>
      </w:tr>
      <w:tr>
        <w:trPr>
          <w:trHeight w:val="211"/>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20,407</w:t>
            </w: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22,644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31,565</w:t>
            </w:r>
          </w:p>
        </w:tc>
      </w:tr>
      <w:tr>
        <w:trPr>
          <w:trHeight w:val="20"/>
        </w:trPr>
        <w:tc>
          <w:tcPr>
            <w:tcW w:w="8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142240</wp:posOffset>
            </wp:positionV>
            <wp:extent cx="8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9535" cy="8255"/>
                    </a:xfrm>
                    <a:prstGeom prst="rect">
                      <a:avLst/>
                    </a:prstGeom>
                    <a:noFill/>
                  </pic:spPr>
                </pic:pic>
              </a:graphicData>
            </a:graphic>
          </wp:anchor>
        </w:drawing>
      </w:r>
    </w:p>
    <w:p>
      <w:pPr>
        <w:spacing w:after="0" w:line="212" w:lineRule="exact"/>
        <w:rPr>
          <w:sz w:val="20"/>
          <w:szCs w:val="20"/>
          <w:color w:val="auto"/>
        </w:rPr>
      </w:pPr>
    </w:p>
    <w:p>
      <w:pPr>
        <w:jc w:val="both"/>
        <w:ind w:left="320" w:hanging="314"/>
        <w:spacing w:after="0" w:line="241" w:lineRule="auto"/>
        <w:tabs>
          <w:tab w:leader="none" w:pos="318"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Company receives no cash from, and is not party to, the tower installation and modification transactions described in note 4. Such transactions, however, are reflected on the cash flow statement for GAAP purposes as if an amount equal to the lease component for such transactions had been received by the Company, and, as such, the amounts have been recorded as deferred revenues.</w:t>
      </w:r>
    </w:p>
    <w:p>
      <w:pPr>
        <w:spacing w:after="0" w:line="1" w:lineRule="exact"/>
        <w:rPr>
          <w:rFonts w:ascii="Arial" w:cs="Arial" w:eastAsia="Arial" w:hAnsi="Arial"/>
          <w:sz w:val="14"/>
          <w:szCs w:val="14"/>
          <w:color w:val="auto"/>
        </w:rPr>
      </w:pPr>
    </w:p>
    <w:p>
      <w:pPr>
        <w:ind w:left="320" w:hanging="314"/>
        <w:spacing w:after="0" w:line="245" w:lineRule="auto"/>
        <w:tabs>
          <w:tab w:leader="none" w:pos="31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permanent improvements recorded in connection with the tower installation and modification transactions described in note 4. The Company receives no cash from, and is not party to, such transactions.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MEMBER'S EQUITY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5"/>
              </w:rPr>
              <w:t>Member's Equity</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4"/>
                <w:szCs w:val="14"/>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Earnings (Deficit)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1,874,753</w:t>
            </w:r>
          </w:p>
        </w:tc>
        <w:tc>
          <w:tcPr>
            <w:tcW w:w="0" w:type="dxa"/>
            <w:vAlign w:val="bottom"/>
          </w:tcPr>
          <w:p>
            <w:pPr>
              <w:spacing w:after="0"/>
              <w:rPr>
                <w:sz w:val="1"/>
                <w:szCs w:val="1"/>
                <w:color w:val="auto"/>
              </w:rPr>
            </w:pPr>
          </w:p>
        </w:tc>
      </w:tr>
      <w:tr>
        <w:trPr>
          <w:trHeight w:val="208"/>
        </w:trPr>
        <w:tc>
          <w:tcPr>
            <w:tcW w:w="692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(43,473)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(74,103)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(117,576)</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74,103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74,103</w:t>
            </w: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Balance,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1,831,280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1,831,280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5"/>
              </w:rPr>
              <w:t>Member's Equity</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Earnings (Deficit)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 30,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2,022,376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2,022,376</w:t>
            </w:r>
          </w:p>
        </w:tc>
        <w:tc>
          <w:tcPr>
            <w:tcW w:w="0" w:type="dxa"/>
            <w:vAlign w:val="bottom"/>
          </w:tcPr>
          <w:p>
            <w:pPr>
              <w:spacing w:after="0"/>
              <w:rPr>
                <w:sz w:val="1"/>
                <w:szCs w:val="1"/>
                <w:color w:val="auto"/>
              </w:rPr>
            </w:pPr>
          </w:p>
        </w:tc>
      </w:tr>
      <w:tr>
        <w:trPr>
          <w:trHeight w:val="208"/>
        </w:trPr>
        <w:tc>
          <w:tcPr>
            <w:tcW w:w="692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(49,417)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(61,887)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(111,304)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61,887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61,887</w:t>
            </w: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1,972,959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1,972,959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5"/>
              </w:rPr>
              <w:t>Member's Equity</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Earnings (Deficit)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1,936,951</w:t>
            </w:r>
          </w:p>
        </w:tc>
        <w:tc>
          <w:tcPr>
            <w:tcW w:w="0" w:type="dxa"/>
            <w:vAlign w:val="bottom"/>
          </w:tcPr>
          <w:p>
            <w:pPr>
              <w:spacing w:after="0"/>
              <w:rPr>
                <w:sz w:val="1"/>
                <w:szCs w:val="1"/>
                <w:color w:val="auto"/>
              </w:rPr>
            </w:pPr>
          </w:p>
        </w:tc>
      </w:tr>
      <w:tr>
        <w:trPr>
          <w:trHeight w:val="208"/>
        </w:trPr>
        <w:tc>
          <w:tcPr>
            <w:tcW w:w="692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(105,671)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(211,453)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(317,124)</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211,453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211,453</w:t>
            </w: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Balance, September 30, 2021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1,831,280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1,831,280</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6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5"/>
              </w:rPr>
              <w:t>Member's Equity</w:t>
            </w:r>
          </w:p>
        </w:tc>
        <w:tc>
          <w:tcPr>
            <w:tcW w:w="120" w:type="dxa"/>
            <w:vAlign w:val="bottom"/>
            <w:vMerge w:val="restart"/>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24"/>
                <w:szCs w:val="24"/>
                <w:color w:val="auto"/>
              </w:rPr>
            </w:pPr>
          </w:p>
        </w:tc>
        <w:tc>
          <w:tcPr>
            <w:tcW w:w="1060" w:type="dxa"/>
            <w:vAlign w:val="bottom"/>
            <w:vMerge w:val="restart"/>
          </w:tcPr>
          <w:p>
            <w:pPr>
              <w:jc w:val="right"/>
              <w:ind w:right="44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69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Earnings (Deficit)</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2,096,954</w:t>
            </w:r>
          </w:p>
        </w:tc>
        <w:tc>
          <w:tcPr>
            <w:tcW w:w="0" w:type="dxa"/>
            <w:vAlign w:val="bottom"/>
          </w:tcPr>
          <w:p>
            <w:pPr>
              <w:spacing w:after="0"/>
              <w:rPr>
                <w:sz w:val="1"/>
                <w:szCs w:val="1"/>
                <w:color w:val="auto"/>
              </w:rPr>
            </w:pPr>
          </w:p>
        </w:tc>
      </w:tr>
      <w:tr>
        <w:trPr>
          <w:trHeight w:val="208"/>
        </w:trPr>
        <w:tc>
          <w:tcPr>
            <w:tcW w:w="6920" w:type="dxa"/>
            <w:vAlign w:val="bottom"/>
          </w:tcPr>
          <w:p>
            <w:pPr>
              <w:ind w:left="220"/>
              <w:spacing w:after="0"/>
              <w:rPr>
                <w:sz w:val="20"/>
                <w:szCs w:val="20"/>
                <w:color w:val="auto"/>
              </w:rPr>
            </w:pPr>
            <w:r>
              <w:rPr>
                <w:rFonts w:ascii="Arial" w:cs="Arial" w:eastAsia="Arial" w:hAnsi="Arial"/>
                <w:sz w:val="16"/>
                <w:szCs w:val="16"/>
                <w:color w:val="auto"/>
              </w:rPr>
              <w:t>Distributions to member</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(123,995)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(184,007)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(308,002)</w:t>
            </w:r>
          </w:p>
        </w:tc>
        <w:tc>
          <w:tcPr>
            <w:tcW w:w="0" w:type="dxa"/>
            <w:vAlign w:val="bottom"/>
          </w:tcPr>
          <w:p>
            <w:pPr>
              <w:spacing w:after="0"/>
              <w:rPr>
                <w:sz w:val="1"/>
                <w:szCs w:val="1"/>
                <w:color w:val="auto"/>
              </w:rPr>
            </w:pPr>
          </w:p>
        </w:tc>
      </w:tr>
      <w:tr>
        <w:trPr>
          <w:trHeight w:val="211"/>
        </w:trPr>
        <w:tc>
          <w:tcPr>
            <w:tcW w:w="6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184,007</w:t>
            </w:r>
          </w:p>
        </w:tc>
        <w:tc>
          <w:tcPr>
            <w:tcW w:w="0" w:type="dxa"/>
            <w:vAlign w:val="bottom"/>
          </w:tcPr>
          <w:p>
            <w:pPr>
              <w:spacing w:after="0"/>
              <w:rPr>
                <w:sz w:val="1"/>
                <w:szCs w:val="1"/>
                <w:color w:val="auto"/>
              </w:rPr>
            </w:pPr>
          </w:p>
        </w:tc>
      </w:tr>
      <w:tr>
        <w:trPr>
          <w:trHeight w:val="208"/>
        </w:trPr>
        <w:tc>
          <w:tcPr>
            <w:tcW w:w="6920" w:type="dxa"/>
            <w:vAlign w:val="bottom"/>
          </w:tcPr>
          <w:p>
            <w:pPr>
              <w:ind w:left="20"/>
              <w:spacing w:after="0"/>
              <w:rPr>
                <w:sz w:val="20"/>
                <w:szCs w:val="20"/>
                <w:color w:val="auto"/>
              </w:rPr>
            </w:pPr>
            <w:r>
              <w:rPr>
                <w:rFonts w:ascii="Arial" w:cs="Arial" w:eastAsia="Arial" w:hAnsi="Arial"/>
                <w:sz w:val="16"/>
                <w:szCs w:val="16"/>
                <w:color w:val="auto"/>
              </w:rPr>
              <w:t>Balance, September 30, 2020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1,972,959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1,972,959</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392" w:lineRule="exact"/>
        <w:rPr>
          <w:sz w:val="20"/>
          <w:szCs w:val="20"/>
          <w:color w:val="auto"/>
        </w:rPr>
      </w:pPr>
    </w:p>
    <w:p>
      <w:pPr>
        <w:ind w:left="400" w:hanging="394"/>
        <w:spacing w:after="0"/>
        <w:tabs>
          <w:tab w:leader="none" w:pos="4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68"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The accompanying condensed consolidated financial statements reflect the condensed consolidated financial position, results of operations and cash flows of CC Holdings GS V LLC ("CCL") and its consolidated wholly-owned subsidiaries (collectively, "Company"). The Company is a wholly-owned subsidiary of Global Signal Operating Partnership, L.P. ("GSOP"), which is an indirect subsidiary of Crown Castle International Corp., a Delaware corporation ("CCIC"). CCL is a Delaware limited liability company that is a holding company and an issuer of the Company's debt. Intercompany accounts, transactions and profits have been eliminated. As used herein, the term "including," and any variation thereof means "including without limitation." The use of the word "or" herein is not exclusive.</w:t>
      </w:r>
    </w:p>
    <w:p>
      <w:pPr>
        <w:spacing w:after="0" w:line="14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information contained in the following notes to the condensed consolidated financial statements is condensed from that which would appear in the annual consolidated financial statements; accordingly, the condensed consolidated financial statements included herein should be reviewed in conjunction with the consolidated financial statements for the fiscal year ended December 31, 2020, and related notes thereto, included in the 2020 Form 10-K filed by the Company with the SEC.</w:t>
      </w:r>
    </w:p>
    <w:p>
      <w:pPr>
        <w:spacing w:after="0" w:line="140"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The Company is organized specifically to own, lease and manage towers and other structures (collectively, "towers"), and to a lesser extent, interests in land under third party and related party towers in various forms ("land interests") (collectively, "sites") that are geographically dispersed throughout the U.S. The Company's core business is providing access, including space or capacity, to its sites via long-term contracts in various forms, including lease, license and sublease agreements (collectively, "tenant contracts"). The Company's customers on its sites are referred to herein as "tenants." Management services related to the Company's sites are performed by Crown Castle USA Inc. ("CCUSA"), an affiliate of the Company, under the Management Agreement, as the Company has no employees.</w:t>
      </w:r>
    </w:p>
    <w:p>
      <w:pPr>
        <w:spacing w:after="0" w:line="141"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Approximately 70% of the Company's sites are leased or subleased or operated and managed for an initial period of 32 years (through May 2037) under master leases or other agreements with T-Mobile (which T-Mobile assumed in connection with its merger with Sprint) ("T-Mobile Sites"). CCIC, through its subsidiaries (including the Company), has the option to purchase in 2037 all (but not less than all) of the T-Mobile Sites from T-Mobile for approximately $2.3 billion. CCIC has no obligation to exercise the purchase option.</w:t>
      </w:r>
    </w:p>
    <w:p>
      <w:pPr>
        <w:spacing w:after="0" w:line="140"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For U.S federal income tax purposes, CCIC operates as a real estate investment trust ("REIT"), and as its indirect subsidiary, the Company's assets and operations are included in the CCIC REIT. See note 5.</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Basis of Presentation</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The condensed consolidated financial statements included herein are unaudited; however, they include all adjustments (consisting only of normal recurring adjustments) which, in the opinion of management, are necessary to state fairly the condensed consolidated financial position of the Company at September 30, 2021, the condensed consolidated results of operations for the three and nine months ended September 30, 2021 and 2020 and the condensed consolidated cash flows for the nine months ended September 30, 2021 and 2020. The year-end condensed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spacing w:after="0" w:line="11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as of the date of the financial statements and the reported amounts of revenues and expenses during the reporting period. Actual results could differ from those estimates.</w:t>
      </w:r>
    </w:p>
    <w:p>
      <w:pPr>
        <w:spacing w:after="0" w:line="131" w:lineRule="exact"/>
        <w:rPr>
          <w:sz w:val="20"/>
          <w:szCs w:val="20"/>
          <w:color w:val="auto"/>
        </w:rPr>
      </w:pPr>
    </w:p>
    <w:p>
      <w:pPr>
        <w:jc w:val="both"/>
        <w:ind w:left="400" w:right="7540" w:hanging="394"/>
        <w:spacing w:after="0" w:line="518" w:lineRule="auto"/>
        <w:tabs>
          <w:tab w:leader="none" w:pos="40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Recently Adopted Accounting Pronouncements</w:t>
      </w:r>
    </w:p>
    <w:p>
      <w:pPr>
        <w:ind w:firstLine="396"/>
        <w:spacing w:after="0" w:line="262" w:lineRule="auto"/>
        <w:rPr>
          <w:sz w:val="20"/>
          <w:szCs w:val="20"/>
          <w:color w:val="auto"/>
        </w:rPr>
      </w:pPr>
      <w:r>
        <w:rPr>
          <w:rFonts w:ascii="Arial" w:cs="Arial" w:eastAsia="Arial" w:hAnsi="Arial"/>
          <w:sz w:val="18"/>
          <w:szCs w:val="18"/>
          <w:color w:val="auto"/>
        </w:rPr>
        <w:t>No accounting pronouncements adopted during the nine months ended September 30, 2021 had a material impact on the Company's condensed consolidated financial statements.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2"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No new accounting pronouncements issued but not yet adopted are expected to have a material impact on the Company's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55" w:lineRule="exact"/>
        <w:rPr>
          <w:sz w:val="20"/>
          <w:szCs w:val="20"/>
          <w:color w:val="auto"/>
        </w:rPr>
      </w:pPr>
    </w:p>
    <w:p>
      <w:pPr>
        <w:ind w:left="400" w:hanging="394"/>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6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outstanding balance of the 3.849% Secured Notes due April 2023 as of September 30, 2021 and December 31, 2020 was $997.9 million and $996.8 million, respectively.</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 and Amortization of Deferred Financing Costs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interest expense and amortization of deferred financing costs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20" w:type="dxa"/>
            <w:vAlign w:val="bottom"/>
          </w:tcPr>
          <w:p>
            <w:pPr>
              <w:spacing w:after="0"/>
              <w:rPr>
                <w:sz w:val="16"/>
                <w:szCs w:val="16"/>
                <w:color w:val="auto"/>
              </w:rPr>
            </w:pPr>
          </w:p>
        </w:tc>
        <w:tc>
          <w:tcPr>
            <w:tcW w:w="306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70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83"/>
        </w:trPr>
        <w:tc>
          <w:tcPr>
            <w:tcW w:w="522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205"/>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28,868</w:t>
            </w:r>
          </w:p>
        </w:tc>
      </w:tr>
      <w:tr>
        <w:trPr>
          <w:trHeight w:val="208"/>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r>
      <w:tr>
        <w:trPr>
          <w:trHeight w:val="233"/>
        </w:trPr>
        <w:tc>
          <w:tcPr>
            <w:tcW w:w="5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29,906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ind w:left="400" w:hanging="394"/>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68"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Pursuant to the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sites held by subsidiaries of CCIC. The management fee is equal to 7.5% of the Company's "Operating Revenues," as defined in the Management Agreement, which is based on the Company's reported revenues from tenant contracts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real estate and personal property taxes, ground lease and easement payments, and insurance premiums).</w:t>
      </w:r>
    </w:p>
    <w:p>
      <w:pPr>
        <w:spacing w:after="0" w:line="117"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Further, in connection with its role as Manager, CCUSA may offer certain installation and modification services to tenants on the Company's towers; however, the Company receives no cash from, and is not party to, such transactions. The Company includes the deferred revenue for a portion of the transaction price for the tower installation and modification services, which represents a lease component under GAAP, within "Deferred revenues" and "Other long-term liabilities" on the Company's condensed consolidated balance sheet and recognizes it as "Amortization of tower installations and modifications" on the Company's condensed consolidated statement of operations over the associated estimated lease term. The portions of the transaction price which do not represent a lease component are not reflected in the Company's operating results.</w:t>
      </w:r>
    </w:p>
    <w:p>
      <w:pPr>
        <w:spacing w:after="0" w:line="114"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As part of CCIC's strategy to obtain long-term control of the land under its towers, affiliates of the Company have acquired rights to land under the Company's towers. These affiliates then lease the land to the Company, and the Company pays ground rent expenses to the affiliates. Under such circumstances, the Company's obligation typically continues with the same or similar economic terms as the contract for the land that existed prior to the purchase of such land by the affiliate. As of September 30, 2021, more than 30% of the Company's towers were located on land controlled by an affiliate. Also, the Company receives site rental revenues from affiliates for land owned by the Company on which affiliates have towers.</w:t>
      </w:r>
    </w:p>
    <w:p>
      <w:pPr>
        <w:spacing w:after="0" w:line="113"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For the nine months ended September 30, 2021 and 2020, the Company recorded equity distributions of $317.1 million and $308.0 million, respectively, reflecting distributions to its member. Cash on-hand above the amount that is required by the Management Agreement has been, and is expected to continue to be, distributed to the Company's parent company. As of September 30, 2021 and December 31, 2020, other than the amounts of its ROU assets and operating lease liabilities related to land leased from affiliates of the Company reflected in "Operating lease right-of-use assets," "Current portion of operating lease liabilities</w:t>
      </w:r>
      <w:r>
        <w:rPr>
          <w:rFonts w:ascii="Arial" w:cs="Arial" w:eastAsia="Arial" w:hAnsi="Arial"/>
          <w:sz w:val="14"/>
          <w:szCs w:val="14"/>
          <w:color w:val="auto"/>
        </w:rPr>
        <w:t>—</w:t>
      </w:r>
      <w:r>
        <w:rPr>
          <w:rFonts w:ascii="Arial" w:cs="Arial" w:eastAsia="Arial" w:hAnsi="Arial"/>
          <w:sz w:val="18"/>
          <w:szCs w:val="18"/>
          <w:color w:val="auto"/>
        </w:rPr>
        <w:t>related parties" and "Operating lease liabilities</w:t>
      </w:r>
      <w:r>
        <w:rPr>
          <w:rFonts w:ascii="Arial" w:cs="Arial" w:eastAsia="Arial" w:hAnsi="Arial"/>
          <w:sz w:val="14"/>
          <w:szCs w:val="14"/>
          <w:color w:val="auto"/>
        </w:rPr>
        <w:t>—</w:t>
      </w:r>
      <w:r>
        <w:rPr>
          <w:rFonts w:ascii="Arial" w:cs="Arial" w:eastAsia="Arial" w:hAnsi="Arial"/>
          <w:sz w:val="18"/>
          <w:szCs w:val="18"/>
          <w:color w:val="auto"/>
        </w:rPr>
        <w:t>related parties," the Company had no material related party assets or liabilities on its condensed consolidated balance sheet.</w:t>
      </w:r>
    </w:p>
    <w:p>
      <w:pPr>
        <w:spacing w:after="0" w:line="135" w:lineRule="exact"/>
        <w:rPr>
          <w:sz w:val="20"/>
          <w:szCs w:val="20"/>
          <w:color w:val="auto"/>
        </w:rPr>
      </w:pPr>
    </w:p>
    <w:p>
      <w:pPr>
        <w:ind w:left="400" w:hanging="394"/>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CCIC operates as a REIT for U.S. federal income tax purposes. As a REIT, CCIC is generally entitled to a deduction for dividends that it pays and therefore is not subject to U.S. federal corporate income tax on its net taxable income that is currently distributed to its stockholders. For U.S. federal income tax purposes, the Company's assets and operations are included in the CCIC REIT.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the nine months ended September 30, 2021 and 2020, the Company's effective tax rate differed from the federal statutory rate predominately due to</w:t>
      </w:r>
    </w:p>
    <w:p>
      <w:pPr>
        <w:spacing w:after="0" w:line="39" w:lineRule="exact"/>
        <w:rPr>
          <w:sz w:val="20"/>
          <w:szCs w:val="20"/>
          <w:color w:val="auto"/>
        </w:rPr>
      </w:pPr>
    </w:p>
    <w:p>
      <w:pPr>
        <w:ind w:left="260" w:hanging="254"/>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CCIC's REIT status, including the dividends paid deduction, and (2) state taxes.</w:t>
      </w:r>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6.</w:t>
            </w:r>
          </w:p>
        </w:tc>
        <w:tc>
          <w:tcPr>
            <w:tcW w:w="5020" w:type="dxa"/>
            <w:vAlign w:val="bottom"/>
          </w:tcPr>
          <w:p>
            <w:pPr>
              <w:ind w:left="200"/>
              <w:spacing w:after="0"/>
              <w:rPr>
                <w:sz w:val="20"/>
                <w:szCs w:val="20"/>
                <w:color w:val="auto"/>
              </w:rPr>
            </w:pPr>
            <w:r>
              <w:rPr>
                <w:rFonts w:ascii="Arial" w:cs="Arial" w:eastAsia="Arial" w:hAnsi="Arial"/>
                <w:sz w:val="18"/>
                <w:szCs w:val="18"/>
                <w:b w:val="1"/>
                <w:bCs w:val="1"/>
                <w:color w:val="auto"/>
              </w:rPr>
              <w:t>Fair Values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483"/>
        </w:trPr>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25"/>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545"/>
              <w:spacing w:after="0"/>
              <w:rPr>
                <w:sz w:val="20"/>
                <w:szCs w:val="20"/>
                <w:color w:val="auto"/>
              </w:rPr>
            </w:pPr>
            <w:r>
              <w:rPr>
                <w:rFonts w:ascii="Arial" w:cs="Arial" w:eastAsia="Arial" w:hAnsi="Arial"/>
                <w:sz w:val="14"/>
                <w:szCs w:val="14"/>
                <w:b w:val="1"/>
                <w:bCs w:val="1"/>
                <w:color w:val="auto"/>
              </w:rPr>
              <w:t>December 31, 2020</w:t>
            </w:r>
          </w:p>
        </w:tc>
      </w:tr>
      <w:tr>
        <w:trPr>
          <w:trHeight w:val="183"/>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Level in Fair</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5"/>
                <w:szCs w:val="15"/>
                <w:color w:val="auto"/>
              </w:rPr>
            </w:pPr>
          </w:p>
        </w:tc>
        <w:tc>
          <w:tcPr>
            <w:tcW w:w="900" w:type="dxa"/>
            <w:vAlign w:val="bottom"/>
          </w:tcPr>
          <w:p>
            <w:pPr>
              <w:jc w:val="right"/>
              <w:ind w:right="365"/>
              <w:spacing w:after="0"/>
              <w:rPr>
                <w:sz w:val="20"/>
                <w:szCs w:val="20"/>
                <w:color w:val="auto"/>
              </w:rPr>
            </w:pPr>
            <w:r>
              <w:rPr>
                <w:rFonts w:ascii="Arial" w:cs="Arial" w:eastAsia="Arial" w:hAnsi="Arial"/>
                <w:sz w:val="14"/>
                <w:szCs w:val="14"/>
                <w:b w:val="1"/>
                <w:bCs w:val="1"/>
                <w:color w:val="auto"/>
              </w:rPr>
              <w:t>Fair</w:t>
            </w:r>
          </w:p>
        </w:tc>
      </w:tr>
      <w:tr>
        <w:trPr>
          <w:trHeight w:val="184"/>
        </w:trPr>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Value Hierarchy</w:t>
            </w: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5"/>
                <w:szCs w:val="15"/>
                <w:color w:val="auto"/>
              </w:rPr>
            </w:pPr>
          </w:p>
        </w:tc>
        <w:tc>
          <w:tcPr>
            <w:tcW w:w="900" w:type="dxa"/>
            <w:vAlign w:val="bottom"/>
          </w:tcPr>
          <w:p>
            <w:pPr>
              <w:jc w:val="right"/>
              <w:ind w:right="325"/>
              <w:spacing w:after="0"/>
              <w:rPr>
                <w:sz w:val="20"/>
                <w:szCs w:val="20"/>
                <w:color w:val="auto"/>
              </w:rPr>
            </w:pPr>
            <w:r>
              <w:rPr>
                <w:rFonts w:ascii="Arial" w:cs="Arial" w:eastAsia="Arial" w:hAnsi="Arial"/>
                <w:sz w:val="14"/>
                <w:szCs w:val="14"/>
                <w:b w:val="1"/>
                <w:bCs w:val="1"/>
                <w:color w:val="auto"/>
              </w:rPr>
              <w:t>Value</w:t>
            </w:r>
          </w:p>
        </w:tc>
      </w:tr>
      <w:tr>
        <w:trPr>
          <w:trHeight w:val="192"/>
        </w:trPr>
        <w:tc>
          <w:tcPr>
            <w:tcW w:w="40" w:type="dxa"/>
            <w:vAlign w:val="bottom"/>
          </w:tcPr>
          <w:p>
            <w:pPr>
              <w:spacing w:after="0"/>
              <w:rPr>
                <w:sz w:val="16"/>
                <w:szCs w:val="16"/>
                <w:color w:val="auto"/>
              </w:rPr>
            </w:pPr>
          </w:p>
        </w:tc>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r>
      <w:tr>
        <w:trPr>
          <w:trHeight w:val="208"/>
        </w:trPr>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22,644</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22,644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17,439</w:t>
            </w:r>
          </w:p>
        </w:tc>
        <w:tc>
          <w:tcPr>
            <w:tcW w:w="10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17,439</w:t>
            </w:r>
          </w:p>
        </w:tc>
      </w:tr>
      <w:tr>
        <w:trPr>
          <w:trHeight w:val="214"/>
        </w:trPr>
        <w:tc>
          <w:tcPr>
            <w:tcW w:w="40" w:type="dxa"/>
            <w:vAlign w:val="bottom"/>
          </w:tcPr>
          <w:p>
            <w:pPr>
              <w:spacing w:after="0"/>
              <w:rPr>
                <w:sz w:val="18"/>
                <w:szCs w:val="18"/>
                <w:color w:val="auto"/>
              </w:rPr>
            </w:pP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4"/>
        </w:trPr>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20" w:type="dxa"/>
            <w:vAlign w:val="bottom"/>
          </w:tcPr>
          <w:p>
            <w:pPr>
              <w:ind w:left="60"/>
              <w:spacing w:after="0"/>
              <w:rPr>
                <w:sz w:val="20"/>
                <w:szCs w:val="20"/>
                <w:color w:val="auto"/>
              </w:rPr>
            </w:pPr>
            <w:r>
              <w:rPr>
                <w:rFonts w:ascii="Arial" w:cs="Arial" w:eastAsia="Arial" w:hAnsi="Arial"/>
                <w:sz w:val="16"/>
                <w:szCs w:val="16"/>
                <w:color w:val="auto"/>
              </w:rPr>
              <w:t>Debt</w:t>
            </w:r>
          </w:p>
        </w:tc>
        <w:tc>
          <w:tcPr>
            <w:tcW w:w="1040" w:type="dxa"/>
            <w:vAlign w:val="bottom"/>
          </w:tcPr>
          <w:p>
            <w:pPr>
              <w:jc w:val="center"/>
              <w:spacing w:after="0"/>
              <w:rPr>
                <w:sz w:val="20"/>
                <w:szCs w:val="20"/>
                <w:color w:val="auto"/>
              </w:rPr>
            </w:pPr>
            <w:r>
              <w:rPr>
                <w:rFonts w:ascii="Arial" w:cs="Arial" w:eastAsia="Arial" w:hAnsi="Arial"/>
                <w:sz w:val="15"/>
                <w:szCs w:val="15"/>
                <w:color w:val="auto"/>
                <w:w w:val="71"/>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997,853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1,049,500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6"/>
              <w:spacing w:after="0"/>
              <w:rPr>
                <w:sz w:val="20"/>
                <w:szCs w:val="20"/>
                <w:color w:val="auto"/>
              </w:rPr>
            </w:pPr>
            <w:r>
              <w:rPr>
                <w:rFonts w:ascii="Arial" w:cs="Arial" w:eastAsia="Arial" w:hAnsi="Arial"/>
                <w:sz w:val="16"/>
                <w:szCs w:val="16"/>
                <w:color w:val="auto"/>
              </w:rPr>
              <w:t>996,815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5"/>
              <w:spacing w:after="0"/>
              <w:rPr>
                <w:sz w:val="20"/>
                <w:szCs w:val="20"/>
                <w:color w:val="auto"/>
              </w:rPr>
            </w:pPr>
            <w:r>
              <w:rPr>
                <w:rFonts w:ascii="Arial" w:cs="Arial" w:eastAsia="Arial" w:hAnsi="Arial"/>
                <w:sz w:val="16"/>
                <w:szCs w:val="16"/>
                <w:color w:val="auto"/>
              </w:rPr>
              <w:t>1,076,000</w:t>
            </w:r>
          </w:p>
        </w:tc>
      </w:tr>
    </w:tbl>
    <w:p>
      <w:pPr>
        <w:spacing w:after="0" w:line="23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fair value of cash and cash equivalents approximates the carrying value. The Company determines the fair value of its debt securities based on indicative, non-binding quotes from brokers. Quotes from brokers require judgment and are based on the brokers' interpretation of market information, including implied credit spreads for similar borrowings on recent trades or bid/ask prices or quotes from active markets if available. Since December 31, 2020, there have been no changes in the Company's valuation techniques used to measure fair values.</w:t>
      </w:r>
    </w:p>
    <w:p>
      <w:pPr>
        <w:spacing w:after="0" w:line="101" w:lineRule="exact"/>
        <w:rPr>
          <w:sz w:val="20"/>
          <w:szCs w:val="20"/>
          <w:color w:val="auto"/>
        </w:rPr>
      </w:pPr>
    </w:p>
    <w:p>
      <w:pPr>
        <w:ind w:left="400" w:hanging="394"/>
        <w:spacing w:after="0"/>
        <w:tabs>
          <w:tab w:leader="none" w:pos="4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68" w:lineRule="exact"/>
        <w:rPr>
          <w:sz w:val="20"/>
          <w:szCs w:val="20"/>
          <w:color w:val="auto"/>
        </w:rPr>
      </w:pPr>
    </w:p>
    <w:p>
      <w:pPr>
        <w:jc w:val="both"/>
        <w:ind w:right="40" w:firstLine="396"/>
        <w:spacing w:after="0" w:line="287" w:lineRule="auto"/>
        <w:rPr>
          <w:sz w:val="20"/>
          <w:szCs w:val="20"/>
          <w:color w:val="auto"/>
        </w:rPr>
      </w:pPr>
      <w:r>
        <w:rPr>
          <w:rFonts w:ascii="Arial" w:cs="Arial" w:eastAsia="Arial" w:hAnsi="Arial"/>
          <w:sz w:val="16"/>
          <w:szCs w:val="16"/>
          <w:color w:val="auto"/>
        </w:rPr>
        <w:t>The Company is involved in various claims, assessments, lawsuits or proceedings arising in the ordinary course of business. While there are uncertainties inherent in the ultimate outcome of such matters, and it is impossible to presently determine the ultimate costs or losses that may be incurred, if any, management believes the adverse resolution of such uncertainties and the incurrence of such costs should not have a material adverse effect on the Company's condensed consolidated financial position or results of operations. In addition, see note 1 for a discussion of CCIC's option to purchase approximately 70% of the Company's towers at the end of their respective lease terms. CCIC has no obligation to exercise such purchase option.</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 w:type="dxa"/>
            <w:vAlign w:val="bottom"/>
          </w:tcPr>
          <w:p>
            <w:pPr>
              <w:spacing w:after="0"/>
              <w:rPr>
                <w:sz w:val="20"/>
                <w:szCs w:val="20"/>
                <w:color w:val="auto"/>
              </w:rPr>
            </w:pPr>
            <w:r>
              <w:rPr>
                <w:rFonts w:ascii="Arial" w:cs="Arial" w:eastAsia="Arial" w:hAnsi="Arial"/>
                <w:sz w:val="18"/>
                <w:szCs w:val="18"/>
                <w:b w:val="1"/>
                <w:bCs w:val="1"/>
                <w:color w:val="auto"/>
              </w:rPr>
              <w:t>8.</w:t>
            </w:r>
          </w:p>
        </w:tc>
        <w:tc>
          <w:tcPr>
            <w:tcW w:w="7920" w:type="dxa"/>
            <w:vAlign w:val="bottom"/>
          </w:tcPr>
          <w:p>
            <w:pPr>
              <w:ind w:left="22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99"/>
        </w:trPr>
        <w:tc>
          <w:tcPr>
            <w:tcW w:w="180" w:type="dxa"/>
            <w:vAlign w:val="bottom"/>
          </w:tcPr>
          <w:p>
            <w:pPr>
              <w:spacing w:after="0"/>
              <w:rPr>
                <w:sz w:val="24"/>
                <w:szCs w:val="24"/>
                <w:color w:val="auto"/>
              </w:rPr>
            </w:pPr>
          </w:p>
        </w:tc>
        <w:tc>
          <w:tcPr>
            <w:tcW w:w="7920" w:type="dxa"/>
            <w:vAlign w:val="bottom"/>
          </w:tcPr>
          <w:p>
            <w:pPr>
              <w:spacing w:after="0"/>
              <w:rPr>
                <w:sz w:val="24"/>
                <w:szCs w:val="24"/>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r>
      <w:tr>
        <w:trPr>
          <w:trHeight w:val="183"/>
        </w:trPr>
        <w:tc>
          <w:tcPr>
            <w:tcW w:w="180" w:type="dxa"/>
            <w:vAlign w:val="bottom"/>
            <w:tcBorders>
              <w:bottom w:val="single" w:sz="8" w:color="CCEEFF"/>
            </w:tcBorders>
          </w:tcPr>
          <w:p>
            <w:pPr>
              <w:spacing w:after="0"/>
              <w:rPr>
                <w:sz w:val="15"/>
                <w:szCs w:val="15"/>
                <w:color w:val="auto"/>
              </w:rPr>
            </w:pPr>
          </w:p>
        </w:tc>
        <w:tc>
          <w:tcPr>
            <w:tcW w:w="79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r>
      <w:tr>
        <w:trPr>
          <w:trHeight w:val="192"/>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9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r>
      <w:tr>
        <w:trPr>
          <w:trHeight w:val="211"/>
        </w:trPr>
        <w:tc>
          <w:tcPr>
            <w:tcW w:w="180" w:type="dxa"/>
            <w:vAlign w:val="bottom"/>
          </w:tcPr>
          <w:p>
            <w:pPr>
              <w:spacing w:after="0"/>
              <w:rPr>
                <w:sz w:val="18"/>
                <w:szCs w:val="18"/>
                <w:color w:val="auto"/>
              </w:rPr>
            </w:pPr>
          </w:p>
        </w:tc>
        <w:tc>
          <w:tcPr>
            <w:tcW w:w="7920" w:type="dxa"/>
            <w:vAlign w:val="bottom"/>
          </w:tcPr>
          <w:p>
            <w:pPr>
              <w:ind w:left="40"/>
              <w:spacing w:after="0" w:line="211" w:lineRule="exact"/>
              <w:rPr>
                <w:sz w:val="20"/>
                <w:szCs w:val="20"/>
                <w:color w:val="auto"/>
              </w:rPr>
            </w:pPr>
            <w:r>
              <w:rPr>
                <w:rFonts w:ascii="Arial" w:cs="Arial" w:eastAsia="Arial" w:hAnsi="Arial"/>
                <w:sz w:val="16"/>
                <w:szCs w:val="16"/>
                <w:color w:val="auto"/>
              </w:rPr>
              <w:t>Cash payments related to operating lease liabilities</w:t>
            </w:r>
            <w:r>
              <w:rPr>
                <w:rFonts w:ascii="Arial" w:cs="Arial" w:eastAsia="Arial" w:hAnsi="Arial"/>
                <w:sz w:val="20"/>
                <w:szCs w:val="20"/>
                <w:color w:val="auto"/>
                <w:vertAlign w:val="superscript"/>
              </w:rPr>
              <w:t>(a)(b)</w:t>
            </w:r>
          </w:p>
        </w:tc>
        <w:tc>
          <w:tcPr>
            <w:tcW w:w="960" w:type="dxa"/>
            <w:vAlign w:val="bottom"/>
          </w:tcPr>
          <w:p>
            <w:pPr>
              <w:jc w:val="right"/>
              <w:ind w:right="787"/>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8"/>
              </w:rPr>
              <w:t>82,447</w:t>
            </w:r>
          </w:p>
        </w:tc>
        <w:tc>
          <w:tcPr>
            <w:tcW w:w="100" w:type="dxa"/>
            <w:vAlign w:val="bottom"/>
          </w:tcPr>
          <w:p>
            <w:pPr>
              <w:spacing w:after="0"/>
              <w:rPr>
                <w:sz w:val="18"/>
                <w:szCs w:val="18"/>
                <w:color w:val="auto"/>
              </w:rPr>
            </w:pPr>
          </w:p>
        </w:tc>
        <w:tc>
          <w:tcPr>
            <w:tcW w:w="1020" w:type="dxa"/>
            <w:vAlign w:val="bottom"/>
          </w:tcPr>
          <w:p>
            <w:pPr>
              <w:jc w:val="right"/>
              <w:ind w:right="845"/>
              <w:spacing w:after="0"/>
              <w:rPr>
                <w:sz w:val="20"/>
                <w:szCs w:val="20"/>
                <w:color w:val="auto"/>
              </w:rPr>
            </w:pPr>
            <w:r>
              <w:rPr>
                <w:rFonts w:ascii="Arial" w:cs="Arial" w:eastAsia="Arial" w:hAnsi="Arial"/>
                <w:sz w:val="16"/>
                <w:szCs w:val="16"/>
                <w:color w:val="auto"/>
                <w:w w:val="89"/>
              </w:rPr>
              <w:t>$</w:t>
            </w:r>
          </w:p>
        </w:tc>
        <w:tc>
          <w:tcPr>
            <w:tcW w:w="500" w:type="dxa"/>
            <w:vAlign w:val="bottom"/>
          </w:tcPr>
          <w:p>
            <w:pPr>
              <w:spacing w:after="0"/>
              <w:rPr>
                <w:sz w:val="20"/>
                <w:szCs w:val="20"/>
                <w:color w:val="auto"/>
              </w:rPr>
            </w:pPr>
            <w:r>
              <w:rPr>
                <w:rFonts w:ascii="Arial" w:cs="Arial" w:eastAsia="Arial" w:hAnsi="Arial"/>
                <w:sz w:val="16"/>
                <w:szCs w:val="16"/>
                <w:color w:val="auto"/>
                <w:w w:val="98"/>
              </w:rPr>
              <w:t>80,853</w:t>
            </w:r>
          </w:p>
        </w:tc>
      </w:tr>
      <w:tr>
        <w:trPr>
          <w:trHeight w:val="211"/>
        </w:trPr>
        <w:tc>
          <w:tcPr>
            <w:tcW w:w="180" w:type="dxa"/>
            <w:vAlign w:val="bottom"/>
            <w:shd w:val="clear" w:color="auto" w:fill="CCEEFF"/>
          </w:tcPr>
          <w:p>
            <w:pPr>
              <w:spacing w:after="0"/>
              <w:rPr>
                <w:sz w:val="18"/>
                <w:szCs w:val="18"/>
                <w:color w:val="auto"/>
              </w:rPr>
            </w:pPr>
          </w:p>
        </w:tc>
        <w:tc>
          <w:tcPr>
            <w:tcW w:w="7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19,246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19,246</w:t>
            </w:r>
          </w:p>
        </w:tc>
      </w:tr>
      <w:tr>
        <w:trPr>
          <w:trHeight w:val="208"/>
        </w:trPr>
        <w:tc>
          <w:tcPr>
            <w:tcW w:w="8100" w:type="dxa"/>
            <w:vAlign w:val="bottom"/>
            <w:gridSpan w:val="2"/>
          </w:tcPr>
          <w:p>
            <w:pPr>
              <w:ind w:left="20"/>
              <w:spacing w:after="0"/>
              <w:rPr>
                <w:sz w:val="20"/>
                <w:szCs w:val="20"/>
                <w:color w:val="auto"/>
              </w:rPr>
            </w:pPr>
            <w:r>
              <w:rPr>
                <w:rFonts w:ascii="Arial" w:cs="Arial" w:eastAsia="Arial" w:hAnsi="Arial"/>
                <w:sz w:val="16"/>
                <w:szCs w:val="16"/>
                <w:color w:val="auto"/>
              </w:rPr>
              <w:t>Supplemental disclosure of non-cash operating, investing and financing activities: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4"/>
        </w:trPr>
        <w:tc>
          <w:tcPr>
            <w:tcW w:w="180" w:type="dxa"/>
            <w:vAlign w:val="bottom"/>
            <w:shd w:val="clear" w:color="auto" w:fill="CCEEFF"/>
          </w:tcPr>
          <w:p>
            <w:pPr>
              <w:spacing w:after="0"/>
              <w:rPr>
                <w:sz w:val="18"/>
                <w:szCs w:val="18"/>
                <w:color w:val="auto"/>
              </w:rPr>
            </w:pPr>
          </w:p>
        </w:tc>
        <w:tc>
          <w:tcPr>
            <w:tcW w:w="7920" w:type="dxa"/>
            <w:vAlign w:val="bottom"/>
            <w:shd w:val="clear" w:color="auto" w:fill="CCEEFF"/>
          </w:tcPr>
          <w:p>
            <w:pPr>
              <w:ind w:left="40"/>
              <w:spacing w:after="0" w:line="214" w:lineRule="exact"/>
              <w:rPr>
                <w:sz w:val="20"/>
                <w:szCs w:val="20"/>
                <w:color w:val="auto"/>
              </w:rPr>
            </w:pPr>
            <w:r>
              <w:rPr>
                <w:rFonts w:ascii="Arial" w:cs="Arial" w:eastAsia="Arial" w:hAnsi="Arial"/>
                <w:sz w:val="16"/>
                <w:szCs w:val="16"/>
                <w:color w:val="auto"/>
              </w:rPr>
              <w:t>New ROU assets obtained in exchange for operating lease liabilities</w:t>
            </w:r>
            <w:r>
              <w:rPr>
                <w:rFonts w:ascii="Arial" w:cs="Arial" w:eastAsia="Arial" w:hAnsi="Arial"/>
                <w:sz w:val="20"/>
                <w:szCs w:val="20"/>
                <w:color w:val="auto"/>
                <w:vertAlign w:val="superscript"/>
              </w:rPr>
              <w:t>(b)</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17,891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6"/>
                <w:szCs w:val="16"/>
                <w:color w:val="auto"/>
                <w:w w:val="98"/>
              </w:rPr>
              <w:t>46,234</w:t>
            </w:r>
          </w:p>
        </w:tc>
      </w:tr>
      <w:tr>
        <w:trPr>
          <w:trHeight w:val="204"/>
        </w:trPr>
        <w:tc>
          <w:tcPr>
            <w:tcW w:w="180" w:type="dxa"/>
            <w:vAlign w:val="bottom"/>
          </w:tcPr>
          <w:p>
            <w:pPr>
              <w:spacing w:after="0"/>
              <w:rPr>
                <w:sz w:val="17"/>
                <w:szCs w:val="17"/>
                <w:color w:val="auto"/>
              </w:rPr>
            </w:pPr>
          </w:p>
        </w:tc>
        <w:tc>
          <w:tcPr>
            <w:tcW w:w="7920" w:type="dxa"/>
            <w:vAlign w:val="bottom"/>
          </w:tcPr>
          <w:p>
            <w:pPr>
              <w:ind w:left="40"/>
              <w:spacing w:after="0"/>
              <w:rPr>
                <w:sz w:val="20"/>
                <w:szCs w:val="20"/>
                <w:color w:val="auto"/>
              </w:rPr>
            </w:pPr>
            <w:r>
              <w:rPr>
                <w:rFonts w:ascii="Arial" w:cs="Arial" w:eastAsia="Arial" w:hAnsi="Arial"/>
                <w:sz w:val="16"/>
                <w:szCs w:val="16"/>
                <w:color w:val="auto"/>
              </w:rPr>
              <w:t>Increase (decrease) in accounts payable for purchases of property and equipment</w:t>
            </w: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ind w:left="20"/>
              <w:spacing w:after="0"/>
              <w:rPr>
                <w:sz w:val="20"/>
                <w:szCs w:val="20"/>
                <w:color w:val="auto"/>
              </w:rPr>
            </w:pPr>
            <w:r>
              <w:rPr>
                <w:rFonts w:ascii="Arial" w:cs="Arial" w:eastAsia="Arial" w:hAnsi="Arial"/>
                <w:sz w:val="16"/>
                <w:szCs w:val="16"/>
                <w:color w:val="auto"/>
                <w:w w:val="90"/>
              </w:rPr>
              <w:t>(2,758)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146685</wp:posOffset>
            </wp:positionV>
            <wp:extent cx="895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9535" cy="8255"/>
                    </a:xfrm>
                    <a:prstGeom prst="rect">
                      <a:avLst/>
                    </a:prstGeom>
                    <a:noFill/>
                  </pic:spPr>
                </pic:pic>
              </a:graphicData>
            </a:graphic>
          </wp:anchor>
        </w:drawing>
      </w:r>
    </w:p>
    <w:p>
      <w:pPr>
        <w:spacing w:after="0" w:line="219" w:lineRule="exact"/>
        <w:rPr>
          <w:sz w:val="20"/>
          <w:szCs w:val="20"/>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the Company's contingent payments pursuant to operating leases, which are recorded as expense in the period such contingencies are resolved.</w:t>
      </w:r>
    </w:p>
    <w:p>
      <w:pPr>
        <w:spacing w:after="0" w:line="9" w:lineRule="exact"/>
        <w:rPr>
          <w:rFonts w:ascii="Arial" w:cs="Arial" w:eastAsia="Arial" w:hAnsi="Arial"/>
          <w:sz w:val="14"/>
          <w:szCs w:val="14"/>
          <w:color w:val="auto"/>
        </w:rPr>
      </w:pPr>
    </w:p>
    <w:p>
      <w:pPr>
        <w:ind w:left="320" w:hanging="314"/>
        <w:spacing w:after="0"/>
        <w:tabs>
          <w:tab w:leader="none" w:pos="3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Inclusive of leases with related parties. See note 4.</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9" w:name="page10"/>
    <w:bookmarkEnd w:id="9"/>
    <w:p>
      <w:pPr>
        <w:spacing w:after="0"/>
        <w:tabs>
          <w:tab w:leader="none" w:pos="124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6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following discussion should be read in conjunction with the response to Part I, Item 1 of this Form 10-Q and the consolidated financial statements of the Company including the related notes and MD&amp;A included in the 2020 Form 10-K.</w:t>
      </w:r>
    </w:p>
    <w:p>
      <w:pPr>
        <w:spacing w:after="0" w:line="12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Throughout this Item 2 and this Form 10-Q, site rental revenues include both revenues from tenant contracts and amortization of tower installations and modifications.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Overview</w:t>
      </w:r>
    </w:p>
    <w:p>
      <w:pPr>
        <w:spacing w:after="0" w:line="168"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We own, lease and manage sites that are geographically dispersed throughout the United States. The vast majority of our site rental revenues is of a recurring nature and is subject to long-term contracts with our tenants.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Fundamentals and Results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are certain highlights of our business fundamentals and results as of and for the nine months ended September 30, 2021:</w:t>
      </w:r>
    </w:p>
    <w:p>
      <w:pPr>
        <w:spacing w:after="0" w:line="16" w:lineRule="exact"/>
        <w:rPr>
          <w:sz w:val="20"/>
          <w:szCs w:val="20"/>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growth resulting from the increasing demand for wireless data</w:t>
      </w:r>
    </w:p>
    <w:p>
      <w:pPr>
        <w:spacing w:after="0" w:line="4" w:lineRule="exact"/>
        <w:rPr>
          <w:rFonts w:ascii="Arial" w:cs="Arial" w:eastAsia="Arial" w:hAnsi="Arial"/>
          <w:sz w:val="18"/>
          <w:szCs w:val="18"/>
          <w:color w:val="auto"/>
        </w:rPr>
      </w:pPr>
    </w:p>
    <w:p>
      <w:pPr>
        <w:ind w:left="1200" w:hanging="403"/>
        <w:spacing w:after="0" w:line="244" w:lineRule="auto"/>
        <w:tabs>
          <w:tab w:leader="none" w:pos="1223"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expect U.S. wireless carriers will continue their focus on improving network quality and expanding capacity (including through 5G initiatives) by adding additional antennas or other equipment on our sites.</w:t>
      </w:r>
    </w:p>
    <w:p>
      <w:pPr>
        <w:spacing w:after="0" w:line="1" w:lineRule="exact"/>
        <w:rPr>
          <w:rFonts w:ascii="Arial" w:cs="Arial" w:eastAsia="Arial" w:hAnsi="Arial"/>
          <w:sz w:val="18"/>
          <w:szCs w:val="18"/>
          <w:color w:val="auto"/>
        </w:rPr>
      </w:pPr>
    </w:p>
    <w:p>
      <w:pPr>
        <w:jc w:val="both"/>
        <w:ind w:left="1200" w:hanging="403"/>
        <w:spacing w:after="0" w:line="24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expect existing and potential new tenant demand for our towers will result from (1) new technologies, (2) increased usage of mobile entertainment, mobile internet, and machine-to-machine applications, (3) adoption of other emerging and embedded wireless devices (including smartphones, laptops, tablets, wearables and other devices), (4) increasing smartphone penetration, (5) wireless carrier focus on expanding both network quality and capacity, (6) the adoption of other bandwidth-intensive applications (such as cloud services and video communications), (7) the availability of additional spectrum and (8) increased government initiatives to support connectivity throughout the U.S.</w:t>
      </w:r>
    </w:p>
    <w:p>
      <w:pPr>
        <w:spacing w:after="0" w:line="3" w:lineRule="exact"/>
        <w:rPr>
          <w:rFonts w:ascii="Arial" w:cs="Arial" w:eastAsia="Arial" w:hAnsi="Arial"/>
          <w:sz w:val="18"/>
          <w:szCs w:val="18"/>
          <w:color w:val="auto"/>
        </w:rPr>
      </w:pPr>
    </w:p>
    <w:p>
      <w:pPr>
        <w:ind w:left="1180" w:hanging="383"/>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Tenant additions on our existing sites are achieved at a low incremental operating cost, delivering high incremental returns.</w:t>
      </w:r>
    </w:p>
    <w:p>
      <w:pPr>
        <w:spacing w:after="0" w:line="4" w:lineRule="exact"/>
        <w:rPr>
          <w:rFonts w:ascii="Arial" w:cs="Arial" w:eastAsia="Arial" w:hAnsi="Arial"/>
          <w:sz w:val="18"/>
          <w:szCs w:val="18"/>
          <w:color w:val="auto"/>
        </w:rPr>
      </w:pPr>
    </w:p>
    <w:p>
      <w:pPr>
        <w:ind w:left="1820" w:hanging="390"/>
        <w:spacing w:after="0" w:line="244" w:lineRule="auto"/>
        <w:tabs>
          <w:tab w:leader="none" w:pos="1816" w:val="left"/>
        </w:tabs>
        <w:numPr>
          <w:ilvl w:val="2"/>
          <w:numId w:val="11"/>
        </w:numPr>
        <w:rPr>
          <w:rFonts w:ascii="Arial" w:cs="Arial" w:eastAsia="Arial" w:hAnsi="Arial"/>
          <w:sz w:val="18"/>
          <w:szCs w:val="18"/>
          <w:color w:val="auto"/>
        </w:rPr>
      </w:pPr>
      <w:r>
        <w:rPr>
          <w:rFonts w:ascii="Arial" w:cs="Arial" w:eastAsia="Arial" w:hAnsi="Arial"/>
          <w:sz w:val="18"/>
          <w:szCs w:val="18"/>
          <w:color w:val="auto"/>
        </w:rPr>
        <w:t>Substantially all of our sites can accommodate additional tenancy, either as currently constructed or with appropriate modifications to the structure (which may include extensions or structural reinforcement).</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4" w:lineRule="exact"/>
        <w:rPr>
          <w:rFonts w:ascii="Arial" w:cs="Arial" w:eastAsia="Arial" w:hAnsi="Arial"/>
          <w:sz w:val="18"/>
          <w:szCs w:val="18"/>
          <w:color w:val="auto"/>
        </w:rPr>
      </w:pPr>
    </w:p>
    <w:p>
      <w:pPr>
        <w:ind w:left="1180" w:hanging="383"/>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For U.S. federal income tax purposes, CCIC operates as a REIT and, as its indirect subsidiary, our assets and operations are included in the</w:t>
      </w:r>
    </w:p>
    <w:p>
      <w:pPr>
        <w:spacing w:after="0" w:line="27"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8"/>
          <w:szCs w:val="18"/>
          <w:color w:val="auto"/>
        </w:rPr>
        <w:t>CCIC REIT.</w:t>
      </w:r>
    </w:p>
    <w:p>
      <w:pPr>
        <w:spacing w:after="0" w:line="4" w:lineRule="exact"/>
        <w:rPr>
          <w:rFonts w:ascii="Arial" w:cs="Arial" w:eastAsia="Arial" w:hAnsi="Arial"/>
          <w:sz w:val="16"/>
          <w:szCs w:val="16"/>
          <w:color w:val="auto"/>
        </w:rPr>
      </w:pPr>
    </w:p>
    <w:p>
      <w:pPr>
        <w:ind w:left="1200" w:hanging="403"/>
        <w:spacing w:after="0" w:line="244" w:lineRule="auto"/>
        <w:tabs>
          <w:tab w:leader="none" w:pos="11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sites, such as towers or other structures, and have no employees.</w:t>
      </w:r>
    </w:p>
    <w:p>
      <w:pPr>
        <w:spacing w:after="0" w:line="1" w:lineRule="exact"/>
        <w:rPr>
          <w:rFonts w:ascii="Arial" w:cs="Arial" w:eastAsia="Arial" w:hAnsi="Arial"/>
          <w:sz w:val="18"/>
          <w:szCs w:val="18"/>
          <w:color w:val="auto"/>
        </w:rPr>
      </w:pPr>
    </w:p>
    <w:p>
      <w:pPr>
        <w:ind w:left="1200" w:hanging="403"/>
        <w:spacing w:after="0" w:line="275" w:lineRule="auto"/>
        <w:tabs>
          <w:tab w:leader="none" w:pos="1223" w:val="left"/>
        </w:tabs>
        <w:numPr>
          <w:ilvl w:val="1"/>
          <w:numId w:val="11"/>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our sites, are performed by CCUSA. The management fee is equal to 7.5% of our Operating Revenues as defined in the Management Agreement.</w:t>
      </w: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Site rental revenues under long-term tenant contracts</w:t>
      </w:r>
    </w:p>
    <w:p>
      <w:pPr>
        <w:spacing w:after="0" w:line="4" w:lineRule="exact"/>
        <w:rPr>
          <w:rFonts w:ascii="Arial" w:cs="Arial" w:eastAsia="Arial" w:hAnsi="Arial"/>
          <w:sz w:val="18"/>
          <w:szCs w:val="18"/>
          <w:color w:val="auto"/>
        </w:rPr>
      </w:pPr>
    </w:p>
    <w:p>
      <w:pPr>
        <w:ind w:left="1200" w:hanging="403"/>
        <w:spacing w:after="0" w:line="244" w:lineRule="auto"/>
        <w:tabs>
          <w:tab w:leader="none" w:pos="1209" w:val="left"/>
        </w:tabs>
        <w:numPr>
          <w:ilvl w:val="1"/>
          <w:numId w:val="11"/>
        </w:numPr>
        <w:rPr>
          <w:rFonts w:ascii="Arial" w:cs="Arial" w:eastAsia="Arial" w:hAnsi="Arial"/>
          <w:sz w:val="18"/>
          <w:szCs w:val="18"/>
          <w:color w:val="auto"/>
        </w:rPr>
      </w:pPr>
      <w:r>
        <w:rPr>
          <w:rFonts w:ascii="Arial" w:cs="Arial" w:eastAsia="Arial" w:hAnsi="Arial"/>
          <w:sz w:val="18"/>
          <w:szCs w:val="18"/>
          <w:color w:val="auto"/>
        </w:rPr>
        <w:t>Initial terms of five to 15 years for site rental revenues derived from tenant contracts, with contractual escalations and multiple renewal periods of five to 10 years each, exercisable at the option of the tenant.</w:t>
      </w:r>
    </w:p>
    <w:p>
      <w:pPr>
        <w:spacing w:after="0" w:line="1" w:lineRule="exact"/>
        <w:rPr>
          <w:rFonts w:ascii="Arial" w:cs="Arial" w:eastAsia="Arial" w:hAnsi="Arial"/>
          <w:sz w:val="18"/>
          <w:szCs w:val="18"/>
          <w:color w:val="auto"/>
        </w:rPr>
      </w:pPr>
    </w:p>
    <w:p>
      <w:pPr>
        <w:ind w:left="1200" w:hanging="403"/>
        <w:spacing w:after="0" w:line="244" w:lineRule="auto"/>
        <w:tabs>
          <w:tab w:leader="none" w:pos="11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Weighted-average remaining term of approximately six years, exclusive of renewals exercisable at the tenants' option, currently representing approximately $5.1 billion of expected future cash inflows.</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of our revenues from large wireless carriers</w:t>
      </w:r>
    </w:p>
    <w:p>
      <w:pPr>
        <w:spacing w:after="0" w:line="4" w:lineRule="exact"/>
        <w:rPr>
          <w:rFonts w:ascii="Arial" w:cs="Arial" w:eastAsia="Arial" w:hAnsi="Arial"/>
          <w:sz w:val="18"/>
          <w:szCs w:val="18"/>
          <w:color w:val="auto"/>
        </w:rPr>
      </w:pPr>
    </w:p>
    <w:p>
      <w:pPr>
        <w:ind w:left="1180" w:hanging="383"/>
        <w:spacing w:after="0"/>
        <w:tabs>
          <w:tab w:leader="none" w:pos="11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T-Mobile, AT&amp;T and Verizon Wireless.</w:t>
      </w:r>
    </w:p>
    <w:p>
      <w:pPr>
        <w:spacing w:after="0" w:line="4" w:lineRule="exact"/>
        <w:rPr>
          <w:rFonts w:ascii="Arial" w:cs="Arial" w:eastAsia="Arial" w:hAnsi="Arial"/>
          <w:sz w:val="18"/>
          <w:szCs w:val="18"/>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Majority of land under our towers under long-term control</w:t>
      </w:r>
    </w:p>
    <w:p>
      <w:pPr>
        <w:spacing w:after="0" w:line="4" w:lineRule="exact"/>
        <w:rPr>
          <w:rFonts w:ascii="Arial" w:cs="Arial" w:eastAsia="Arial" w:hAnsi="Arial"/>
          <w:sz w:val="18"/>
          <w:szCs w:val="18"/>
          <w:color w:val="auto"/>
        </w:rPr>
      </w:pPr>
    </w:p>
    <w:p>
      <w:pPr>
        <w:ind w:left="1200" w:hanging="403"/>
        <w:spacing w:after="0" w:line="275" w:lineRule="auto"/>
        <w:tabs>
          <w:tab w:leader="none" w:pos="1209" w:val="left"/>
        </w:tabs>
        <w:numPr>
          <w:ilvl w:val="1"/>
          <w:numId w:val="11"/>
        </w:numPr>
        <w:rPr>
          <w:rFonts w:ascii="Arial" w:cs="Arial" w:eastAsia="Arial" w:hAnsi="Arial"/>
          <w:sz w:val="16"/>
          <w:szCs w:val="16"/>
          <w:color w:val="auto"/>
        </w:rPr>
      </w:pPr>
      <w:r>
        <w:rPr>
          <w:rFonts w:ascii="Arial" w:cs="Arial" w:eastAsia="Arial" w:hAnsi="Arial"/>
          <w:sz w:val="16"/>
          <w:szCs w:val="16"/>
          <w:color w:val="auto"/>
        </w:rPr>
        <w:t>More than 80% and more than 50% of our sites are under our control for greater than 10 and 20 years, respectively. The aforementioned percentages include towers located on land that is owned, including through fee interests and perpetual easements.</w:t>
      </w:r>
    </w:p>
    <w:p>
      <w:pPr>
        <w:jc w:val="both"/>
        <w:ind w:left="1200" w:hanging="403"/>
        <w:spacing w:after="0" w:line="244" w:lineRule="auto"/>
        <w:tabs>
          <w:tab w:leader="none" w:pos="11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Approximately one-fourth of our site rental costs of operations represent ground lease payments to our affiliates. Such affiliates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4" w:lineRule="exact"/>
        <w:rPr>
          <w:rFonts w:ascii="Arial" w:cs="Arial" w:eastAsia="Arial" w:hAnsi="Arial"/>
          <w:sz w:val="18"/>
          <w:szCs w:val="18"/>
          <w:color w:val="auto"/>
        </w:rPr>
      </w:pPr>
    </w:p>
    <w:p>
      <w:pPr>
        <w:ind w:left="1180" w:hanging="383"/>
        <w:spacing w:after="0"/>
        <w:tabs>
          <w:tab w:leader="none" w:pos="11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Our operating costs tend to escalate at approximately the rate of inflation and are not typically influenced by tenant additions or non-renewals.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10" w:name="page11"/>
    <w:bookmarkEnd w:id="10"/>
    <w:p>
      <w:pPr>
        <w:ind w:left="800" w:hanging="39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15" w:lineRule="exact"/>
        <w:rPr>
          <w:rFonts w:ascii="Arial" w:cs="Arial" w:eastAsia="Arial" w:hAnsi="Arial"/>
          <w:sz w:val="18"/>
          <w:szCs w:val="18"/>
          <w:color w:val="auto"/>
        </w:rPr>
      </w:pPr>
    </w:p>
    <w:p>
      <w:pPr>
        <w:ind w:left="1180" w:hanging="383"/>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Sustaining capital expenditures represented less than 1% of total site rental revenues.</w:t>
      </w:r>
    </w:p>
    <w:p>
      <w:pPr>
        <w:spacing w:after="0" w:line="4" w:lineRule="exact"/>
        <w:rPr>
          <w:rFonts w:ascii="Arial" w:cs="Arial" w:eastAsia="Arial" w:hAnsi="Arial"/>
          <w:sz w:val="18"/>
          <w:szCs w:val="18"/>
          <w:color w:val="auto"/>
        </w:rPr>
      </w:pPr>
    </w:p>
    <w:p>
      <w:pPr>
        <w:ind w:left="800" w:hanging="39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4" w:lineRule="exact"/>
        <w:rPr>
          <w:rFonts w:ascii="Arial" w:cs="Arial" w:eastAsia="Arial" w:hAnsi="Arial"/>
          <w:sz w:val="18"/>
          <w:szCs w:val="18"/>
          <w:color w:val="auto"/>
        </w:rPr>
      </w:pPr>
    </w:p>
    <w:p>
      <w:pPr>
        <w:ind w:left="1200" w:hanging="403"/>
        <w:spacing w:after="0" w:line="244" w:lineRule="auto"/>
        <w:tabs>
          <w:tab w:leader="none" w:pos="1209"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See note 3 to our condensed consolidated financial statements.</w:t>
      </w:r>
    </w:p>
    <w:p>
      <w:pPr>
        <w:spacing w:after="0" w:line="1" w:lineRule="exact"/>
        <w:rPr>
          <w:rFonts w:ascii="Arial" w:cs="Arial" w:eastAsia="Arial" w:hAnsi="Arial"/>
          <w:sz w:val="18"/>
          <w:szCs w:val="18"/>
          <w:color w:val="auto"/>
        </w:rPr>
      </w:pPr>
    </w:p>
    <w:p>
      <w:pPr>
        <w:ind w:left="800" w:hanging="399"/>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4" w:lineRule="exact"/>
        <w:rPr>
          <w:rFonts w:ascii="Arial" w:cs="Arial" w:eastAsia="Arial" w:hAnsi="Arial"/>
          <w:sz w:val="18"/>
          <w:szCs w:val="18"/>
          <w:color w:val="auto"/>
        </w:rPr>
      </w:pPr>
    </w:p>
    <w:p>
      <w:pPr>
        <w:ind w:left="1180" w:hanging="383"/>
        <w:spacing w:after="0"/>
        <w:tabs>
          <w:tab w:leader="none" w:pos="11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was $338.8 million. See </w:t>
      </w:r>
      <w:r>
        <w:rPr>
          <w:rFonts w:ascii="Arial" w:cs="Arial" w:eastAsia="Arial" w:hAnsi="Arial"/>
          <w:sz w:val="18"/>
          <w:szCs w:val="18"/>
          <w:i w:val="1"/>
          <w:iCs w:val="1"/>
          <w:color w:val="auto"/>
        </w:rPr>
        <w:t>"Item 2. MD&amp;A—Liquidity and Capital Resources."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Coronavirus (COVID-19)</w:t>
      </w:r>
    </w:p>
    <w:p>
      <w:pPr>
        <w:spacing w:after="0" w:line="16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 xml:space="preserve">In accordance with the U.S. Department of Homeland Security guidance issued in March 2020 designating telecommunications infrastructure and networks as critical infrastructure, we have continued our operations to ensure the viability of communications networks, which are essential to public health and safety. We do not believe that COVID-19 had a material impact on our financial position, results of operations and cash flows during the nine months ended September 30, 2021. We currently anticipate that we will be able to maintain sufficient liquidity as we manage through the current environment. See also </w:t>
      </w:r>
      <w:r>
        <w:rPr>
          <w:rFonts w:ascii="Arial" w:cs="Arial" w:eastAsia="Arial" w:hAnsi="Arial"/>
          <w:sz w:val="16"/>
          <w:szCs w:val="16"/>
          <w:i w:val="1"/>
          <w:iCs w:val="1"/>
          <w:color w:val="auto"/>
        </w:rPr>
        <w:t>"Item 2. MD&amp;A—Liquidity and Capital Resources—Liquidity Position."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Guarantor Subsidiaries</w:t>
      </w:r>
    </w:p>
    <w:p>
      <w:pPr>
        <w:spacing w:after="0" w:line="16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Summary financial information of certain of CCL’s wholly owned subsidiaries whose securities are pledged as collateral for our 3.849% Secured Notes is not provided in this Form 10-Q because the assets, liabilities and results of operations of the combined guarantors of the 3.849% Secured Notes and CCL affiliates whose securities are so pledged are not materially different than the corresponding amounts presented in CCL's condensed consolidated financial statements. Below is a description of certain material terms of the guarantees of the 3.849% Secured Notes and the pledge of the equity interests of the Guarantors (as defined below) that secures the 3.849% Secured Notes.</w:t>
      </w:r>
    </w:p>
    <w:p>
      <w:pPr>
        <w:spacing w:after="0" w:line="140"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3.849% Secured Notes were co-issued by CCL and its wholly owned finance subsidiary, Crown Castle GS III Corp. ("Co-Issuer" and, together with CCL, "Issuers"), and are guaranteed by all direct and indirect wholly owned subsidiaries of CCL, other than Co-Issuer (collectively, "Guarantors"). Subject to the provisions of the Secured Notes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one of its subsidiaries,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Secured Notes Indenture or (4) upon the discharge of the Secured Notes Indenture in accordance with its terms.</w:t>
      </w:r>
    </w:p>
    <w:p>
      <w:pPr>
        <w:spacing w:after="0" w:line="117"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CCL is a holding company with no significant operations or material assets other than the direct and indirect equity interests it holds in the Co-Issuer and the Guarantors. CCL conducts all of its business operations through the Guarantors. As a result, its ability to pay principal and interest on the 3.849% Secured Notes is dependent on the cash flow generated by the Guarantors and their ability to make such cash available to CCL by dividend or otherwise. The Guarantors' earnings will depend on their financial and operating performance, which will be affected by general economic, industry, financial, competitive, operating, legislative, regulatory and other factors beyond CCL's control. Any payments of dividends, distributions, loans or advances to CCL by the Guarantors could also be subject to restrictions on dividends under applicable local law in the jurisdictions in which the Guarantors operate. In the event that CCL does not receive distributions from the Guarantors, or to the extent that the earnings from, or other available assets of, the Guarantors are insufficient, CCL may be unable to make payments on the 3.849% Secured Notes. Furthermore, the Co-Issuer has no material assets and conducts no operations. Therefore, the Co-Issuer has no independent ability to service the interest and principal obligations under the 3.849% Secured Notes.</w:t>
      </w:r>
    </w:p>
    <w:p>
      <w:pPr>
        <w:spacing w:after="0" w:line="119"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Pursuant to the Secured Notes Indenture, and the terms of a pledge and security agreement related thereto ("Pledge Agreement" and, together with the Secured Notes Indenture, "Notes Documents"), the 3.849% Secured Notes and the related guarantees are secured by perfected, first priority (subject to certain permitted liens set forth in the Secured Notes Indenture) pledges of the equity interests of each of the Guarantors and proceeds thereof. The 3.849% Secured Notes are not secured by any other assets, including any mortgage liens on properties.</w:t>
      </w:r>
    </w:p>
    <w:p>
      <w:pPr>
        <w:spacing w:after="0" w:line="10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Pursuant to the terms of the Notes Documents, the trustee under the Secured Notes Indenture may pursue remedies under the Secured Notes Indenture, or pursue foreclosure proceedings on the collateral, following an event of default under the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1" w:name="page12"/>
    <w:bookmarkEnd w:id="11"/>
    <w:p>
      <w:pPr>
        <w:jc w:val="both"/>
        <w:spacing w:after="0" w:line="285" w:lineRule="auto"/>
        <w:rPr>
          <w:sz w:val="20"/>
          <w:szCs w:val="20"/>
          <w:color w:val="auto"/>
        </w:rPr>
      </w:pPr>
      <w:r>
        <w:rPr>
          <w:rFonts w:ascii="Arial" w:cs="Arial" w:eastAsia="Arial" w:hAnsi="Arial"/>
          <w:sz w:val="16"/>
          <w:szCs w:val="16"/>
          <w:color w:val="auto"/>
        </w:rPr>
        <w:t>Secured Notes Indenture. However, unless a principal payment event of default or a bankruptcy event of default under the Secured Notes Indenture has occurred and is continuing or any other event has occurred that resulted in the acceleration of the 3.849% Secured Notes, the pledgors of such equity interests will receive any dividends and distributions on such pledged equity interests free and clear of the lien securing the 3.849% Secured Notes. Because the collateral consists of equity interests, its value is subject to fluctuations based on factors that include, among other things, general economic conditions and the ability to realize on the collateral as part of a going concern and in an orderly fashion to available and willing buyers and not under distressed circumstances. There is no trading market for the pledged equity interests.</w:t>
      </w:r>
    </w:p>
    <w:p>
      <w:pPr>
        <w:spacing w:after="0" w:line="114" w:lineRule="exact"/>
        <w:rPr>
          <w:sz w:val="20"/>
          <w:szCs w:val="20"/>
          <w:color w:val="auto"/>
        </w:rPr>
      </w:pPr>
    </w:p>
    <w:p>
      <w:pPr>
        <w:jc w:val="both"/>
        <w:ind w:firstLine="396"/>
        <w:spacing w:after="0" w:line="299" w:lineRule="auto"/>
        <w:rPr>
          <w:sz w:val="20"/>
          <w:szCs w:val="20"/>
          <w:color w:val="auto"/>
        </w:rPr>
      </w:pPr>
      <w:r>
        <w:rPr>
          <w:rFonts w:ascii="Arial" w:cs="Arial" w:eastAsia="Arial" w:hAnsi="Arial"/>
          <w:sz w:val="15"/>
          <w:szCs w:val="15"/>
          <w:color w:val="auto"/>
        </w:rPr>
        <w:t>Under the terms of the Notes Documents, the Issuers and the Guarantors will be entitled to the release of the collateral from the liens securing the 3.849% Secured Notes under one or more circumstances, including (1) to enable the Issuers or any subsidiary to consummate the disposition of such collateral as described under the asset sale covenant of the Secured Notes Indenture; (2) as permitted under the amendment provisions of the Secured Notes Indenture; or</w:t>
      </w:r>
    </w:p>
    <w:p>
      <w:pPr>
        <w:jc w:val="both"/>
        <w:ind w:firstLine="6"/>
        <w:spacing w:after="0" w:line="284"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as otherwise provided in the Pledge Agreement. Upon the release of any subsidiary from its guarantee, if any, in accordance with the terms of the Secured Notes Indenture, the lien on any collateral held by such Guarantor and the lien on any pledged equity interests issued by such Guarantor will automatically terminate. In addition, upon the occurrence of (i) payment in full of the 3.849% Secured Notes and any other payment obligations under the Notes Documents, together with accrued and unpaid interest, or (ii) a defeasance or discharge of the Secured Notes Indenture as provided in the Secured Notes Indenture, the liens on all collateral created under the Pledge Agreement will terminate.</w:t>
      </w:r>
    </w:p>
    <w:p>
      <w:pPr>
        <w:spacing w:after="0" w:line="113"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foregoing description of the Notes Documents is qualified in its entirety by the terms of the Secured Notes Indenture and the Pledge Agreement, which are incorporated by reference as Exhibit 4.1 and Exhibit 4.2, respectively, to our 2020 Form 10-K.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following discussion of our results of operations should be read in conjunction with our condensed consolidated financial statements and the 2020 Form 10-K.</w:t>
      </w:r>
    </w:p>
    <w:p>
      <w:pPr>
        <w:spacing w:after="0" w:line="128"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The following discussion of our results of operations is based on our condensed consolidated financial statements prepared in accordance with GAAP which requires us to make estimates and judgments that affect the reported amounts (see </w:t>
      </w:r>
      <w:r>
        <w:rPr>
          <w:rFonts w:ascii="Arial" w:cs="Arial" w:eastAsia="Arial" w:hAnsi="Arial"/>
          <w:sz w:val="18"/>
          <w:szCs w:val="18"/>
          <w:i w:val="1"/>
          <w:iCs w:val="1"/>
          <w:color w:val="auto"/>
        </w:rPr>
        <w:t>"Item 2. MD&amp;A—Accounting and Reporting Matters—Critical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and Estimates" </w:t>
      </w:r>
      <w:r>
        <w:rPr>
          <w:rFonts w:ascii="Arial" w:cs="Arial" w:eastAsia="Arial" w:hAnsi="Arial"/>
          <w:sz w:val="18"/>
          <w:szCs w:val="18"/>
          <w:color w:val="auto"/>
        </w:rPr>
        <w:t>herein and note 2 to the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 w:name="page13"/>
    <w:bookmarkEnd w:id="12"/>
    <w:p>
      <w:pPr>
        <w:ind w:left="394"/>
        <w:spacing w:after="0"/>
        <w:rPr>
          <w:sz w:val="20"/>
          <w:szCs w:val="20"/>
          <w:color w:val="auto"/>
        </w:rPr>
      </w:pPr>
      <w:r>
        <w:rPr>
          <w:rFonts w:ascii="Arial" w:cs="Arial" w:eastAsia="Arial" w:hAnsi="Arial"/>
          <w:sz w:val="18"/>
          <w:szCs w:val="18"/>
          <w:color w:val="auto"/>
        </w:rPr>
        <w:t>Highlights of our results of operations for the three and nine months ended September 30, 2021 and 2020 are depicted below.</w:t>
      </w:r>
    </w:p>
    <w:p>
      <w:pPr>
        <w:spacing w:after="0" w:line="284" w:lineRule="exact"/>
        <w:rPr>
          <w:sz w:val="20"/>
          <w:szCs w:val="20"/>
          <w:color w:val="auto"/>
        </w:rPr>
      </w:pPr>
    </w:p>
    <w:tbl>
      <w:tblPr>
        <w:tblLayout w:type="fixed"/>
        <w:tblInd w:w="34" w:type="dxa"/>
        <w:tblCellMar>
          <w:top w:w="0" w:type="dxa"/>
          <w:left w:w="0" w:type="dxa"/>
          <w:bottom w:w="0" w:type="dxa"/>
          <w:right w:w="0" w:type="dxa"/>
        </w:tblCellMar>
      </w:tblPr>
      <w:tr>
        <w:trPr>
          <w:trHeight w:val="187"/>
        </w:trPr>
        <w:tc>
          <w:tcPr>
            <w:tcW w:w="6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w w:val="98"/>
              </w:rPr>
              <w:t>Three Months Ended September 30,</w:t>
            </w: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184"/>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 of dollars)</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Percent Change</w:t>
            </w:r>
          </w:p>
        </w:tc>
      </w:tr>
      <w:tr>
        <w:trPr>
          <w:trHeight w:val="192"/>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Site rental revenues:</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208"/>
        </w:trPr>
        <w:tc>
          <w:tcPr>
            <w:tcW w:w="6300" w:type="dxa"/>
            <w:vAlign w:val="bottom"/>
          </w:tcPr>
          <w:p>
            <w:pPr>
              <w:ind w:left="200"/>
              <w:spacing w:after="0"/>
              <w:rPr>
                <w:sz w:val="20"/>
                <w:szCs w:val="20"/>
                <w:color w:val="auto"/>
              </w:rPr>
            </w:pPr>
            <w:r>
              <w:rPr>
                <w:rFonts w:ascii="Arial" w:cs="Arial" w:eastAsia="Arial" w:hAnsi="Arial"/>
                <w:sz w:val="16"/>
                <w:szCs w:val="16"/>
                <w:color w:val="auto"/>
              </w:rPr>
              <w:t>Revenues from tenant contracts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187,636</w:t>
            </w:r>
          </w:p>
        </w:tc>
        <w:tc>
          <w:tcPr>
            <w:tcW w:w="1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173,348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6300" w:type="dxa"/>
            <w:vAlign w:val="bottom"/>
            <w:shd w:val="clear" w:color="auto" w:fill="CCEEFF"/>
          </w:tcPr>
          <w:p>
            <w:pPr>
              <w:ind w:left="200"/>
              <w:spacing w:after="0" w:line="214"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0"/>
                <w:szCs w:val="20"/>
                <w:color w:val="auto"/>
                <w:vertAlign w:val="superscript"/>
              </w:rPr>
              <w:t>(a)</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14,409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14,818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1"/>
        </w:trPr>
        <w:tc>
          <w:tcPr>
            <w:tcW w:w="6300" w:type="dxa"/>
            <w:vAlign w:val="bottom"/>
          </w:tcPr>
          <w:p>
            <w:pPr>
              <w:ind w:left="440"/>
              <w:spacing w:after="0"/>
              <w:rPr>
                <w:sz w:val="20"/>
                <w:szCs w:val="20"/>
                <w:color w:val="auto"/>
              </w:rPr>
            </w:pPr>
            <w:r>
              <w:rPr>
                <w:rFonts w:ascii="Arial" w:cs="Arial" w:eastAsia="Arial" w:hAnsi="Arial"/>
                <w:sz w:val="16"/>
                <w:szCs w:val="16"/>
                <w:color w:val="auto"/>
              </w:rPr>
              <w:t>Total site rental revenues</w:t>
            </w:r>
          </w:p>
        </w:tc>
        <w:tc>
          <w:tcPr>
            <w:tcW w:w="2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202,045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188,166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7 %</w:t>
            </w:r>
          </w:p>
        </w:tc>
      </w:tr>
      <w:tr>
        <w:trPr>
          <w:trHeight w:val="214"/>
        </w:trPr>
        <w:tc>
          <w:tcPr>
            <w:tcW w:w="6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line="214"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0"/>
                <w:szCs w:val="20"/>
                <w:color w:val="auto"/>
                <w:vertAlign w:val="superscript"/>
              </w:rPr>
              <w:t>(b)</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39,791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38,640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8"/>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Ground rent expenses—related parties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11,858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11,446</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4 %</w:t>
            </w:r>
          </w:p>
        </w:tc>
      </w:tr>
      <w:tr>
        <w:trPr>
          <w:trHeight w:val="208"/>
        </w:trPr>
        <w:tc>
          <w:tcPr>
            <w:tcW w:w="6300" w:type="dxa"/>
            <w:vAlign w:val="bottom"/>
            <w:shd w:val="clear" w:color="auto" w:fill="CCEEFF"/>
          </w:tcPr>
          <w:p>
            <w:pPr>
              <w:spacing w:after="0" w:line="207"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0"/>
                <w:szCs w:val="20"/>
                <w:color w:val="auto"/>
                <w:vertAlign w:val="superscript"/>
              </w:rPr>
              <w:t>(b)</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51,649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50,086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Management fee—related party</w:t>
            </w: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13,923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13,084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6 %</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Asset write-down charges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52,335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53,048</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w:t>
            </w:r>
          </w:p>
        </w:tc>
      </w:tr>
      <w:tr>
        <w:trPr>
          <w:trHeight w:val="208"/>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117,912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116,218</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r>
      <w:tr>
        <w:trPr>
          <w:trHeight w:val="201"/>
        </w:trPr>
        <w:tc>
          <w:tcPr>
            <w:tcW w:w="6300" w:type="dxa"/>
            <w:vAlign w:val="bottom"/>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84,133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71,948</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17 %</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and amortization of deferred financing costs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8"/>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74,203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61,967</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8"/>
        </w:trPr>
        <w:tc>
          <w:tcPr>
            <w:tcW w:w="63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74,103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61,887</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494"/>
        </w:trPr>
        <w:tc>
          <w:tcPr>
            <w:tcW w:w="63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3"/>
        </w:trPr>
        <w:tc>
          <w:tcPr>
            <w:tcW w:w="6300" w:type="dxa"/>
            <w:vAlign w:val="bottom"/>
          </w:tcPr>
          <w:p>
            <w:pPr>
              <w:spacing w:after="0"/>
              <w:rPr>
                <w:sz w:val="20"/>
                <w:szCs w:val="20"/>
                <w:color w:val="auto"/>
              </w:rPr>
            </w:pPr>
            <w:r>
              <w:rPr>
                <w:rFonts w:ascii="Arial" w:cs="Arial" w:eastAsia="Arial" w:hAnsi="Arial"/>
                <w:sz w:val="14"/>
                <w:szCs w:val="14"/>
                <w:i w:val="1"/>
                <w:iCs w:val="1"/>
                <w:color w:val="auto"/>
              </w:rPr>
              <w:t>(In thousands of dollars)</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4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Percent Change</w:t>
            </w:r>
          </w:p>
        </w:tc>
      </w:tr>
      <w:tr>
        <w:trPr>
          <w:trHeight w:val="189"/>
        </w:trPr>
        <w:tc>
          <w:tcPr>
            <w:tcW w:w="6300" w:type="dxa"/>
            <w:vAlign w:val="bottom"/>
          </w:tcPr>
          <w:p>
            <w:pPr>
              <w:spacing w:after="0"/>
              <w:rPr>
                <w:sz w:val="20"/>
                <w:szCs w:val="20"/>
                <w:color w:val="auto"/>
              </w:rPr>
            </w:pPr>
            <w:r>
              <w:rPr>
                <w:rFonts w:ascii="Arial" w:cs="Arial" w:eastAsia="Arial" w:hAnsi="Arial"/>
                <w:sz w:val="16"/>
                <w:szCs w:val="16"/>
                <w:color w:val="auto"/>
              </w:rPr>
              <w:t>Site rental revenues:</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14"/>
        </w:trPr>
        <w:tc>
          <w:tcPr>
            <w:tcW w:w="6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Revenues from tenant contracts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549,484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517,041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1"/>
        </w:trPr>
        <w:tc>
          <w:tcPr>
            <w:tcW w:w="6300" w:type="dxa"/>
            <w:vAlign w:val="bottom"/>
            <w:tcBorders>
              <w:bottom w:val="single" w:sz="8" w:color="CCEEFF"/>
            </w:tcBorders>
          </w:tcPr>
          <w:p>
            <w:pPr>
              <w:ind w:left="200"/>
              <w:spacing w:after="0" w:line="211" w:lineRule="exact"/>
              <w:rPr>
                <w:sz w:val="20"/>
                <w:szCs w:val="20"/>
                <w:color w:val="auto"/>
              </w:rPr>
            </w:pPr>
            <w:r>
              <w:rPr>
                <w:rFonts w:ascii="Arial" w:cs="Arial" w:eastAsia="Arial" w:hAnsi="Arial"/>
                <w:sz w:val="16"/>
                <w:szCs w:val="16"/>
                <w:color w:val="auto"/>
              </w:rPr>
              <w:t>Amortization of tower installations and modifications</w:t>
            </w:r>
            <w:r>
              <w:rPr>
                <w:rFonts w:ascii="Arial" w:cs="Arial" w:eastAsia="Arial" w:hAnsi="Arial"/>
                <w:sz w:val="20"/>
                <w:szCs w:val="20"/>
                <w:color w:val="auto"/>
                <w:vertAlign w:val="superscript"/>
              </w:rPr>
              <w:t>(a)</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44,168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43,639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1 %</w:t>
            </w:r>
          </w:p>
        </w:tc>
      </w:tr>
      <w:tr>
        <w:trPr>
          <w:trHeight w:val="204"/>
        </w:trPr>
        <w:tc>
          <w:tcPr>
            <w:tcW w:w="6300" w:type="dxa"/>
            <w:vAlign w:val="bottom"/>
            <w:shd w:val="clear" w:color="auto" w:fill="CCEEFF"/>
          </w:tcPr>
          <w:p>
            <w:pPr>
              <w:ind w:left="440"/>
              <w:spacing w:after="0"/>
              <w:rPr>
                <w:sz w:val="20"/>
                <w:szCs w:val="20"/>
                <w:color w:val="auto"/>
              </w:rPr>
            </w:pPr>
            <w:r>
              <w:rPr>
                <w:rFonts w:ascii="Arial" w:cs="Arial" w:eastAsia="Arial" w:hAnsi="Arial"/>
                <w:sz w:val="16"/>
                <w:szCs w:val="16"/>
                <w:color w:val="auto"/>
              </w:rPr>
              <w:t>Total site rental revenues</w:t>
            </w: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593,652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560,680</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1"/>
        </w:trPr>
        <w:tc>
          <w:tcPr>
            <w:tcW w:w="6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11"/>
        </w:trPr>
        <w:tc>
          <w:tcPr>
            <w:tcW w:w="6300" w:type="dxa"/>
            <w:vAlign w:val="bottom"/>
          </w:tcPr>
          <w:p>
            <w:pPr>
              <w:spacing w:after="0" w:line="211" w:lineRule="exact"/>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0"/>
                <w:szCs w:val="20"/>
                <w:color w:val="auto"/>
                <w:vertAlign w:val="superscript"/>
              </w:rPr>
              <w:t>(b)</w:t>
            </w: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117,468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115,156</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Ground rent expenses—related parties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35,584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34,235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4"/>
        </w:trPr>
        <w:tc>
          <w:tcPr>
            <w:tcW w:w="6300" w:type="dxa"/>
            <w:vAlign w:val="bottom"/>
          </w:tcPr>
          <w:p>
            <w:pPr>
              <w:spacing w:after="0" w:line="205" w:lineRule="exact"/>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0"/>
                <w:szCs w:val="20"/>
                <w:color w:val="auto"/>
                <w:vertAlign w:val="superscript"/>
              </w:rPr>
              <w:t>(b)</w:t>
            </w:r>
          </w:p>
        </w:tc>
        <w:tc>
          <w:tcPr>
            <w:tcW w:w="2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153,052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149,391</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fee—related party</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40,835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38,596</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Asset write-down charges</w:t>
            </w:r>
          </w:p>
        </w:tc>
        <w:tc>
          <w:tcPr>
            <w:tcW w:w="280" w:type="dxa"/>
            <w:vAlign w:val="bottom"/>
          </w:tcPr>
          <w:p>
            <w:pPr>
              <w:spacing w:after="0"/>
              <w:rPr>
                <w:sz w:val="18"/>
                <w:szCs w:val="18"/>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424</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amortization and accretion</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157,552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158,138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1"/>
        </w:trPr>
        <w:tc>
          <w:tcPr>
            <w:tcW w:w="6300" w:type="dxa"/>
            <w:vAlign w:val="bottom"/>
            <w:tcBorders>
              <w:bottom w:val="single" w:sz="8" w:color="CCEEFF"/>
            </w:tcBorders>
          </w:tcPr>
          <w:p>
            <w:pPr>
              <w:ind w:left="64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352,100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346,549</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2 %</w:t>
            </w:r>
          </w:p>
        </w:tc>
      </w:tr>
      <w:tr>
        <w:trPr>
          <w:trHeight w:val="208"/>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241,552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214,131</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Interest expense and amortization of deferred financing costs</w:t>
            </w:r>
          </w:p>
        </w:tc>
        <w:tc>
          <w:tcPr>
            <w:tcW w:w="2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(29,906)</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1"/>
        </w:trPr>
        <w:tc>
          <w:tcPr>
            <w:tcW w:w="6300" w:type="dxa"/>
            <w:vAlign w:val="bottom"/>
          </w:tcPr>
          <w:p>
            <w:pPr>
              <w:spacing w:after="0"/>
              <w:rPr>
                <w:sz w:val="20"/>
                <w:szCs w:val="20"/>
                <w:color w:val="auto"/>
              </w:rPr>
            </w:pPr>
            <w:r>
              <w:rPr>
                <w:rFonts w:ascii="Arial" w:cs="Arial" w:eastAsia="Arial" w:hAnsi="Arial"/>
                <w:sz w:val="16"/>
                <w:szCs w:val="16"/>
                <w:color w:val="auto"/>
              </w:rPr>
              <w:t>Income (loss) before income taxes</w:t>
            </w:r>
          </w:p>
        </w:tc>
        <w:tc>
          <w:tcPr>
            <w:tcW w:w="280" w:type="dxa"/>
            <w:vAlign w:val="bottom"/>
          </w:tcPr>
          <w:p>
            <w:pPr>
              <w:spacing w:after="0"/>
              <w:rPr>
                <w:sz w:val="17"/>
                <w:szCs w:val="17"/>
                <w:color w:val="auto"/>
              </w:rPr>
            </w:pPr>
          </w:p>
        </w:tc>
        <w:tc>
          <w:tcPr>
            <w:tcW w:w="1240" w:type="dxa"/>
            <w:vAlign w:val="bottom"/>
          </w:tcPr>
          <w:p>
            <w:pPr>
              <w:jc w:val="right"/>
              <w:ind w:right="2"/>
              <w:spacing w:after="0"/>
              <w:rPr>
                <w:sz w:val="20"/>
                <w:szCs w:val="20"/>
                <w:color w:val="auto"/>
              </w:rPr>
            </w:pPr>
            <w:r>
              <w:rPr>
                <w:rFonts w:ascii="Arial" w:cs="Arial" w:eastAsia="Arial" w:hAnsi="Arial"/>
                <w:sz w:val="16"/>
                <w:szCs w:val="16"/>
                <w:color w:val="auto"/>
              </w:rPr>
              <w:t>211,752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184,299</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211"/>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630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211,453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184,007</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15 %</w:t>
            </w:r>
          </w:p>
        </w:tc>
      </w:tr>
      <w:tr>
        <w:trPr>
          <w:trHeight w:val="20"/>
        </w:trPr>
        <w:tc>
          <w:tcPr>
            <w:tcW w:w="6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895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9535" cy="8255"/>
                    </a:xfrm>
                    <a:prstGeom prst="rect">
                      <a:avLst/>
                    </a:prstGeom>
                    <a:noFill/>
                  </pic:spPr>
                </pic:pic>
              </a:graphicData>
            </a:graphic>
          </wp:anchor>
        </w:drawing>
      </w:r>
    </w:p>
    <w:p>
      <w:pPr>
        <w:spacing w:after="0" w:line="199" w:lineRule="exact"/>
        <w:rPr>
          <w:sz w:val="20"/>
          <w:szCs w:val="20"/>
          <w:color w:val="auto"/>
        </w:rPr>
      </w:pPr>
    </w:p>
    <w:p>
      <w:pPr>
        <w:ind w:left="214" w:hanging="214"/>
        <w:spacing w:after="0"/>
        <w:tabs>
          <w:tab w:leader="none" w:pos="214" w:val="left"/>
        </w:tabs>
        <w:numPr>
          <w:ilvl w:val="0"/>
          <w:numId w:val="14"/>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9" w:lineRule="exact"/>
        <w:rPr>
          <w:sz w:val="20"/>
          <w:szCs w:val="20"/>
          <w:color w:val="auto"/>
        </w:rPr>
      </w:pPr>
    </w:p>
    <w:p>
      <w:pPr>
        <w:ind w:left="314" w:hanging="314"/>
        <w:spacing w:after="0" w:line="235" w:lineRule="auto"/>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amortization of deferred revenues recorded in connection with the tower installation and modification transactions described in note 4 to our condensed consolidated financial statements that result in permanent improvements to our towers. We receive no cash from, and are not party to, such transactions.</w:t>
      </w:r>
    </w:p>
    <w:p>
      <w:pPr>
        <w:spacing w:after="0" w:line="1" w:lineRule="exact"/>
        <w:rPr>
          <w:rFonts w:ascii="Arial" w:cs="Arial" w:eastAsia="Arial" w:hAnsi="Arial"/>
          <w:sz w:val="14"/>
          <w:szCs w:val="14"/>
          <w:color w:val="auto"/>
        </w:rPr>
      </w:pPr>
    </w:p>
    <w:p>
      <w:pPr>
        <w:ind w:left="314" w:hanging="314"/>
        <w:spacing w:after="0"/>
        <w:tabs>
          <w:tab w:leader="none" w:pos="314"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372" w:lineRule="exact"/>
        <w:rPr>
          <w:sz w:val="20"/>
          <w:szCs w:val="20"/>
          <w:color w:val="auto"/>
        </w:rPr>
      </w:pPr>
    </w:p>
    <w:p>
      <w:pPr>
        <w:jc w:val="center"/>
        <w:ind w:right="-13"/>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64770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34"/>
          </w:cols>
          <w:pgMar w:left="326" w:top="1314" w:right="33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i w:val="1"/>
          <w:iCs w:val="1"/>
          <w:color w:val="auto"/>
        </w:rPr>
        <w:t>Third Quarter 2021 and 2020</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Total site rental revenues for the three months ended September 30, 2021 increased by $13.9 million, or 7%, from the same period in the prior year. The increase in total site rental revenues was impacted by the following items, inclusive of straight-line accounting: tenant additions across our entire portfolio, renewals or extensions of tenant contracts and escalations offset by non-renewals of tenant contracts. Tenant additions were influenced by our tenants' ongoing efforts to improve network quality and capacity.</w:t>
      </w:r>
    </w:p>
    <w:p>
      <w:pPr>
        <w:spacing w:after="0" w:line="14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Operating income for the three months ended September 30, 2021 increased by $12.2 million, or 17%, from the same period in the prior year. The increase in operating income was primarily due to the aforementioned increase in total site rental revenues, partially offset by an increase in the cost of operations from the three months ended September 30, 2020.</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Net income for the three months ended September 30, 2021 was $74.1 million, compared to net income of $61.9 million for the three months ended September 30, 2020. The increase was primarily due to the aforementioned increase in total site rental revenues.</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First Nine Months 2021 and 2020</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Total site rental revenues for the nine months ended September 30, 2021 increased by $33.0 million, or 6%, from the same period in the prior year. The increase in site rental revenues was impacted by the following items, inclusive of straight-line accounting: new tenant additions across our entire portfolio, renewals or extensions of tenant leases and escalations offset by non-renewal of tenant contracts. Tenant additions were influenced by our tenants' ongoing efforts to improve network quality and capacity.</w:t>
      </w:r>
    </w:p>
    <w:p>
      <w:pPr>
        <w:spacing w:after="0" w:line="14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Operating income for the nine months ended September 30, 2021 increased by $27.4 million, or 13%, from the same period in the prior year. The increase in operating income was predominately due to the aforementioned increase in site rental revenues, partially offset by an increase in the cost of operations from the nine months ended September 30, 2020.</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Net income for the nine months ended September 30, 2021 was $211.5 million compared to net income of $184.0 million for the nine months ended September 30, 2020. The increase was due primarily to the aforementioned increase in site rental revenues.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6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core business generates revenues under long-term tenant contracts (See</w:t>
      </w:r>
      <w:r>
        <w:rPr>
          <w:rFonts w:ascii="Arial" w:cs="Arial" w:eastAsia="Arial" w:hAnsi="Arial"/>
          <w:sz w:val="16"/>
          <w:szCs w:val="16"/>
          <w:i w:val="1"/>
          <w:iCs w:val="1"/>
          <w:color w:val="auto"/>
        </w:rPr>
        <w:t xml:space="preserve"> "Item 2. MD&amp;A—General Overview"</w:t>
      </w:r>
      <w:r>
        <w:rPr>
          <w:rFonts w:ascii="Arial" w:cs="Arial" w:eastAsia="Arial" w:hAnsi="Arial"/>
          <w:sz w:val="16"/>
          <w:szCs w:val="16"/>
          <w:color w:val="auto"/>
        </w:rPr>
        <w:t>), from the largest U.S.</w:t>
      </w:r>
      <w:r>
        <w:rPr>
          <w:rFonts w:ascii="Arial" w:cs="Arial" w:eastAsia="Arial" w:hAnsi="Arial"/>
          <w:sz w:val="16"/>
          <w:szCs w:val="16"/>
          <w:i w:val="1"/>
          <w:iCs w:val="1"/>
          <w:color w:val="auto"/>
        </w:rPr>
        <w:t xml:space="preserve"> </w:t>
      </w:r>
      <w:r>
        <w:rPr>
          <w:rFonts w:ascii="Arial" w:cs="Arial" w:eastAsia="Arial" w:hAnsi="Arial"/>
          <w:sz w:val="16"/>
          <w:szCs w:val="16"/>
          <w:color w:val="auto"/>
        </w:rPr>
        <w:t>wireless carriers. Historically, our net cash provided by operating activities has exceeded our capital expenditures. For the foreseeable future, we expect to generate net cash provided by operating activities (exclusive of movements in working capital) that exceeds our capital expenditures. We seek to allocate the net cash generated from our business in a manner that we believe drives value for our member.</w:t>
      </w:r>
    </w:p>
    <w:p>
      <w:pPr>
        <w:spacing w:after="0" w:line="10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From a cash management perspective, we currently distribute cash on hand to our member above amounts required pursuant to the Management Agreement. If any future event would occur that would leave us with a deficiency in our operating cash flow, while not required, CCIC may contribute cash back to us.</w:t>
      </w:r>
    </w:p>
    <w:p>
      <w:pPr>
        <w:spacing w:after="0" w:line="13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CCIC operates as a REIT for U.S. federal income tax purposes. For U.S. federal income tax purposes, our assets and operations are included in the CCIC REIT. We expect to continue to pay minimal cash income taxes as a result of CCIC's REIT status and NOLs.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September 30, 2021:</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September 30, 2021</w:t>
            </w:r>
          </w:p>
        </w:tc>
      </w:tr>
      <w:tr>
        <w:trPr>
          <w:trHeight w:val="210"/>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22,644</w:t>
            </w:r>
          </w:p>
        </w:tc>
      </w:tr>
      <w:tr>
        <w:trPr>
          <w:trHeight w:val="208"/>
        </w:trPr>
        <w:tc>
          <w:tcPr>
            <w:tcW w:w="8920" w:type="dxa"/>
            <w:vAlign w:val="bottom"/>
          </w:tcPr>
          <w:p>
            <w:pPr>
              <w:ind w:left="20"/>
              <w:spacing w:after="0"/>
              <w:rPr>
                <w:sz w:val="20"/>
                <w:szCs w:val="20"/>
                <w:color w:val="auto"/>
              </w:rPr>
            </w:pPr>
            <w:r>
              <w:rPr>
                <w:rFonts w:ascii="Arial" w:cs="Arial" w:eastAsia="Arial" w:hAnsi="Arial"/>
                <w:sz w:val="16"/>
                <w:szCs w:val="16"/>
                <w:color w:val="auto"/>
              </w:rPr>
              <w:t>Debt</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997,853</w:t>
            </w:r>
          </w:p>
        </w:tc>
      </w:tr>
      <w:tr>
        <w:trPr>
          <w:trHeight w:val="214"/>
        </w:trPr>
        <w:tc>
          <w:tcPr>
            <w:tcW w:w="8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member's equity</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1,831,280</w:t>
            </w:r>
          </w:p>
        </w:tc>
      </w:tr>
    </w:tbl>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Over the next 12 months:</w:t>
      </w:r>
    </w:p>
    <w:p>
      <w:pPr>
        <w:spacing w:after="0" w:line="110" w:lineRule="exact"/>
        <w:rPr>
          <w:sz w:val="20"/>
          <w:szCs w:val="20"/>
          <w:color w:val="auto"/>
        </w:rPr>
      </w:pPr>
    </w:p>
    <w:p>
      <w:pPr>
        <w:ind w:left="800" w:hanging="399"/>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00" w:lineRule="exact"/>
        <w:rPr>
          <w:rFonts w:ascii="Arial" w:cs="Arial" w:eastAsia="Arial" w:hAnsi="Arial"/>
          <w:sz w:val="18"/>
          <w:szCs w:val="18"/>
          <w:color w:val="auto"/>
        </w:rPr>
      </w:pPr>
    </w:p>
    <w:p>
      <w:pPr>
        <w:spacing w:after="0" w:line="384"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4" w:name="page15"/>
    <w:bookmarkEnd w:id="14"/>
    <w:p>
      <w:pPr>
        <w:ind w:left="800" w:hanging="399"/>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no scheduled contractual debt maturities.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3 to our condensed consolidated financial statements for additional information regarding our debt.</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Summary Cash Flow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192"/>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8"/>
        </w:trPr>
        <w:tc>
          <w:tcPr>
            <w:tcW w:w="6920" w:type="dxa"/>
            <w:vAlign w:val="bottom"/>
          </w:tcPr>
          <w:p>
            <w:pPr>
              <w:ind w:left="46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338,846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356,339</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(17,493)</w:t>
            </w:r>
          </w:p>
        </w:tc>
      </w:tr>
      <w:tr>
        <w:trPr>
          <w:trHeight w:val="214"/>
        </w:trPr>
        <w:tc>
          <w:tcPr>
            <w:tcW w:w="69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20,662</w:t>
            </w:r>
          </w:p>
        </w:tc>
      </w:tr>
      <w:tr>
        <w:trPr>
          <w:trHeight w:val="208"/>
        </w:trPr>
        <w:tc>
          <w:tcPr>
            <w:tcW w:w="692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(317,124)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(308,002)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(9,122)</w:t>
            </w:r>
          </w:p>
        </w:tc>
      </w:tr>
      <w:tr>
        <w:trPr>
          <w:trHeight w:val="22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11,158</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6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decrease in net cash provided by operating activities for the first nine months of 2021 of $17.5 million, or 5%, from the first nine months of 2020, was primarily due to a net decrease in working capital partially offset by growth in cash revenues, including cash escalations that are subject to straight-line accounting. Changes in working capital contribute to variability in net cash provided by operating activities, largely due to the timing of advanced payments by us and advanced receipts from tenants.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Capital Expenditures</w:t>
      </w:r>
    </w:p>
    <w:p>
      <w:pPr>
        <w:spacing w:after="0" w:line="162" w:lineRule="exact"/>
        <w:rPr>
          <w:sz w:val="20"/>
          <w:szCs w:val="20"/>
          <w:color w:val="auto"/>
        </w:rPr>
      </w:pPr>
    </w:p>
    <w:p>
      <w:pPr>
        <w:jc w:val="both"/>
        <w:ind w:firstLine="396"/>
        <w:spacing w:after="0" w:line="309" w:lineRule="auto"/>
        <w:rPr>
          <w:sz w:val="20"/>
          <w:szCs w:val="20"/>
          <w:color w:val="auto"/>
        </w:rPr>
      </w:pPr>
      <w:r>
        <w:rPr>
          <w:rFonts w:ascii="Arial" w:cs="Arial" w:eastAsia="Arial" w:hAnsi="Arial"/>
          <w:sz w:val="16"/>
          <w:szCs w:val="16"/>
          <w:color w:val="auto"/>
        </w:rPr>
        <w:t>Our capital expenditures are primarily recorded as a result of tower installation and modification services performed by CCUSA that result in permanent improvements to our towers. We receive no cash from, and are not party to, such transactions. Such capital expenditures include the following:</w:t>
      </w:r>
    </w:p>
    <w:p>
      <w:pPr>
        <w:spacing w:after="0" w:line="1" w:lineRule="exact"/>
        <w:rPr>
          <w:sz w:val="20"/>
          <w:szCs w:val="20"/>
          <w:color w:val="auto"/>
        </w:rPr>
      </w:pPr>
    </w:p>
    <w:p>
      <w:pPr>
        <w:jc w:val="both"/>
        <w:ind w:left="1120" w:hanging="244"/>
        <w:spacing w:after="0" w:line="277" w:lineRule="auto"/>
        <w:tabs>
          <w:tab w:leader="none" w:pos="111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Discretionary capital expenditures primarily consist of expansion or development of sites (including capital expenditures related to (1) enhancing sites in order to add new tenants for the first time or support subsequent tenant equipment augmentations, or (2) modifying the structure of a site asset to accommodate additional tenants). Discretionary capital expenditures also include purchases of land interests (which primarily relate to land assets under towers as CCIC seeks to manage its interests in the land beneath its towers), certain technology-related investments necessary to support and scale future tenant demand for our sites, and other capital projects. The expansion or development of existing sites to accommodate new leasing typically varies based on, among other factors: (1) the type of site, (2) the scope, volume and mix of work performed on the site, (3) existing capacity prior to installation or (4) changes in structural engineering regulations and standards. Our decisions regarding discretionary capital expenditures are influenced by (1) sufficient potential to enhance CCIC's long-term stockholder value,</w:t>
      </w:r>
    </w:p>
    <w:p>
      <w:pPr>
        <w:spacing w:after="0" w:line="1" w:lineRule="exact"/>
        <w:rPr>
          <w:rFonts w:ascii="Arial" w:cs="Arial" w:eastAsia="Arial" w:hAnsi="Arial"/>
          <w:sz w:val="16"/>
          <w:szCs w:val="16"/>
          <w:color w:val="auto"/>
        </w:rPr>
      </w:pPr>
    </w:p>
    <w:p>
      <w:pPr>
        <w:ind w:left="1120" w:hanging="7"/>
        <w:spacing w:after="0" w:line="249" w:lineRule="auto"/>
        <w:tabs>
          <w:tab w:leader="none" w:pos="13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CCIC's availability and cost of capital and (3) CCIC's expected returns on alternative uses of cash, such as payments of dividends and investments.</w:t>
      </w:r>
    </w:p>
    <w:p>
      <w:pPr>
        <w:spacing w:after="0" w:line="33" w:lineRule="exact"/>
        <w:rPr>
          <w:rFonts w:ascii="Arial" w:cs="Arial" w:eastAsia="Arial" w:hAnsi="Arial"/>
          <w:sz w:val="18"/>
          <w:szCs w:val="18"/>
          <w:color w:val="auto"/>
        </w:rPr>
      </w:pPr>
    </w:p>
    <w:p>
      <w:pPr>
        <w:ind w:left="1120" w:hanging="244"/>
        <w:spacing w:after="0" w:line="262" w:lineRule="auto"/>
        <w:tabs>
          <w:tab w:leader="none" w:pos="11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capital expenditures on our sites that enable our tenants' ongoing quiet enjoyment of the site.</w:t>
      </w:r>
    </w:p>
    <w:p>
      <w:pPr>
        <w:spacing w:after="0" w:line="12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Capital expenditures for the nine months ended September 30, 2021 and 2020 were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Nine Months Ended September 30,</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4"/>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of dollars)</w:t>
            </w: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Change</w:t>
            </w:r>
          </w:p>
        </w:tc>
      </w:tr>
      <w:tr>
        <w:trPr>
          <w:trHeight w:val="205"/>
        </w:trPr>
        <w:tc>
          <w:tcPr>
            <w:tcW w:w="6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Discretionary</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34,733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(21,052)</w:t>
            </w:r>
          </w:p>
        </w:tc>
      </w:tr>
      <w:tr>
        <w:trPr>
          <w:trHeight w:val="20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Sustaining</w:t>
            </w: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r>
      <w:tr>
        <w:trPr>
          <w:trHeight w:val="229"/>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37,179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Discretionary capital expenditures were primarily impacted by the timing of tenant activity during the first nine months of 2021 compared to the same period in 2020.</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6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net cash flows used for financing activities during the nine months ended September 30, 2021 and 2020 were impacted by our continued practice of distributing excess cash to our member.</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2012 Secured Notes</w:t>
      </w:r>
    </w:p>
    <w:p>
      <w:pPr>
        <w:spacing w:after="0" w:line="16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See the 2020 Form 10-K for a discussion of the 2012 Secured Notes, debt restrictions and disclosures about market risk. There are no financial maintenance covenants in the Secured Notes Indenture. We are currently not restricted in our ability to incur additional indebtedness or distribute cash to affiliates or issue dividends to our member.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62"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Our critical accounting policies and estimates are those that we believe (1) are most important to the portrayal of our financial condition and results of operations or (2) require our most difficult, subjective or complex judgments, often as a result of the need to make estimates about the effect of matters that are inherently uncertain. In many cases, the accounting treatment of a particular transaction is specifically prescribed by GAAP. In other cases, management is required to exercise judgment in the application of accounting principles with respect to particular transactions. The critical accounting policies and estimates for 2021 are not intended to be a comprehensive list of our accounting policies and estimates. Our critical accounting policies and estimates as of December 31, 2020 are described in </w:t>
      </w:r>
      <w:r>
        <w:rPr>
          <w:rFonts w:ascii="Arial" w:cs="Arial" w:eastAsia="Arial" w:hAnsi="Arial"/>
          <w:sz w:val="16"/>
          <w:szCs w:val="16"/>
          <w:i w:val="1"/>
          <w:iCs w:val="1"/>
          <w:color w:val="auto"/>
        </w:rPr>
        <w:t>"Item 7. MD&amp;A—Accounting and Reporting Matters"</w:t>
      </w:r>
      <w:r>
        <w:rPr>
          <w:rFonts w:ascii="Arial" w:cs="Arial" w:eastAsia="Arial" w:hAnsi="Arial"/>
          <w:sz w:val="16"/>
          <w:szCs w:val="16"/>
          <w:color w:val="auto"/>
        </w:rPr>
        <w:t xml:space="preserve"> and in note 2 of our consolidated financial statements in the 2020 Form 10-K.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15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8" w:lineRule="exact"/>
        <w:rPr>
          <w:sz w:val="20"/>
          <w:szCs w:val="20"/>
          <w:color w:val="auto"/>
        </w:rPr>
      </w:pPr>
    </w:p>
    <w:p>
      <w:pPr>
        <w:jc w:val="both"/>
        <w:ind w:firstLine="396"/>
        <w:spacing w:after="0" w:line="270" w:lineRule="auto"/>
        <w:rPr>
          <w:sz w:val="20"/>
          <w:szCs w:val="20"/>
          <w:color w:val="auto"/>
        </w:rPr>
      </w:pPr>
      <w:r>
        <w:rPr>
          <w:rFonts w:ascii="Arial" w:cs="Arial" w:eastAsia="Arial" w:hAnsi="Arial"/>
          <w:sz w:val="16"/>
          <w:szCs w:val="16"/>
          <w:color w:val="auto"/>
        </w:rPr>
        <w:t>The Company conducted an evaluation, under the supervision and with the participation of the Company's management, including the Company's Chief Executive Officer ("CEO") and Chief Financial Officer ("CFO"), of the effectiveness of the Company's disclosure controls and procedures as of the end of the period covered by this report. Based on their evaluation, the CEO and CFO concluded that as of September 30, 2021, the Company's disclosure controls and procedures were effective in alerting them in a timely manner to material information relating to the Company required to be included in the Company's periodic reports under the Securities Exchange Act of 1934, as amended.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8" w:lineRule="exact"/>
        <w:rPr>
          <w:sz w:val="20"/>
          <w:szCs w:val="20"/>
          <w:color w:val="auto"/>
        </w:rPr>
      </w:pPr>
    </w:p>
    <w:p>
      <w:pPr>
        <w:jc w:val="both"/>
        <w:ind w:firstLine="435"/>
        <w:spacing w:after="0" w:line="262"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covered by this Form 10-Q that have materially affected, or are reasonably likely to materially affect, the Company's internal control over financial reporting.</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PART II—OTHER INFORMATION</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the disclosure in note 7 to our condensed consolidated financial statements set forth in Part I, Item 1 of this Form 10-Q.</w:t>
      </w:r>
    </w:p>
    <w:p>
      <w:pPr>
        <w:spacing w:after="0" w:line="15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There are no material changes to the risk factors discussed in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in the 2020 Form 10-K.</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080" w:type="dxa"/>
            <w:vAlign w:val="bottom"/>
            <w:gridSpan w:val="11"/>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3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Index</w:t>
            </w:r>
          </w:p>
        </w:tc>
        <w:tc>
          <w:tcPr>
            <w:tcW w:w="5020" w:type="dxa"/>
            <w:vAlign w:val="bottom"/>
            <w:gridSpan w:val="6"/>
          </w:tcPr>
          <w:p>
            <w:pPr>
              <w:spacing w:after="0"/>
              <w:rPr>
                <w:sz w:val="24"/>
                <w:szCs w:val="24"/>
                <w:color w:val="auto"/>
              </w:rPr>
            </w:pPr>
          </w:p>
        </w:tc>
      </w:tr>
      <w:tr>
        <w:trPr>
          <w:trHeight w:val="323"/>
        </w:trPr>
        <w:tc>
          <w:tcPr>
            <w:tcW w:w="2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560" w:type="dxa"/>
            <w:vAlign w:val="bottom"/>
          </w:tcPr>
          <w:p>
            <w:pPr>
              <w:spacing w:after="0"/>
              <w:rPr>
                <w:sz w:val="24"/>
                <w:szCs w:val="24"/>
                <w:color w:val="auto"/>
              </w:rPr>
            </w:pPr>
          </w:p>
        </w:tc>
        <w:tc>
          <w:tcPr>
            <w:tcW w:w="9520" w:type="dxa"/>
            <w:vAlign w:val="bottom"/>
            <w:gridSpan w:val="10"/>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20" w:type="dxa"/>
            <w:vAlign w:val="bottom"/>
          </w:tcPr>
          <w:p>
            <w:pPr>
              <w:ind w:left="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520" w:type="dxa"/>
            <w:vAlign w:val="bottom"/>
            <w:gridSpan w:val="10"/>
          </w:tcPr>
          <w:p>
            <w:pPr>
              <w:spacing w:after="0"/>
              <w:rPr>
                <w:rFonts w:ascii="Arial" w:cs="Arial" w:eastAsia="Arial" w:hAnsi="Arial"/>
                <w:sz w:val="18"/>
                <w:szCs w:val="18"/>
                <w:color w:val="0000FF"/>
              </w:rPr>
            </w:pPr>
            <w:hyperlink r:id="rId29">
              <w:r>
                <w:rPr>
                  <w:rFonts w:ascii="Arial" w:cs="Arial" w:eastAsia="Arial" w:hAnsi="Arial"/>
                  <w:sz w:val="18"/>
                  <w:szCs w:val="18"/>
                  <w:color w:val="0000FF"/>
                </w:rPr>
                <w:t>Certificate of Formation, as amended, of CC Holdings GS V LLC</w:t>
              </w:r>
            </w:hyperlink>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420" w:type="dxa"/>
            <w:vAlign w:val="bottom"/>
          </w:tcPr>
          <w:p>
            <w:pPr>
              <w:ind w:lef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980" w:type="dxa"/>
            <w:vAlign w:val="bottom"/>
            <w:tcBorders>
              <w:bottom w:val="single" w:sz="8" w:color="0000FF"/>
            </w:tcBorders>
            <w:gridSpan w:val="8"/>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Second Amended and Restated Limited Liability Company Agreement of CC Holdings GS V LLC</w:t>
              </w:r>
            </w:hyperlink>
          </w:p>
        </w:tc>
        <w:tc>
          <w:tcPr>
            <w:tcW w:w="2540" w:type="dxa"/>
            <w:vAlign w:val="bottom"/>
            <w:gridSpan w:val="2"/>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420" w:type="dxa"/>
            <w:vAlign w:val="bottom"/>
          </w:tcPr>
          <w:p>
            <w:pPr>
              <w:ind w:left="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tcBorders>
              <w:bottom w:val="single" w:sz="8" w:color="0000FF"/>
            </w:tcBorders>
            <w:gridSpan w:val="2"/>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List of Subsidiaries</w:t>
              </w:r>
            </w:hyperlink>
          </w:p>
        </w:tc>
        <w:tc>
          <w:tcPr>
            <w:tcW w:w="8140" w:type="dxa"/>
            <w:vAlign w:val="bottom"/>
            <w:gridSpan w:val="8"/>
          </w:tcPr>
          <w:p>
            <w:pPr>
              <w:spacing w:after="0"/>
              <w:rPr>
                <w:sz w:val="22"/>
                <w:szCs w:val="22"/>
                <w:color w:val="auto"/>
              </w:rPr>
            </w:pPr>
          </w:p>
        </w:tc>
      </w:tr>
      <w:tr>
        <w:trPr>
          <w:trHeight w:val="257"/>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520" w:type="dxa"/>
            <w:vAlign w:val="bottom"/>
            <w:gridSpan w:val="1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Certification of Chief Executive Officer pursuant to Section 302 of Sarbanes-Oxley Act of 2002</w:t>
              </w:r>
            </w:hyperlink>
          </w:p>
        </w:tc>
      </w:tr>
      <w:tr>
        <w:trPr>
          <w:trHeight w:val="257"/>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72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Certification of Chief Financial Officer pursuant to Section 302 of Sarbanes-Oxley Act of 2002</w:t>
              </w:r>
            </w:hyperlink>
          </w:p>
        </w:tc>
        <w:tc>
          <w:tcPr>
            <w:tcW w:w="40" w:type="dxa"/>
            <w:vAlign w:val="bottom"/>
            <w:tcBorders>
              <w:top w:val="single" w:sz="8" w:color="0000FF"/>
            </w:tcBorders>
          </w:tcPr>
          <w:p>
            <w:pPr>
              <w:spacing w:after="0"/>
              <w:rPr>
                <w:sz w:val="22"/>
                <w:szCs w:val="22"/>
                <w:color w:val="auto"/>
              </w:rPr>
            </w:pPr>
          </w:p>
        </w:tc>
        <w:tc>
          <w:tcPr>
            <w:tcW w:w="2760" w:type="dxa"/>
            <w:vAlign w:val="bottom"/>
            <w:gridSpan w:val="3"/>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80"/>
              <w:spacing w:after="0"/>
              <w:rPr>
                <w:sz w:val="20"/>
                <w:szCs w:val="20"/>
                <w:color w:val="auto"/>
              </w:rPr>
            </w:pPr>
            <w:r>
              <w:rPr>
                <w:rFonts w:ascii="Arial" w:cs="Arial" w:eastAsia="Arial" w:hAnsi="Arial"/>
                <w:sz w:val="18"/>
                <w:szCs w:val="18"/>
                <w:color w:val="auto"/>
                <w:w w:val="91"/>
              </w:rPr>
              <w:t>32.1</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520" w:type="dxa"/>
            <w:vAlign w:val="bottom"/>
            <w:gridSpan w:val="10"/>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Certification of Chief Executive Officer and Chief Financial Officer pursuant to Section 906 of Sarbanes-Oxley Act of 2002</w:t>
              </w:r>
            </w:hyperlink>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40" w:type="dxa"/>
            <w:vAlign w:val="bottom"/>
            <w:gridSpan w:val="9"/>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0"/>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20" w:type="dxa"/>
            <w:vAlign w:val="bottom"/>
            <w:gridSpan w:val="10"/>
          </w:tcPr>
          <w:p>
            <w:pPr>
              <w:spacing w:after="0"/>
              <w:rPr>
                <w:sz w:val="20"/>
                <w:szCs w:val="20"/>
                <w:color w:val="auto"/>
              </w:rPr>
            </w:pPr>
            <w:r>
              <w:rPr>
                <w:rFonts w:ascii="Arial" w:cs="Arial" w:eastAsia="Arial" w:hAnsi="Arial"/>
                <w:sz w:val="17"/>
                <w:szCs w:val="17"/>
                <w:color w:val="auto"/>
                <w:w w:val="90"/>
              </w:rPr>
              <w:t>The following financial statements from CC Holdings GS V LLC's Quarterly Report on Form 10-Q for the quarter ended September 30, 2021,</w:t>
            </w: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520" w:type="dxa"/>
            <w:vAlign w:val="bottom"/>
            <w:gridSpan w:val="10"/>
          </w:tcPr>
          <w:p>
            <w:pPr>
              <w:spacing w:after="0" w:line="149" w:lineRule="exact"/>
              <w:rPr>
                <w:sz w:val="20"/>
                <w:szCs w:val="20"/>
                <w:color w:val="auto"/>
              </w:rPr>
            </w:pPr>
            <w:r>
              <w:rPr>
                <w:rFonts w:ascii="Arial" w:cs="Arial" w:eastAsia="Arial" w:hAnsi="Arial"/>
                <w:sz w:val="17"/>
                <w:szCs w:val="17"/>
                <w:color w:val="auto"/>
                <w:w w:val="89"/>
              </w:rPr>
              <w:t>formatted in Inline XBRL: (i) Condensed Consolidated Balance Sheet, (ii) Condensed Consolidated Statement of Operations, (iii) Condensed</w:t>
            </w:r>
          </w:p>
        </w:tc>
      </w:tr>
      <w:tr>
        <w:trPr>
          <w:trHeight w:val="158"/>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520" w:type="dxa"/>
            <w:vAlign w:val="bottom"/>
            <w:gridSpan w:val="10"/>
          </w:tcPr>
          <w:p>
            <w:pPr>
              <w:spacing w:after="0" w:line="159" w:lineRule="exact"/>
              <w:rPr>
                <w:sz w:val="20"/>
                <w:szCs w:val="20"/>
                <w:color w:val="auto"/>
              </w:rPr>
            </w:pPr>
            <w:r>
              <w:rPr>
                <w:rFonts w:ascii="Arial" w:cs="Arial" w:eastAsia="Arial" w:hAnsi="Arial"/>
                <w:sz w:val="17"/>
                <w:szCs w:val="17"/>
                <w:color w:val="auto"/>
                <w:w w:val="88"/>
              </w:rPr>
              <w:t>Consolidated Statement of Cash Flows, (iv) Condensed Consolidated Statement of Changes of Member's Equity, and (v) Notes to Condensed</w:t>
            </w: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10"/>
          </w:tcPr>
          <w:p>
            <w:pPr>
              <w:spacing w:after="0"/>
              <w:rPr>
                <w:sz w:val="20"/>
                <w:szCs w:val="20"/>
                <w:color w:val="auto"/>
              </w:rPr>
            </w:pPr>
            <w:r>
              <w:rPr>
                <w:rFonts w:ascii="Arial" w:cs="Arial" w:eastAsia="Arial" w:hAnsi="Arial"/>
                <w:sz w:val="17"/>
                <w:szCs w:val="17"/>
                <w:color w:val="auto"/>
              </w:rPr>
              <w:t>Consolidated Financial Statements, tagged as blocks of text and including detailed tags</w:t>
            </w:r>
          </w:p>
        </w:tc>
      </w:tr>
      <w:tr>
        <w:trPr>
          <w:trHeight w:val="219"/>
        </w:trPr>
        <w:tc>
          <w:tcPr>
            <w:tcW w:w="4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520" w:type="dxa"/>
            <w:vAlign w:val="bottom"/>
            <w:gridSpan w:val="10"/>
          </w:tcPr>
          <w:p>
            <w:pPr>
              <w:spacing w:after="0"/>
              <w:rPr>
                <w:sz w:val="20"/>
                <w:szCs w:val="20"/>
                <w:color w:val="auto"/>
              </w:rPr>
            </w:pPr>
            <w:r>
              <w:rPr>
                <w:rFonts w:ascii="Arial" w:cs="Arial" w:eastAsia="Arial" w:hAnsi="Arial"/>
                <w:sz w:val="17"/>
                <w:szCs w:val="17"/>
                <w:color w:val="auto"/>
                <w:w w:val="89"/>
              </w:rPr>
              <w:t>The cover page from CC Holdings GS V LLC's Quarterly Report on Form 10-Q for the quarter ended September 30, 2021, formatted in Inline</w:t>
            </w:r>
          </w:p>
        </w:tc>
      </w:tr>
      <w:tr>
        <w:trPr>
          <w:trHeight w:val="213"/>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520" w:type="dxa"/>
            <w:vAlign w:val="bottom"/>
            <w:gridSpan w:val="10"/>
          </w:tcPr>
          <w:p>
            <w:pPr>
              <w:spacing w:after="0"/>
              <w:rPr>
                <w:sz w:val="20"/>
                <w:szCs w:val="20"/>
                <w:color w:val="auto"/>
              </w:rPr>
            </w:pPr>
            <w:r>
              <w:rPr>
                <w:rFonts w:ascii="Arial" w:cs="Arial" w:eastAsia="Arial" w:hAnsi="Arial"/>
                <w:sz w:val="17"/>
                <w:szCs w:val="17"/>
                <w:color w:val="auto"/>
              </w:rPr>
              <w:t>XBRL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895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89535" cy="8255"/>
                    </a:xfrm>
                    <a:prstGeom prst="rect">
                      <a:avLst/>
                    </a:prstGeom>
                    <a:noFill/>
                  </pic:spPr>
                </pic:pic>
              </a:graphicData>
            </a:graphic>
          </wp:anchor>
        </w:drawing>
      </w:r>
    </w:p>
    <w:p>
      <w:pPr>
        <w:spacing w:after="0" w:line="188" w:lineRule="exact"/>
        <w:rPr>
          <w:sz w:val="20"/>
          <w:szCs w:val="20"/>
          <w:color w:val="auto"/>
        </w:rPr>
      </w:pPr>
    </w:p>
    <w:p>
      <w:pPr>
        <w:ind w:left="220" w:hanging="214"/>
        <w:spacing w:after="0"/>
        <w:tabs>
          <w:tab w:leader="none" w:pos="2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7" w:lineRule="exact"/>
        <w:rPr>
          <w:sz w:val="20"/>
          <w:szCs w:val="20"/>
          <w:color w:val="auto"/>
        </w:rPr>
      </w:pPr>
    </w:p>
    <w:p>
      <w:pPr>
        <w:ind w:left="220" w:hanging="214"/>
        <w:spacing w:after="0"/>
        <w:tabs>
          <w:tab w:leader="none" w:pos="2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Furnished herewith.</w:t>
      </w:r>
    </w:p>
    <w:p>
      <w:pPr>
        <w:ind w:left="240" w:hanging="234"/>
        <w:spacing w:after="0" w:line="235" w:lineRule="auto"/>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ind w:left="240" w:hanging="234"/>
        <w:spacing w:after="0"/>
        <w:tabs>
          <w:tab w:leader="none" w:pos="2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Annual Report on Form 10-K for the year ended December 31, 2020.</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64770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031" w:right="419" w:bottom="1440" w:gutter="0" w:footer="0" w:header="0"/>
        </w:sectPr>
      </w:pPr>
    </w:p>
    <w:bookmarkStart w:id="17" w:name="page18"/>
    <w:bookmarkEnd w:id="17"/>
    <w:p>
      <w:pPr>
        <w:ind w:left="4580"/>
        <w:spacing w:after="0"/>
        <w:rPr>
          <w:sz w:val="20"/>
          <w:szCs w:val="20"/>
          <w:color w:val="auto"/>
        </w:rPr>
      </w:pPr>
      <w:r>
        <w:rPr>
          <w:rFonts w:ascii="Arial" w:cs="Arial" w:eastAsia="Arial" w:hAnsi="Arial"/>
          <w:sz w:val="18"/>
          <w:szCs w:val="18"/>
          <w:b w:val="1"/>
          <w:bCs w:val="1"/>
          <w:color w:val="auto"/>
        </w:rPr>
        <w:t>SIGNATURES</w:t>
      </w:r>
    </w:p>
    <w:p>
      <w:pPr>
        <w:spacing w:after="0" w:line="168" w:lineRule="exact"/>
        <w:rPr>
          <w:sz w:val="20"/>
          <w:szCs w:val="20"/>
          <w:color w:val="auto"/>
        </w:rPr>
      </w:pPr>
    </w:p>
    <w:p>
      <w:pPr>
        <w:ind w:firstLine="31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CC HOLDINGS GS V LLC</w:t>
      </w:r>
    </w:p>
    <w:p>
      <w:pPr>
        <w:spacing w:after="0" w:line="268" w:lineRule="exact"/>
        <w:rPr>
          <w:sz w:val="20"/>
          <w:szCs w:val="20"/>
          <w:color w:val="auto"/>
        </w:rPr>
      </w:pPr>
    </w:p>
    <w:p>
      <w:pPr>
        <w:ind w:left="1240"/>
        <w:spacing w:after="0"/>
        <w:tabs>
          <w:tab w:leader="none" w:pos="1760" w:val="left"/>
          <w:tab w:leader="none" w:pos="5820" w:val="left"/>
          <w:tab w:leader="none" w:pos="718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w:t>
      </w:r>
      <w:r>
        <w:rPr>
          <w:rFonts w:ascii="Arial" w:cs="Arial" w:eastAsia="Arial" w:hAnsi="Arial"/>
          <w:sz w:val="13"/>
          <w:szCs w:val="13"/>
          <w:color w:val="auto"/>
        </w:rPr>
        <w:t>ANIEL</w:t>
      </w:r>
      <w:r>
        <w:rPr>
          <w:rFonts w:ascii="Arial" w:cs="Arial" w:eastAsia="Arial" w:hAnsi="Arial"/>
          <w:sz w:val="16"/>
          <w:szCs w:val="16"/>
          <w:color w:val="auto"/>
        </w:rPr>
        <w:t xml:space="preserve"> K. S</w:t>
      </w:r>
      <w:r>
        <w:rPr>
          <w:rFonts w:ascii="Arial" w:cs="Arial" w:eastAsia="Arial" w:hAnsi="Arial"/>
          <w:sz w:val="13"/>
          <w:szCs w:val="13"/>
          <w:color w:val="auto"/>
        </w:rPr>
        <w:t>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10160</wp:posOffset>
            </wp:positionV>
            <wp:extent cx="23869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3"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Daniel K. Schlanger</w:t>
      </w:r>
    </w:p>
    <w:p>
      <w:pPr>
        <w:spacing w:after="0" w:line="5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5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(Principal Financial Officer)</w:t>
      </w:r>
    </w:p>
    <w:p>
      <w:pPr>
        <w:spacing w:after="0" w:line="284" w:lineRule="exact"/>
        <w:rPr>
          <w:sz w:val="20"/>
          <w:szCs w:val="20"/>
          <w:color w:val="auto"/>
        </w:rPr>
      </w:pPr>
    </w:p>
    <w:p>
      <w:pPr>
        <w:ind w:left="1240"/>
        <w:spacing w:after="0"/>
        <w:tabs>
          <w:tab w:leader="none" w:pos="1760" w:val="left"/>
          <w:tab w:leader="none" w:pos="5820" w:val="left"/>
          <w:tab w:leader="none" w:pos="7300" w:val="left"/>
        </w:tabs>
        <w:rPr>
          <w:sz w:val="20"/>
          <w:szCs w:val="20"/>
          <w:color w:val="auto"/>
        </w:rPr>
      </w:pPr>
      <w:r>
        <w:rPr>
          <w:rFonts w:ascii="Arial" w:cs="Arial" w:eastAsia="Arial" w:hAnsi="Arial"/>
          <w:sz w:val="18"/>
          <w:szCs w:val="18"/>
          <w:color w:val="auto"/>
        </w:rPr>
        <w:t>Date:</w:t>
        <w:tab/>
        <w:t>November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w:t>
      </w:r>
      <w:r>
        <w:rPr>
          <w:rFonts w:ascii="Arial" w:cs="Arial" w:eastAsia="Arial" w:hAnsi="Arial"/>
          <w:sz w:val="13"/>
          <w:szCs w:val="13"/>
          <w:color w:val="auto"/>
        </w:rPr>
        <w:t>OBERT</w:t>
      </w:r>
      <w:r>
        <w:rPr>
          <w:rFonts w:ascii="Arial" w:cs="Arial" w:eastAsia="Arial" w:hAnsi="Arial"/>
          <w:sz w:val="16"/>
          <w:szCs w:val="16"/>
          <w:color w:val="auto"/>
        </w:rPr>
        <w:t xml:space="preserve"> S. C</w:t>
      </w:r>
      <w:r>
        <w:rPr>
          <w:rFonts w:ascii="Arial" w:cs="Arial" w:eastAsia="Arial" w:hAnsi="Arial"/>
          <w:sz w:val="13"/>
          <w:szCs w:val="13"/>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3981450</wp:posOffset>
            </wp:positionH>
            <wp:positionV relativeFrom="paragraph">
              <wp:posOffset>10160</wp:posOffset>
            </wp:positionV>
            <wp:extent cx="23869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2386965" cy="8255"/>
                    </a:xfrm>
                    <a:prstGeom prst="rect">
                      <a:avLst/>
                    </a:prstGeom>
                    <a:noFill/>
                  </pic:spPr>
                </pic:pic>
              </a:graphicData>
            </a:graphic>
          </wp:anchor>
        </w:drawing>
      </w:r>
    </w:p>
    <w:p>
      <w:pPr>
        <w:spacing w:after="0" w:line="13"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Robert S. Collins</w:t>
      </w:r>
    </w:p>
    <w:p>
      <w:pPr>
        <w:spacing w:after="0" w:line="5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Vice President and Controller</w:t>
      </w:r>
    </w:p>
    <w:p>
      <w:pPr>
        <w:spacing w:after="0" w:line="50"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5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Exhibit 31.1</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15" w:lineRule="exact"/>
        <w:rPr>
          <w:sz w:val="20"/>
          <w:szCs w:val="20"/>
          <w:color w:val="auto"/>
        </w:rPr>
      </w:pPr>
    </w:p>
    <w:p>
      <w:pPr>
        <w:ind w:left="640" w:hanging="634"/>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62"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4"/>
        <w:spacing w:after="0" w:line="253"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1280" w:hanging="641"/>
        <w:spacing w:after="0" w:line="253" w:lineRule="auto"/>
        <w:tabs>
          <w:tab w:leader="none" w:pos="127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1280" w:hanging="641"/>
        <w:spacing w:after="0" w:line="253"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1280" w:hanging="641"/>
        <w:spacing w:after="0" w:line="325" w:lineRule="auto"/>
        <w:tabs>
          <w:tab w:leader="none" w:pos="1271"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80" w:hanging="641"/>
        <w:spacing w:after="0" w:line="253"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80" w:hanging="641"/>
        <w:spacing w:after="0" w:line="325" w:lineRule="auto"/>
        <w:tabs>
          <w:tab w:leader="none" w:pos="1271"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80" w:hanging="641"/>
        <w:spacing w:after="0" w:line="262" w:lineRule="auto"/>
        <w:tabs>
          <w:tab w:leader="none" w:pos="12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332"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4082415</wp:posOffset>
            </wp:positionH>
            <wp:positionV relativeFrom="paragraph">
              <wp:posOffset>10160</wp:posOffset>
            </wp:positionV>
            <wp:extent cx="2914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Jay A. Brown</w:t>
      </w:r>
    </w:p>
    <w:p>
      <w:pPr>
        <w:ind w:left="6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73"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Exhibit 31.2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15" w:lineRule="exact"/>
        <w:rPr>
          <w:sz w:val="20"/>
          <w:szCs w:val="20"/>
          <w:color w:val="auto"/>
        </w:rPr>
      </w:pPr>
    </w:p>
    <w:p>
      <w:pPr>
        <w:ind w:left="640" w:hanging="634"/>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report on Form 10-Q of CC Holdings GS V LLC (“registrant”);</w:t>
      </w:r>
    </w:p>
    <w:p>
      <w:pPr>
        <w:spacing w:after="0" w:line="162" w:lineRule="exact"/>
        <w:rPr>
          <w:rFonts w:ascii="Arial" w:cs="Arial" w:eastAsia="Arial" w:hAnsi="Arial"/>
          <w:sz w:val="18"/>
          <w:szCs w:val="18"/>
          <w:color w:val="auto"/>
        </w:rPr>
      </w:pPr>
    </w:p>
    <w:p>
      <w:pPr>
        <w:jc w:val="both"/>
        <w:ind w:left="640" w:hanging="634"/>
        <w:spacing w:after="0" w:line="25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hanging="634"/>
        <w:spacing w:after="0" w:line="253"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6" w:lineRule="exact"/>
        <w:rPr>
          <w:rFonts w:ascii="Arial" w:cs="Arial" w:eastAsia="Arial" w:hAnsi="Arial"/>
          <w:sz w:val="18"/>
          <w:szCs w:val="18"/>
          <w:color w:val="auto"/>
        </w:rPr>
      </w:pPr>
    </w:p>
    <w:p>
      <w:pPr>
        <w:jc w:val="both"/>
        <w:ind w:left="1280" w:hanging="641"/>
        <w:spacing w:after="0" w:line="253" w:lineRule="auto"/>
        <w:tabs>
          <w:tab w:leader="none" w:pos="12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8"/>
          <w:szCs w:val="18"/>
          <w:color w:val="auto"/>
        </w:rPr>
      </w:pPr>
    </w:p>
    <w:p>
      <w:pPr>
        <w:jc w:val="both"/>
        <w:ind w:left="1280" w:hanging="641"/>
        <w:spacing w:after="0" w:line="253"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Arial" w:cs="Arial" w:eastAsia="Arial" w:hAnsi="Arial"/>
          <w:sz w:val="18"/>
          <w:szCs w:val="18"/>
          <w:color w:val="auto"/>
        </w:rPr>
      </w:pPr>
    </w:p>
    <w:p>
      <w:pPr>
        <w:ind w:left="1280" w:hanging="641"/>
        <w:spacing w:after="0" w:line="325" w:lineRule="auto"/>
        <w:tabs>
          <w:tab w:leader="none" w:pos="12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80" w:hanging="641"/>
        <w:spacing w:after="0" w:line="253"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Arial" w:cs="Arial" w:eastAsia="Arial" w:hAnsi="Arial"/>
          <w:sz w:val="18"/>
          <w:szCs w:val="18"/>
          <w:color w:val="auto"/>
        </w:rPr>
      </w:pPr>
    </w:p>
    <w:p>
      <w:pPr>
        <w:ind w:left="640" w:hanging="634"/>
        <w:spacing w:after="0" w:line="325"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1280" w:hanging="641"/>
        <w:spacing w:after="0" w:line="325" w:lineRule="auto"/>
        <w:tabs>
          <w:tab w:leader="none" w:pos="12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1280" w:hanging="641"/>
        <w:spacing w:after="0" w:line="262" w:lineRule="auto"/>
        <w:tabs>
          <w:tab w:leader="none" w:pos="1268"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2021</w:t>
      </w:r>
    </w:p>
    <w:p>
      <w:pPr>
        <w:spacing w:after="0" w:line="200" w:lineRule="exact"/>
        <w:rPr>
          <w:sz w:val="20"/>
          <w:szCs w:val="20"/>
          <w:color w:val="auto"/>
        </w:rPr>
      </w:pPr>
    </w:p>
    <w:p>
      <w:pPr>
        <w:spacing w:after="0" w:line="3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10160</wp:posOffset>
            </wp:positionV>
            <wp:extent cx="321627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3216275" cy="8255"/>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8"/>
          <w:szCs w:val="18"/>
          <w:color w:val="auto"/>
        </w:rPr>
        <w:t>Daniel K. Schlanger</w:t>
      </w:r>
    </w:p>
    <w:p>
      <w:pPr>
        <w:ind w:left="61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7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Quarterly Report on Form 10-Q of CC Holdings GS V LLC, a Delaware Corporation (“Company”), for the period ending September 30, 2021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219" w:lineRule="exact"/>
        <w:rPr>
          <w:sz w:val="20"/>
          <w:szCs w:val="20"/>
          <w:color w:val="auto"/>
        </w:rPr>
      </w:pPr>
    </w:p>
    <w:p>
      <w:pPr>
        <w:ind w:left="1260" w:hanging="621"/>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62" w:lineRule="exact"/>
        <w:rPr>
          <w:rFonts w:ascii="Arial" w:cs="Arial" w:eastAsia="Arial" w:hAnsi="Arial"/>
          <w:sz w:val="18"/>
          <w:szCs w:val="18"/>
          <w:color w:val="auto"/>
        </w:rPr>
      </w:pPr>
    </w:p>
    <w:p>
      <w:pPr>
        <w:ind w:left="1280" w:right="600" w:hanging="641"/>
        <w:spacing w:after="0" w:line="262" w:lineRule="auto"/>
        <w:tabs>
          <w:tab w:leader="none" w:pos="126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September 30, 2021 (the last date of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601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360108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Jay A. Brown</w:t>
      </w:r>
    </w:p>
    <w:p>
      <w:pPr>
        <w:ind w:left="5340"/>
        <w:spacing w:after="0"/>
        <w:rPr>
          <w:sz w:val="20"/>
          <w:szCs w:val="20"/>
          <w:color w:val="auto"/>
        </w:rPr>
      </w:pPr>
      <w:r>
        <w:rPr>
          <w:rFonts w:ascii="Arial" w:cs="Arial" w:eastAsia="Arial" w:hAnsi="Arial"/>
          <w:sz w:val="18"/>
          <w:szCs w:val="18"/>
          <w:color w:val="auto"/>
        </w:rPr>
        <w:t>President and Chief Executive Officer</w:t>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November 5, 2021</w:t>
      </w:r>
    </w:p>
    <w:p>
      <w:pPr>
        <w:spacing w:after="0" w:line="228"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10160</wp:posOffset>
            </wp:positionV>
            <wp:extent cx="36010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601085" cy="8255"/>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8"/>
          <w:szCs w:val="18"/>
          <w:color w:val="auto"/>
        </w:rPr>
        <w:t>Daniel K. Schlanger</w:t>
      </w:r>
    </w:p>
    <w:p>
      <w:pPr>
        <w:ind w:left="5340"/>
        <w:spacing w:after="0"/>
        <w:rPr>
          <w:sz w:val="20"/>
          <w:szCs w:val="20"/>
          <w:color w:val="auto"/>
        </w:rPr>
      </w:pPr>
      <w:r>
        <w:rPr>
          <w:rFonts w:ascii="Arial" w:cs="Arial" w:eastAsia="Arial" w:hAnsi="Arial"/>
          <w:sz w:val="18"/>
          <w:szCs w:val="18"/>
          <w:color w:val="auto"/>
        </w:rPr>
        <w:t>Executive Vice President and Chief Financial Officer</w:t>
      </w:r>
    </w:p>
    <w:p>
      <w:pPr>
        <w:spacing w:after="0" w:line="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November 5, 2021</w:t>
      </w: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lowerLetter"/>
      <w:start w:val="1"/>
    </w:lvl>
  </w:abstractNum>
  <w:abstractNum w:abstractNumId="1">
    <w:nsid w:val="3352255A"/>
    <w:multiLevelType w:val="hybridMultilevel"/>
    <w:lvl w:ilvl="0">
      <w:lvlJc w:val="left"/>
      <w:lvlText w:val="(%1)"/>
      <w:numFmt w:val="lowerLetter"/>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
    <w:nsid w:val="431BD7B7"/>
    <w:multiLevelType w:val="hybridMultilevel"/>
    <w:lvl w:ilvl="0">
      <w:lvlJc w:val="left"/>
      <w:lvlText w:val="•"/>
      <w:numFmt w:val="bullet"/>
      <w:start w:val="1"/>
    </w:lvl>
    <w:lvl w:ilvl="1">
      <w:lvlJc w:val="left"/>
      <w:lvlText w:val="◦"/>
      <w:numFmt w:val="bullet"/>
      <w:start w:val="1"/>
    </w:lvl>
  </w:abstractNum>
  <w:abstractNum w:abstractNumId="12">
    <w:nsid w:val="3F2DBA31"/>
    <w:multiLevelType w:val="hybridMultilevel"/>
    <w:lvl w:ilvl="0">
      <w:lvlJc w:val="left"/>
      <w:lvlText w:val="(%1)"/>
      <w:numFmt w:val="decimal"/>
      <w:start w:val="3"/>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1)"/>
      <w:numFmt w:val="lowerLetter"/>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lvl w:ilvl="1">
      <w:lvlJc w:val="left"/>
      <w:lvlText w:val="(%2)"/>
      <w:numFmt w:val="decimal"/>
      <w:start w:val="2"/>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29" Type="http://schemas.openxmlformats.org/officeDocument/2006/relationships/hyperlink" Target="http://www.sec.gov/Archives/edgar/data/1574211/000119312513158983/d519395dex31.htm" TargetMode="External"/><Relationship Id="rId30" Type="http://schemas.openxmlformats.org/officeDocument/2006/relationships/hyperlink" Target="http://www.sec.gov/Archives/edgar/data/1574211/000119312513158983/d519395dex32.htm" TargetMode="External"/><Relationship Id="rId31" Type="http://schemas.openxmlformats.org/officeDocument/2006/relationships/hyperlink" Target="https://www.sec.gov/Archives/edgar/data/1574291/000157429120000008/gsvexhibit221231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2021-11-05T15:36:14Z</dcterms:created>
  <dcterms:modified xsi:type="dcterms:W3CDTF">2021-11-05T15:36:14Z</dcterms:modified>
</cp:coreProperties>
</file>