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760"/>
        <w:spacing w:after="0"/>
        <w:rPr>
          <w:sz w:val="20"/>
          <w:szCs w:val="20"/>
          <w:color w:val="auto"/>
        </w:rPr>
      </w:pPr>
      <w:r>
        <w:rPr>
          <w:rFonts w:ascii="Arial" w:cs="Arial" w:eastAsia="Arial" w:hAnsi="Arial"/>
          <w:sz w:val="11"/>
          <w:szCs w:val="11"/>
          <w:color w:val="auto"/>
        </w:rPr>
        <w:t>___________________________________</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10-K</w:t>
      </w:r>
    </w:p>
    <w:p>
      <w:pPr>
        <w:spacing w:after="0" w:line="36" w:lineRule="exact"/>
        <w:rPr>
          <w:sz w:val="24"/>
          <w:szCs w:val="24"/>
          <w:color w:val="auto"/>
        </w:rPr>
      </w:pPr>
    </w:p>
    <w:p>
      <w:pPr>
        <w:ind w:left="5020"/>
        <w:spacing w:after="0"/>
        <w:rPr>
          <w:sz w:val="20"/>
          <w:szCs w:val="20"/>
          <w:color w:val="auto"/>
        </w:rPr>
      </w:pPr>
      <w:r>
        <w:rPr>
          <w:rFonts w:ascii="Arial" w:cs="Arial" w:eastAsia="Arial" w:hAnsi="Arial"/>
          <w:sz w:val="11"/>
          <w:szCs w:val="11"/>
          <w:color w:val="auto"/>
        </w:rPr>
        <w:t>__________________________</w:t>
      </w:r>
    </w:p>
    <w:p>
      <w:pPr>
        <w:spacing w:after="0" w:line="136"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31" w:lineRule="exact"/>
        <w:rPr>
          <w:rFonts w:ascii="Arial" w:cs="Arial" w:eastAsia="Arial" w:hAnsi="Arial"/>
          <w:sz w:val="18"/>
          <w:szCs w:val="18"/>
          <w:color w:val="auto"/>
        </w:rPr>
      </w:pPr>
    </w:p>
    <w:p>
      <w:pPr>
        <w:ind w:left="5600" w:right="3800" w:hanging="1390"/>
        <w:spacing w:after="0" w:line="298" w:lineRule="auto"/>
        <w:rPr>
          <w:rFonts w:ascii="Arial" w:cs="Arial" w:eastAsia="Arial" w:hAnsi="Arial"/>
          <w:sz w:val="18"/>
          <w:szCs w:val="18"/>
          <w:color w:val="auto"/>
        </w:rPr>
      </w:pPr>
      <w:r>
        <w:rPr>
          <w:rFonts w:ascii="Arial" w:cs="Arial" w:eastAsia="Arial" w:hAnsi="Arial"/>
          <w:sz w:val="18"/>
          <w:szCs w:val="18"/>
          <w:b w:val="1"/>
          <w:bCs w:val="1"/>
          <w:color w:val="auto"/>
        </w:rPr>
        <w:t>For the fiscal year ended December 31, 2017 or</w:t>
      </w:r>
    </w:p>
    <w:p>
      <w:pPr>
        <w:spacing w:after="0" w:line="103"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20"/>
          <w:szCs w:val="20"/>
          <w:b w:val="1"/>
          <w:bCs w:val="1"/>
          <w:color w:val="auto"/>
        </w:rPr>
        <w:t>TRANSITION REPORT PURSUANT TO SECTION 13 OR 15 (d) OF THE SECURITIES EXCHANGE ACT OF 1934</w:t>
      </w:r>
    </w:p>
    <w:p>
      <w:pPr>
        <w:spacing w:after="0" w:line="18"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5820" w:type="dxa"/>
            <w:vAlign w:val="bottom"/>
          </w:tcPr>
          <w:p>
            <w:pPr>
              <w:ind w:left="3440"/>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81"/>
        </w:trPr>
        <w:tc>
          <w:tcPr>
            <w:tcW w:w="7340" w:type="dxa"/>
            <w:vAlign w:val="bottom"/>
            <w:gridSpan w:val="5"/>
          </w:tcPr>
          <w:p>
            <w:pPr>
              <w:jc w:val="center"/>
              <w:ind w:left="3183"/>
              <w:spacing w:after="0"/>
              <w:rPr>
                <w:sz w:val="20"/>
                <w:szCs w:val="20"/>
                <w:color w:val="auto"/>
              </w:rPr>
            </w:pPr>
            <w:r>
              <w:rPr>
                <w:rFonts w:ascii="Arial" w:cs="Arial" w:eastAsia="Arial" w:hAnsi="Arial"/>
                <w:sz w:val="18"/>
                <w:szCs w:val="18"/>
                <w:b w:val="1"/>
                <w:bCs w:val="1"/>
                <w:color w:val="auto"/>
                <w:w w:val="90"/>
              </w:rPr>
              <w:t>Commission File Number 333-187970</w:t>
            </w:r>
          </w:p>
        </w:tc>
        <w:tc>
          <w:tcPr>
            <w:tcW w:w="1400" w:type="dxa"/>
            <w:vAlign w:val="bottom"/>
          </w:tcPr>
          <w:p>
            <w:pPr>
              <w:spacing w:after="0"/>
              <w:rPr>
                <w:sz w:val="24"/>
                <w:szCs w:val="24"/>
                <w:color w:val="auto"/>
              </w:rPr>
            </w:pPr>
          </w:p>
        </w:tc>
      </w:tr>
      <w:tr>
        <w:trPr>
          <w:trHeight w:val="104"/>
        </w:trPr>
        <w:tc>
          <w:tcPr>
            <w:tcW w:w="6360" w:type="dxa"/>
            <w:vAlign w:val="bottom"/>
            <w:gridSpan w:val="2"/>
          </w:tcPr>
          <w:p>
            <w:pPr>
              <w:jc w:val="right"/>
              <w:ind w:right="360"/>
              <w:spacing w:after="0" w:line="104" w:lineRule="exact"/>
              <w:rPr>
                <w:sz w:val="20"/>
                <w:szCs w:val="20"/>
                <w:color w:val="auto"/>
              </w:rPr>
            </w:pPr>
            <w:r>
              <w:rPr>
                <w:rFonts w:ascii="Arial" w:cs="Arial" w:eastAsia="Arial" w:hAnsi="Arial"/>
                <w:sz w:val="11"/>
                <w:szCs w:val="11"/>
                <w:color w:val="auto"/>
              </w:rPr>
              <w:t>__________________________</w:t>
            </w: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391"/>
        </w:trPr>
        <w:tc>
          <w:tcPr>
            <w:tcW w:w="7340" w:type="dxa"/>
            <w:vAlign w:val="bottom"/>
            <w:gridSpan w:val="5"/>
          </w:tcPr>
          <w:p>
            <w:pPr>
              <w:jc w:val="center"/>
              <w:ind w:left="3183"/>
              <w:spacing w:after="0"/>
              <w:rPr>
                <w:sz w:val="20"/>
                <w:szCs w:val="20"/>
                <w:color w:val="auto"/>
              </w:rPr>
            </w:pPr>
            <w:r>
              <w:rPr>
                <w:rFonts w:ascii="Arial" w:cs="Arial" w:eastAsia="Arial" w:hAnsi="Arial"/>
                <w:sz w:val="32"/>
                <w:szCs w:val="32"/>
                <w:b w:val="1"/>
                <w:bCs w:val="1"/>
                <w:color w:val="auto"/>
              </w:rPr>
              <w:t>CC HOLDINGS GS V LLC</w:t>
            </w:r>
          </w:p>
        </w:tc>
        <w:tc>
          <w:tcPr>
            <w:tcW w:w="1400" w:type="dxa"/>
            <w:vAlign w:val="bottom"/>
          </w:tcPr>
          <w:p>
            <w:pPr>
              <w:spacing w:after="0"/>
              <w:rPr>
                <w:sz w:val="24"/>
                <w:szCs w:val="24"/>
                <w:color w:val="auto"/>
              </w:rPr>
            </w:pPr>
          </w:p>
        </w:tc>
      </w:tr>
      <w:tr>
        <w:trPr>
          <w:trHeight w:val="193"/>
        </w:trPr>
        <w:tc>
          <w:tcPr>
            <w:tcW w:w="7340" w:type="dxa"/>
            <w:vAlign w:val="bottom"/>
            <w:gridSpan w:val="5"/>
          </w:tcPr>
          <w:p>
            <w:pPr>
              <w:jc w:val="center"/>
              <w:ind w:left="3163"/>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400" w:type="dxa"/>
            <w:vAlign w:val="bottom"/>
          </w:tcPr>
          <w:p>
            <w:pPr>
              <w:spacing w:after="0"/>
              <w:rPr>
                <w:sz w:val="16"/>
                <w:szCs w:val="16"/>
                <w:color w:val="auto"/>
              </w:rPr>
            </w:pPr>
          </w:p>
        </w:tc>
      </w:tr>
      <w:tr>
        <w:trPr>
          <w:trHeight w:val="136"/>
        </w:trPr>
        <w:tc>
          <w:tcPr>
            <w:tcW w:w="6360" w:type="dxa"/>
            <w:vAlign w:val="bottom"/>
            <w:gridSpan w:val="2"/>
          </w:tcPr>
          <w:p>
            <w:pPr>
              <w:jc w:val="right"/>
              <w:ind w:right="360"/>
              <w:spacing w:after="0"/>
              <w:rPr>
                <w:sz w:val="20"/>
                <w:szCs w:val="20"/>
                <w:color w:val="auto"/>
              </w:rPr>
            </w:pPr>
            <w:r>
              <w:rPr>
                <w:rFonts w:ascii="Arial" w:cs="Arial" w:eastAsia="Arial" w:hAnsi="Arial"/>
                <w:sz w:val="11"/>
                <w:szCs w:val="11"/>
                <w:color w:val="auto"/>
              </w:rPr>
              <w:t>__________________________</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354"/>
        </w:trPr>
        <w:tc>
          <w:tcPr>
            <w:tcW w:w="6360" w:type="dxa"/>
            <w:vAlign w:val="bottom"/>
            <w:gridSpan w:val="2"/>
          </w:tcPr>
          <w:p>
            <w:pPr>
              <w:jc w:val="center"/>
              <w:ind w:right="1720"/>
              <w:spacing w:after="0"/>
              <w:rPr>
                <w:sz w:val="20"/>
                <w:szCs w:val="20"/>
                <w:color w:val="auto"/>
              </w:rPr>
            </w:pPr>
            <w:r>
              <w:rPr>
                <w:rFonts w:ascii="Arial" w:cs="Arial" w:eastAsia="Arial" w:hAnsi="Arial"/>
                <w:sz w:val="16"/>
                <w:szCs w:val="16"/>
                <w:b w:val="1"/>
                <w:bCs w:val="1"/>
                <w:color w:val="auto"/>
                <w:w w:val="91"/>
              </w:rPr>
              <w:t>Delaware</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center"/>
              <w:ind w:left="350"/>
              <w:spacing w:after="0"/>
              <w:rPr>
                <w:sz w:val="20"/>
                <w:szCs w:val="20"/>
                <w:color w:val="auto"/>
              </w:rPr>
            </w:pPr>
            <w:r>
              <w:rPr>
                <w:rFonts w:ascii="Arial" w:cs="Arial" w:eastAsia="Arial" w:hAnsi="Arial"/>
                <w:sz w:val="16"/>
                <w:szCs w:val="16"/>
                <w:b w:val="1"/>
                <w:bCs w:val="1"/>
                <w:color w:val="auto"/>
                <w:w w:val="91"/>
              </w:rPr>
              <w:t>20-4300339</w:t>
            </w:r>
          </w:p>
        </w:tc>
      </w:tr>
      <w:tr>
        <w:trPr>
          <w:trHeight w:val="177"/>
        </w:trPr>
        <w:tc>
          <w:tcPr>
            <w:tcW w:w="6360" w:type="dxa"/>
            <w:vAlign w:val="bottom"/>
            <w:gridSpan w:val="2"/>
          </w:tcPr>
          <w:p>
            <w:pPr>
              <w:jc w:val="center"/>
              <w:ind w:right="1720"/>
              <w:spacing w:after="0"/>
              <w:rPr>
                <w:sz w:val="20"/>
                <w:szCs w:val="20"/>
                <w:color w:val="auto"/>
              </w:rPr>
            </w:pPr>
            <w:r>
              <w:rPr>
                <w:rFonts w:ascii="Arial" w:cs="Arial" w:eastAsia="Arial" w:hAnsi="Arial"/>
                <w:sz w:val="13"/>
                <w:szCs w:val="13"/>
                <w:b w:val="1"/>
                <w:bCs w:val="1"/>
                <w:color w:val="auto"/>
                <w:w w:val="88"/>
              </w:rPr>
              <w:t>(State or other jurisdiction</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center"/>
              <w:ind w:left="350"/>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6360" w:type="dxa"/>
            <w:vAlign w:val="bottom"/>
            <w:gridSpan w:val="2"/>
          </w:tcPr>
          <w:p>
            <w:pPr>
              <w:jc w:val="center"/>
              <w:ind w:right="1700"/>
              <w:spacing w:after="0"/>
              <w:rPr>
                <w:sz w:val="20"/>
                <w:szCs w:val="20"/>
                <w:color w:val="auto"/>
              </w:rPr>
            </w:pPr>
            <w:r>
              <w:rPr>
                <w:rFonts w:ascii="Arial" w:cs="Arial" w:eastAsia="Arial" w:hAnsi="Arial"/>
                <w:sz w:val="13"/>
                <w:szCs w:val="13"/>
                <w:b w:val="1"/>
                <w:bCs w:val="1"/>
                <w:color w:val="auto"/>
                <w:w w:val="88"/>
              </w:rPr>
              <w:t>of incorporation or organization)</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left="350"/>
              <w:spacing w:after="0"/>
              <w:rPr>
                <w:sz w:val="20"/>
                <w:szCs w:val="20"/>
                <w:color w:val="auto"/>
              </w:rPr>
            </w:pPr>
            <w:r>
              <w:rPr>
                <w:rFonts w:ascii="Arial" w:cs="Arial" w:eastAsia="Arial" w:hAnsi="Arial"/>
                <w:sz w:val="13"/>
                <w:szCs w:val="13"/>
                <w:b w:val="1"/>
                <w:bCs w:val="1"/>
                <w:color w:val="auto"/>
                <w:w w:val="89"/>
              </w:rPr>
              <w:t>Identification No.)</w:t>
            </w:r>
          </w:p>
        </w:tc>
      </w:tr>
      <w:tr>
        <w:trPr>
          <w:trHeight w:val="421"/>
        </w:trPr>
        <w:tc>
          <w:tcPr>
            <w:tcW w:w="8740" w:type="dxa"/>
            <w:vAlign w:val="bottom"/>
            <w:gridSpan w:val="6"/>
          </w:tcPr>
          <w:p>
            <w:pPr>
              <w:jc w:val="center"/>
              <w:ind w:left="1743"/>
              <w:spacing w:after="0"/>
              <w:rPr>
                <w:sz w:val="20"/>
                <w:szCs w:val="20"/>
                <w:color w:val="auto"/>
              </w:rPr>
            </w:pPr>
            <w:r>
              <w:rPr>
                <w:rFonts w:ascii="Arial" w:cs="Arial" w:eastAsia="Arial" w:hAnsi="Arial"/>
                <w:sz w:val="18"/>
                <w:szCs w:val="18"/>
                <w:b w:val="1"/>
                <w:bCs w:val="1"/>
                <w:color w:val="auto"/>
                <w:w w:val="89"/>
              </w:rPr>
              <w:t>1220 Augusta Drive, Suite 600, Houston Texas 77057-2261</w:t>
            </w:r>
          </w:p>
        </w:tc>
      </w:tr>
      <w:tr>
        <w:trPr>
          <w:trHeight w:val="200"/>
        </w:trPr>
        <w:tc>
          <w:tcPr>
            <w:tcW w:w="7340" w:type="dxa"/>
            <w:vAlign w:val="bottom"/>
            <w:gridSpan w:val="5"/>
          </w:tcPr>
          <w:p>
            <w:pPr>
              <w:jc w:val="center"/>
              <w:ind w:left="3143"/>
              <w:spacing w:after="0"/>
              <w:rPr>
                <w:sz w:val="20"/>
                <w:szCs w:val="20"/>
                <w:color w:val="auto"/>
              </w:rPr>
            </w:pPr>
            <w:r>
              <w:rPr>
                <w:rFonts w:ascii="Arial" w:cs="Arial" w:eastAsia="Arial" w:hAnsi="Arial"/>
                <w:sz w:val="13"/>
                <w:szCs w:val="13"/>
                <w:b w:val="1"/>
                <w:bCs w:val="1"/>
                <w:color w:val="auto"/>
                <w:w w:val="86"/>
              </w:rPr>
              <w:t>(Address of principal executive offices) (Zip Code)</w:t>
            </w:r>
          </w:p>
        </w:tc>
        <w:tc>
          <w:tcPr>
            <w:tcW w:w="1400" w:type="dxa"/>
            <w:vAlign w:val="bottom"/>
          </w:tcPr>
          <w:p>
            <w:pPr>
              <w:spacing w:after="0"/>
              <w:rPr>
                <w:sz w:val="17"/>
                <w:szCs w:val="17"/>
                <w:color w:val="auto"/>
              </w:rPr>
            </w:pPr>
          </w:p>
        </w:tc>
      </w:tr>
      <w:tr>
        <w:trPr>
          <w:trHeight w:val="187"/>
        </w:trPr>
        <w:tc>
          <w:tcPr>
            <w:tcW w:w="5820" w:type="dxa"/>
            <w:vAlign w:val="bottom"/>
          </w:tcPr>
          <w:p>
            <w:pPr>
              <w:jc w:val="right"/>
              <w:spacing w:after="0"/>
              <w:rPr>
                <w:sz w:val="20"/>
                <w:szCs w:val="20"/>
                <w:color w:val="auto"/>
              </w:rPr>
            </w:pPr>
            <w:r>
              <w:rPr>
                <w:rFonts w:ascii="Arial" w:cs="Arial" w:eastAsia="Arial" w:hAnsi="Arial"/>
                <w:sz w:val="16"/>
                <w:szCs w:val="16"/>
                <w:b w:val="1"/>
                <w:bCs w:val="1"/>
                <w:color w:val="auto"/>
              </w:rPr>
              <w:t>(713) 570-3000</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64"/>
        </w:trPr>
        <w:tc>
          <w:tcPr>
            <w:tcW w:w="7340" w:type="dxa"/>
            <w:vAlign w:val="bottom"/>
            <w:gridSpan w:val="5"/>
          </w:tcPr>
          <w:p>
            <w:pPr>
              <w:jc w:val="center"/>
              <w:ind w:left="3143"/>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400" w:type="dxa"/>
            <w:vAlign w:val="bottom"/>
          </w:tcPr>
          <w:p>
            <w:pPr>
              <w:spacing w:after="0"/>
              <w:rPr>
                <w:sz w:val="14"/>
                <w:szCs w:val="14"/>
                <w:color w:val="auto"/>
              </w:rPr>
            </w:pPr>
          </w:p>
        </w:tc>
      </w:tr>
      <w:tr>
        <w:trPr>
          <w:trHeight w:val="358"/>
        </w:trPr>
        <w:tc>
          <w:tcPr>
            <w:tcW w:w="7340" w:type="dxa"/>
            <w:vAlign w:val="bottom"/>
            <w:gridSpan w:val="5"/>
          </w:tcPr>
          <w:p>
            <w:pPr>
              <w:jc w:val="center"/>
              <w:ind w:left="3163"/>
              <w:spacing w:after="0"/>
              <w:rPr>
                <w:sz w:val="20"/>
                <w:szCs w:val="20"/>
                <w:color w:val="auto"/>
              </w:rPr>
            </w:pPr>
            <w:r>
              <w:rPr>
                <w:rFonts w:ascii="Arial" w:cs="Arial" w:eastAsia="Arial" w:hAnsi="Arial"/>
                <w:sz w:val="14"/>
                <w:szCs w:val="14"/>
                <w:b w:val="1"/>
                <w:bCs w:val="1"/>
                <w:color w:val="auto"/>
                <w:w w:val="92"/>
              </w:rPr>
              <w:t>Securities Registered Pursuant to Section 12(b) of the Act: NONE.</w:t>
            </w:r>
          </w:p>
        </w:tc>
        <w:tc>
          <w:tcPr>
            <w:tcW w:w="1400" w:type="dxa"/>
            <w:vAlign w:val="bottom"/>
          </w:tcPr>
          <w:p>
            <w:pPr>
              <w:spacing w:after="0"/>
              <w:rPr>
                <w:sz w:val="24"/>
                <w:szCs w:val="24"/>
                <w:color w:val="auto"/>
              </w:rPr>
            </w:pPr>
          </w:p>
        </w:tc>
      </w:tr>
      <w:tr>
        <w:trPr>
          <w:trHeight w:val="171"/>
        </w:trPr>
        <w:tc>
          <w:tcPr>
            <w:tcW w:w="7340" w:type="dxa"/>
            <w:vAlign w:val="bottom"/>
            <w:gridSpan w:val="5"/>
          </w:tcPr>
          <w:p>
            <w:pPr>
              <w:jc w:val="center"/>
              <w:ind w:left="3163"/>
              <w:spacing w:after="0"/>
              <w:rPr>
                <w:sz w:val="20"/>
                <w:szCs w:val="20"/>
                <w:color w:val="auto"/>
              </w:rPr>
            </w:pPr>
            <w:r>
              <w:rPr>
                <w:rFonts w:ascii="Arial" w:cs="Arial" w:eastAsia="Arial" w:hAnsi="Arial"/>
                <w:sz w:val="14"/>
                <w:szCs w:val="14"/>
                <w:b w:val="1"/>
                <w:bCs w:val="1"/>
                <w:color w:val="auto"/>
                <w:w w:val="92"/>
              </w:rPr>
              <w:t>Securities Registered Pursuant to Section 12(g) of the Act: NONE.</w:t>
            </w:r>
          </w:p>
        </w:tc>
        <w:tc>
          <w:tcPr>
            <w:tcW w:w="1400" w:type="dxa"/>
            <w:vAlign w:val="bottom"/>
          </w:tcPr>
          <w:p>
            <w:pPr>
              <w:spacing w:after="0"/>
              <w:rPr>
                <w:sz w:val="14"/>
                <w:szCs w:val="14"/>
                <w:color w:val="auto"/>
              </w:rPr>
            </w:pPr>
          </w:p>
        </w:tc>
      </w:tr>
      <w:tr>
        <w:trPr>
          <w:trHeight w:val="160"/>
        </w:trPr>
        <w:tc>
          <w:tcPr>
            <w:tcW w:w="6600" w:type="dxa"/>
            <w:vAlign w:val="bottom"/>
            <w:gridSpan w:val="3"/>
          </w:tcPr>
          <w:p>
            <w:pPr>
              <w:jc w:val="right"/>
              <w:ind w:right="10"/>
              <w:spacing w:after="0"/>
              <w:rPr>
                <w:sz w:val="20"/>
                <w:szCs w:val="20"/>
                <w:color w:val="auto"/>
              </w:rPr>
            </w:pPr>
            <w:r>
              <w:rPr>
                <w:rFonts w:ascii="Arial" w:cs="Arial" w:eastAsia="Arial" w:hAnsi="Arial"/>
                <w:sz w:val="13"/>
                <w:szCs w:val="13"/>
                <w:color w:val="auto"/>
              </w:rPr>
              <w:t>______________________________________</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34"/>
        </w:trPr>
        <w:tc>
          <w:tcPr>
            <w:tcW w:w="7340" w:type="dxa"/>
            <w:vAlign w:val="bottom"/>
            <w:gridSpan w:val="5"/>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  Yes o</w:t>
            </w:r>
          </w:p>
        </w:tc>
        <w:tc>
          <w:tcPr>
            <w:tcW w:w="1400" w:type="dxa"/>
            <w:vAlign w:val="bottom"/>
          </w:tcPr>
          <w:p>
            <w:pPr>
              <w:ind w:left="40"/>
              <w:spacing w:after="0"/>
              <w:rPr>
                <w:sz w:val="20"/>
                <w:szCs w:val="20"/>
                <w:color w:val="auto"/>
              </w:rPr>
            </w:pPr>
            <w:r>
              <w:rPr>
                <w:rFonts w:ascii="Arial" w:cs="Arial" w:eastAsia="Arial" w:hAnsi="Arial"/>
                <w:sz w:val="14"/>
                <w:szCs w:val="14"/>
                <w:color w:val="auto"/>
              </w:rPr>
              <w:t>No x</w:t>
            </w:r>
          </w:p>
        </w:tc>
      </w:tr>
      <w:tr>
        <w:trPr>
          <w:trHeight w:val="230"/>
        </w:trPr>
        <w:tc>
          <w:tcPr>
            <w:tcW w:w="7340" w:type="dxa"/>
            <w:vAlign w:val="bottom"/>
            <w:gridSpan w:val="5"/>
          </w:tcPr>
          <w:p>
            <w:pPr>
              <w:spacing w:after="0"/>
              <w:rPr>
                <w:sz w:val="20"/>
                <w:szCs w:val="20"/>
                <w:color w:val="auto"/>
              </w:rPr>
            </w:pPr>
            <w:r>
              <w:rPr>
                <w:rFonts w:ascii="Arial" w:cs="Arial" w:eastAsia="Arial" w:hAnsi="Arial"/>
                <w:sz w:val="14"/>
                <w:szCs w:val="14"/>
                <w:color w:val="auto"/>
                <w:w w:val="94"/>
              </w:rPr>
              <w:t>Indicated by check mark if the registrant is not required to file reports pursuant to Section 13 or Section 15(d) of the Act.  Yes</w:t>
            </w:r>
          </w:p>
        </w:tc>
        <w:tc>
          <w:tcPr>
            <w:tcW w:w="1400" w:type="dxa"/>
            <w:vAlign w:val="bottom"/>
          </w:tcPr>
          <w:p>
            <w:pPr>
              <w:ind w:left="40"/>
              <w:spacing w:after="0"/>
              <w:rPr>
                <w:sz w:val="20"/>
                <w:szCs w:val="20"/>
                <w:color w:val="auto"/>
              </w:rPr>
            </w:pPr>
            <w:r>
              <w:rPr>
                <w:rFonts w:ascii="Arial" w:cs="Arial" w:eastAsia="Arial" w:hAnsi="Arial"/>
                <w:sz w:val="14"/>
                <w:szCs w:val="14"/>
                <w:color w:val="auto"/>
              </w:rPr>
              <w:t>x No o</w:t>
            </w:r>
          </w:p>
        </w:tc>
      </w:tr>
    </w:tbl>
    <w:p>
      <w:pPr>
        <w:spacing w:after="0" w:line="47" w:lineRule="exact"/>
        <w:rPr>
          <w:sz w:val="24"/>
          <w:szCs w:val="24"/>
          <w:color w:val="auto"/>
        </w:rPr>
      </w:pPr>
    </w:p>
    <w:p>
      <w:pPr>
        <w:jc w:val="both"/>
        <w:ind w:right="20" w:firstLine="405"/>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5" w:lineRule="exact"/>
        <w:rPr>
          <w:sz w:val="24"/>
          <w:szCs w:val="24"/>
          <w:color w:val="auto"/>
        </w:rPr>
      </w:pPr>
    </w:p>
    <w:p>
      <w:pPr>
        <w:jc w:val="both"/>
        <w:ind w:firstLine="405"/>
        <w:spacing w:after="0" w:line="257" w:lineRule="auto"/>
        <w:rPr>
          <w:sz w:val="20"/>
          <w:szCs w:val="20"/>
          <w:color w:val="auto"/>
        </w:rPr>
      </w:pPr>
      <w:r>
        <w:rPr>
          <w:rFonts w:ascii="Arial" w:cs="Arial" w:eastAsia="Arial" w:hAnsi="Arial"/>
          <w:sz w:val="14"/>
          <w:szCs w:val="14"/>
          <w:i w:val="1"/>
          <w:iCs w:val="1"/>
          <w:color w:val="auto"/>
        </w:rPr>
        <w:t>Explanatory Note: The registrant is a voluntary filer and not subject to the filing requirements of Section 13 or 15(d) of the Securities Exchange Act of 1934; however, the registrant has filed all reports that would have been required to be filed by Section 13 or 15(d) of the Securities Exchange Act of 1934 during the preceding 12 months had the registrant been subject to such filing requirements.</w:t>
      </w:r>
    </w:p>
    <w:p>
      <w:pPr>
        <w:spacing w:after="0" w:line="37" w:lineRule="exact"/>
        <w:rPr>
          <w:sz w:val="24"/>
          <w:szCs w:val="24"/>
          <w:color w:val="auto"/>
        </w:rPr>
      </w:pPr>
    </w:p>
    <w:p>
      <w:pPr>
        <w:jc w:val="both"/>
        <w:ind w:firstLine="405"/>
        <w:spacing w:after="0" w:line="312"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3" w:lineRule="exact"/>
        <w:rPr>
          <w:sz w:val="24"/>
          <w:szCs w:val="24"/>
          <w:color w:val="auto"/>
        </w:rPr>
      </w:pPr>
    </w:p>
    <w:p>
      <w:pPr>
        <w:jc w:val="both"/>
        <w:ind w:firstLine="405"/>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5" w:lineRule="exact"/>
        <w:rPr>
          <w:sz w:val="24"/>
          <w:szCs w:val="24"/>
          <w:color w:val="auto"/>
        </w:rPr>
      </w:pPr>
    </w:p>
    <w:p>
      <w:pPr>
        <w:jc w:val="both"/>
        <w:ind w:firstLine="405"/>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 reporting company, or an emerging growth company. See definitions of a "large accelerated filer," "accelerated filer," "smaller reporting company," and "emerging growth company" in rule 12b-2 of the Exchange Act.</w:t>
      </w:r>
    </w:p>
    <w:p>
      <w:pPr>
        <w:spacing w:after="0" w:line="25" w:lineRule="exact"/>
        <w:rPr>
          <w:sz w:val="24"/>
          <w:szCs w:val="24"/>
          <w:color w:val="auto"/>
        </w:rPr>
      </w:pPr>
    </w:p>
    <w:p>
      <w:pPr>
        <w:ind w:left="420"/>
        <w:spacing w:after="0"/>
        <w:tabs>
          <w:tab w:leader="none" w:pos="2000" w:val="left"/>
          <w:tab w:leader="none" w:pos="3260" w:val="left"/>
        </w:tabs>
        <w:rPr>
          <w:sz w:val="20"/>
          <w:szCs w:val="20"/>
          <w:color w:val="auto"/>
        </w:rPr>
      </w:pPr>
      <w:r>
        <w:rPr>
          <w:rFonts w:ascii="Arial" w:cs="Arial" w:eastAsia="Arial" w:hAnsi="Arial"/>
          <w:sz w:val="14"/>
          <w:szCs w:val="14"/>
          <w:color w:val="auto"/>
        </w:rPr>
        <w:t>Large accelerated filer  o</w:t>
        <w:tab/>
        <w:t>Accelerated filer o</w:t>
      </w:r>
      <w:r>
        <w:rPr>
          <w:sz w:val="20"/>
          <w:szCs w:val="20"/>
          <w:color w:val="auto"/>
        </w:rPr>
        <w:tab/>
      </w:r>
      <w:r>
        <w:rPr>
          <w:rFonts w:ascii="Arial" w:cs="Arial" w:eastAsia="Arial" w:hAnsi="Arial"/>
          <w:sz w:val="13"/>
          <w:szCs w:val="13"/>
          <w:color w:val="auto"/>
        </w:rPr>
        <w:t>Non-accelerated filer x (Do not check if a smaller reporting company) Smaller reporting company o Emerging growth company o</w:t>
      </w:r>
    </w:p>
    <w:p>
      <w:pPr>
        <w:spacing w:after="0" w:line="69" w:lineRule="exact"/>
        <w:rPr>
          <w:sz w:val="24"/>
          <w:szCs w:val="24"/>
          <w:color w:val="auto"/>
        </w:rPr>
      </w:pPr>
    </w:p>
    <w:p>
      <w:pPr>
        <w:ind w:right="340" w:firstLine="405"/>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5" w:lineRule="exact"/>
        <w:rPr>
          <w:sz w:val="24"/>
          <w:szCs w:val="24"/>
          <w:color w:val="auto"/>
        </w:rPr>
      </w:pPr>
    </w:p>
    <w:p>
      <w:pPr>
        <w:ind w:left="420"/>
        <w:spacing w:after="0"/>
        <w:tabs>
          <w:tab w:leader="none" w:pos="7060" w:val="left"/>
          <w:tab w:leader="none" w:pos="75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Yes o</w:t>
        <w:tab/>
        <w:t>No x</w:t>
      </w:r>
    </w:p>
    <w:p>
      <w:pPr>
        <w:spacing w:after="0" w:line="69" w:lineRule="exact"/>
        <w:rPr>
          <w:sz w:val="24"/>
          <w:szCs w:val="24"/>
          <w:color w:val="auto"/>
        </w:rPr>
      </w:pPr>
    </w:p>
    <w:p>
      <w:pPr>
        <w:ind w:left="420"/>
        <w:spacing w:after="0"/>
        <w:rPr>
          <w:sz w:val="20"/>
          <w:szCs w:val="20"/>
          <w:color w:val="auto"/>
        </w:rPr>
      </w:pPr>
      <w:r>
        <w:rPr>
          <w:rFonts w:ascii="Arial" w:cs="Arial" w:eastAsia="Arial" w:hAnsi="Arial"/>
          <w:sz w:val="14"/>
          <w:szCs w:val="14"/>
          <w:color w:val="auto"/>
        </w:rPr>
        <w:t>As of December 31, 2017, the only member of the registrant is a wholly-owned indirect subsidiary of Crown Castle International Corp.</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 NONE.</w:t>
      </w:r>
    </w:p>
    <w:p>
      <w:pPr>
        <w:spacing w:after="0" w:line="275" w:lineRule="exact"/>
        <w:rPr>
          <w:sz w:val="24"/>
          <w:szCs w:val="24"/>
          <w:color w:val="auto"/>
        </w:rPr>
      </w:pPr>
    </w:p>
    <w:p>
      <w:pPr>
        <w:ind w:right="20" w:firstLine="405"/>
        <w:spacing w:after="0" w:line="273" w:lineRule="auto"/>
        <w:rPr>
          <w:sz w:val="20"/>
          <w:szCs w:val="20"/>
          <w:color w:val="auto"/>
        </w:rPr>
      </w:pPr>
      <w:r>
        <w:rPr>
          <w:rFonts w:ascii="Arial" w:cs="Arial" w:eastAsia="Arial" w:hAnsi="Arial"/>
          <w:sz w:val="14"/>
          <w:szCs w:val="14"/>
          <w:color w:val="auto"/>
        </w:rPr>
        <w:t>The registrant is a wholly-owned indirect subsidiary of Crown Castle International Corp. and meets the conditions set forth in General Instructions (I)(1)(a) and (b) for Form 10-K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60" w:type="dxa"/>
            <w:vAlign w:val="bottom"/>
            <w:gridSpan w:val="15"/>
          </w:tcPr>
          <w:p>
            <w:pPr>
              <w:jc w:val="center"/>
              <w:ind w:right="3680"/>
              <w:spacing w:after="0"/>
              <w:rPr>
                <w:sz w:val="20"/>
                <w:szCs w:val="20"/>
                <w:color w:val="auto"/>
              </w:rPr>
            </w:pPr>
            <w:r>
              <w:rPr>
                <w:rFonts w:ascii="Arial" w:cs="Arial" w:eastAsia="Arial" w:hAnsi="Arial"/>
                <w:sz w:val="18"/>
                <w:szCs w:val="18"/>
                <w:b w:val="1"/>
                <w:bCs w:val="1"/>
                <w:color w:val="auto"/>
                <w:w w:val="99"/>
              </w:rPr>
              <w:t>CC HOLDINGS GS V LLC</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gridSpan w:val="14"/>
          </w:tcPr>
          <w:p>
            <w:pPr>
              <w:jc w:val="center"/>
              <w:ind w:right="368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8"/>
              </w:rPr>
              <w:t>PART I</w:t>
            </w:r>
          </w:p>
        </w:tc>
        <w:tc>
          <w:tcPr>
            <w:tcW w:w="4080" w:type="dxa"/>
            <w:vAlign w:val="bottom"/>
            <w:gridSpan w:val="7"/>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bottom w:val="single" w:sz="8" w:color="auto"/>
            </w:tcBorders>
            <w:gridSpan w:val="2"/>
            <w:vMerge w:val="continue"/>
          </w:tcPr>
          <w:p>
            <w:pPr>
              <w:spacing w:after="0"/>
              <w:rPr>
                <w:sz w:val="17"/>
                <w:szCs w:val="17"/>
                <w:color w:val="auto"/>
              </w:rPr>
            </w:pPr>
          </w:p>
        </w:tc>
        <w:tc>
          <w:tcPr>
            <w:tcW w:w="4080" w:type="dxa"/>
            <w:vAlign w:val="bottom"/>
            <w:gridSpan w:val="7"/>
            <w:vMerge w:val="continue"/>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Pr>
          <w:p>
            <w:pPr>
              <w:spacing w:after="0"/>
              <w:rPr>
                <w:sz w:val="20"/>
                <w:szCs w:val="20"/>
                <w:color w:val="auto"/>
              </w:rPr>
            </w:pPr>
            <w:r>
              <w:rPr>
                <w:rFonts w:ascii="Arial" w:cs="Arial" w:eastAsia="Arial" w:hAnsi="Arial"/>
                <w:sz w:val="18"/>
                <w:szCs w:val="18"/>
                <w:color w:val="auto"/>
                <w:w w:val="84"/>
              </w:rPr>
              <w:t>Business</w:t>
            </w:r>
          </w:p>
        </w:tc>
        <w:tc>
          <w:tcPr>
            <w:tcW w:w="8080" w:type="dxa"/>
            <w:vAlign w:val="bottom"/>
            <w:gridSpan w:val="22"/>
          </w:tcPr>
          <w:p>
            <w:pPr>
              <w:spacing w:after="0"/>
              <w:rPr>
                <w:sz w:val="21"/>
                <w:szCs w:val="21"/>
                <w:color w:val="auto"/>
              </w:rPr>
            </w:pPr>
          </w:p>
        </w:tc>
        <w:tc>
          <w:tcPr>
            <w:tcW w:w="92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sz w:val="20"/>
                <w:szCs w:val="20"/>
                <w:color w:val="auto"/>
              </w:rPr>
            </w:pPr>
            <w:r>
              <w:rPr>
                <w:rFonts w:ascii="Arial" w:cs="Arial" w:eastAsia="Arial" w:hAnsi="Arial"/>
                <w:sz w:val="18"/>
                <w:szCs w:val="18"/>
                <w:color w:val="auto"/>
                <w:w w:val="87"/>
              </w:rPr>
              <w:t>Risk Factors</w:t>
            </w:r>
          </w:p>
        </w:tc>
        <w:tc>
          <w:tcPr>
            <w:tcW w:w="7820" w:type="dxa"/>
            <w:vAlign w:val="bottom"/>
            <w:gridSpan w:val="20"/>
          </w:tcPr>
          <w:p>
            <w:pPr>
              <w:spacing w:after="0"/>
              <w:rPr>
                <w:sz w:val="21"/>
                <w:szCs w:val="21"/>
                <w:color w:val="auto"/>
              </w:rPr>
            </w:pPr>
          </w:p>
        </w:tc>
        <w:tc>
          <w:tcPr>
            <w:tcW w:w="920" w:type="dxa"/>
            <w:vAlign w:val="bottom"/>
            <w:gridSpan w:val="4"/>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7"/>
          </w:tcPr>
          <w:p>
            <w:pPr>
              <w:spacing w:after="0"/>
              <w:rPr>
                <w:sz w:val="20"/>
                <w:szCs w:val="20"/>
                <w:color w:val="auto"/>
              </w:rPr>
            </w:pPr>
            <w:r>
              <w:rPr>
                <w:rFonts w:ascii="Arial" w:cs="Arial" w:eastAsia="Arial" w:hAnsi="Arial"/>
                <w:sz w:val="18"/>
                <w:szCs w:val="18"/>
                <w:color w:val="auto"/>
                <w:w w:val="89"/>
              </w:rPr>
              <w:t>Unresolved Staff Comments</w:t>
            </w:r>
          </w:p>
        </w:tc>
        <w:tc>
          <w:tcPr>
            <w:tcW w:w="6680" w:type="dxa"/>
            <w:vAlign w:val="bottom"/>
            <w:gridSpan w:val="16"/>
          </w:tcPr>
          <w:p>
            <w:pPr>
              <w:spacing w:after="0"/>
              <w:rPr>
                <w:sz w:val="21"/>
                <w:szCs w:val="21"/>
                <w:color w:val="auto"/>
              </w:rPr>
            </w:pPr>
          </w:p>
        </w:tc>
        <w:tc>
          <w:tcPr>
            <w:tcW w:w="920" w:type="dxa"/>
            <w:vAlign w:val="bottom"/>
            <w:gridSpan w:val="4"/>
          </w:tcPr>
          <w:p>
            <w:pPr>
              <w:jc w:val="right"/>
              <w:ind w:right="40"/>
              <w:spacing w:after="0"/>
              <w:rPr>
                <w:rFonts w:ascii="Arial" w:cs="Arial" w:eastAsia="Arial" w:hAnsi="Arial"/>
                <w:sz w:val="18"/>
                <w:szCs w:val="18"/>
                <w:color w:val="0000EE"/>
              </w:rPr>
            </w:pPr>
            <w:hyperlink w:anchor="page10">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20" w:type="dxa"/>
            <w:vAlign w:val="bottom"/>
            <w:gridSpan w:val="2"/>
          </w:tcPr>
          <w:p>
            <w:pPr>
              <w:spacing w:after="0"/>
              <w:rPr>
                <w:sz w:val="20"/>
                <w:szCs w:val="20"/>
                <w:color w:val="auto"/>
              </w:rPr>
            </w:pPr>
            <w:r>
              <w:rPr>
                <w:rFonts w:ascii="Arial" w:cs="Arial" w:eastAsia="Arial" w:hAnsi="Arial"/>
                <w:sz w:val="18"/>
                <w:szCs w:val="18"/>
                <w:color w:val="auto"/>
                <w:w w:val="85"/>
              </w:rPr>
              <w:t>Properties</w:t>
            </w:r>
          </w:p>
        </w:tc>
        <w:tc>
          <w:tcPr>
            <w:tcW w:w="1320" w:type="dxa"/>
            <w:vAlign w:val="bottom"/>
            <w:gridSpan w:val="5"/>
          </w:tcPr>
          <w:p>
            <w:pPr>
              <w:spacing w:after="0"/>
              <w:rPr>
                <w:sz w:val="21"/>
                <w:szCs w:val="21"/>
                <w:color w:val="auto"/>
              </w:rPr>
            </w:pPr>
          </w:p>
        </w:tc>
        <w:tc>
          <w:tcPr>
            <w:tcW w:w="6680" w:type="dxa"/>
            <w:vAlign w:val="bottom"/>
            <w:gridSpan w:val="16"/>
          </w:tcPr>
          <w:p>
            <w:pPr>
              <w:spacing w:after="0"/>
              <w:rPr>
                <w:sz w:val="21"/>
                <w:szCs w:val="21"/>
                <w:color w:val="auto"/>
              </w:rPr>
            </w:pPr>
          </w:p>
        </w:tc>
        <w:tc>
          <w:tcPr>
            <w:tcW w:w="920" w:type="dxa"/>
            <w:vAlign w:val="bottom"/>
            <w:gridSpan w:val="4"/>
          </w:tcPr>
          <w:p>
            <w:pPr>
              <w:jc w:val="right"/>
              <w:ind w:right="40"/>
              <w:spacing w:after="0"/>
              <w:rPr>
                <w:rFonts w:ascii="Arial" w:cs="Arial" w:eastAsia="Arial" w:hAnsi="Arial"/>
                <w:sz w:val="18"/>
                <w:szCs w:val="18"/>
                <w:color w:val="0000EE"/>
              </w:rPr>
            </w:pPr>
            <w:hyperlink w:anchor="page10">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720" w:type="dxa"/>
            <w:vAlign w:val="bottom"/>
            <w:gridSpan w:val="23"/>
          </w:tcPr>
          <w:p>
            <w:pPr>
              <w:spacing w:after="0"/>
              <w:rPr>
                <w:sz w:val="20"/>
                <w:szCs w:val="20"/>
                <w:color w:val="auto"/>
              </w:rPr>
            </w:pPr>
            <w:r>
              <w:rPr>
                <w:rFonts w:ascii="Arial" w:cs="Arial" w:eastAsia="Arial" w:hAnsi="Arial"/>
                <w:sz w:val="18"/>
                <w:szCs w:val="18"/>
                <w:color w:val="auto"/>
              </w:rPr>
              <w:t>Legal Proceedings</w:t>
            </w:r>
          </w:p>
        </w:tc>
        <w:tc>
          <w:tcPr>
            <w:tcW w:w="920" w:type="dxa"/>
            <w:vAlign w:val="bottom"/>
            <w:gridSpan w:val="4"/>
          </w:tcPr>
          <w:p>
            <w:pPr>
              <w:jc w:val="right"/>
              <w:ind w:right="40"/>
              <w:spacing w:after="0"/>
              <w:rPr>
                <w:rFonts w:ascii="Arial" w:cs="Arial" w:eastAsia="Arial" w:hAnsi="Arial"/>
                <w:sz w:val="18"/>
                <w:szCs w:val="18"/>
                <w:color w:val="0000EE"/>
              </w:rPr>
            </w:pPr>
            <w:hyperlink w:anchor="page10">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720" w:type="dxa"/>
            <w:vAlign w:val="bottom"/>
            <w:gridSpan w:val="23"/>
          </w:tcPr>
          <w:p>
            <w:pPr>
              <w:spacing w:after="0"/>
              <w:rPr>
                <w:sz w:val="20"/>
                <w:szCs w:val="20"/>
                <w:color w:val="auto"/>
              </w:rPr>
            </w:pPr>
            <w:r>
              <w:rPr>
                <w:rFonts w:ascii="Arial" w:cs="Arial" w:eastAsia="Arial" w:hAnsi="Arial"/>
                <w:sz w:val="18"/>
                <w:szCs w:val="18"/>
                <w:color w:val="auto"/>
              </w:rPr>
              <w:t>Mine Safety Disclosures</w:t>
            </w:r>
          </w:p>
        </w:tc>
        <w:tc>
          <w:tcPr>
            <w:tcW w:w="920" w:type="dxa"/>
            <w:vAlign w:val="bottom"/>
            <w:gridSpan w:val="4"/>
          </w:tcPr>
          <w:p>
            <w:pPr>
              <w:jc w:val="right"/>
              <w:ind w:right="40"/>
              <w:spacing w:after="0"/>
              <w:rPr>
                <w:rFonts w:ascii="Arial" w:cs="Arial" w:eastAsia="Arial" w:hAnsi="Arial"/>
                <w:sz w:val="18"/>
                <w:szCs w:val="18"/>
                <w:color w:val="0000EE"/>
              </w:rPr>
            </w:pPr>
            <w:hyperlink w:anchor="page10">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PART II</w:t>
            </w:r>
          </w:p>
        </w:tc>
        <w:tc>
          <w:tcPr>
            <w:tcW w:w="4040" w:type="dxa"/>
            <w:vAlign w:val="bottom"/>
            <w:gridSpan w:val="6"/>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720" w:type="dxa"/>
            <w:vAlign w:val="bottom"/>
            <w:gridSpan w:val="23"/>
          </w:tcPr>
          <w:p>
            <w:pPr>
              <w:spacing w:after="0"/>
              <w:rPr>
                <w:sz w:val="20"/>
                <w:szCs w:val="20"/>
                <w:color w:val="auto"/>
              </w:rPr>
            </w:pPr>
            <w:r>
              <w:rPr>
                <w:rFonts w:ascii="Arial" w:cs="Arial" w:eastAsia="Arial" w:hAnsi="Arial"/>
                <w:sz w:val="18"/>
                <w:szCs w:val="18"/>
                <w:color w:val="auto"/>
                <w:w w:val="97"/>
              </w:rPr>
              <w:t>Market for Registrant's Common Equity, Related Stockholder Matters and Issuer Purchases of Equity Securities</w:t>
            </w:r>
          </w:p>
        </w:tc>
        <w:tc>
          <w:tcPr>
            <w:tcW w:w="920" w:type="dxa"/>
            <w:vAlign w:val="bottom"/>
            <w:gridSpan w:val="4"/>
          </w:tcPr>
          <w:p>
            <w:pPr>
              <w:jc w:val="right"/>
              <w:ind w:right="40"/>
              <w:spacing w:after="0"/>
              <w:rPr>
                <w:rFonts w:ascii="Arial" w:cs="Arial" w:eastAsia="Arial" w:hAnsi="Arial"/>
                <w:sz w:val="18"/>
                <w:szCs w:val="18"/>
                <w:color w:val="0000EE"/>
              </w:rPr>
            </w:pPr>
            <w:hyperlink w:anchor="page11">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40" w:type="dxa"/>
            <w:vAlign w:val="bottom"/>
            <w:gridSpan w:val="20"/>
          </w:tcPr>
          <w:p>
            <w:pPr>
              <w:spacing w:after="0"/>
              <w:rPr>
                <w:sz w:val="20"/>
                <w:szCs w:val="20"/>
                <w:color w:val="auto"/>
              </w:rPr>
            </w:pPr>
            <w:r>
              <w:rPr>
                <w:rFonts w:ascii="Arial" w:cs="Arial" w:eastAsia="Arial" w:hAnsi="Arial"/>
                <w:sz w:val="18"/>
                <w:szCs w:val="18"/>
                <w:color w:val="auto"/>
                <w:w w:val="90"/>
              </w:rPr>
              <w:t>Management's Discussion and Analysis of Financial Condition and Results of Operations</w:t>
            </w:r>
          </w:p>
        </w:tc>
        <w:tc>
          <w:tcPr>
            <w:tcW w:w="160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gridSpan w:val="4"/>
          </w:tcPr>
          <w:p>
            <w:pPr>
              <w:jc w:val="right"/>
              <w:ind w:right="40"/>
              <w:spacing w:after="0"/>
              <w:rPr>
                <w:rFonts w:ascii="Arial" w:cs="Arial" w:eastAsia="Arial" w:hAnsi="Arial"/>
                <w:sz w:val="18"/>
                <w:szCs w:val="18"/>
                <w:color w:val="0000EE"/>
              </w:rPr>
            </w:pPr>
            <w:hyperlink w:anchor="page11">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6440" w:type="dxa"/>
            <w:vAlign w:val="bottom"/>
            <w:gridSpan w:val="20"/>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2280" w:type="dxa"/>
            <w:vAlign w:val="bottom"/>
            <w:gridSpan w:val="3"/>
          </w:tcPr>
          <w:p>
            <w:pPr>
              <w:spacing w:after="0"/>
              <w:rPr>
                <w:sz w:val="21"/>
                <w:szCs w:val="21"/>
                <w:color w:val="auto"/>
              </w:rPr>
            </w:pPr>
          </w:p>
        </w:tc>
        <w:tc>
          <w:tcPr>
            <w:tcW w:w="920" w:type="dxa"/>
            <w:vAlign w:val="bottom"/>
            <w:gridSpan w:val="4"/>
          </w:tcPr>
          <w:p>
            <w:pPr>
              <w:jc w:val="right"/>
              <w:ind w:right="40"/>
              <w:spacing w:after="0"/>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20" w:type="dxa"/>
            <w:vAlign w:val="bottom"/>
            <w:gridSpan w:val="10"/>
          </w:tcPr>
          <w:p>
            <w:pPr>
              <w:spacing w:after="0"/>
              <w:rPr>
                <w:sz w:val="20"/>
                <w:szCs w:val="20"/>
                <w:color w:val="auto"/>
              </w:rPr>
            </w:pPr>
            <w:r>
              <w:rPr>
                <w:rFonts w:ascii="Arial" w:cs="Arial" w:eastAsia="Arial" w:hAnsi="Arial"/>
                <w:sz w:val="18"/>
                <w:szCs w:val="18"/>
                <w:color w:val="auto"/>
                <w:w w:val="88"/>
              </w:rPr>
              <w:t>Financial Statements and Supplementary Data</w:t>
            </w:r>
          </w:p>
        </w:tc>
        <w:tc>
          <w:tcPr>
            <w:tcW w:w="1020" w:type="dxa"/>
            <w:vAlign w:val="bottom"/>
            <w:gridSpan w:val="5"/>
          </w:tcPr>
          <w:p>
            <w:pPr>
              <w:spacing w:after="0"/>
              <w:rPr>
                <w:sz w:val="21"/>
                <w:szCs w:val="21"/>
                <w:color w:val="auto"/>
              </w:rPr>
            </w:pPr>
          </w:p>
        </w:tc>
        <w:tc>
          <w:tcPr>
            <w:tcW w:w="4380" w:type="dxa"/>
            <w:vAlign w:val="bottom"/>
            <w:gridSpan w:val="8"/>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720" w:type="dxa"/>
            <w:vAlign w:val="bottom"/>
            <w:gridSpan w:val="23"/>
          </w:tcPr>
          <w:p>
            <w:pPr>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920" w:type="dxa"/>
            <w:vAlign w:val="bottom"/>
            <w:gridSpan w:val="4"/>
          </w:tcPr>
          <w:p>
            <w:pPr>
              <w:jc w:val="right"/>
              <w:ind w:right="40"/>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60" w:type="dxa"/>
            <w:vAlign w:val="bottom"/>
            <w:gridSpan w:val="6"/>
          </w:tcPr>
          <w:p>
            <w:pPr>
              <w:spacing w:after="0"/>
              <w:rPr>
                <w:sz w:val="20"/>
                <w:szCs w:val="20"/>
                <w:color w:val="auto"/>
              </w:rPr>
            </w:pPr>
            <w:r>
              <w:rPr>
                <w:rFonts w:ascii="Arial" w:cs="Arial" w:eastAsia="Arial" w:hAnsi="Arial"/>
                <w:sz w:val="18"/>
                <w:szCs w:val="18"/>
                <w:color w:val="auto"/>
                <w:w w:val="87"/>
              </w:rPr>
              <w:t>Controls and Procedures</w:t>
            </w:r>
          </w:p>
        </w:tc>
        <w:tc>
          <w:tcPr>
            <w:tcW w:w="4740" w:type="dxa"/>
            <w:vAlign w:val="bottom"/>
            <w:gridSpan w:val="15"/>
          </w:tcPr>
          <w:p>
            <w:pPr>
              <w:spacing w:after="0"/>
              <w:rPr>
                <w:sz w:val="21"/>
                <w:szCs w:val="21"/>
                <w:color w:val="auto"/>
              </w:rPr>
            </w:pPr>
          </w:p>
        </w:tc>
        <w:tc>
          <w:tcPr>
            <w:tcW w:w="2220" w:type="dxa"/>
            <w:vAlign w:val="bottom"/>
            <w:gridSpan w:val="2"/>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6"/>
          </w:tcPr>
          <w:p>
            <w:pPr>
              <w:spacing w:after="0"/>
              <w:rPr>
                <w:sz w:val="20"/>
                <w:szCs w:val="20"/>
                <w:color w:val="auto"/>
              </w:rPr>
            </w:pPr>
            <w:r>
              <w:rPr>
                <w:rFonts w:ascii="Arial" w:cs="Arial" w:eastAsia="Arial" w:hAnsi="Arial"/>
                <w:sz w:val="18"/>
                <w:szCs w:val="18"/>
                <w:color w:val="auto"/>
              </w:rPr>
              <w:t>Other Information</w:t>
            </w:r>
          </w:p>
        </w:tc>
        <w:tc>
          <w:tcPr>
            <w:tcW w:w="6960" w:type="dxa"/>
            <w:vAlign w:val="bottom"/>
            <w:gridSpan w:val="17"/>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8"/>
                <w:szCs w:val="18"/>
                <w:b w:val="1"/>
                <w:bCs w:val="1"/>
                <w:color w:val="auto"/>
              </w:rPr>
              <w:t>PART III</w:t>
            </w:r>
          </w:p>
        </w:tc>
        <w:tc>
          <w:tcPr>
            <w:tcW w:w="4000" w:type="dxa"/>
            <w:vAlign w:val="bottom"/>
            <w:gridSpan w:val="4"/>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8720" w:type="dxa"/>
            <w:vAlign w:val="bottom"/>
            <w:gridSpan w:val="23"/>
          </w:tcPr>
          <w:p>
            <w:pPr>
              <w:spacing w:after="0"/>
              <w:rPr>
                <w:sz w:val="20"/>
                <w:szCs w:val="20"/>
                <w:color w:val="auto"/>
              </w:rPr>
            </w:pPr>
            <w:r>
              <w:rPr>
                <w:rFonts w:ascii="Arial" w:cs="Arial" w:eastAsia="Arial" w:hAnsi="Arial"/>
                <w:sz w:val="18"/>
                <w:szCs w:val="18"/>
                <w:color w:val="auto"/>
              </w:rPr>
              <w:t>Principal Accounting Fees and Services</w:t>
            </w:r>
          </w:p>
        </w:tc>
        <w:tc>
          <w:tcPr>
            <w:tcW w:w="920" w:type="dxa"/>
            <w:vAlign w:val="bottom"/>
            <w:gridSpan w:val="4"/>
          </w:tcPr>
          <w:p>
            <w:pPr>
              <w:jc w:val="right"/>
              <w:ind w:right="40"/>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gridSpan w:val="11"/>
          </w:tcPr>
          <w:p>
            <w:pPr>
              <w:jc w:val="center"/>
              <w:ind w:right="4020"/>
              <w:spacing w:after="0"/>
              <w:rPr>
                <w:sz w:val="20"/>
                <w:szCs w:val="20"/>
                <w:color w:val="auto"/>
              </w:rPr>
            </w:pPr>
            <w:r>
              <w:rPr>
                <w:rFonts w:ascii="Arial" w:cs="Arial" w:eastAsia="Arial" w:hAnsi="Arial"/>
                <w:sz w:val="18"/>
                <w:szCs w:val="18"/>
                <w:b w:val="1"/>
                <w:bCs w:val="1"/>
                <w:color w:val="auto"/>
                <w:w w:val="98"/>
              </w:rPr>
              <w:t>PART IV</w:t>
            </w:r>
          </w:p>
        </w:tc>
        <w:tc>
          <w:tcPr>
            <w:tcW w:w="70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000" w:type="dxa"/>
            <w:vAlign w:val="bottom"/>
            <w:gridSpan w:val="12"/>
          </w:tcPr>
          <w:p>
            <w:pPr>
              <w:spacing w:after="0"/>
              <w:rPr>
                <w:sz w:val="20"/>
                <w:szCs w:val="20"/>
                <w:color w:val="auto"/>
              </w:rPr>
            </w:pPr>
            <w:r>
              <w:rPr>
                <w:rFonts w:ascii="Arial" w:cs="Arial" w:eastAsia="Arial" w:hAnsi="Arial"/>
                <w:sz w:val="18"/>
                <w:szCs w:val="18"/>
                <w:color w:val="auto"/>
              </w:rPr>
              <w:t>Exhibits, Financial Statement Schedules</w:t>
            </w:r>
          </w:p>
        </w:tc>
        <w:tc>
          <w:tcPr>
            <w:tcW w:w="700" w:type="dxa"/>
            <w:vAlign w:val="bottom"/>
            <w:tcBorders>
              <w:top w:val="single" w:sz="8" w:color="auto"/>
            </w:tcBorders>
            <w:gridSpan w:val="6"/>
          </w:tcPr>
          <w:p>
            <w:pPr>
              <w:spacing w:after="0"/>
              <w:rPr>
                <w:sz w:val="21"/>
                <w:szCs w:val="21"/>
                <w:color w:val="auto"/>
              </w:rPr>
            </w:pPr>
          </w:p>
        </w:tc>
        <w:tc>
          <w:tcPr>
            <w:tcW w:w="4020" w:type="dxa"/>
            <w:vAlign w:val="bottom"/>
            <w:gridSpan w:val="5"/>
          </w:tcPr>
          <w:p>
            <w:pPr>
              <w:spacing w:after="0"/>
              <w:rPr>
                <w:sz w:val="21"/>
                <w:szCs w:val="21"/>
                <w:color w:val="auto"/>
              </w:rPr>
            </w:pPr>
          </w:p>
        </w:tc>
        <w:tc>
          <w:tcPr>
            <w:tcW w:w="920" w:type="dxa"/>
            <w:vAlign w:val="bottom"/>
            <w:gridSpan w:val="4"/>
          </w:tcPr>
          <w:p>
            <w:pPr>
              <w:jc w:val="right"/>
              <w:ind w:right="40"/>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5"/>
            <w:shd w:val="clear" w:color="auto" w:fill="000000"/>
          </w:tcPr>
          <w:p>
            <w:pPr>
              <w:spacing w:after="0" w:line="20" w:lineRule="exact"/>
              <w:rPr>
                <w:sz w:val="1"/>
                <w:szCs w:val="1"/>
                <w:color w:val="auto"/>
              </w:rPr>
            </w:pPr>
          </w:p>
        </w:tc>
        <w:tc>
          <w:tcPr>
            <w:tcW w:w="1340" w:type="dxa"/>
            <w:vAlign w:val="bottom"/>
            <w:gridSpan w:val="4"/>
            <w:shd w:val="clear" w:color="auto" w:fill="000000"/>
          </w:tcPr>
          <w:p>
            <w:pPr>
              <w:spacing w:after="0" w:line="20" w:lineRule="exact"/>
              <w:rPr>
                <w:sz w:val="1"/>
                <w:szCs w:val="1"/>
                <w:color w:val="auto"/>
              </w:rPr>
            </w:pPr>
          </w:p>
        </w:tc>
        <w:tc>
          <w:tcPr>
            <w:tcW w:w="584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2880" w:type="dxa"/>
            <w:vAlign w:val="bottom"/>
            <w:gridSpan w:val="9"/>
          </w:tcPr>
          <w:p>
            <w:pPr>
              <w:spacing w:after="0"/>
              <w:rPr>
                <w:sz w:val="20"/>
                <w:szCs w:val="20"/>
                <w:color w:val="auto"/>
              </w:rPr>
            </w:pPr>
            <w:r>
              <w:rPr>
                <w:rFonts w:ascii="Arial" w:cs="Arial" w:eastAsia="Arial" w:hAnsi="Arial"/>
                <w:sz w:val="18"/>
                <w:szCs w:val="18"/>
                <w:color w:val="auto"/>
              </w:rPr>
              <w:t>Form 10-K Summary</w:t>
            </w:r>
          </w:p>
        </w:tc>
        <w:tc>
          <w:tcPr>
            <w:tcW w:w="5840" w:type="dxa"/>
            <w:vAlign w:val="bottom"/>
            <w:gridSpan w:val="14"/>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60" w:type="dxa"/>
            <w:vAlign w:val="bottom"/>
          </w:tcPr>
          <w:p>
            <w:pPr>
              <w:spacing w:after="0"/>
              <w:rPr>
                <w:sz w:val="20"/>
                <w:szCs w:val="20"/>
                <w:color w:val="auto"/>
              </w:rPr>
            </w:pPr>
            <w:r>
              <w:rPr>
                <w:rFonts w:ascii="Arial" w:cs="Arial" w:eastAsia="Arial" w:hAnsi="Arial"/>
                <w:sz w:val="18"/>
                <w:szCs w:val="18"/>
                <w:color w:val="auto"/>
                <w:w w:val="85"/>
              </w:rPr>
              <w:t>Signatures</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39</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Cautionary Language Regarding Forward-Looking Statements</w:t>
      </w:r>
    </w:p>
    <w:p>
      <w:pPr>
        <w:spacing w:after="0" w:line="175"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 xml:space="preserve">This Annual Report on Form 10-K ("Form 10-K") contains forward-looking statements that are based on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and any variations of these words, and similar expressions are intended to identify forward-looking statements. Such statements include plans, projections, and estimates contained in </w:t>
      </w:r>
      <w:r>
        <w:rPr>
          <w:rFonts w:ascii="Arial" w:cs="Arial" w:eastAsia="Arial" w:hAnsi="Arial"/>
          <w:sz w:val="16"/>
          <w:szCs w:val="16"/>
          <w:i w:val="1"/>
          <w:iCs w:val="1"/>
          <w:color w:val="auto"/>
        </w:rPr>
        <w:t>"Item 1. Business," "Item 3. Legal Proceedings," "Item 7. Management's Discussion and Analysis of Financial Condition and Results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Operations" </w:t>
      </w:r>
      <w:r>
        <w:rPr>
          <w:rFonts w:ascii="Arial" w:cs="Arial" w:eastAsia="Arial" w:hAnsi="Arial"/>
          <w:sz w:val="16"/>
          <w:szCs w:val="16"/>
          <w:color w:val="auto"/>
        </w:rPr>
        <w:t>("MD&amp;A"), and</w:t>
      </w:r>
      <w:r>
        <w:rPr>
          <w:rFonts w:ascii="Arial" w:cs="Arial" w:eastAsia="Arial" w:hAnsi="Arial"/>
          <w:sz w:val="16"/>
          <w:szCs w:val="16"/>
          <w:i w:val="1"/>
          <w:iCs w:val="1"/>
          <w:color w:val="auto"/>
        </w:rPr>
        <w:t xml:space="preserve"> "Item 7A. Quantitative and Qualitative Disclosures About Market Risk" </w:t>
      </w:r>
      <w:r>
        <w:rPr>
          <w:rFonts w:ascii="Arial" w:cs="Arial" w:eastAsia="Arial" w:hAnsi="Arial"/>
          <w:sz w:val="16"/>
          <w:szCs w:val="16"/>
          <w:color w:val="auto"/>
        </w:rPr>
        <w:t>herein. Such forward-looking statements include (1)</w:t>
      </w:r>
      <w:r>
        <w:rPr>
          <w:rFonts w:ascii="Arial" w:cs="Arial" w:eastAsia="Arial" w:hAnsi="Arial"/>
          <w:sz w:val="16"/>
          <w:szCs w:val="16"/>
          <w:i w:val="1"/>
          <w:iCs w:val="1"/>
          <w:color w:val="auto"/>
        </w:rPr>
        <w:t xml:space="preserve"> </w:t>
      </w:r>
      <w:r>
        <w:rPr>
          <w:rFonts w:ascii="Arial" w:cs="Arial" w:eastAsia="Arial" w:hAnsi="Arial"/>
          <w:sz w:val="16"/>
          <w:szCs w:val="16"/>
          <w:color w:val="auto"/>
        </w:rPr>
        <w:t>expectations regarding anticipated growth in the wireless industry, carriers' investments in their networks, tenant additions, customer consolidation or ownership changes, and demand for our communications infrastructure (as defined below), (2) expectations regarding non-renewals of tenant contracts (including the impact of our customers' decommissioning of the former Leap Wireless, MetroPCS and Clearwire networks), (3) availability and adequacy of cash flows and liquidity for, or plans regarding, future discretionary investments, including capital expenditures limitations created as a result of being a wholly-owned indirect subsidiary of Crown Castle International Corp. ("CCIC" or "Crown Castle") and reliance on strategic decisions made by CCIC management that enable such discretionary investments, (4) potential benefits of our discretionary investments, (5) anticipated changes in our financial results, including future revenues and operating cash flows, (6) expectations regarding our capital structure and the credit markets, our availability and cost of capital, or our ability to service our debt and comply with debt covenants, (7) expectations for sustaining capital expenditures, and (8) expectations related to CCIC's ability to remain qualified as a real estate investment trust ("REIT"), and the advantages, benefits or impact of, or opportunities created by the inclusion of our assets and operations in CCIC's REIT and the impact of the Tax Cuts and Jobs Act ("Tax Reform Act").</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Such forward-looking statements should, therefore, be considered in light of various risks, uncertainties and assumptions, including prevailing market conditions, risk factors described under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herein and other factors. Should one or more of these risks or uncertainties materialize, or should underlying assumptions prove incorrect, actual results may vary materially from those expected. As used herein, the term "including," and any variation thereof, means "including without limitation." The use of the word "or" herein is not exclusive.</w:t>
      </w:r>
    </w:p>
    <w:p>
      <w:pPr>
        <w:sectPr>
          <w:pgSz w:w="11900" w:h="16838" w:orient="portrait"/>
          <w:cols w:equalWidth="0" w:num="1">
            <w:col w:w="11420"/>
          </w:cols>
          <w:pgMar w:left="240" w:top="580" w:right="239" w:bottom="1440" w:gutter="0" w:footer="0" w:header="0"/>
        </w:sectPr>
      </w:pPr>
    </w:p>
    <w:bookmarkStart w:id="2" w:name="page3"/>
    <w:bookmarkEnd w:id="2"/>
    <w:p>
      <w:pPr>
        <w:jc w:val="both"/>
        <w:ind w:firstLine="405"/>
        <w:spacing w:after="0" w:line="264" w:lineRule="auto"/>
        <w:rPr>
          <w:sz w:val="20"/>
          <w:szCs w:val="20"/>
          <w:color w:val="auto"/>
        </w:rPr>
      </w:pPr>
      <w:r>
        <w:rPr>
          <w:rFonts w:ascii="Arial" w:cs="Arial" w:eastAsia="Arial" w:hAnsi="Arial"/>
          <w:sz w:val="18"/>
          <w:szCs w:val="18"/>
          <w:color w:val="auto"/>
        </w:rPr>
        <w:t>Unless this Form 10-K indicates otherwise or the context otherwise requires, the terms, "we," "our," "our company," "the company," or "us" as used in this Form 10-K refer to CC Holdings GS V LLC ("CCL") and its consolidated wholly-owned subsidiaries (collectively, "Company"). The Company is a wholly-owned subsidiary of Global Signal Operating Partnership, L.P. ("GSOP"), which is an indirect subsidiary of CCIC.</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32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an indirect, wholly-owned subsidiary of CCIC, which is one of the largest owners and operators in the United States ("U.S.") of shared communications infrastructure, including (1) towers and other structures, such as rooftops (collectively, "towers"), and (2) fiber primarily supporting small cell networks ("small cells") and fiber solutions. As of December 31, 2017, CCIC and its subsidiaries collectively owned, leased, or managed (1) approximately 40,000 towers and (2) approximately 60,000 route miles of fiber in the U.S., including Puerto Rico.</w:t>
      </w:r>
    </w:p>
    <w:p>
      <w:pPr>
        <w:spacing w:after="0" w:line="13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Our core business is providing access, including space or capacity, to certain shared communications infrastructure sites ("sites") via long-term contracts in various forms, including license, sublease and lease agreements (collectively, "contracts"). Our customers on our communication infrastructure are referred to herein as "tenants." We seek to increase our site rental revenues through tenant additions or modifications of existing tenant installations (collectively, "tenant additions"). Our operating costs generally tend to escalate at approximately the rate of inflation and are not typically influenced by tenant additions.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certain information concerning our business and organizational structure:</w:t>
      </w:r>
    </w:p>
    <w:p>
      <w:pPr>
        <w:spacing w:after="0" w:line="63" w:lineRule="exact"/>
        <w:rPr>
          <w:sz w:val="20"/>
          <w:szCs w:val="20"/>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own, lease, and manage approximately 7,600 sites.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62% and 77% of our sites are located in the 50 and 100 largest basic trading areas ("BTAs"), respectively.</w:t>
      </w:r>
    </w:p>
    <w:p>
      <w:pPr>
        <w:spacing w:after="0" w:line="9" w:lineRule="exact"/>
        <w:rPr>
          <w:rFonts w:ascii="Arial" w:cs="Arial" w:eastAsia="Arial" w:hAnsi="Arial"/>
          <w:sz w:val="18"/>
          <w:szCs w:val="18"/>
          <w:color w:val="auto"/>
        </w:rPr>
      </w:pPr>
    </w:p>
    <w:p>
      <w:pPr>
        <w:ind w:left="660" w:right="20" w:hanging="247"/>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68% of our sites are leased or subleased or operated and managed ("Sprint Sites") pursuant to 32-year master leases (expiring in May 2037) ("Sprint Master Leases") or other agreements with subsidiaries of Sprint.</w:t>
      </w:r>
    </w:p>
    <w:p>
      <w:pPr>
        <w:ind w:left="660" w:hanging="247"/>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contracts for land interests under our towers have an average remaining life (calculated by weighting the remaining term for each contract by its percentage of our total site rental revenues) of approximately 24 years.</w:t>
      </w:r>
    </w:p>
    <w:p>
      <w:pPr>
        <w:ind w:left="660" w:hanging="247"/>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are organized specifically to own, lease, and manage certain shared communications infrastructure, such as sites or other structures, and have no employees.</w:t>
      </w:r>
    </w:p>
    <w:p>
      <w:pPr>
        <w:jc w:val="both"/>
        <w:ind w:left="660" w:hanging="247"/>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Management services, including those functions reasonably necessary to maintain, market, operate, manage, or administer the sites, are performed by Crown Castle USA Inc. ("CCUSA"), an affiliate of CCIC, under a management agreement ("Management Agreement"). The management fee under the Management Agreement is equal to 7.5% of our "Operating Revenues," as defined in the Management Agreement.</w:t>
      </w: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U.S. federal income tax purposes, our assets and operations are included in CCIC's REIT.</w:t>
      </w:r>
    </w:p>
    <w:p>
      <w:pPr>
        <w:spacing w:after="0" w:line="9" w:lineRule="exact"/>
        <w:rPr>
          <w:rFonts w:ascii="Arial" w:cs="Arial" w:eastAsia="Arial" w:hAnsi="Arial"/>
          <w:sz w:val="18"/>
          <w:szCs w:val="18"/>
          <w:color w:val="auto"/>
        </w:rPr>
      </w:pPr>
    </w:p>
    <w:p>
      <w:pPr>
        <w:jc w:val="both"/>
        <w:ind w:left="1300" w:hanging="239"/>
        <w:spacing w:after="0" w:line="288"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recently enacted Tax Reform Act makes substantial changes to the Internal Revenue Code of 1986, as amended ("Code"). Among the many corporate changes are a significant reduction in the corporate income tax rate, repeal of the corporate alternative minimum tax for years beginning in 2018 and limitations on the deductibility on interest expense. In addition, under the Tax Reform Act, qualified REIT dividends (within the meaning of Section 199A(e)(3) of the Code) constitute a part of a non-corporate taxpayer's "qualified business income amount" and thus CCIC's non-corporate U.S. stockholders may be eligible to take a qualified business income deduction in an amount equal to 20% of such dividends received from CCIC. Without further legislative action, the 20% deduction applicable to qualified REIT dividends will expire on January 1, 2026. We do not expect the Tax Reform Act to significantly impact us.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information concerning our customers and site rental contracts is as follows:</w:t>
      </w:r>
    </w:p>
    <w:p>
      <w:pPr>
        <w:spacing w:after="0" w:line="63" w:lineRule="exact"/>
        <w:rPr>
          <w:sz w:val="20"/>
          <w:szCs w:val="20"/>
          <w:color w:val="auto"/>
        </w:rPr>
      </w:pPr>
    </w:p>
    <w:p>
      <w:pPr>
        <w:ind w:left="660" w:hanging="247"/>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customers include Sprint, AT&amp;T, T-Mobile, and Verizon Wireless, which collectively accounted for 88% of our 2017 site rental revenues.</w:t>
      </w:r>
    </w:p>
    <w:p>
      <w:pPr>
        <w:spacing w:after="0" w:line="34" w:lineRule="exact"/>
        <w:rPr>
          <w:rFonts w:ascii="Arial" w:cs="Arial" w:eastAsia="Arial" w:hAnsi="Arial"/>
          <w:sz w:val="17"/>
          <w:szCs w:val="17"/>
          <w:color w:val="auto"/>
        </w:rPr>
      </w:pPr>
    </w:p>
    <w:p>
      <w:pPr>
        <w:ind w:left="660" w:hanging="247"/>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vast majority of our site rental revenues are of a recurring nature, and typically, in excess of 90% have been contracted for in a prior year.</w:t>
      </w:r>
    </w:p>
    <w:p>
      <w:pPr>
        <w:spacing w:after="0" w:line="20" w:lineRule="exact"/>
        <w:rPr>
          <w:rFonts w:ascii="Arial" w:cs="Arial" w:eastAsia="Arial" w:hAnsi="Arial"/>
          <w:sz w:val="17"/>
          <w:szCs w:val="17"/>
          <w:color w:val="auto"/>
        </w:rPr>
      </w:pPr>
    </w:p>
    <w:p>
      <w:pPr>
        <w:ind w:left="660" w:hanging="247"/>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site rental revenues typically result from long-term tenant contracts with (1) initial terms of five to 15 years, (2) multiple renewal periods at the option of the tenant of five to ten years each, (3) limited termination rights for our tenants, and (4) contractual escalations of the rental price.</w:t>
      </w:r>
    </w:p>
    <w:p>
      <w:pPr>
        <w:ind w:left="660" w:hanging="247"/>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Exclusive of renewals at the tenants' option, our tenant contracts have a weighted-average remaining life of approximately six years and represent $4.2 billion of expected future cash inflows.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7. MD&amp;A—General Overview"</w:t>
      </w:r>
      <w:r>
        <w:rPr>
          <w:rFonts w:ascii="Arial" w:cs="Arial" w:eastAsia="Arial" w:hAnsi="Arial"/>
          <w:sz w:val="18"/>
          <w:szCs w:val="18"/>
          <w:color w:val="auto"/>
        </w:rPr>
        <w:t xml:space="preserve"> for a further discussion of our business fundamentals.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4" w:right="239" w:bottom="1440" w:gutter="0" w:footer="0" w:header="0"/>
        </w:sectPr>
      </w:pPr>
    </w:p>
    <w:bookmarkStart w:id="3" w:name="page4"/>
    <w:bookmarkEnd w:id="3"/>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jc w:val="both"/>
        <w:ind w:left="40" w:firstLine="405"/>
        <w:spacing w:after="0" w:line="277" w:lineRule="auto"/>
        <w:rPr>
          <w:sz w:val="20"/>
          <w:szCs w:val="20"/>
          <w:color w:val="auto"/>
        </w:rPr>
      </w:pPr>
      <w:r>
        <w:rPr>
          <w:rFonts w:ascii="Arial" w:cs="Arial" w:eastAsia="Arial" w:hAnsi="Arial"/>
          <w:sz w:val="18"/>
          <w:szCs w:val="18"/>
          <w:color w:val="auto"/>
        </w:rPr>
        <w:t>You should carefully consider all of the risks discussed below, as well as the other information contained in this document when evaluating our business.</w:t>
      </w:r>
    </w:p>
    <w:p>
      <w:pPr>
        <w:spacing w:after="0" w:line="116" w:lineRule="exact"/>
        <w:rPr>
          <w:sz w:val="20"/>
          <w:szCs w:val="20"/>
          <w:color w:val="auto"/>
        </w:rPr>
      </w:pPr>
    </w:p>
    <w:p>
      <w:pPr>
        <w:jc w:val="both"/>
        <w:ind w:left="40"/>
        <w:spacing w:after="0" w:line="286" w:lineRule="auto"/>
        <w:rPr>
          <w:sz w:val="20"/>
          <w:szCs w:val="20"/>
          <w:color w:val="auto"/>
        </w:rPr>
      </w:pPr>
      <w:r>
        <w:rPr>
          <w:rFonts w:ascii="Arial" w:cs="Arial" w:eastAsia="Arial" w:hAnsi="Arial"/>
          <w:sz w:val="17"/>
          <w:szCs w:val="17"/>
          <w:b w:val="1"/>
          <w:bCs w:val="1"/>
          <w:i w:val="1"/>
          <w:iCs w:val="1"/>
          <w:color w:val="auto"/>
        </w:rPr>
        <w:t>Our business depends on the demand for our communications infrastructure, driven primarily by demand for wireless data, and we may be adversely affected by any slowdown in such demand. Additionally, a reduction in the amount or change in the mix of network investment by our tenants may materially and adversely affect our business (including reducing demand for tenant additions).</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Customer demand for our communications infrastructure depends on the demand for wireless data from their customers. The willingness of our customers to utilize our communications infrastructure, or renew or extend existing contracts on our communications infrastructure, is affected by numerous factors, including:</w:t>
      </w:r>
    </w:p>
    <w:p>
      <w:pPr>
        <w:spacing w:after="0" w:line="154" w:lineRule="exact"/>
        <w:rPr>
          <w:sz w:val="20"/>
          <w:szCs w:val="20"/>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consumers' demand for wireless data;</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or capacity of our communications infrastructure or associated land interests;</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location of our communications infrastructure;</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condition of our customers, including their profitability and availability or cost of capital;</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willingness of our customers to maintain or increase their network investment or changes in their capital allocation strategy;</w:t>
      </w:r>
    </w:p>
    <w:p>
      <w:pPr>
        <w:spacing w:after="0" w:line="22" w:lineRule="exact"/>
        <w:rPr>
          <w:rFonts w:ascii="Arial" w:cs="Arial" w:eastAsia="Arial" w:hAnsi="Arial"/>
          <w:sz w:val="18"/>
          <w:szCs w:val="18"/>
          <w:color w:val="auto"/>
        </w:rPr>
      </w:pPr>
    </w:p>
    <w:p>
      <w:pPr>
        <w:ind w:left="660" w:hanging="24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spectrum for commercial use;</w:t>
      </w:r>
    </w:p>
    <w:p>
      <w:pPr>
        <w:spacing w:after="0" w:line="21"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use of network sharing, roaming, joint development, or resale agreements by our customers;</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mergers or consolidations by and among our customers;</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or success of, our customers' business models;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governmental regulations and initiatives, including local or state restrictions on the proliferation of communications infrastructure;</w:t>
      </w:r>
    </w:p>
    <w:p>
      <w:pPr>
        <w:spacing w:after="0" w:line="35"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of constructing communications infrastructure;</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market competition;</w:t>
      </w:r>
    </w:p>
    <w:p>
      <w:pPr>
        <w:spacing w:after="0" w:line="23" w:lineRule="exact"/>
        <w:rPr>
          <w:rFonts w:ascii="Arial" w:cs="Arial" w:eastAsia="Arial" w:hAnsi="Arial"/>
          <w:sz w:val="18"/>
          <w:szCs w:val="18"/>
          <w:color w:val="auto"/>
        </w:rPr>
      </w:pPr>
    </w:p>
    <w:p>
      <w:pPr>
        <w:jc w:val="both"/>
        <w:ind w:left="660" w:hanging="247"/>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technological changes including those (1) affecting the number or type of communications infrastructure needed to provide wireless data to a given geographic area or otherwise serve as a substitute or alternative to our communications infrastructure or (2) resulting in the obsolescence or decommissioning of certain existing wireless networks; and</w:t>
      </w:r>
    </w:p>
    <w:p>
      <w:pPr>
        <w:spacing w:after="0" w:line="1"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efficiently satisfy our customers' service requirements.</w:t>
      </w:r>
    </w:p>
    <w:p>
      <w:pPr>
        <w:spacing w:after="0" w:line="1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slowdown in demand for wireless data or our communications infrastructure may negatively impact our growth or otherwise have a material adverse effect on us. If our customers or potential customers are unable to raise adequate capital to fund their business plans, as a result of disruptions in the financial and credit markets or otherwise, they may reduce their spending, which could adversely affect our anticipated growth or the demand for our communications infrastructure.</w:t>
      </w:r>
    </w:p>
    <w:p>
      <w:pPr>
        <w:spacing w:after="0" w:line="13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amount, timing, and mix of our customers' network investment is variable and can be significantly impacted by the various matters described in these risk factors. Changes in carrier network investment typically impact the demand for our communications infrastructure. As a result, changes in carrier plans such as delays in the implementation of new systems, new and emerging technologies (including small cells), or plans to expand coverage or capacity may reduce demand for our communications infrastructure. Furthermore, the wireless industry could experience a slowdown or slowing growth rates as a result of numerous factors, including a reduction in consumer demand for wireless data or general economic conditions. There can be no assurances that weakness or uncertainty in the economic environment will not adversely impact the wireless industry, which may materially and adversely affect our business, including by reducing demand for our communications infrastructure. In addition, a slowdown may increase competition for site rental customers. Such an industry slowdown or a reduction in customer network investment may materially and adversely affect our business.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b w:val="1"/>
          <w:bCs w:val="1"/>
          <w:i w:val="1"/>
          <w:iCs w:val="1"/>
          <w:color w:val="auto"/>
        </w:rPr>
        <w:t>A substantial portion of our revenues is derived from a small number of customers, and the loss, consolidation, or financial instability of any of such customers may materially decrease revenues or reduce demand for our communications infrastructure.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year ended December 31, 2017, our site rental revenues by customer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118110</wp:posOffset>
            </wp:positionV>
            <wp:extent cx="4913630" cy="2058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1363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loss of any one of our large customers as a result of consolidation, merger, bankruptcy, insolvency, network sharing, roaming, joint development, resale agreements by our customers, or otherwise may result in (1) a material decrease in our revenues, (2) uncollectible account receivables, (3) an impairment of our deferred site rental receivables, communications infrastructure assets, intangible assets, or (4) other adverse effects to our business. We cannot guarantee that contracts with our major customers will not be terminated or that these customers will renew their contracts with us. In addition, we also derive a portion of our revenues, and anticipate future growth from new entrants offering or contemplating offering wireless services. Such customers may be smaller or have less financial resources than our four largest customers, may have business models that may not be successful, or may require additional capital.</w:t>
      </w:r>
    </w:p>
    <w:p>
      <w:pPr>
        <w:spacing w:after="0" w:line="13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Consolidation among our customers will likely result in duplicate or overlapping parts of networks, for example, where they are co-residents on a tower, which may result in the termination or non-renewal of the tenant contracts and negatively impact revenues from our communications infrastructure. Due to the long-term nature of tenant contracts, we expect, but cannot be certain, that any termination of tenant contracts as a result of this potential consolidation would be spread over multiple years. Such consolidation may result in a reduction in such customers' future network investment in the aggregate because their expansion plans may be similar. Customer consolidation could decrease the demand for our communications infrastructure, which in turn may result in a reduction in our revenues or cash flows.</w:t>
      </w:r>
    </w:p>
    <w:p>
      <w:pPr>
        <w:spacing w:after="0" w:line="13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recent years, AT&amp;T, T-Mobile and Sprint acquired Leap Wireless, MetroPCS, and Clearwire ("Acquired Networks"), respectively. During 2018, we expect site rental revenues to be negatively impacted by non-renewals as a result of the decommissioning of the Acquired Networks. The Acquired Networks represented approximately 8% of our site rental revenues for the year ended December 31, 2017. We currently expect the majority of the potential non-renewals from the decommissioning of the Acquired Networks to occur predominately through the end of 2018. Depending on the eventual network deployment and decommissioning plans of AT&amp;T, T-Mobile and Sprint, the impact and timing of such non-renewals may vary from our expectations.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10 to our consolidated financial statements.</w:t>
      </w:r>
    </w:p>
    <w:p>
      <w:pPr>
        <w:spacing w:after="0" w:line="171"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Our ability to repay the principal under our 2012 Secured Notes on or prior to the relevant maturity date will be subject to a number of factors outside our control.</w:t>
      </w:r>
    </w:p>
    <w:p>
      <w:pPr>
        <w:spacing w:after="0" w:line="11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indenture ("Secured Notes Indenture") governing our $1.0 billion aggregate principal amount of 3.849% secured notes due 2023 ("3.849% Secured Notes") and our previously outstanding $500 million aggregate principal amount of 2.381% secured notes due 2017 ("2.381% Secured Notes") (collectively, the "2012 Secured Notes"), requires us to repay the principal under the 3.849% Secured Notes by their maturity date in April 2023. We currently expect to distribute a substantial portion of our cash flow to our member as dividends. Therefore, our ability to repay the principal under the 3.849% Secured Notes on or prior to their maturity date depends upon our ability either to refinance the indebtedness under the 3.849% Secured Notes or to sell our interests in the sites for an amount that is sufficient to repay the 3.849% Secured Notes in full with interest. Our ability to achieve either of these goals will be affected by a number of factors, including the availability of credit for wireless communications sites, the fair market value of the sites, our equity in the sites, our financial condition, the operating history of the sites, tax laws, or general economic conditions. Since the current term of the tenant contracts as of the date of this filing will have substantially expired by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6" w:right="23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17"/>
          <w:szCs w:val="17"/>
          <w:color w:val="auto"/>
        </w:rPr>
        <w:t>the date 3.849% Secured Notes mature, our ability to sell or refinance at such date will also be affected by the degree of our success in extending existing tenant contracts or obtaining new tenant contracts as those remaining terms expire. In addition, neither the trustee for the 3.849% Secured Notes nor any of its respective affiliates or any other person is obligated to provide the funds to refinance the 3.849% Secured Notes.</w:t>
      </w:r>
    </w:p>
    <w:p>
      <w:pPr>
        <w:spacing w:after="0" w:line="111"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CCL is a holding company, and therefore its ability to repay its indebtedness is dependent on cash flow generated by its subsidiaries and their ability to make distributions to CCL.</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CCL is a holding company with no operations or material assets other than the direct or indirect equity interests it holds in its subsidiaries. As a result, its ability to pay principal and interest on its indebtedness is dependent on the generation of cash flow by its subsidiaries and their ability to make such cash available to CCL by dividend, debt repayment, or otherwise. The earnings and cash flow generated by CCL's subsidiaries will depend on their financial and operating performance, which will be affected by general economic, industry, financial, competitive, operating, legislative, regulatory, or other factors beyond our control. Any payments of dividends, distributions, loans, or advances to CCL by its subsidiaries could also be subject to restrictions on dividends under applicable local law in the jurisdictions in which such subsidiaries operate.</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event that CCL does not receive distributions from its subsidiaries, or to the extent that the earnings from, or other available assets of, such subsidiaries are insufficient, CCL may be unable to make payments on its indebtedness. Furthermore, Crown Castle GS III Corp., the co-issuer of the 3.849% Secured Notes, has no assets, conducts no operations, and has no independent ability to service the interest and principal obligations under the 3.849% Secured Notes.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a result of competition in our industry, we may find it more difficult to negotiate favorable rates on our new or renewing tenant contracts.</w:t>
      </w:r>
    </w:p>
    <w:p>
      <w:pPr>
        <w:spacing w:after="0" w:line="18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growth is dependent on our entering into new tenant contracts (including amendments to contracts upon modification of an existing tower installation), as well as renewing or renegotiating tenant contracts when existing tenant contracts terminate. Competition in our industry may make it more difficult for us to attract new customers, maintain or increase our gross margins or maintain or increase our market share. We face competition for site rental tenants and associated rental rates from various sources, including (1) other independent communications infrastructure owners or operators, including those that own, operate, or manage sites, rooftops, broadcast towers, utility poles, fiber or small cells, or (2) new alternative deployment methods for communications infrastructure.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technologies may reduce demand for our communications infrastructure or negatively impact our revenues.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Improvements in the efficiency, architecture, and design of wireless networks may reduce the demand for our communications infrastructure. For example, new technologies that may promote network sharing, joint development, wireless backhaul, or resale agreements by our customers, such as signal combining technologies or network functions virtualization, may reduce the need for our communications infrastructure. In addition, other technologies, such as Wi-Fi, Distributed Antenna Systems ("DAS"), femtocells, other small cells, or satellite (such as low earth orbiting) and mesh transmission systems may, in the future, serve as substitutes for or alternatives to leasing on communications infrastructure that might otherwise be anticipated or expected had such technologies not existed. In addition, new technologies that enhance the range, efficiency, and capacity of wireless equipment could reduce demand for our communications infrastructure. Any reduction in demand for our communications infrastructure resulting from the new technologies may negatively impact our revenues or otherwise have a material adverse effect on us.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retain rights to our communications infrastructure, including the land interests under our towers, our business may be adversely affected.</w:t>
      </w:r>
    </w:p>
    <w:p>
      <w:pPr>
        <w:spacing w:after="0" w:line="194"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property interests on which our towers reside, including the land interests under our towers (other than the sites sub-leased under the Sprint Master Leases) consist of leaseholds and exclusive easements, as well as permits granted by governmental entities. A loss of these interests for any reason, including losses arising from the bankruptcies of a significant number of our lessors, from the default by a significant number of our lessors under their mortgage financings or from a legal challenge to our interest in the real property, may interfere with our ability to conduct our business or generate revenues. If a material number of the grantors of these rights elect not to renew their terms, our ability to conduct business or generate revenues could be adversely affected. Further, we may not be able to renew ground leases on commercially viable terms. Our ability to retain rights to the land interests on which our towers reside depends on our ability to purchase such land, including fee interests and perpetual easements, or renegotiate or extend the terms of the leases relating to such land. In some cases, other subsidiaries of CCIC have acquired certain third party land interests under certain of our sites as a result of negotiated transactions, and we have entered into leases with such affiliates. Approximately 15% of our sites for the year ended December 31, 2017 are under our control for less than 10 years. If we are unable to retain rights to the property interests on which our towers reside, our business may be adversely affected.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46" w:right="239" w:bottom="1440" w:gutter="0" w:footer="0" w:header="0"/>
        </w:sectPr>
      </w:pPr>
    </w:p>
    <w:bookmarkStart w:id="6" w:name="page7"/>
    <w:bookmarkEnd w:id="6"/>
    <w:p>
      <w:pPr>
        <w:jc w:val="both"/>
        <w:ind w:firstLine="405"/>
        <w:spacing w:after="0" w:line="254" w:lineRule="auto"/>
        <w:rPr>
          <w:sz w:val="20"/>
          <w:szCs w:val="20"/>
          <w:color w:val="auto"/>
        </w:rPr>
      </w:pPr>
      <w:r>
        <w:rPr>
          <w:rFonts w:ascii="Arial" w:cs="Arial" w:eastAsia="Arial" w:hAnsi="Arial"/>
          <w:sz w:val="18"/>
          <w:szCs w:val="18"/>
          <w:color w:val="auto"/>
        </w:rPr>
        <w:t>As of December 31, 2017, approximately 68% of our sites were Sprint Sites. CCIC, through its subsidiaries (including us), has the option to purchase, in 2037, all (but not less than all) of the leased and subleased Sprint Sites (as well as other Sprint sites leased or subleased by other subsidiaries of CCIC) from Sprint for approximately $2.3 billion; CCIC has no obligation to exercise such purchase option. CCIC may not have the required available capital to exercise such purchase option at the time this option is exercisable. Even if CCIC does have available capital, it may choose not to exercise its purchase option for business or other reasons. In the event that CCIC does not exercise the purchase option, or is otherwise unable to acquire an interest that would allow us to continue to operate these towers after the applicable period, we will lose the cash flows derived from such towers, which may have a material adverse effect on our business. In the event that CCIC decides to exercise the purchase option, the benefits of the acquisition of the sites may not exceed the costs, which could adversely affect our business.</w:t>
      </w:r>
    </w:p>
    <w:p>
      <w:pPr>
        <w:spacing w:after="0" w:line="138"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Failure on our subsidiaries' part to cause the performance of their obligations as landlords under tenant contracts could lead to abatement of rent or termination of tenant contracts.</w:t>
      </w:r>
    </w:p>
    <w:p>
      <w:pPr>
        <w:spacing w:after="0" w:line="11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vast majority of our tenant contracts are not net contracts. Accordingly, each of our subsidiaries that acts as a landlord is responsible for ensuring the maintenance and repair of its sites and for other obligations and liabilities associated with its sites, such as the payment of real estate taxes related to the tower and ground lease rents, the maintenance of insurance or environmental compliance and remediation. The failure of such subsidiary to cause the performance of their obligations as landlords under a tenant contract could entitle the related lessee to an abatement of rent or, in some circumstances, could result in a termination of the tenant contract. Because our subsidiaries nor we have any employees, as further discussed herein, the Manager (as defined below) is responsible for carrying out the landlord's responsibilities under the tenant contracts. An unscheduled reduction or cessation of payments due under a tenant contract may result in a reduction of the amounts available to make payments on the 3.849% Secured Notes.</w:t>
      </w:r>
    </w:p>
    <w:p>
      <w:pPr>
        <w:spacing w:after="0" w:line="11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Bankruptcy proceedings involving either our subsidiaries or their lessors under the ground leases could adversely affect our ability to enforce our subsidiaries' rights under the ground leases or to remain in possession of the leased property.</w:t>
      </w:r>
    </w:p>
    <w:p>
      <w:pPr>
        <w:spacing w:after="0" w:line="1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Upon the bankruptcy of a lessor or a lessee under a ground lease, the debtor entity generally has the right to assume or reject the ground lease. Pursuant to Section 365(h) of the United States Bankruptcy Code ("Bankruptcy Code"), a ground lessee (i.e., a subsidiary) whose ground lease is rejected by a debtor ground lessor has the right to remain in possession of its leased premises under the rent reserved in the contract for the term of the ground lease, including any renewals, but is not entitled to enforce the obligation of the ground lessor to provide any services required under the ground lease. In the event of concurrent bankruptcy proceedings involving the ground lessor and the ground lessee, the ground lease could be terminated.</w:t>
      </w:r>
    </w:p>
    <w:p>
      <w:pPr>
        <w:spacing w:after="0" w:line="11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Similarly, upon the bankruptcy of one of our subsidiaries or a third-party owner of a managed site, the debtor entity would have the right to assume or reject any related site management agreement. Because the arrangements under which we derive revenue from the managed sites would not likely constitute contracts of real property for purposes of Section 365(h) of the Bankruptcy Code, the applicable subsidiary may not have the right to remain in possession of the premises or otherwise retain the benefit of the site management agreement if the site management agreement is rejected by a debtor third-party owner.</w:t>
      </w:r>
    </w:p>
    <w:p>
      <w:pPr>
        <w:spacing w:after="0" w:line="100" w:lineRule="exact"/>
        <w:rPr>
          <w:sz w:val="20"/>
          <w:szCs w:val="20"/>
          <w:color w:val="auto"/>
        </w:rPr>
      </w:pPr>
    </w:p>
    <w:p>
      <w:pPr>
        <w:ind w:left="40" w:right="20"/>
        <w:spacing w:after="0" w:line="277" w:lineRule="auto"/>
        <w:rPr>
          <w:sz w:val="20"/>
          <w:szCs w:val="20"/>
          <w:color w:val="auto"/>
        </w:rPr>
      </w:pPr>
      <w:r>
        <w:rPr>
          <w:rFonts w:ascii="Arial" w:cs="Arial" w:eastAsia="Arial" w:hAnsi="Arial"/>
          <w:sz w:val="18"/>
          <w:szCs w:val="18"/>
          <w:b w:val="1"/>
          <w:bCs w:val="1"/>
          <w:i w:val="1"/>
          <w:iCs w:val="1"/>
          <w:color w:val="auto"/>
        </w:rPr>
        <w:t>The bankruptcy of certain Sprint subsidiaries, which are sublessors to one of our subsidiaries, could result in such subsidiary's sublease interests being rejected by the bankruptcy court.</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Certain of the towers leased from Sprint are located on land leased from third parties under ground leases. One of our subsidiaries, Global Signal Acquisitions II LLC ("Global Signal Acquisitions II"), subleases these sites from bankruptcy remote Sprint subsidiaries. If one of these Sprint subsidiaries should become a debtor in a bankruptcy proceeding and is permitted to reject the underlying ground lease, Global Signal Acquisitions II could lose its interest in the applicable sites. If Global Signal Acquisitions II were to lose its interest in the applicable sites or if the applicable ground leases were to be terminated, we would lose the cash flow derived from the towers on those sites, which may have a material adverse effect on our business. We have similar bankruptcy risks with respect to sites that we operate under management agreements.</w:t>
      </w:r>
    </w:p>
    <w:p>
      <w:pPr>
        <w:spacing w:after="0" w:line="124"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Our failure to comply with our covenants in the Sprint Master Leases, including our obligation to timely pay ground lease rent, could result in an event of default under the applicable Sprint Master Leases, which would adversely impact our business.</w:t>
      </w:r>
    </w:p>
    <w:p>
      <w:pPr>
        <w:spacing w:after="0" w:line="1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Subject to certain cure, arbitration, or other provisions, in the event of an uncured default under a Sprint Master Lease, Sprint may terminate the Sprint Master Lease as to the applicable sites. If we default under the Sprint Master Leases with respect to more than 20% of the Sprint Sites within any rolling five-year period, Sprint will have the right to terminate the Sprint Master Leases with respect to all Sprint Sites. If Sprint terminates Sprint Master Leases with respect to all of or a significant number of sites, we would lose all of our interests in those sites (which collectively represent approximately 68% of our sites as of December 31, 2017) and our ability to make payments on the 3.849% Secured Notes would therefore be significantly impaired.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46" w:right="239" w:bottom="1440" w:gutter="0" w:footer="0" w:header="0"/>
        </w:sectPr>
      </w:pPr>
    </w:p>
    <w:bookmarkStart w:id="7" w:name="page8"/>
    <w:bookmarkEnd w:id="7"/>
    <w:p>
      <w:pPr>
        <w:ind w:left="40" w:right="20"/>
        <w:spacing w:after="0" w:line="277" w:lineRule="auto"/>
        <w:rPr>
          <w:sz w:val="20"/>
          <w:szCs w:val="20"/>
          <w:color w:val="auto"/>
        </w:rPr>
      </w:pPr>
      <w:r>
        <w:rPr>
          <w:rFonts w:ascii="Arial" w:cs="Arial" w:eastAsia="Arial" w:hAnsi="Arial"/>
          <w:sz w:val="18"/>
          <w:szCs w:val="18"/>
          <w:b w:val="1"/>
          <w:bCs w:val="1"/>
          <w:i w:val="1"/>
          <w:iCs w:val="1"/>
          <w:color w:val="auto"/>
        </w:rPr>
        <w:t>We have no employees of our own and hence are dependent on the Manager for the conduct of our operations. Any failure of the Manager to continue to perform in its role as manager of the sites could have a material adverse impact on our business.</w:t>
      </w:r>
    </w:p>
    <w:p>
      <w:pPr>
        <w:spacing w:after="0" w:line="11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Pursuant to a management agreement among CCL, certain of its direct and indirect subsidiaries and CCUSA ("Management Agreement"), all of our sites are managed by CCUSA ("Manager"). The Manager continues to be responsible for causing maintenance to be carried out in a timely fashion, carrying out the landlord's responsibilities under the tenant contracts, and marketing the site spaces. Management errors may adversely affect the revenue generated by the sites. In addition, the Manager's performance continues to depend to a significant degree upon the continued contributions of key management, engineering, sales and marketing, customer support, legal, or finance personnel, some of whom may be difficult to replace. The Manager does not have employment agreements with any of its employees, and no assurance can be given that the services of such personnel will continue to be available to the Manager. Furthermore, the Manager does not maintain key man life insurance policies on its executives that would adequately compensate it for any loss of services of such executives. The loss of the services of one or more of these executives could have a material adverse effect on the Manager's ability to manage our operations.</w:t>
      </w:r>
    </w:p>
    <w:p>
      <w:pPr>
        <w:spacing w:after="0" w:line="14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management of the sites requires special skills and particularized knowledge. If the Management Agreement is terminated or the Manager is for any reason unable to continue to manage the sites on our behalf, there may be substantial delays in engaging a replacement manager with the requisite skills and experience to manage the sites. There can be no assurance that a qualified replacement manager can be located or engaged in a timely fashion or on economical terms. If an insolvency proceeding were commenced with respect to the Manager, the Manager as debtor or its bankruptcy trustee might have the power to prevent us from replacing it with a new manager for the sites.</w:t>
      </w:r>
    </w:p>
    <w:p>
      <w:pPr>
        <w:spacing w:after="0" w:line="134"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The Manager may experience conflicts of interest in the management of the sites and in the management of sites of affiliates carried out pursuant to other management agreements.</w:t>
      </w:r>
    </w:p>
    <w:p>
      <w:pPr>
        <w:spacing w:after="0" w:line="11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addition to managing our operations, the Manager is currently party to, and may in the future enter into, separate management agreements with its other affiliates that own, lease, and manage towers or other wireless communications sites. These other affiliates may be engaged in the construction, acquisition, or leasing of wireless communications sites in proximity to our sites. As a result, the Manager may engage in business activities that are in competition with our business in respect of the sites, and the Manager may experience conflicts of interest in the management of our sites and such other sites. Pursuant to the Management Agreement, the Manager continues to be prohibited from soliciting lessees to transfer tenant contracts from sites owned, leased, or managed by us to sites owned, leased or managed by our affiliates. However, there can be no assurance that the persons that control us, the Manager, or those other affiliates will allocate their management efforts in such a way as to maximize the returns with respect to our sites, as opposed to maximizing the returns with respect to other sites. The expansion and development of the Manager's business through acquisitions, increased product offerings or other strategic growth opportunities may cause disruptions in our business, which may have an adverse effect on our business operations or financial results. As a result, the Manager and we may experience conflicts of interest in the management of the land sites. Pursuant to the Management Agreement, the Manager has agreed to manage the sites in the same manner as if the lessees thereunder were not affiliates.</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we may, subject to certain restrictions on affiliate transactions in the Secured Notes Indenture, enter into arms-length transactions with our affiliates to acquire land under our sites. There can be no assurance that the persons that control us will allocate potential opportunities in such a way as to maximize the returns with respect to our sites, as opposed to maximizing the returns for our affiliates.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New wireless technologies may not deploy or be adopted by customers as rapidly or in the manner projected.</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There can be no assurances that new wireless services or technologies will be introduced or deployed as rapidly or in the manner projected by the wireless or broadcast industries. In addition, demand or adoption rates for such new technologies may be lower or slower than anticipated for numerous reasons. As a result, growth opportunities or demand for our communications infrastructure arising from such technologies may not be realized at the times or to the extent anticipated.</w:t>
      </w:r>
    </w:p>
    <w:p>
      <w:pPr>
        <w:spacing w:after="0" w:line="133" w:lineRule="exact"/>
        <w:rPr>
          <w:sz w:val="20"/>
          <w:szCs w:val="20"/>
          <w:color w:val="auto"/>
        </w:rPr>
      </w:pPr>
    </w:p>
    <w:p>
      <w:pPr>
        <w:ind w:left="40" w:right="20"/>
        <w:spacing w:after="0" w:line="277" w:lineRule="auto"/>
        <w:rPr>
          <w:sz w:val="20"/>
          <w:szCs w:val="20"/>
          <w:color w:val="auto"/>
        </w:rPr>
      </w:pPr>
      <w:r>
        <w:rPr>
          <w:rFonts w:ascii="Arial" w:cs="Arial" w:eastAsia="Arial" w:hAnsi="Arial"/>
          <w:sz w:val="18"/>
          <w:szCs w:val="18"/>
          <w:b w:val="1"/>
          <w:bCs w:val="1"/>
          <w:i w:val="1"/>
          <w:iCs w:val="1"/>
          <w:color w:val="auto"/>
        </w:rPr>
        <w:t>If radio frequency emissions from wireless handsets or equipment on our communications infrastructure are demonstrated to cause negative health effects, potential future claims could adversely affect our operations, costs, or revenues.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potential connection between radio frequency emissions and certain negative health effects, including some forms of cancer, has been the subject of substantial study by the scientific community in recent years. We cannot guarantee that claims relating to radio frequency emissions will not arise in the future or that the results of such studies will not be adverse to 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6" w:right="239" w:bottom="1440" w:gutter="0" w:footer="0" w:header="0"/>
        </w:sectPr>
      </w:pPr>
    </w:p>
    <w:bookmarkStart w:id="8" w:name="page9"/>
    <w:bookmarkEnd w:id="8"/>
    <w:p>
      <w:pPr>
        <w:jc w:val="both"/>
        <w:ind w:firstLine="405"/>
        <w:spacing w:after="0" w:line="257" w:lineRule="auto"/>
        <w:rPr>
          <w:sz w:val="20"/>
          <w:szCs w:val="20"/>
          <w:color w:val="auto"/>
        </w:rPr>
      </w:pPr>
      <w:r>
        <w:rPr>
          <w:rFonts w:ascii="Arial" w:cs="Arial" w:eastAsia="Arial" w:hAnsi="Arial"/>
          <w:sz w:val="18"/>
          <w:szCs w:val="18"/>
          <w:color w:val="auto"/>
        </w:rPr>
        <w:t>Public perception of possible health risks associated with cellular or other wireless data services may slow or diminish the growth of wireless companies, which may in turn slow or diminish our growth. In particular, negative public perception of, and regulations regarding, these perceived health risks may slow or diminish the market acceptance of wireless services. If a connection between radio frequency emissions and possible negative health effects were established, our operations, costs or revenues may be materially and adversely affected. We currently do not maintain any significant insurance with respect to these matters.</w:t>
      </w:r>
    </w:p>
    <w:p>
      <w:pPr>
        <w:spacing w:after="0" w:line="134"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If we fail to comply with laws or regulations which regulate our business and which may change at any time, we may be fined or even lose our right to conduct some of our business.</w:t>
      </w:r>
    </w:p>
    <w:p>
      <w:pPr>
        <w:spacing w:after="0" w:line="1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 variety of federal, state, local, and foreign laws and regulations apply to our business. Failure to comply with applicable requirements may lead to civil or criminal penalties, require us to assume indemnification obligations or breach contractual provisions. We cannot guarantee that existing or future laws or regulations, including federal, state and local tax laws, will not adversely affect our business (including CCIC's REIT status), increase delays or result in additional costs. We also may incur additional costs as a result of liabilities under applicable laws and regulations, such as those governing environmental and safety matters. These factors may have a material adverse effect on us.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CCIC’s failure to remain qualified to be taxed as a REIT would result in its inability to deduct dividends to stockholders when computing its taxable income, which could reduce our available cash or subject us to income taxes.</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CCIC operates as a REIT for federal income tax purposes. As a REIT, CCIC is generally entitled to a deduction for dividends that it pays and therefore is not subject to U.S. federal corporate income tax on its taxable income that is distributed to its stockholders. As a REIT, CCIC may still be subject to certain federal, state, local, and foreign taxes on its income and assets, including alternative minimum taxes, taxes on any undistributed income, and state, local, or foreign income, franchise, property, and transfer taxes. We are an indirect subsidiary of CCIC and, for U.S. federal income tax purposes, our assets and operations are part of the CCIC REIT. Furthermore, as a result of the deduction for dividends paid, some or all of CCIC's net operating loss carryforwards ("NOLs") related to its REIT status may expire without utilization.</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While CCIC intends to operate so that it remains qualified as a REIT, given the highly complex nature of the rules governing REITs, the importance of ongoing factual determinations, the possibility of future changes in circumstances, and the potential impact of future changes to laws and regulations impacting REITs, no assurance can be given by CCIC or us that CCIC will qualify as a REIT for any particular year.</w:t>
      </w:r>
    </w:p>
    <w:p>
      <w:pPr>
        <w:spacing w:after="0" w:line="12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do not expect the recently enacted legislation commonly referred to as the Tax Reform Act to significantly affect us, although we cannot predict with certainty how such legislation will affect CCIC and us in the future. In addition, the present U.S. federal tax treatment of REITs is subject to change, possibly with retroactive effect, by legislative, judicial or administrative action at any time, and any such change might adversely affect CCIC's REIT status or benefits. We cannot predict the impact, if any, that such changes, if enacted, might have on our business. However, it is possible that such changes could adversely affect our business or inclusion of our assets and operations in CCIC's REIT.</w:t>
      </w:r>
    </w:p>
    <w:p>
      <w:pPr>
        <w:spacing w:after="0" w:line="1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If, in any taxable year, CCIC fails to qualify for taxation as a REIT and it is not entitled to relief under the Code, then we will be subject to federal and state income tax, including for applicable years beginning before January 1, 2018, any applicable alternative minimum tax, on our taxable income at regular corporate rates.</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a REIT, CCIC needs to continually satisfy tests concerning, among other things, the sources of its income, the nature and diversification of its assets, the amounts it dividends to its stockholders, and the ownership of its capital stock in order to maintain REIT status. Compliance with these tests requires CCIC to refrain from certain activities and may hinder its ability to make certain attractive investments, including the purchase of non-qualifying assets, the expansion of non-real estate activities, and investments in the businesses to be conducted by its taxable REIT subsidiaries ("TRSs"), and to that extent limit its opportunities and its flexibility to change its business strategy. Furthermore, acquisition opportunities in domestic or international markets may be adversely affected if CCIC needs or requires the target company to comply with some REIT requirements prior to completing any such acquisition. In addition, as a REIT, CCIC may face investor pressures not to pursue growth opportunities that are not immediately accretive.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CCIC maintains a website at www.crowncastle.com. Our annual reports on Form 10-K, quarterly reports on Form 10-Q, and current reports on Form 8-K (and any amendments to those reports filed or furnished pursuant to Section 13(a) or 15(d) of the Securities Exchange Act of 1934, as amended) ("Exchange Act") are made available, free of charge, through the investor relations section of CCIC's website at http://investor.crowncastle.com or at the SEC's website at http://sec.gov as soon as reasonably practicable after we electronically file such material with, or furnish it to, the SEC. You may also read or copy any document we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file with the SEC at the SEC's public reference room at 100 F Street, N.E., Washington, D.C. 20549. Please call the SEC at 1-800-SEC-0330 for further information on the public reference room.</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Towers are vertical, metal structures generally ranging in height from 50 to 300 feet. Our towers are located on tracts of land that support the towers, equipment shelters and, where applicable, guy-wires to stabilize the structure. As of December 31, 2017, the average number of tenants (defined as a unique license and any related amendments thereto) per site is approximately </w:t>
      </w:r>
      <w:r>
        <w:rPr>
          <w:rFonts w:ascii="Arial" w:cs="Arial" w:eastAsia="Arial" w:hAnsi="Arial"/>
          <w:sz w:val="18"/>
          <w:szCs w:val="18"/>
          <w:color w:val="231F20"/>
        </w:rPr>
        <w:t>2.8</w:t>
      </w:r>
      <w:r>
        <w:rPr>
          <w:rFonts w:ascii="Arial" w:cs="Arial" w:eastAsia="Arial" w:hAnsi="Arial"/>
          <w:sz w:val="18"/>
          <w:szCs w:val="18"/>
          <w:color w:val="auto"/>
        </w:rPr>
        <w:t>. Substantially all of our towers can accommodate additional tenancy either as currently constructed or with appropriate modifications to the structure.</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1. Business—Overview"</w:t>
      </w:r>
      <w:r>
        <w:rPr>
          <w:rFonts w:ascii="Arial" w:cs="Arial" w:eastAsia="Arial" w:hAnsi="Arial"/>
          <w:sz w:val="18"/>
          <w:szCs w:val="18"/>
          <w:color w:val="auto"/>
        </w:rPr>
        <w:t xml:space="preserve"> for information regarding our communications infrastructure portfolio and for a discussion of the location of our towers, including the percentage of our towers in the top 50 and 100 BTAs. See </w:t>
      </w:r>
      <w:r>
        <w:rPr>
          <w:rFonts w:ascii="Arial" w:cs="Arial" w:eastAsia="Arial" w:hAnsi="Arial"/>
          <w:sz w:val="18"/>
          <w:szCs w:val="18"/>
          <w:i w:val="1"/>
          <w:iCs w:val="1"/>
          <w:color w:val="auto"/>
        </w:rPr>
        <w:t>"Item 7. MD&amp;A—General Overview"</w:t>
      </w:r>
      <w:r>
        <w:rPr>
          <w:rFonts w:ascii="Arial" w:cs="Arial" w:eastAsia="Arial" w:hAnsi="Arial"/>
          <w:sz w:val="18"/>
          <w:szCs w:val="18"/>
          <w:color w:val="auto"/>
        </w:rPr>
        <w:t xml:space="preserve"> for information on land interests under our sites as of December 31, 2017.</w:t>
      </w:r>
    </w:p>
    <w:p>
      <w:pPr>
        <w:spacing w:after="0" w:line="33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7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are periodically involved in legal proceedings that arise in the ordinary course of business. Most of these proceedings arising in the ordinary course of business involve disputes with landlords, vendors, collection matters involving bankrupt customers, zoning or siting matters or condemnation. While the outcome of these matters cannot be predicted with certainty, management does not expect any pending matters to have a material adverse effect on us.</w:t>
      </w:r>
    </w:p>
    <w:p>
      <w:pPr>
        <w:spacing w:after="0" w:line="30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PART II</w:t>
      </w:r>
    </w:p>
    <w:p>
      <w:pPr>
        <w:spacing w:after="0" w:line="38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equity is not publicly traded. Our only member is GSOP, a wholly-owned indirect subsidiary of CCIC. During 2017, we recorded an equity distribution from GSOP of amounts due to our affiliates of $296.5 million. During 2016, we recorded a net equity contribution from GSOP of amounts due from our affiliates of $228.0 million, comprised of an equity contribution from GSOP of $508.5 million related to the repayment of debt and an equity distribution to GSOP of $280.5 million of amounts due to affiliates. See notes 5 and 6 to our consolidated financial statements.</w:t>
      </w:r>
    </w:p>
    <w:p>
      <w:pPr>
        <w:spacing w:after="0" w:line="33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We own, lease, and manage approximately 7,600 sites located across the United States. See </w:t>
      </w:r>
      <w:r>
        <w:rPr>
          <w:rFonts w:ascii="Arial" w:cs="Arial" w:eastAsia="Arial" w:hAnsi="Arial"/>
          <w:sz w:val="18"/>
          <w:szCs w:val="18"/>
          <w:i w:val="1"/>
          <w:iCs w:val="1"/>
          <w:color w:val="auto"/>
        </w:rPr>
        <w:t>"Item 1. Business"</w:t>
      </w:r>
      <w:r>
        <w:rPr>
          <w:rFonts w:ascii="Arial" w:cs="Arial" w:eastAsia="Arial" w:hAnsi="Arial"/>
          <w:sz w:val="18"/>
          <w:szCs w:val="18"/>
          <w:color w:val="auto"/>
        </w:rPr>
        <w:t xml:space="preserve"> for additional information regarding our sites and contracts.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Business Fundamentals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business fundamentals as of and for the year ended December 31, 2017:</w:t>
      </w:r>
    </w:p>
    <w:p>
      <w:pPr>
        <w:spacing w:after="0" w:line="171" w:lineRule="exact"/>
        <w:rPr>
          <w:sz w:val="20"/>
          <w:szCs w:val="20"/>
          <w:color w:val="auto"/>
        </w:rPr>
      </w:pPr>
    </w:p>
    <w:p>
      <w:pPr>
        <w:ind w:left="820" w:hanging="407"/>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growth resulting from wireless network expansion and new entrants caused by increasing demand for wireless data</w:t>
      </w:r>
    </w:p>
    <w:p>
      <w:pPr>
        <w:spacing w:after="0" w:line="23"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expect wireless carriers will continue their focus on improving network quality and expanding capacity by adding additional antennas or other equipment on our communications infrastructure.</w:t>
      </w:r>
    </w:p>
    <w:p>
      <w:pPr>
        <w:jc w:val="both"/>
        <w:ind w:left="1220" w:hanging="402"/>
        <w:spacing w:after="0" w:line="265" w:lineRule="auto"/>
        <w:tabs>
          <w:tab w:leader="none" w:pos="1220" w:val="left"/>
        </w:tabs>
        <w:numPr>
          <w:ilvl w:val="1"/>
          <w:numId w:val="6"/>
        </w:numPr>
        <w:rPr>
          <w:rFonts w:ascii="Arial" w:cs="Arial" w:eastAsia="Arial" w:hAnsi="Arial"/>
          <w:sz w:val="17"/>
          <w:szCs w:val="17"/>
          <w:color w:val="auto"/>
        </w:rPr>
      </w:pPr>
      <w:r>
        <w:rPr>
          <w:rFonts w:ascii="Arial" w:cs="Arial" w:eastAsia="Arial" w:hAnsi="Arial"/>
          <w:sz w:val="17"/>
          <w:szCs w:val="17"/>
          <w:color w:val="auto"/>
        </w:rPr>
        <w:t>We expect existing and potential new customer demand for our towers will result from (1) new technologies, (2) increased usage of mobile entertainment, mobile internet usage, and machine-to-machine applications, (3) adoption of other emerging and embedded wireless devices (including smartphones, laptops, tablets, and other devices), (4) increasing smartphone penetration, (5) wireless carrier focus on expanding both network quality and capacity and (6) the availability of additional spectrum.</w:t>
      </w:r>
    </w:p>
    <w:p>
      <w:pPr>
        <w:ind w:left="1220" w:hanging="402"/>
        <w:spacing w:after="0" w:line="250" w:lineRule="auto"/>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Substantially all of our towers can accommodate additional tenancy, either as currently constructed or with appropriate modifications to the structure.</w:t>
      </w:r>
    </w:p>
    <w:p>
      <w:pPr>
        <w:ind w:left="1220" w:hanging="402"/>
        <w:spacing w:after="0"/>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U.S. wireless carriers continue to invest in their networks.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Organizational Structure</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For U.S. federal income tax purposes, CCIC operates as a REIT and, as its indirect subsidiary, our assets and operations are included in the CCIC REIT. 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and notes 2 and 8 to our consolidated financial statements.</w:t>
      </w:r>
    </w:p>
    <w:p>
      <w:pPr>
        <w:ind w:left="1220" w:hanging="402"/>
        <w:spacing w:after="0" w:line="250" w:lineRule="auto"/>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were organized specifically to own, lease, and manage certain shared communications infrastructure, such as towers or other structures, and have no employees.</w:t>
      </w:r>
    </w:p>
    <w:p>
      <w:pPr>
        <w:jc w:val="both"/>
        <w:ind w:left="1220" w:hanging="402"/>
        <w:spacing w:after="0" w:line="250" w:lineRule="auto"/>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Management services, including those functions reasonably necessary to maintain, market, operate, manage, or administer the sites, are performed by CCUSA. The management fee under the Management Agreement is equal to 7.5% of our "Operating Revenues," as defined under the Management Agreement.</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Site rental revenues under long-term tenant contracts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6"/>
        </w:numPr>
        <w:rPr>
          <w:rFonts w:ascii="Arial" w:cs="Arial" w:eastAsia="Arial" w:hAnsi="Arial"/>
          <w:sz w:val="16"/>
          <w:szCs w:val="16"/>
          <w:color w:val="auto"/>
        </w:rPr>
      </w:pPr>
      <w:r>
        <w:rPr>
          <w:rFonts w:ascii="Arial" w:cs="Arial" w:eastAsia="Arial" w:hAnsi="Arial"/>
          <w:sz w:val="16"/>
          <w:szCs w:val="16"/>
          <w:color w:val="auto"/>
        </w:rPr>
        <w:t>Initial terms of five to 15 years, with contractual escalations and multiple renewal periods at the option of the tenant of five to ten years each.</w:t>
      </w:r>
    </w:p>
    <w:p>
      <w:pPr>
        <w:spacing w:after="0" w:line="32" w:lineRule="exact"/>
        <w:rPr>
          <w:rFonts w:ascii="Arial" w:cs="Arial" w:eastAsia="Arial" w:hAnsi="Arial"/>
          <w:sz w:val="16"/>
          <w:szCs w:val="16"/>
          <w:color w:val="auto"/>
        </w:rPr>
      </w:pPr>
    </w:p>
    <w:p>
      <w:pPr>
        <w:jc w:val="both"/>
        <w:ind w:left="1220" w:hanging="402"/>
        <w:spacing w:after="0" w:line="250" w:lineRule="auto"/>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weighted-average remaining term (calculated by weighting the remaining term for each contract by the related site rental revenue) of tenant contracts was approximately six years, exclusive of renewals at the tenants' option, currently representing approximately $4.2 billion of expected future cash inflows.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predominately from large wireless carriers.</w:t>
      </w:r>
    </w:p>
    <w:p>
      <w:pPr>
        <w:spacing w:after="0" w:line="9" w:lineRule="exact"/>
        <w:rPr>
          <w:rFonts w:ascii="Arial" w:cs="Arial" w:eastAsia="Arial" w:hAnsi="Arial"/>
          <w:sz w:val="18"/>
          <w:szCs w:val="18"/>
          <w:color w:val="auto"/>
        </w:rPr>
      </w:pPr>
    </w:p>
    <w:p>
      <w:pPr>
        <w:ind w:left="1220" w:right="20" w:hanging="402"/>
        <w:spacing w:after="0" w:line="250" w:lineRule="auto"/>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Approximately 88% of our site rental revenues were derived from Sprint, AT&amp;T, T-Mobile, and Verizon Wireless. See "</w:t>
      </w:r>
      <w:r>
        <w:rPr>
          <w:rFonts w:ascii="Arial" w:cs="Arial" w:eastAsia="Arial" w:hAnsi="Arial"/>
          <w:sz w:val="18"/>
          <w:szCs w:val="18"/>
          <w:i w:val="1"/>
          <w:iCs w:val="1"/>
          <w:color w:val="auto"/>
        </w:rPr>
        <w:t>Item 1A. 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and note 11 to our consolidated financial statements.</w:t>
      </w:r>
    </w:p>
    <w:p>
      <w:pPr>
        <w:ind w:left="1220" w:hanging="402"/>
        <w:spacing w:after="0"/>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average number of tenants per site was approximately 2.8.</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Majority of land interests under our towers are under long-term control</w:t>
      </w:r>
    </w:p>
    <w:p>
      <w:pPr>
        <w:spacing w:after="0" w:line="9" w:lineRule="exact"/>
        <w:rPr>
          <w:rFonts w:ascii="Arial" w:cs="Arial" w:eastAsia="Arial" w:hAnsi="Arial"/>
          <w:sz w:val="18"/>
          <w:szCs w:val="18"/>
          <w:color w:val="auto"/>
        </w:rPr>
      </w:pPr>
    </w:p>
    <w:p>
      <w:pPr>
        <w:ind w:left="1220" w:hanging="402"/>
        <w:spacing w:after="0" w:line="261" w:lineRule="auto"/>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More than 80% and more than 50% of our sites are under our control for greater than 10 and 20 years, respectively. The aforementioned include sites that reside on land interests that are owned, including fee interests and perpetual easements.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1" w:name="page12"/>
    <w:bookmarkEnd w:id="11"/>
    <w:p>
      <w:pPr>
        <w:ind w:left="807" w:hanging="402"/>
        <w:spacing w:after="0" w:line="258" w:lineRule="auto"/>
        <w:tabs>
          <w:tab w:leader="none" w:pos="807"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contracts for land interest under our towers had an average remaining life (calculated by weighting the remaining term for each contract by its percentage of our total site rental revenues) of approximately 24 years.</w:t>
      </w:r>
    </w:p>
    <w:p>
      <w:pPr>
        <w:spacing w:after="0" w:line="1" w:lineRule="exact"/>
        <w:rPr>
          <w:rFonts w:ascii="Arial" w:cs="Arial" w:eastAsia="Arial" w:hAnsi="Arial"/>
          <w:sz w:val="18"/>
          <w:szCs w:val="18"/>
          <w:color w:val="auto"/>
        </w:rPr>
      </w:pPr>
    </w:p>
    <w:p>
      <w:pPr>
        <w:jc w:val="both"/>
        <w:ind w:left="807" w:hanging="402"/>
        <w:spacing w:after="0" w:line="250" w:lineRule="auto"/>
        <w:tabs>
          <w:tab w:leader="none" w:pos="807" w:val="left"/>
        </w:tabs>
        <w:numPr>
          <w:ilvl w:val="2"/>
          <w:numId w:val="7"/>
        </w:numPr>
        <w:rPr>
          <w:rFonts w:ascii="Arial" w:cs="Arial" w:eastAsia="Arial" w:hAnsi="Arial"/>
          <w:sz w:val="18"/>
          <w:szCs w:val="18"/>
          <w:color w:val="auto"/>
        </w:rPr>
      </w:pPr>
      <w:r>
        <w:rPr>
          <w:rFonts w:ascii="Arial" w:cs="Arial" w:eastAsia="Arial" w:hAnsi="Arial"/>
          <w:sz w:val="18"/>
          <w:szCs w:val="18"/>
          <w:color w:val="auto"/>
        </w:rPr>
        <w:t>Approximately 20% of our site rental cost of operations represents ground lease payments to our affiliates. Such affiliates acquired the rights to such land interests as a result of negotiated transactions with third parties in connection with a program established by CCIC to extend the rights to the land under its portfolio of towers.</w:t>
      </w:r>
    </w:p>
    <w:p>
      <w:pPr>
        <w:spacing w:after="0" w:line="1" w:lineRule="exact"/>
        <w:rPr>
          <w:rFonts w:ascii="Arial" w:cs="Arial" w:eastAsia="Arial" w:hAnsi="Arial"/>
          <w:sz w:val="18"/>
          <w:szCs w:val="18"/>
          <w:color w:val="auto"/>
        </w:rPr>
      </w:pPr>
    </w:p>
    <w:p>
      <w:pPr>
        <w:ind w:left="407" w:hanging="407"/>
        <w:spacing w:after="0"/>
        <w:tabs>
          <w:tab w:leader="none" w:pos="407"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Relatively fixed tower operating costs</w:t>
      </w:r>
    </w:p>
    <w:p>
      <w:pPr>
        <w:spacing w:after="0" w:line="9" w:lineRule="exact"/>
        <w:rPr>
          <w:rFonts w:ascii="Arial" w:cs="Arial" w:eastAsia="Arial" w:hAnsi="Arial"/>
          <w:sz w:val="18"/>
          <w:szCs w:val="18"/>
          <w:color w:val="auto"/>
        </w:rPr>
      </w:pPr>
    </w:p>
    <w:p>
      <w:pPr>
        <w:ind w:left="807" w:hanging="402"/>
        <w:spacing w:after="0" w:line="250" w:lineRule="auto"/>
        <w:tabs>
          <w:tab w:leader="none" w:pos="807" w:val="left"/>
        </w:tabs>
        <w:numPr>
          <w:ilvl w:val="2"/>
          <w:numId w:val="7"/>
        </w:numPr>
        <w:rPr>
          <w:rFonts w:ascii="Arial" w:cs="Arial" w:eastAsia="Arial" w:hAnsi="Arial"/>
          <w:sz w:val="18"/>
          <w:szCs w:val="18"/>
          <w:color w:val="auto"/>
        </w:rPr>
      </w:pPr>
      <w:r>
        <w:rPr>
          <w:rFonts w:ascii="Arial" w:cs="Arial" w:eastAsia="Arial" w:hAnsi="Arial"/>
          <w:sz w:val="18"/>
          <w:szCs w:val="18"/>
          <w:color w:val="auto"/>
        </w:rPr>
        <w:t>Our operating costs tend to escalate at approximately the rate of inflation and are not typically influenced by tenant additions or non-renewals.</w:t>
      </w:r>
    </w:p>
    <w:p>
      <w:pPr>
        <w:ind w:left="407" w:hanging="407"/>
        <w:spacing w:after="0"/>
        <w:tabs>
          <w:tab w:leader="none" w:pos="407"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9" w:lineRule="exact"/>
        <w:rPr>
          <w:rFonts w:ascii="Arial" w:cs="Arial" w:eastAsia="Arial" w:hAnsi="Arial"/>
          <w:sz w:val="18"/>
          <w:szCs w:val="18"/>
          <w:color w:val="auto"/>
        </w:rPr>
      </w:pPr>
    </w:p>
    <w:p>
      <w:pPr>
        <w:ind w:left="807" w:hanging="402"/>
        <w:spacing w:after="0"/>
        <w:tabs>
          <w:tab w:leader="none" w:pos="807" w:val="left"/>
        </w:tabs>
        <w:numPr>
          <w:ilvl w:val="2"/>
          <w:numId w:val="7"/>
        </w:numPr>
        <w:rPr>
          <w:rFonts w:ascii="Arial" w:cs="Arial" w:eastAsia="Arial" w:hAnsi="Arial"/>
          <w:sz w:val="18"/>
          <w:szCs w:val="18"/>
          <w:color w:val="auto"/>
        </w:rPr>
      </w:pPr>
      <w:r>
        <w:rPr>
          <w:rFonts w:ascii="Arial" w:cs="Arial" w:eastAsia="Arial" w:hAnsi="Arial"/>
          <w:sz w:val="18"/>
          <w:szCs w:val="18"/>
          <w:color w:val="auto"/>
        </w:rPr>
        <w:t>Sustaining capital expenditures represented approximately 2% of site rental revenues.</w:t>
      </w:r>
    </w:p>
    <w:p>
      <w:pPr>
        <w:spacing w:after="0" w:line="9" w:lineRule="exact"/>
        <w:rPr>
          <w:rFonts w:ascii="Arial" w:cs="Arial" w:eastAsia="Arial" w:hAnsi="Arial"/>
          <w:sz w:val="18"/>
          <w:szCs w:val="18"/>
          <w:color w:val="auto"/>
        </w:rPr>
      </w:pPr>
    </w:p>
    <w:p>
      <w:pPr>
        <w:ind w:left="407" w:hanging="407"/>
        <w:spacing w:after="0"/>
        <w:tabs>
          <w:tab w:leader="none" w:pos="407"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 rate debt with no short-term maturities</w:t>
      </w:r>
    </w:p>
    <w:p>
      <w:pPr>
        <w:spacing w:after="0" w:line="9" w:lineRule="exact"/>
        <w:rPr>
          <w:rFonts w:ascii="Arial" w:cs="Arial" w:eastAsia="Arial" w:hAnsi="Arial"/>
          <w:sz w:val="18"/>
          <w:szCs w:val="18"/>
          <w:color w:val="auto"/>
        </w:rPr>
      </w:pPr>
    </w:p>
    <w:p>
      <w:pPr>
        <w:ind w:left="807" w:hanging="402"/>
        <w:spacing w:after="0"/>
        <w:tabs>
          <w:tab w:leader="none" w:pos="807" w:val="left"/>
        </w:tabs>
        <w:numPr>
          <w:ilvl w:val="2"/>
          <w:numId w:val="7"/>
        </w:numPr>
        <w:rPr>
          <w:rFonts w:ascii="Arial" w:cs="Arial" w:eastAsia="Arial" w:hAnsi="Arial"/>
          <w:sz w:val="16"/>
          <w:szCs w:val="16"/>
          <w:color w:val="auto"/>
        </w:rPr>
      </w:pPr>
      <w:r>
        <w:rPr>
          <w:rFonts w:ascii="Arial" w:cs="Arial" w:eastAsia="Arial" w:hAnsi="Arial"/>
          <w:sz w:val="16"/>
          <w:szCs w:val="16"/>
          <w:color w:val="auto"/>
        </w:rPr>
        <w:t>Our debt consists of $1.0 billion aggregate principal amount of 3.849% Secured Notes. See note 5 to our consolidated financial statements.</w:t>
      </w:r>
    </w:p>
    <w:p>
      <w:pPr>
        <w:spacing w:after="0" w:line="32" w:lineRule="exact"/>
        <w:rPr>
          <w:rFonts w:ascii="Arial" w:cs="Arial" w:eastAsia="Arial" w:hAnsi="Arial"/>
          <w:sz w:val="16"/>
          <w:szCs w:val="16"/>
          <w:color w:val="auto"/>
        </w:rPr>
      </w:pPr>
    </w:p>
    <w:p>
      <w:pPr>
        <w:ind w:left="407" w:hanging="326"/>
        <w:spacing w:after="0"/>
        <w:tabs>
          <w:tab w:leader="none" w:pos="407" w:val="left"/>
        </w:tabs>
        <w:numPr>
          <w:ilvl w:val="1"/>
          <w:numId w:val="7"/>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9" w:lineRule="exact"/>
        <w:rPr>
          <w:rFonts w:ascii="Arial" w:cs="Arial" w:eastAsia="Arial" w:hAnsi="Arial"/>
          <w:sz w:val="18"/>
          <w:szCs w:val="18"/>
          <w:color w:val="auto"/>
        </w:rPr>
      </w:pPr>
    </w:p>
    <w:p>
      <w:pPr>
        <w:ind w:left="807" w:hanging="402"/>
        <w:spacing w:after="0"/>
        <w:tabs>
          <w:tab w:leader="none" w:pos="807" w:val="left"/>
        </w:tabs>
        <w:numPr>
          <w:ilvl w:val="2"/>
          <w:numId w:val="7"/>
        </w:numPr>
        <w:rPr>
          <w:rFonts w:ascii="Arial" w:cs="Arial" w:eastAsia="Arial" w:hAnsi="Arial"/>
          <w:sz w:val="18"/>
          <w:szCs w:val="18"/>
          <w:color w:val="auto"/>
        </w:rPr>
      </w:pPr>
      <w:r>
        <w:rPr>
          <w:rFonts w:ascii="Arial" w:cs="Arial" w:eastAsia="Arial" w:hAnsi="Arial"/>
          <w:sz w:val="18"/>
          <w:szCs w:val="18"/>
          <w:color w:val="auto"/>
        </w:rPr>
        <w:t>Net cash provided by operating activities was $357.3 million. See "</w:t>
      </w:r>
      <w:r>
        <w:rPr>
          <w:rFonts w:ascii="Arial" w:cs="Arial" w:eastAsia="Arial" w:hAnsi="Arial"/>
          <w:sz w:val="18"/>
          <w:szCs w:val="18"/>
          <w:i w:val="1"/>
          <w:iCs w:val="1"/>
          <w:color w:val="auto"/>
        </w:rPr>
        <w:t>Item 7. MD&amp;A—Liquidity and Capital Resources."</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8"/>
          <w:szCs w:val="18"/>
          <w:i w:val="1"/>
          <w:iCs w:val="1"/>
          <w:color w:val="auto"/>
        </w:rPr>
        <w:t>Outlook Highlights</w:t>
      </w:r>
    </w:p>
    <w:p>
      <w:pPr>
        <w:spacing w:after="0" w:line="171"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following are certain highlights of our outlook that impact our business fundamentals described above.</w:t>
      </w:r>
    </w:p>
    <w:p>
      <w:pPr>
        <w:spacing w:after="0" w:line="171" w:lineRule="exact"/>
        <w:rPr>
          <w:sz w:val="20"/>
          <w:szCs w:val="20"/>
          <w:color w:val="auto"/>
        </w:rPr>
      </w:pPr>
    </w:p>
    <w:p>
      <w:pPr>
        <w:ind w:left="407" w:hanging="407"/>
        <w:spacing w:after="0"/>
        <w:tabs>
          <w:tab w:leader="none" w:pos="407"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demand for tenant leasing to continue during 2018.</w:t>
      </w:r>
    </w:p>
    <w:p>
      <w:pPr>
        <w:spacing w:after="0" w:line="23" w:lineRule="exact"/>
        <w:rPr>
          <w:rFonts w:ascii="Arial" w:cs="Arial" w:eastAsia="Arial" w:hAnsi="Arial"/>
          <w:sz w:val="18"/>
          <w:szCs w:val="18"/>
          <w:color w:val="auto"/>
        </w:rPr>
      </w:pPr>
    </w:p>
    <w:p>
      <w:pPr>
        <w:ind w:left="807" w:hanging="807"/>
        <w:spacing w:after="0" w:line="261" w:lineRule="auto"/>
        <w:tabs>
          <w:tab w:leader="none" w:pos="402"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2018, we also expect that the impact from tenant leasing will be offset by non-renewals of tenant contracts, primarily from our customers' decommissioning of the Acquired Networks, at least in part.</w:t>
      </w:r>
    </w:p>
    <w:p>
      <w:pPr>
        <w:spacing w:after="0" w:line="200" w:lineRule="exact"/>
        <w:rPr>
          <w:sz w:val="20"/>
          <w:szCs w:val="20"/>
          <w:color w:val="auto"/>
        </w:rPr>
      </w:pPr>
    </w:p>
    <w:p>
      <w:pPr>
        <w:spacing w:after="0" w:line="389" w:lineRule="exact"/>
        <w:rPr>
          <w:sz w:val="20"/>
          <w:szCs w:val="20"/>
          <w:color w:val="auto"/>
        </w:rPr>
      </w:pPr>
    </w:p>
    <w:p>
      <w:pPr>
        <w:jc w:val="center"/>
        <w:ind w:right="39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7"/>
          </w:cols>
          <w:pgMar w:left="653"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following discussion of our results of operations should be read in conjunction with </w:t>
      </w:r>
      <w:r>
        <w:rPr>
          <w:rFonts w:ascii="Arial" w:cs="Arial" w:eastAsia="Arial" w:hAnsi="Arial"/>
          <w:sz w:val="18"/>
          <w:szCs w:val="18"/>
          <w:i w:val="1"/>
          <w:iCs w:val="1"/>
          <w:color w:val="auto"/>
        </w:rPr>
        <w:t>"Item 1. Business," "Item 7. MD&amp;A—Liquidity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and our consolidated financial statements. The following discussion of our results of operations is based on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prepared in accordance with generally accepted accounting principles in the U.S. ("GAAP") which requires us to make estimates and judgments that affect the reported amounts. See </w:t>
      </w:r>
      <w:r>
        <w:rPr>
          <w:rFonts w:ascii="Arial" w:cs="Arial" w:eastAsia="Arial" w:hAnsi="Arial"/>
          <w:sz w:val="18"/>
          <w:szCs w:val="18"/>
          <w:i w:val="1"/>
          <w:iCs w:val="1"/>
          <w:color w:val="auto"/>
        </w:rPr>
        <w:t>"Item 7. MD&amp;A—Accounting and Reporting Matters—Critical Accounting Policies and Estimates"</w:t>
      </w:r>
      <w:r>
        <w:rPr>
          <w:rFonts w:ascii="Arial" w:cs="Arial" w:eastAsia="Arial" w:hAnsi="Arial"/>
          <w:sz w:val="18"/>
          <w:szCs w:val="18"/>
          <w:color w:val="auto"/>
        </w:rPr>
        <w:t xml:space="preserve"> and note 2 to our consolidated financial statements.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Comparison of Consolidated Results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comparison of our 2017, 2016 and 2015 consolidated results of operations: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4"/>
                <w:szCs w:val="14"/>
                <w:b w:val="1"/>
                <w:bCs w:val="1"/>
                <w:color w:val="auto"/>
                <w:w w:val="92"/>
              </w:rPr>
              <w:t>Years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center"/>
              <w:ind w:right="240"/>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560" w:type="dxa"/>
            <w:vAlign w:val="bottom"/>
            <w:gridSpan w:val="2"/>
          </w:tcPr>
          <w:p>
            <w:pPr>
              <w:ind w:left="320"/>
              <w:spacing w:after="0"/>
              <w:rPr>
                <w:sz w:val="20"/>
                <w:szCs w:val="20"/>
                <w:color w:val="auto"/>
              </w:rPr>
            </w:pPr>
            <w:r>
              <w:rPr>
                <w:rFonts w:ascii="Arial" w:cs="Arial" w:eastAsia="Arial" w:hAnsi="Arial"/>
                <w:sz w:val="14"/>
                <w:szCs w:val="14"/>
                <w:b w:val="1"/>
                <w:bCs w:val="1"/>
                <w:color w:val="auto"/>
              </w:rPr>
              <w:t>2017 vs. 2016</w:t>
            </w:r>
          </w:p>
        </w:tc>
        <w:tc>
          <w:tcPr>
            <w:tcW w:w="1440" w:type="dxa"/>
            <w:vAlign w:val="bottom"/>
          </w:tcPr>
          <w:p>
            <w:pPr>
              <w:jc w:val="right"/>
              <w:ind w:right="240"/>
              <w:spacing w:after="0"/>
              <w:rPr>
                <w:sz w:val="20"/>
                <w:szCs w:val="20"/>
                <w:color w:val="auto"/>
              </w:rPr>
            </w:pPr>
            <w:r>
              <w:rPr>
                <w:rFonts w:ascii="Arial" w:cs="Arial" w:eastAsia="Arial" w:hAnsi="Arial"/>
                <w:sz w:val="14"/>
                <w:szCs w:val="14"/>
                <w:b w:val="1"/>
                <w:bCs w:val="1"/>
                <w:color w:val="auto"/>
              </w:rPr>
              <w:t>2016 vs. 2015</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(In thousands of dollars)</w:t>
            </w: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Site rental revenues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616,897</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611,639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607,276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70"/>
        </w:trPr>
        <w:tc>
          <w:tcPr>
            <w:tcW w:w="4040" w:type="dxa"/>
            <w:vAlign w:val="bottom"/>
            <w:gridSpan w:val="2"/>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3900" w:type="dxa"/>
            <w:vAlign w:val="bottom"/>
          </w:tcPr>
          <w:p>
            <w:pPr>
              <w:ind w:left="360"/>
              <w:spacing w:after="0"/>
              <w:rPr>
                <w:sz w:val="20"/>
                <w:szCs w:val="20"/>
                <w:color w:val="auto"/>
              </w:rPr>
            </w:pPr>
            <w:r>
              <w:rPr>
                <w:rFonts w:ascii="Arial" w:cs="Arial" w:eastAsia="Arial" w:hAnsi="Arial"/>
                <w:sz w:val="16"/>
                <w:szCs w:val="16"/>
                <w:color w:val="auto"/>
              </w:rPr>
              <w:t>Costs of operations</w:t>
            </w:r>
            <w:r>
              <w:rPr>
                <w:rFonts w:ascii="Arial" w:cs="Arial" w:eastAsia="Arial" w:hAnsi="Arial"/>
                <w:sz w:val="21"/>
                <w:szCs w:val="21"/>
                <w:color w:val="auto"/>
                <w:vertAlign w:val="superscript"/>
              </w:rPr>
              <w:t>(a)(b):</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186,419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185,713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182,084</w:t>
            </w:r>
          </w:p>
        </w:tc>
        <w:tc>
          <w:tcPr>
            <w:tcW w:w="100" w:type="dxa"/>
            <w:vAlign w:val="bottom"/>
          </w:tcPr>
          <w:p>
            <w:pPr>
              <w:spacing w:after="0"/>
              <w:rPr>
                <w:sz w:val="23"/>
                <w:szCs w:val="23"/>
                <w:color w:val="auto"/>
              </w:rPr>
            </w:pPr>
          </w:p>
        </w:tc>
        <w:tc>
          <w:tcPr>
            <w:tcW w:w="1560" w:type="dxa"/>
            <w:vAlign w:val="bottom"/>
            <w:gridSpan w:val="2"/>
          </w:tcPr>
          <w:p>
            <w:pPr>
              <w:ind w:left="1060"/>
              <w:spacing w:after="0"/>
              <w:rPr>
                <w:sz w:val="20"/>
                <w:szCs w:val="20"/>
                <w:color w:val="auto"/>
              </w:rPr>
            </w:pPr>
            <w:r>
              <w:rPr>
                <w:rFonts w:ascii="Arial" w:cs="Arial" w:eastAsia="Arial" w:hAnsi="Arial"/>
                <w:sz w:val="16"/>
                <w:szCs w:val="16"/>
                <w:color w:val="auto"/>
              </w:rPr>
              <w:t>— %</w:t>
            </w:r>
          </w:p>
        </w:tc>
        <w:tc>
          <w:tcPr>
            <w:tcW w:w="1440" w:type="dxa"/>
            <w:vAlign w:val="bottom"/>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70"/>
        </w:trPr>
        <w:tc>
          <w:tcPr>
            <w:tcW w:w="140" w:type="dxa"/>
            <w:vAlign w:val="bottom"/>
            <w:shd w:val="clear" w:color="auto" w:fill="CCEEFF"/>
          </w:tcPr>
          <w:p>
            <w:pPr>
              <w:spacing w:after="0"/>
              <w:rPr>
                <w:sz w:val="23"/>
                <w:szCs w:val="23"/>
                <w:color w:val="auto"/>
              </w:rPr>
            </w:pPr>
          </w:p>
        </w:tc>
        <w:tc>
          <w:tcPr>
            <w:tcW w:w="3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Management fee</w:t>
            </w:r>
            <w:r>
              <w:rPr>
                <w:rFonts w:ascii="Arial" w:cs="Arial" w:eastAsia="Arial" w:hAnsi="Arial"/>
                <w:sz w:val="21"/>
                <w:szCs w:val="21"/>
                <w:color w:val="auto"/>
                <w:vertAlign w:val="superscript"/>
              </w:rPr>
              <w:t>(b)</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46,946</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45,433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43,709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3900" w:type="dxa"/>
            <w:vAlign w:val="bottom"/>
          </w:tcPr>
          <w:p>
            <w:pPr>
              <w:ind w:left="360"/>
              <w:spacing w:after="0"/>
              <w:rPr>
                <w:sz w:val="20"/>
                <w:szCs w:val="20"/>
                <w:color w:val="auto"/>
              </w:rPr>
            </w:pPr>
            <w:r>
              <w:rPr>
                <w:rFonts w:ascii="Arial" w:cs="Arial" w:eastAsia="Arial" w:hAnsi="Arial"/>
                <w:sz w:val="16"/>
                <w:szCs w:val="16"/>
                <w:color w:val="auto"/>
              </w:rPr>
              <w:t>Asset write-down charges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4,851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6,021</w:t>
            </w:r>
          </w:p>
        </w:tc>
        <w:tc>
          <w:tcPr>
            <w:tcW w:w="1540" w:type="dxa"/>
            <w:vAlign w:val="bottom"/>
            <w:gridSpan w:val="2"/>
          </w:tcPr>
          <w:p>
            <w:pPr>
              <w:jc w:val="right"/>
              <w:ind w:right="12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Borders>
              <w:bottom w:val="single" w:sz="8" w:color="CCEEFF"/>
            </w:tcBorders>
            <w:shd w:val="clear" w:color="auto" w:fill="CCEEFF"/>
          </w:tcPr>
          <w:p>
            <w:pPr>
              <w:spacing w:after="0"/>
              <w:rPr>
                <w:sz w:val="23"/>
                <w:szCs w:val="23"/>
                <w:color w:val="auto"/>
              </w:rPr>
            </w:pPr>
          </w:p>
        </w:tc>
        <w:tc>
          <w:tcPr>
            <w:tcW w:w="3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Depreciation, amortization and accretion</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210,607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209,361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207,825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3900" w:type="dxa"/>
            <w:vAlign w:val="bottom"/>
          </w:tcPr>
          <w:p>
            <w:pPr>
              <w:ind w:left="6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444,153</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445,358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439,639</w:t>
            </w:r>
          </w:p>
        </w:tc>
        <w:tc>
          <w:tcPr>
            <w:tcW w:w="100" w:type="dxa"/>
            <w:vAlign w:val="bottom"/>
          </w:tcPr>
          <w:p>
            <w:pPr>
              <w:spacing w:after="0"/>
              <w:rPr>
                <w:sz w:val="18"/>
                <w:szCs w:val="18"/>
                <w:color w:val="auto"/>
              </w:rPr>
            </w:pPr>
          </w:p>
        </w:tc>
        <w:tc>
          <w:tcPr>
            <w:tcW w:w="1440" w:type="dxa"/>
            <w:vAlign w:val="bottom"/>
            <w:tcBorders>
              <w:top w:val="single" w:sz="8" w:color="auto"/>
            </w:tcBorders>
          </w:tcPr>
          <w:p>
            <w:pPr>
              <w:ind w:left="106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172,744</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166,281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167,637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4040" w:type="dxa"/>
            <w:vAlign w:val="bottom"/>
            <w:gridSpan w:val="2"/>
          </w:tcPr>
          <w:p>
            <w:pPr>
              <w:ind w:left="40"/>
              <w:spacing w:after="0"/>
              <w:rPr>
                <w:sz w:val="20"/>
                <w:szCs w:val="20"/>
                <w:color w:val="auto"/>
              </w:rPr>
            </w:pPr>
            <w:r>
              <w:rPr>
                <w:rFonts w:ascii="Arial" w:cs="Arial" w:eastAsia="Arial" w:hAnsi="Arial"/>
                <w:sz w:val="16"/>
                <w:szCs w:val="16"/>
                <w:color w:val="auto"/>
              </w:rPr>
              <w:t>Interest expense and amortization of deferred financing</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3900" w:type="dxa"/>
            <w:vAlign w:val="bottom"/>
          </w:tcPr>
          <w:p>
            <w:pPr>
              <w:ind w:left="60"/>
              <w:spacing w:after="0" w:line="239" w:lineRule="exact"/>
              <w:rPr>
                <w:sz w:val="20"/>
                <w:szCs w:val="20"/>
                <w:color w:val="auto"/>
              </w:rPr>
            </w:pPr>
            <w:r>
              <w:rPr>
                <w:rFonts w:ascii="Arial" w:cs="Arial" w:eastAsia="Arial" w:hAnsi="Arial"/>
                <w:sz w:val="16"/>
                <w:szCs w:val="16"/>
                <w:color w:val="auto"/>
              </w:rPr>
              <w:t>costs</w:t>
            </w:r>
            <w:r>
              <w:rPr>
                <w:rFonts w:ascii="Arial" w:cs="Arial" w:eastAsia="Arial" w:hAnsi="Arial"/>
                <w:sz w:val="21"/>
                <w:szCs w:val="21"/>
                <w:color w:val="auto"/>
                <w:vertAlign w:val="superscript"/>
              </w:rPr>
              <w:t>(b)</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(39,874)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(49,515)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(53,223)</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Gain (loss) on retirement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gridSpan w:val="2"/>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40" w:type="dxa"/>
            <w:vAlign w:val="bottom"/>
            <w:gridSpan w:val="2"/>
          </w:tcPr>
          <w:p>
            <w:pPr>
              <w:ind w:left="40"/>
              <w:spacing w:after="0"/>
              <w:rPr>
                <w:sz w:val="20"/>
                <w:szCs w:val="20"/>
                <w:color w:val="auto"/>
              </w:rPr>
            </w:pPr>
            <w:r>
              <w:rPr>
                <w:rFonts w:ascii="Arial" w:cs="Arial" w:eastAsia="Arial" w:hAnsi="Arial"/>
                <w:sz w:val="16"/>
                <w:szCs w:val="16"/>
                <w:color w:val="auto"/>
              </w:rPr>
              <w:t>Other income (expense)</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(244)</w:t>
            </w:r>
          </w:p>
        </w:tc>
        <w:tc>
          <w:tcPr>
            <w:tcW w:w="1540" w:type="dxa"/>
            <w:vAlign w:val="bottom"/>
            <w:gridSpan w:val="2"/>
          </w:tcPr>
          <w:p>
            <w:pPr>
              <w:jc w:val="right"/>
              <w:ind w:right="12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133,157</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106,251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114,170</w:t>
            </w:r>
          </w:p>
        </w:tc>
        <w:tc>
          <w:tcPr>
            <w:tcW w:w="1540" w:type="dxa"/>
            <w:vAlign w:val="bottom"/>
            <w:tcBorders>
              <w:bottom w:val="single" w:sz="8" w:color="CCEEFF"/>
            </w:tcBorders>
            <w:gridSpan w:val="2"/>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40" w:type="dxa"/>
            <w:vAlign w:val="bottom"/>
            <w:gridSpan w:val="2"/>
          </w:tcPr>
          <w:p>
            <w:pPr>
              <w:ind w:left="40"/>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733</w:t>
            </w:r>
          </w:p>
        </w:tc>
        <w:tc>
          <w:tcPr>
            <w:tcW w:w="1540" w:type="dxa"/>
            <w:vAlign w:val="bottom"/>
            <w:gridSpan w:val="2"/>
          </w:tcPr>
          <w:p>
            <w:pPr>
              <w:jc w:val="right"/>
              <w:ind w:right="12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133,771</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106,919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114,903</w:t>
            </w:r>
          </w:p>
        </w:tc>
        <w:tc>
          <w:tcPr>
            <w:tcW w:w="1540" w:type="dxa"/>
            <w:vAlign w:val="bottom"/>
            <w:gridSpan w:val="2"/>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0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900" w:type="dxa"/>
            <w:vAlign w:val="bottom"/>
          </w:tcPr>
          <w:p>
            <w:pPr>
              <w:ind w:left="200"/>
              <w:spacing w:after="0"/>
              <w:rPr>
                <w:sz w:val="20"/>
                <w:szCs w:val="20"/>
                <w:color w:val="auto"/>
              </w:rPr>
            </w:pPr>
            <w:r>
              <w:rPr>
                <w:rFonts w:ascii="Arial" w:cs="Arial" w:eastAsia="Arial" w:hAnsi="Arial"/>
                <w:sz w:val="14"/>
                <w:szCs w:val="14"/>
                <w:color w:val="auto"/>
              </w:rPr>
              <w:t>Percentage is not meaningful.</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Inclusive of related parties' transactions.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Y</w:t>
      </w:r>
      <w:r>
        <w:rPr>
          <w:rFonts w:ascii="Arial" w:cs="Arial" w:eastAsia="Arial" w:hAnsi="Arial"/>
          <w:sz w:val="18"/>
          <w:szCs w:val="18"/>
          <w:b w:val="1"/>
          <w:bCs w:val="1"/>
          <w:i w:val="1"/>
          <w:iCs w:val="1"/>
          <w:color w:val="000000"/>
        </w:rPr>
        <w:t>ears Ended December 31, 2017 and 2016</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Site rental revenues for 2017 increased by approximately $5.3 million, or 1%, from 2016. Site rental revenues were impacted by the following items, inclusive of straight-line accounting: tenant additions across our entire portfolio, renewals of tenant contracts, escalations and non-renewals of tenant contracts. Tenant additions were influenced by our customers' ongoing efforts to improve network quality and capacity. See also </w:t>
      </w:r>
      <w:r>
        <w:rPr>
          <w:rFonts w:ascii="Arial" w:cs="Arial" w:eastAsia="Arial" w:hAnsi="Arial"/>
          <w:sz w:val="18"/>
          <w:szCs w:val="18"/>
          <w:i w:val="1"/>
          <w:iCs w:val="1"/>
          <w:color w:val="auto"/>
        </w:rPr>
        <w:t>"Item 7. MD&amp;A—General</w:t>
      </w:r>
      <w:r>
        <w:rPr>
          <w:rFonts w:ascii="Arial" w:cs="Arial" w:eastAsia="Arial" w:hAnsi="Arial"/>
          <w:sz w:val="18"/>
          <w:szCs w:val="18"/>
          <w:color w:val="auto"/>
        </w:rPr>
        <w:t xml:space="preserve"> </w:t>
      </w:r>
      <w:r>
        <w:rPr>
          <w:rFonts w:ascii="Arial" w:cs="Arial" w:eastAsia="Arial" w:hAnsi="Arial"/>
          <w:sz w:val="18"/>
          <w:szCs w:val="18"/>
          <w:i w:val="1"/>
          <w:iCs w:val="1"/>
          <w:color w:val="auto"/>
        </w:rPr>
        <w:t>Overview."</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Operating income for the twelve months ended December 31, 2017 increased by $6.5 million or 4%, from the same period in the prior year. The increase in operating income was predominately due to the aforementioned increase in site rental revenues and a decrease in asset write-down charges from the twelve months ended December 31, 2016.</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September 2016, CCIC issued $700 million aggregate principal amount of 2.250% senior unsecured notes ("September 2016 Senior Notes") and used a portion of the proceeds to repay all of our previously outstanding 2.381% Secured Notes, which resulted in a loss on retirement of debt of approximately $10.3 million.</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Interest expense and amortization of deferred financing costs for the twelve months ended December 31, 2017 decreased by $9.6 million, or 19%, from the same period in the prior year. This decrease was related to the aforementioned repayment in September 2016 of the previously outstanding 2.381% Secured Notes.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Benefit (provision) for income taxes remained consistent from 2016 to 2017. The effective tax rates for 2017 and 2016 differ from the federal statutory rate predominately due to CCIC's REIT status (including the dividends paid deduction) and our inclusion therein. 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and notes 2 and 8 to our consolidated financial statements.</w:t>
      </w:r>
    </w:p>
    <w:p>
      <w:pPr>
        <w:sectPr>
          <w:pgSz w:w="11900" w:h="16838" w:orient="portrait"/>
          <w:cols w:equalWidth="0" w:num="1">
            <w:col w:w="11420"/>
          </w:cols>
          <w:pgMar w:left="240" w:top="36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4" w:right="239" w:bottom="1440" w:gutter="0" w:footer="0" w:header="0"/>
          <w:type w:val="continuous"/>
        </w:sectPr>
      </w:pPr>
    </w:p>
    <w:bookmarkStart w:id="13" w:name="page14"/>
    <w:bookmarkEnd w:id="13"/>
    <w:p>
      <w:pPr>
        <w:jc w:val="both"/>
        <w:ind w:firstLine="405"/>
        <w:spacing w:after="0" w:line="277" w:lineRule="auto"/>
        <w:rPr>
          <w:sz w:val="20"/>
          <w:szCs w:val="20"/>
          <w:color w:val="auto"/>
        </w:rPr>
      </w:pPr>
      <w:r>
        <w:rPr>
          <w:rFonts w:ascii="Arial" w:cs="Arial" w:eastAsia="Arial" w:hAnsi="Arial"/>
          <w:sz w:val="18"/>
          <w:szCs w:val="18"/>
          <w:color w:val="auto"/>
        </w:rPr>
        <w:t>Net income for 2017 was approximately $133.8 million, compared to net income of approximately $106.9 million for 2016, which was predominately due to the aforementioned loss on retirement of debt, decrease in interest expense and amortization of deferred financing costs.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Years Ended December 31, 2016 and 2015</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Site rental revenues for 2016 increased by approximately $4.4 million, or 1%, from 2015. Site rental revenues were impacted by the following items, inclusive of straight-line accounting: tenant additions across our entire portfolio, renewals of tenant contracts, escalations and non-renewals of tenant contracts. Tenant additions were influenced by our tenants' ongoing efforts to improve network quality and capacity. See also </w:t>
      </w:r>
      <w:r>
        <w:rPr>
          <w:rFonts w:ascii="Arial" w:cs="Arial" w:eastAsia="Arial" w:hAnsi="Arial"/>
          <w:sz w:val="18"/>
          <w:szCs w:val="18"/>
          <w:i w:val="1"/>
          <w:iCs w:val="1"/>
          <w:color w:val="auto"/>
        </w:rPr>
        <w:t>"Item 7. MD&amp;A—General</w:t>
      </w:r>
      <w:r>
        <w:rPr>
          <w:rFonts w:ascii="Arial" w:cs="Arial" w:eastAsia="Arial" w:hAnsi="Arial"/>
          <w:sz w:val="18"/>
          <w:szCs w:val="18"/>
          <w:color w:val="auto"/>
        </w:rPr>
        <w:t xml:space="preserve"> </w:t>
      </w:r>
      <w:r>
        <w:rPr>
          <w:rFonts w:ascii="Arial" w:cs="Arial" w:eastAsia="Arial" w:hAnsi="Arial"/>
          <w:sz w:val="18"/>
          <w:szCs w:val="18"/>
          <w:i w:val="1"/>
          <w:iCs w:val="1"/>
          <w:color w:val="auto"/>
        </w:rPr>
        <w:t>Overview."</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Operating income for the twelve months ended December 31, 2016 decreased by $1.4 million or 1%, from the same period in the prior year. The decrease in operating income was predominately due to increases in cost of operations, the management fee and depreciation, amortization and accretion, partially offset by a decrease in asset write-down charges.</w:t>
      </w:r>
    </w:p>
    <w:p>
      <w:pPr>
        <w:spacing w:after="0" w:line="12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During September 2016, CCIC issued $700 million aggregate principal amount of September 2016 Senior Notes and used a portion of the proceeds to repay all of our previously outstanding 2.381% Secured Notes, which resulted in a loss on retirement of debt of approximately $10.3 million.</w:t>
      </w:r>
    </w:p>
    <w:p>
      <w:pPr>
        <w:spacing w:after="0" w:line="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Benefit (provision) for income taxes remained consistent from 2015 to 2016. The effective tax rates for 2016 and 2015 differs from the federal statutory rate predominately due to CCIC's REIT status (including the dividends paid deduction) and our inclusion therein. 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and notes 2 and 8 to our consolidated financial statements.</w:t>
      </w:r>
    </w:p>
    <w:p>
      <w:pPr>
        <w:spacing w:after="0" w:line="12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Net income for 2016 was approximately $106.9 million, compared to net income of approximately $114.9 million for 2015, which was predominately due to the aforementioned loss on retirement of debt recorded for the repayment of our previously outstanding 2.381% Secured Notes.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Our core business generates revenues under long-term contracts (see "</w:t>
      </w:r>
      <w:r>
        <w:rPr>
          <w:rFonts w:ascii="Arial" w:cs="Arial" w:eastAsia="Arial" w:hAnsi="Arial"/>
          <w:sz w:val="16"/>
          <w:szCs w:val="16"/>
          <w:i w:val="1"/>
          <w:iCs w:val="1"/>
          <w:color w:val="auto"/>
        </w:rPr>
        <w:t>Item 7. MD&amp;A—General Overview")</w:t>
      </w:r>
      <w:r>
        <w:rPr>
          <w:rFonts w:ascii="Arial" w:cs="Arial" w:eastAsia="Arial" w:hAnsi="Arial"/>
          <w:sz w:val="16"/>
          <w:szCs w:val="16"/>
          <w:color w:val="auto"/>
        </w:rPr>
        <w:t>, predominately from the largest</w:t>
      </w:r>
      <w:r>
        <w:rPr>
          <w:rFonts w:ascii="Arial" w:cs="Arial" w:eastAsia="Arial" w:hAnsi="Arial"/>
          <w:sz w:val="16"/>
          <w:szCs w:val="16"/>
          <w:i w:val="1"/>
          <w:iCs w:val="1"/>
          <w:color w:val="auto"/>
        </w:rPr>
        <w:t xml:space="preserve"> </w:t>
      </w:r>
      <w:r>
        <w:rPr>
          <w:rFonts w:ascii="Arial" w:cs="Arial" w:eastAsia="Arial" w:hAnsi="Arial"/>
          <w:sz w:val="16"/>
          <w:szCs w:val="16"/>
          <w:color w:val="auto"/>
        </w:rPr>
        <w:t>U.S. wireless carriers. Historically, our net cash provided by operating activities (net of cash interest payments) has exceeded our capital expenditures. For the foreseeable future, we expect to continue to generate net cash provided by operating activities (exclusive of movements in working capital) that exceeds our capital expenditures. We seek to allocate the net cash provided by our operating activities in a manner that we believe drives value for our member.</w:t>
      </w:r>
    </w:p>
    <w:p>
      <w:pPr>
        <w:spacing w:after="0" w:line="10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From a cash management perspective, we currently distribute cash on hand above amounts required pursuant to the Management Agreement to our member. If any future event would occur that would leave us with a deficiency in our operating cash flow, while not required, CCIC may contribute cash back to us.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CCIC operates as a REIT for U.S. federal income tax purposes. We are an indirect subsidiary of CCIC and for U.S. federal income tax purposes, our assets and operations are part of the CCIC REIT. We expect to continue to pay minimal cash income taxes as a result of CCIC's REIT status and NOLs. </w:t>
      </w:r>
      <w:r>
        <w:rPr>
          <w:rFonts w:ascii="Arial" w:cs="Arial" w:eastAsia="Arial" w:hAnsi="Arial"/>
          <w:sz w:val="18"/>
          <w:szCs w:val="18"/>
          <w:i w:val="1"/>
          <w:iCs w:val="1"/>
          <w:color w:val="auto"/>
        </w:rPr>
        <w:t>"Item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1A. Risk Factors" </w:t>
      </w:r>
      <w:r>
        <w:rPr>
          <w:rFonts w:ascii="Arial" w:cs="Arial" w:eastAsia="Arial" w:hAnsi="Arial"/>
          <w:sz w:val="18"/>
          <w:szCs w:val="18"/>
          <w:color w:val="auto"/>
        </w:rPr>
        <w:t>and notes 2 and 8 to our consolidated financial statements.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as of December 31,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Pr>
          <w:p>
            <w:pPr>
              <w:jc w:val="right"/>
              <w:ind w:right="483"/>
              <w:spacing w:after="0"/>
              <w:rPr>
                <w:sz w:val="20"/>
                <w:szCs w:val="20"/>
                <w:color w:val="auto"/>
              </w:rPr>
            </w:pPr>
            <w:r>
              <w:rPr>
                <w:rFonts w:ascii="Arial" w:cs="Arial" w:eastAsia="Arial" w:hAnsi="Arial"/>
                <w:sz w:val="14"/>
                <w:szCs w:val="14"/>
                <w:b w:val="1"/>
                <w:bCs w:val="1"/>
                <w:color w:val="auto"/>
              </w:rPr>
              <w:t>December 31, 2017</w:t>
            </w:r>
          </w:p>
        </w:tc>
      </w:tr>
      <w:tr>
        <w:trPr>
          <w:trHeight w:val="276"/>
        </w:trPr>
        <w:tc>
          <w:tcPr>
            <w:tcW w:w="91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w w:val="99"/>
              </w:rPr>
              <w:t>(In thousands of dollars)</w:t>
            </w:r>
          </w:p>
        </w:tc>
      </w:tr>
      <w:tr>
        <w:trPr>
          <w:trHeight w:val="236"/>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30,771</w:t>
            </w: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Debt</w:t>
            </w:r>
          </w:p>
        </w:tc>
        <w:tc>
          <w:tcPr>
            <w:tcW w:w="240" w:type="dxa"/>
            <w:vAlign w:val="bottom"/>
          </w:tcPr>
          <w:p>
            <w:pPr>
              <w:spacing w:after="0"/>
              <w:rPr>
                <w:sz w:val="19"/>
                <w:szCs w:val="19"/>
                <w:color w:val="auto"/>
              </w:rPr>
            </w:pPr>
          </w:p>
        </w:tc>
        <w:tc>
          <w:tcPr>
            <w:tcW w:w="2020" w:type="dxa"/>
            <w:vAlign w:val="bottom"/>
          </w:tcPr>
          <w:p>
            <w:pPr>
              <w:jc w:val="right"/>
              <w:ind w:right="23"/>
              <w:spacing w:after="0"/>
              <w:rPr>
                <w:sz w:val="20"/>
                <w:szCs w:val="20"/>
                <w:color w:val="auto"/>
              </w:rPr>
            </w:pPr>
            <w:r>
              <w:rPr>
                <w:rFonts w:ascii="Arial" w:cs="Arial" w:eastAsia="Arial" w:hAnsi="Arial"/>
                <w:sz w:val="16"/>
                <w:szCs w:val="16"/>
                <w:color w:val="auto"/>
              </w:rPr>
              <w:t>992,663</w:t>
            </w:r>
          </w:p>
        </w:tc>
      </w:tr>
      <w:tr>
        <w:trPr>
          <w:trHeight w:val="33"/>
        </w:trPr>
        <w:tc>
          <w:tcPr>
            <w:tcW w:w="9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4"/>
        </w:trPr>
        <w:tc>
          <w:tcPr>
            <w:tcW w:w="9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equity</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2,576,471</w:t>
            </w:r>
          </w:p>
        </w:tc>
      </w:tr>
      <w:tr>
        <w:trPr>
          <w:trHeight w:val="33"/>
        </w:trPr>
        <w:tc>
          <w:tcPr>
            <w:tcW w:w="9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Over the next 12 months:</w:t>
      </w:r>
    </w:p>
    <w:p>
      <w:pPr>
        <w:spacing w:after="0" w:line="117" w:lineRule="exact"/>
        <w:rPr>
          <w:sz w:val="20"/>
          <w:szCs w:val="20"/>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expect that our net cash provided by operating activities should be sufficient to cover our expected capital expenditures.</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no debt maturities.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30" w:right="239" w:bottom="1440" w:gutter="0" w:footer="0" w:header="0"/>
        </w:sectPr>
      </w:pPr>
    </w:p>
    <w:bookmarkStart w:id="14" w:name="page15"/>
    <w:bookmarkEnd w:id="14"/>
    <w:p>
      <w:pPr>
        <w:jc w:val="both"/>
        <w:ind w:firstLine="405"/>
        <w:spacing w:after="0" w:line="279" w:lineRule="auto"/>
        <w:rPr>
          <w:sz w:val="20"/>
          <w:szCs w:val="20"/>
          <w:color w:val="auto"/>
        </w:rPr>
      </w:pPr>
      <w:r>
        <w:rPr>
          <w:rFonts w:ascii="Arial" w:cs="Arial" w:eastAsia="Arial" w:hAnsi="Arial"/>
          <w:sz w:val="17"/>
          <w:szCs w:val="17"/>
          <w:i w:val="1"/>
          <w:iCs w:val="1"/>
          <w:color w:val="auto"/>
        </w:rPr>
        <w:t>Long-term Strategy</w:t>
      </w:r>
      <w:r>
        <w:rPr>
          <w:rFonts w:ascii="Arial" w:cs="Arial" w:eastAsia="Arial" w:hAnsi="Arial"/>
          <w:sz w:val="17"/>
          <w:szCs w:val="17"/>
          <w:color w:val="auto"/>
        </w:rPr>
        <w:t>. We may increase our debt in nominal dollars, subject to the provisions of the 2012 Secured Notes outstanding and various other</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such as the state of the capital markets and CCIC's targeted capital structure, including with respect to leverage ratios. From a cash management perspective, we currently distribute cash on hand above amounts required pursuant to the Management Agreement to our member. If any future event would occur that would leave us with a deficiency in our operating cash flow, while not required, CCIC may contribute cash back to us.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5 to our consolidated financial statements for additional information regarding our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Summary Cash Flows Information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(In thousands of dollars)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for):</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37"/>
        </w:trPr>
        <w:tc>
          <w:tcPr>
            <w:tcW w:w="7080" w:type="dxa"/>
            <w:vAlign w:val="bottom"/>
          </w:tcPr>
          <w:p>
            <w:pPr>
              <w:ind w:left="500"/>
              <w:spacing w:after="0"/>
              <w:rPr>
                <w:sz w:val="20"/>
                <w:szCs w:val="20"/>
                <w:color w:val="auto"/>
              </w:rPr>
            </w:pPr>
            <w:r>
              <w:rPr>
                <w:rFonts w:ascii="Arial" w:cs="Arial" w:eastAsia="Arial" w:hAnsi="Arial"/>
                <w:sz w:val="16"/>
                <w:szCs w:val="16"/>
                <w:color w:val="auto"/>
              </w:rPr>
              <w:t>Operating activities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357,317</w:t>
            </w: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333,052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310,986</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(49,551)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(53,409)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(85,216)</w:t>
            </w:r>
          </w:p>
        </w:tc>
      </w:tr>
      <w:tr>
        <w:trPr>
          <w:trHeight w:val="237"/>
        </w:trPr>
        <w:tc>
          <w:tcPr>
            <w:tcW w:w="7080" w:type="dxa"/>
            <w:vAlign w:val="bottom"/>
          </w:tcPr>
          <w:p>
            <w:pPr>
              <w:ind w:left="500"/>
              <w:spacing w:after="0"/>
              <w:rPr>
                <w:sz w:val="20"/>
                <w:szCs w:val="20"/>
                <w:color w:val="auto"/>
              </w:rPr>
            </w:pPr>
            <w:r>
              <w:rPr>
                <w:rFonts w:ascii="Arial" w:cs="Arial" w:eastAsia="Arial" w:hAnsi="Arial"/>
                <w:sz w:val="16"/>
                <w:szCs w:val="16"/>
                <w:color w:val="auto"/>
              </w:rPr>
              <w:t>Financing activities</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(296,545)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(280,494)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(231,600)</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11,221</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increase in net cash provided by operating activities for 2017 of $24.3 million, or 7%, from 2016 was primarily due to (1) growth in cash revenues, including cash escalations that are subject to straight-line accounting and (2) a net benefit from a year-over-year change in working capital. This year-over-year change in working capital primarily related to changes in deferred site rental receivables and other assets. The increase from 2015 to 2016 was primarily due to (1) growth in cash revenues, including cash escalations that are subject to straight-line accounting and (2) a net benefit from year-over-year changes in working capital. This year-over-year change in working capital primarily related to changes in deferred revenues and other assets.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capital expenditures include the following:</w:t>
      </w:r>
    </w:p>
    <w:p>
      <w:pPr>
        <w:spacing w:after="0" w:line="171" w:lineRule="exact"/>
        <w:rPr>
          <w:sz w:val="20"/>
          <w:szCs w:val="20"/>
          <w:color w:val="auto"/>
        </w:rPr>
      </w:pPr>
    </w:p>
    <w:p>
      <w:pPr>
        <w:jc w:val="both"/>
        <w:ind w:left="820" w:hanging="407"/>
        <w:spacing w:after="0" w:line="291"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Site improvement capital expenditures consist of improvements to existing sites to accommodate tenant additions and typically vary based on, among other factors: (1) the type of site, (2) the scope, volume, and mix of work performed on the site, (3) existing capacity prior to installation, or</w:t>
      </w:r>
    </w:p>
    <w:p>
      <w:pPr>
        <w:jc w:val="both"/>
        <w:ind w:left="820" w:hanging="2"/>
        <w:spacing w:after="0" w:line="255" w:lineRule="auto"/>
        <w:tabs>
          <w:tab w:leader="none" w:pos="1104" w:val="left"/>
        </w:tabs>
        <w:numPr>
          <w:ilvl w:val="1"/>
          <w:numId w:val="11"/>
        </w:numPr>
        <w:rPr>
          <w:rFonts w:ascii="Arial" w:cs="Arial" w:eastAsia="Arial" w:hAnsi="Arial"/>
          <w:sz w:val="18"/>
          <w:szCs w:val="18"/>
          <w:color w:val="auto"/>
        </w:rPr>
      </w:pPr>
      <w:r>
        <w:rPr>
          <w:rFonts w:ascii="Arial" w:cs="Arial" w:eastAsia="Arial" w:hAnsi="Arial"/>
          <w:sz w:val="18"/>
          <w:szCs w:val="18"/>
          <w:color w:val="auto"/>
        </w:rPr>
        <w:t>changes in structural engineering regulations and standards. Our decisions regarding capital expenditures are influenced by (1) sufficient potential to enhance CCIC's long-term stockholder value, (2) CCIC's availability and cost of capital and (3) CCIC's expected returns on alternative uses of cash, such as payments of dividends and investments.</w:t>
      </w:r>
    </w:p>
    <w:p>
      <w:pPr>
        <w:spacing w:after="0" w:line="136" w:lineRule="exact"/>
        <w:rPr>
          <w:rFonts w:ascii="Arial" w:cs="Arial" w:eastAsia="Arial" w:hAnsi="Arial"/>
          <w:sz w:val="18"/>
          <w:szCs w:val="18"/>
          <w:color w:val="auto"/>
        </w:rPr>
      </w:pPr>
    </w:p>
    <w:p>
      <w:pPr>
        <w:ind w:left="820" w:hanging="407"/>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Sustaining capital expenditures consist of capital improvements on our sites that enable our customers' ongoing quiet enjoyment of the site.</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our capital expenditures for the last three years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2"/>
              </w:rPr>
              <w:t>Years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13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2017</w:t>
            </w:r>
          </w:p>
        </w:tc>
        <w:tc>
          <w:tcPr>
            <w:tcW w:w="1580" w:type="dxa"/>
            <w:vAlign w:val="bottom"/>
            <w:tcBorders>
              <w:bottom w:val="single" w:sz="8" w:color="auto"/>
            </w:tcBorders>
            <w:gridSpan w:val="3"/>
          </w:tcPr>
          <w:p>
            <w:pPr>
              <w:jc w:val="center"/>
              <w:ind w:left="123"/>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r>
      <w:tr>
        <w:trPr>
          <w:trHeight w:val="237"/>
        </w:trPr>
        <w:tc>
          <w:tcPr>
            <w:tcW w:w="7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(In thousands of dollars)</w:t>
            </w:r>
          </w:p>
        </w:tc>
        <w:tc>
          <w:tcPr>
            <w:tcW w:w="1080" w:type="dxa"/>
            <w:vAlign w:val="bottom"/>
          </w:tcPr>
          <w:p>
            <w:pPr>
              <w:spacing w:after="0"/>
              <w:rPr>
                <w:sz w:val="20"/>
                <w:szCs w:val="20"/>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improvements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40,051</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43,721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76,064</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Sustaining</w:t>
            </w:r>
          </w:p>
        </w:tc>
        <w:tc>
          <w:tcPr>
            <w:tcW w:w="1300" w:type="dxa"/>
            <w:vAlign w:val="bottom"/>
          </w:tcPr>
          <w:p>
            <w:pPr>
              <w:jc w:val="right"/>
              <w:spacing w:after="0"/>
              <w:rPr>
                <w:sz w:val="20"/>
                <w:szCs w:val="20"/>
                <w:color w:val="auto"/>
              </w:rPr>
            </w:pPr>
            <w:r>
              <w:rPr>
                <w:rFonts w:ascii="Arial" w:cs="Arial" w:eastAsia="Arial" w:hAnsi="Arial"/>
                <w:sz w:val="16"/>
                <w:szCs w:val="16"/>
                <w:color w:val="auto"/>
              </w:rPr>
              <w:t>9,500</w:t>
            </w:r>
          </w:p>
        </w:tc>
        <w:tc>
          <w:tcPr>
            <w:tcW w:w="1580" w:type="dxa"/>
            <w:vAlign w:val="bottom"/>
            <w:gridSpan w:val="3"/>
          </w:tcPr>
          <w:p>
            <w:pPr>
              <w:jc w:val="right"/>
              <w:ind w:right="120"/>
              <w:spacing w:after="0"/>
              <w:rPr>
                <w:sz w:val="20"/>
                <w:szCs w:val="20"/>
                <w:color w:val="auto"/>
              </w:rPr>
            </w:pPr>
            <w:r>
              <w:rPr>
                <w:rFonts w:ascii="Arial" w:cs="Arial" w:eastAsia="Arial" w:hAnsi="Arial"/>
                <w:sz w:val="16"/>
                <w:szCs w:val="16"/>
                <w:color w:val="auto"/>
              </w:rPr>
              <w:t>9,688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9,152</w:t>
            </w:r>
          </w:p>
        </w:tc>
      </w:tr>
      <w:tr>
        <w:trPr>
          <w:trHeight w:val="33"/>
        </w:trPr>
        <w:tc>
          <w:tcPr>
            <w:tcW w:w="70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49,551</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53,409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85,216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Capital expenditures decreased by approximately $3.9 million from 2016 to 2017. This decrease is predominately due to lower volume of improvements performed on existing sites.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15" w:name="page16"/>
    <w:bookmarkEnd w:id="15"/>
    <w:p>
      <w:pPr>
        <w:ind w:left="4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net cash flows used for financing activities during the years ended December 31, 2017, 2016, and 2015 were impacted by our continued practice of distributing excess cash to our member. In addition, in September 2016, CCIC issued $700 million aggregate principal amount of September 2016 Senior Notes and used a portion of the net proceeds from the September 2016 Senior Notes offering to repay $500 million of our previously outstanding 2.381% Secured Notes. We recorded an equity contribution related to the debt repayment of our previously outstanding 2.381% Secured Notes for the year ended December 31, 2016. See notes 5 and 6 to our consolidated financial statements.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Contractual Cash Obligations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our contractual cash obligations as of December 31, 2017. These contractual cash obligations relate primarily to our 3.849% Secured Notes and lease obligations for land interests under our towers.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Ending December 31,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Contractual Obligations</w:t>
            </w:r>
            <w:r>
              <w:rPr>
                <w:rFonts w:ascii="Arial" w:cs="Arial" w:eastAsia="Arial" w:hAnsi="Arial"/>
                <w:sz w:val="8"/>
                <w:szCs w:val="8"/>
                <w:b w:val="1"/>
                <w:bCs w:val="1"/>
                <w:color w:val="auto"/>
              </w:rPr>
              <w:t>(a)</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Totals</w:t>
            </w:r>
          </w:p>
        </w:tc>
      </w:tr>
      <w:tr>
        <w:trPr>
          <w:trHeight w:val="196"/>
        </w:trPr>
        <w:tc>
          <w:tcPr>
            <w:tcW w:w="3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60" w:type="dxa"/>
            <w:vAlign w:val="bottom"/>
            <w:gridSpan w:val="6"/>
          </w:tcPr>
          <w:p>
            <w:pPr>
              <w:jc w:val="right"/>
              <w:ind w:right="19"/>
              <w:spacing w:after="0"/>
              <w:rPr>
                <w:sz w:val="20"/>
                <w:szCs w:val="20"/>
                <w:color w:val="auto"/>
              </w:rPr>
            </w:pPr>
            <w:r>
              <w:rPr>
                <w:rFonts w:ascii="Arial" w:cs="Arial" w:eastAsia="Arial" w:hAnsi="Arial"/>
                <w:sz w:val="14"/>
                <w:szCs w:val="14"/>
                <w:b w:val="1"/>
                <w:bCs w:val="1"/>
                <w:color w:val="auto"/>
                <w:w w:val="94"/>
              </w:rPr>
              <w:t>(In thousands of dollars)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1,000,000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1,000,000</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Interest payments on debt</w:t>
            </w:r>
          </w:p>
        </w:tc>
        <w:tc>
          <w:tcPr>
            <w:tcW w:w="24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38,490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38,490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38,490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38,490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38,490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19,245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211,695</w:t>
            </w:r>
          </w:p>
        </w:tc>
      </w:tr>
      <w:tr>
        <w:trPr>
          <w:trHeight w:val="33"/>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 obligations</w:t>
            </w:r>
            <w:r>
              <w:rPr>
                <w:rFonts w:ascii="Arial" w:cs="Arial" w:eastAsia="Arial" w:hAnsi="Arial"/>
                <w:sz w:val="21"/>
                <w:szCs w:val="21"/>
                <w:color w:val="auto"/>
                <w:vertAlign w:val="superscript"/>
              </w:rPr>
              <w:t>(b)</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138,940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140,350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141,363</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141,078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93"/>
              </w:rPr>
              <w:t>138,026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1,726,965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2,426,722</w:t>
            </w:r>
          </w:p>
        </w:tc>
      </w:tr>
      <w:tr>
        <w:trPr>
          <w:trHeight w:val="217"/>
        </w:trPr>
        <w:tc>
          <w:tcPr>
            <w:tcW w:w="3440" w:type="dxa"/>
            <w:vAlign w:val="bottom"/>
          </w:tcPr>
          <w:p>
            <w:pPr>
              <w:ind w:left="40"/>
              <w:spacing w:after="0"/>
              <w:rPr>
                <w:sz w:val="20"/>
                <w:szCs w:val="20"/>
                <w:color w:val="auto"/>
              </w:rPr>
            </w:pPr>
            <w:r>
              <w:rPr>
                <w:rFonts w:ascii="Arial" w:cs="Arial" w:eastAsia="Arial" w:hAnsi="Arial"/>
                <w:sz w:val="16"/>
                <w:szCs w:val="16"/>
                <w:color w:val="auto"/>
              </w:rPr>
              <w:t>Total contractual obligations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177,430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178,840</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179,853</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179,568</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w w:val="93"/>
              </w:rPr>
              <w:t>176,516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2,746,210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3,638,417</w:t>
            </w:r>
          </w:p>
        </w:tc>
      </w:tr>
      <w:tr>
        <w:trPr>
          <w:trHeight w:val="33"/>
        </w:trPr>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111760</wp:posOffset>
            </wp:positionV>
            <wp:extent cx="114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7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following items are in addition to the obligations disclosed in the above table:</w:t>
      </w:r>
    </w:p>
    <w:p>
      <w:pPr>
        <w:spacing w:after="0" w:line="13"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1"/>
          <w:numId w:val="12"/>
        </w:numPr>
        <w:rPr>
          <w:rFonts w:ascii="Arial" w:cs="Arial" w:eastAsia="Arial" w:hAnsi="Arial"/>
          <w:sz w:val="14"/>
          <w:szCs w:val="14"/>
          <w:color w:val="auto"/>
        </w:rPr>
      </w:pPr>
      <w:r>
        <w:rPr>
          <w:rFonts w:ascii="Arial" w:cs="Arial" w:eastAsia="Arial" w:hAnsi="Arial"/>
          <w:sz w:val="14"/>
          <w:szCs w:val="14"/>
          <w:color w:val="auto"/>
        </w:rPr>
        <w:t>We have a legal obligation to perform certain asset retirement activities, including requirements upon contract and easement terminations to remove communications infrastructure or remediate the land upon which our communications infrastructure resides. The cash obligations disclosed in the above table, as of December 31, 2017, are exclusive of estimated undiscounted future cash outlays for asset retirement obligations of approximately $132 million. As of December 31, 2017, the net present value of these asset retirement obligations was approximately $30.9 million.</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1"/>
          <w:numId w:val="12"/>
        </w:numPr>
        <w:rPr>
          <w:rFonts w:ascii="Arial" w:cs="Arial" w:eastAsia="Arial" w:hAnsi="Arial"/>
          <w:sz w:val="14"/>
          <w:szCs w:val="14"/>
          <w:color w:val="auto"/>
        </w:rPr>
      </w:pPr>
      <w:r>
        <w:rPr>
          <w:rFonts w:ascii="Arial" w:cs="Arial" w:eastAsia="Arial" w:hAnsi="Arial"/>
          <w:sz w:val="14"/>
          <w:szCs w:val="14"/>
          <w:color w:val="auto"/>
        </w:rPr>
        <w:t>We are contractually obligated to pay or reimburse others for property taxes related to our sites.</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1"/>
          <w:numId w:val="12"/>
        </w:numPr>
        <w:rPr>
          <w:rFonts w:ascii="Arial" w:cs="Arial" w:eastAsia="Arial" w:hAnsi="Arial"/>
          <w:sz w:val="14"/>
          <w:szCs w:val="14"/>
          <w:color w:val="auto"/>
        </w:rPr>
      </w:pPr>
      <w:r>
        <w:rPr>
          <w:rFonts w:ascii="Arial" w:cs="Arial" w:eastAsia="Arial" w:hAnsi="Arial"/>
          <w:sz w:val="14"/>
          <w:szCs w:val="14"/>
          <w:color w:val="auto"/>
        </w:rPr>
        <w:t>CCIC has the option to purchase approximately 68% of our sites that are leased or subleased or operated and managed under Sprint Master Leases at the end of their contract term. CCIC has no obligation to exercise the purchase option. See note 1 to our consolidated financial statements for further discussion.</w:t>
      </w:r>
    </w:p>
    <w:p>
      <w:pPr>
        <w:ind w:left="660" w:hanging="328"/>
        <w:spacing w:after="0"/>
        <w:tabs>
          <w:tab w:leader="none" w:pos="660" w:val="left"/>
        </w:tabs>
        <w:numPr>
          <w:ilvl w:val="1"/>
          <w:numId w:val="12"/>
        </w:numPr>
        <w:rPr>
          <w:rFonts w:ascii="Arial" w:cs="Arial" w:eastAsia="Arial" w:hAnsi="Arial"/>
          <w:sz w:val="14"/>
          <w:szCs w:val="14"/>
          <w:color w:val="auto"/>
        </w:rPr>
      </w:pPr>
      <w:r>
        <w:rPr>
          <w:rFonts w:ascii="Arial" w:cs="Arial" w:eastAsia="Arial" w:hAnsi="Arial"/>
          <w:sz w:val="14"/>
          <w:szCs w:val="14"/>
          <w:color w:val="auto"/>
        </w:rPr>
        <w:t>We have legal obligations for open purchase order commitments obtained in the ordinary course of business that have not yet been fulfilled.</w:t>
      </w:r>
    </w:p>
    <w:p>
      <w:pPr>
        <w:spacing w:after="0" w:line="1" w:lineRule="exact"/>
        <w:rPr>
          <w:rFonts w:ascii="Arial" w:cs="Arial" w:eastAsia="Arial" w:hAnsi="Arial"/>
          <w:sz w:val="14"/>
          <w:szCs w:val="14"/>
          <w:color w:val="auto"/>
        </w:rPr>
      </w:pPr>
    </w:p>
    <w:p>
      <w:pPr>
        <w:jc w:val="both"/>
        <w:ind w:left="340" w:hanging="332"/>
        <w:spacing w:after="0" w:line="246"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Amounts relate primarily to contract obligations for the land interests on which our towers reside. The operating lease payments included in the table above include payments for certain renewal periods at our option up to the estimated tower useful life of 20 years and an estimate of contingent payments based on revenues and gross margins derived from existing tenant contracts. As of December 31, 2017, the contracts for land interests under our towers had an average remaining life of approximately 24 years, weighted based on site rental revenues. See note 10 to our consolidated financial statements.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Debt Restrictions</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Secured Notes Indenture does not contain financial maintenance covenants but it does contain restrictive covenants, subject to certain exceptions, related to our ability to incur indebtedness, incur liens, enter into certain mergers or change of control transactions, sell or issue equity interests, and enter into related party transactions. With respect to the restriction regarding the issuance of debt, we may not issue debt other than (1) certain permitted refinancings of the 3.849% Secured Notes, (2) unsecured trade payables in the ordinary course of business and financing of equipment, land or other property up to an aggregate of $100.0 million, or (3) unsecured debt or additional notes under the Secured Notes Indenture provided that the Debt to Adjusted Consolidated Cash Flow Ratio (as defined in the Secured Notes Indenture) at the time of incurrence, and after giving effect to such incurrence, would have been no greater than 3.5 to 1. As of December 31, 2017, our Debt to Adjusted Consolidated Cash Flow Ratio was 2.5 to 1, and, as a result, we are currently not restricted in our ability to incur additional indebtedness. Further, we are not restricted in our ability to distribute cash to affiliates or issue dividends to our member.</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following is a discussion of the accounting policies and estimates that we believe (1) are most important to the portrayal of our financial condition and results of operations or (2) require our most difficult, subjective or complex judgments, often as a result of the need to make estimates about the effect of matters that are inherently uncertain. The critical accounting policies and estimates for 2017 are not intended to be a comprehensive list of our accounting policies and estimates. See note 2 to our consolidated financial statements for a summary of our significant accounting policies. In many cases, the accounting treatment of a particular transaction is specifically dictated by GAAP, with no need for management's judgment. In other cases, management is required to exercise judgment in the application of accounting principles with respect to particular transactions.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6" w:name="page17"/>
    <w:bookmarkEnd w:id="16"/>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Our revenue consists solely of site rental revenues, which are recognized on a monthly basis over the fixed, non-cancelable term</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relevant contract (generally ranging from five to 15 years), regardless of whether the payments from the tenant are received in equal monthly amounts. If the payment terms call for fixed escalations (as in fixed dollar or fixed percentage increases), upfront payments or rent-free periods, the revenue is recognized on a straight-line basis over the fixed, non-cancelable term of the contract. When calculating our straight-line rental revenues, we consider all fixed elements of tenant contractual escalation provisions, even if such escalation provisions contain a variable element (such as an escalator tied to an inflation-based index) in addition to a minimum. Since we recognize revenue on a straight-line basis, a portion of the site rental revenues in a given period represents cash collected or contractually collectible in other periods. Our assets related to straight-line site rental revenues are included in "deferred site rental receivables." Amounts billed or received prior to being earned, are deferred and reflected in "deferred revenues" and "above-market leases and other liabilities." See note 2 to our consolidated financial statements.</w:t>
      </w:r>
    </w:p>
    <w:p>
      <w:pPr>
        <w:spacing w:after="0" w:line="12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Accounting for Long-Lived Assets—Valuation. </w:t>
      </w:r>
      <w:r>
        <w:rPr>
          <w:rFonts w:ascii="Arial" w:cs="Arial" w:eastAsia="Arial" w:hAnsi="Arial"/>
          <w:sz w:val="18"/>
          <w:szCs w:val="18"/>
          <w:color w:val="auto"/>
        </w:rPr>
        <w:t>As of December 31, 2017, our largest assets were our intangible assets, including goodwill and site rental</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and customer relationships (approximately $1.3 billion and $903 million in net book value, respectively, resulting predominately from the merger of Global Signal Inc. with and into a subsidiary of CCIC in 2007), followed by our $1.0 billion in net book value of property and equipment, which predominately consists of sites. Nearly all of our identifiable intangibles relate to the site rental contracts and customer relationships intangible assets. See notes 2 and 4 to our consolidated financial statements for further information regarding the nature and composition of the site rental contracts and customer relationships intangible assets.</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our business combinations, we allocate the purchase price to the assets acquired and liabilities assumed based on their estimated fair value at the date of acquisition. Any purchase price in excess of the net fair value of the assets acquired and liabilities assumed is allocated to goodwill. The fair value of the vast majority of our assets and liabilities is determined by using either:</w:t>
      </w:r>
    </w:p>
    <w:p>
      <w:pPr>
        <w:spacing w:after="0" w:line="127" w:lineRule="exact"/>
        <w:rPr>
          <w:sz w:val="20"/>
          <w:szCs w:val="20"/>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estimates of replacement costs (for tangible fixed assets such as towers), or</w:t>
      </w:r>
    </w:p>
    <w:p>
      <w:pPr>
        <w:spacing w:after="0" w:line="23" w:lineRule="exact"/>
        <w:rPr>
          <w:rFonts w:ascii="Arial" w:cs="Arial" w:eastAsia="Arial" w:hAnsi="Arial"/>
          <w:sz w:val="18"/>
          <w:szCs w:val="18"/>
          <w:color w:val="auto"/>
        </w:rPr>
      </w:pPr>
    </w:p>
    <w:p>
      <w:pPr>
        <w:ind w:left="820" w:hanging="407"/>
        <w:spacing w:after="0" w:line="261"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discounted cash flow valuation methods (for estimating identifiable intangibles such as site rental contracts and customer relationships and above-market and below-market leases).</w:t>
      </w:r>
    </w:p>
    <w:p>
      <w:pPr>
        <w:spacing w:after="0" w:line="1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purchase price allocation requires subjective estimates that, if incorrectly estimated, could be material to our consolidated financial statements, including the amount of depreciation, amortization and accretion expense. The most important estimates for measurement of tangible fixed assets are: (1) the cost to replace the asset with a new asset and (2) the economic useful life after giving effect to age, quality, and condition. The most important estimates for measurement of intangible assets are (1) discount rates and (2) timing, length, and amount of cash flows including estimates regarding customer renewals and cancellations.</w:t>
      </w:r>
    </w:p>
    <w:p>
      <w:pPr>
        <w:spacing w:after="0" w:line="13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record the fair value of obligations to perform certain asset retirement activities, including requirements, pursuant to our ground contracts or easements, to remove sites or remediate the land upon which our sites reside. In determining the fair value of these asset retirement obligations, we must make several subjective and highly judgmental estimates such as those related to: (1) timing of cash flows, (2) future costs, (3) discount rates, and (4) the probability of enforcement to remove the towers or remediate the land. See note 2 to our consolidated financial statements.</w:t>
      </w:r>
    </w:p>
    <w:p>
      <w:pPr>
        <w:spacing w:after="0" w:line="1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Accounting for Long-Lived Assets—Useful Lives. </w:t>
      </w:r>
      <w:r>
        <w:rPr>
          <w:rFonts w:ascii="Arial" w:cs="Arial" w:eastAsia="Arial" w:hAnsi="Arial"/>
          <w:sz w:val="16"/>
          <w:szCs w:val="16"/>
          <w:color w:val="auto"/>
        </w:rPr>
        <w:t>We are required to make subjective assessments as to the useful lives of our tangible and intangible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for purposes of determining depreciation, amortization, and accretion expense that, if incorrectly estimated, could be material to our consolidated financial statements. Depreciation expense for our property and equipment is computed using the straight-line method over the estimated useful lives of our various classes of tangible assets. The substantial portion of our property and equipment represents the cost of our sites, which is depreciated with an estimated useful life equal to the shorter of (1) 20 years or (2) the term of the contract (including optional renewals) for the land interests under the towers.</w:t>
      </w:r>
    </w:p>
    <w:p>
      <w:pPr>
        <w:spacing w:after="0" w:line="104"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useful life of our intangible assets is estimated based on the period over which the intangible asset is expected to benefit us and gives consideration to the expected useful life of other assets to which the useful life may relate. We review the expected useful lives of our intangible assets on an ongoing basis and adjust if necessary. Amortization expense for intangible assets is computed using the straight-line method over the estimated useful life of each of the intangible assets. The useful life of the site rental contracts and customer relationships intangible assets is limited by the maximum depreciable life of the communications infrastructure (20 years), as a result of the interdependency of the sites and site rental contracts and customer relationships. In contrast, the site rental contracts and customer relationships are estimated to provide economic benefits for several decades because of the low rate of tenant cancellations and high rate of renewals experienced to date. Thus, while site rental contracts and customer relationships are valued based upon the fair value of the site rental contracts and customer relationships which includes assumptions regarding both (1) tenants' exercise of optional renewals contained in the acquired contracts and (2) renewals of the acquired contracts past the contractual term including exercisable options, the site rental contracts are amortized over a period not to exceed 20 years as a result of the useful life being limited by the depreciable life of the sites.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0" w:right="239" w:bottom="1440" w:gutter="0" w:footer="0" w:header="0"/>
        </w:sectPr>
      </w:pPr>
    </w:p>
    <w:bookmarkStart w:id="17" w:name="page18"/>
    <w:bookmarkEnd w:id="17"/>
    <w:p>
      <w:pPr>
        <w:jc w:val="both"/>
        <w:ind w:firstLine="405"/>
        <w:spacing w:after="0" w:line="312" w:lineRule="auto"/>
        <w:rPr>
          <w:sz w:val="20"/>
          <w:szCs w:val="20"/>
          <w:color w:val="auto"/>
        </w:rPr>
      </w:pPr>
      <w:r>
        <w:rPr>
          <w:rFonts w:ascii="Arial" w:cs="Arial" w:eastAsia="Arial" w:hAnsi="Arial"/>
          <w:sz w:val="16"/>
          <w:szCs w:val="16"/>
          <w:i w:val="1"/>
          <w:iCs w:val="1"/>
          <w:color w:val="auto"/>
        </w:rPr>
        <w:t xml:space="preserve">Accounting for Long-Lived Assets—Impairment Evaluation. </w:t>
      </w:r>
      <w:r>
        <w:rPr>
          <w:rFonts w:ascii="Arial" w:cs="Arial" w:eastAsia="Arial" w:hAnsi="Arial"/>
          <w:sz w:val="16"/>
          <w:szCs w:val="16"/>
          <w:color w:val="auto"/>
        </w:rPr>
        <w:t>We review the carrying values of property and equipment, intangible assets, or other long-lived assets for impairment whenever events or changes in circumstances indicate that the carrying amounts may not be recoverable. We utilize the following dual grouping policy for purposes of determining the unit of account for testing impairment of the site rental contracts and customer relationships:</w:t>
      </w:r>
    </w:p>
    <w:p>
      <w:pPr>
        <w:spacing w:after="0" w:line="93" w:lineRule="exact"/>
        <w:rPr>
          <w:sz w:val="20"/>
          <w:szCs w:val="20"/>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pool site rental contracts and customer relationships intangible assets and property and equipment into portfolio groups, and</w:t>
      </w:r>
    </w:p>
    <w:p>
      <w:pPr>
        <w:spacing w:after="0" w:line="23" w:lineRule="exact"/>
        <w:rPr>
          <w:rFonts w:ascii="Arial" w:cs="Arial" w:eastAsia="Arial" w:hAnsi="Arial"/>
          <w:sz w:val="18"/>
          <w:szCs w:val="18"/>
          <w:color w:val="auto"/>
        </w:rPr>
      </w:pPr>
    </w:p>
    <w:p>
      <w:pPr>
        <w:ind w:left="820" w:hanging="407"/>
        <w:spacing w:after="0" w:line="261"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separately pool site rental contracts and customer relationships by significant tenant or by tenant grouping for individually insignificant tenants, as appropriate.</w:t>
      </w:r>
    </w:p>
    <w:p>
      <w:pPr>
        <w:spacing w:after="0" w:line="13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first pool site rental contracts and customer relationships intangible assets and property and equipment into portfolio groups for purposes of determining the unit of account for impairment testing, because we view sites as portfolios and sites in a given portfolio and its related tenant contracts are not largely independent of the other sites in the portfolio. We re-evaluate the appropriateness of the pooled groups at least annually. This use of grouping is based in part on (1) our limitations regarding disposal of sites, (2) the interdependencies of site portfolios, and (3) the manner in which sites are traded in the marketplace. The vast majority of our site rental contracts and customer relationships intangible assets and property and equipment are pooled into the U.S. owned communications infrastructure group. Secondly, and separately, we pool site rental contracts and customer relationships by significant tenant or by tenant grouping (for individually insignificant tenants), as appropriate, for purposes of determining the unit of account for impairment testing because we associate the value ascribed to site rental contracts and customer relationships intangible assets to the underlying contracts and related customer relationships acquired.</w:t>
      </w:r>
    </w:p>
    <w:p>
      <w:pPr>
        <w:spacing w:after="0" w:line="14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Our determination that an adverse event or change in circumstance has occurred that indicates that the carrying amounts may not be recoverable will generally involve (1) a deterioration in an asset's financial performance compared to historical results, (2) a shortfall in an asset's financial performance compared to forecasted results, or (3) changes affecting the utility and estimated future demands for the asset. When considering the utility of our assets, we consider events that would meaningfully impact (1) our sites or (2) our tenant relationships. For example, consideration would be given to events that impact</w:t>
      </w:r>
    </w:p>
    <w:p>
      <w:pPr>
        <w:spacing w:after="0" w:line="2" w:lineRule="exact"/>
        <w:rPr>
          <w:sz w:val="20"/>
          <w:szCs w:val="20"/>
          <w:color w:val="auto"/>
        </w:rPr>
      </w:pPr>
    </w:p>
    <w:p>
      <w:pPr>
        <w:jc w:val="both"/>
        <w:ind w:firstLine="8"/>
        <w:spacing w:after="0" w:line="302" w:lineRule="auto"/>
        <w:tabs>
          <w:tab w:leader="none" w:pos="25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structural integrity and longevity of our sites or (2) our ability to derive benefit from our existing tenant relationships, including events such as tenant's bankruptcy or insolvency or loss of a significant tenant. During the periods presented, there were no events or circumstances that caused us to review the carrying value of our intangible assets or property and equipment due in part to our assets performing consistently with or better than our expectations.</w:t>
      </w:r>
    </w:p>
    <w:p>
      <w:pPr>
        <w:spacing w:after="0" w:line="10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If the sum of the estimated future cash flows (undiscounted) from an asset, or portfolio group, significant tenant or tenant group (for individually insignificant tenants), as applicable, is less than its carrying amount, an impairment loss may be recognized. If the carrying value were to exceed the undiscounted cash flows, measurement of an impairment loss would be based on the fair value of the asset, which is based on an estimate of discounted future cash flows. The most important estimates for such calculations of undiscounted cash flows are (1) the expected additions of new tenants and equipment on our communications infrastructure and (2) estimates regarding tenant cancellations and renewals of contracts. We could record impairments in the future if changes in long-term market conditions, expected future operating results, or the utility of the assets results in changes for our impairment test calculations, which negatively impact the fair value of our property and equipment and intangible assets, or if we changed our unit of account in the future.</w:t>
      </w:r>
    </w:p>
    <w:p>
      <w:pPr>
        <w:spacing w:after="0" w:line="11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When grouping assets into pools for purposes of impairment evaluation, we also consider individual sites within a grouping for which we currently have no tenants. Approximately 3% of our total towers currently have no tenants. We continue to pay operating expenses on these towers in anticipation of obtaining tenants on these towers in the future, primarily because of the individual tower site demographics. We estimate, based on current visibility, potential tenants on approximately half of these towers. To the extent we do not believe there are long-term prospects of obtaining tenants on an individual sites and all other possible avenues for recovering the carrying value has been exhausted, including sale of the asset, we appropriately reduce the carrying value of such assets.</w:t>
      </w:r>
    </w:p>
    <w:p>
      <w:pPr>
        <w:spacing w:after="0" w:line="13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Accounting for Goodwill—Impairment Evaluation. </w:t>
      </w:r>
      <w:r>
        <w:rPr>
          <w:rFonts w:ascii="Arial" w:cs="Arial" w:eastAsia="Arial" w:hAnsi="Arial"/>
          <w:sz w:val="17"/>
          <w:szCs w:val="17"/>
          <w:color w:val="auto"/>
        </w:rPr>
        <w:t>We test goodwill for impairment on an annual basis, regardless of whether adverse events or changes</w:t>
      </w:r>
      <w:r>
        <w:rPr>
          <w:rFonts w:ascii="Arial" w:cs="Arial" w:eastAsia="Arial" w:hAnsi="Arial"/>
          <w:sz w:val="17"/>
          <w:szCs w:val="17"/>
          <w:i w:val="1"/>
          <w:iCs w:val="1"/>
          <w:color w:val="auto"/>
        </w:rPr>
        <w:t xml:space="preserve"> </w:t>
      </w:r>
      <w:r>
        <w:rPr>
          <w:rFonts w:ascii="Arial" w:cs="Arial" w:eastAsia="Arial" w:hAnsi="Arial"/>
          <w:sz w:val="17"/>
          <w:szCs w:val="17"/>
          <w:color w:val="auto"/>
        </w:rPr>
        <w:t>in circumstances have occurred. The annual test begins with goodwill and all intangible assets being allocated to applicable reporting units. We then perform a qualitative assessment to determine whether it is “more likely than not” that the fair value of the reporting unit is less than its carrying amount. If we conclude that it is “more likely than not” that the fair value of a reporting unit is less than its carrying amount, we would be required to perform the two-step goodwill impairment test. Otherwise, the two-step goodwill impairment test is not required. We have one reporting unit for goodwill impairment testing. We performed our annual goodwill impairment test as of October 1, 2017, which resulted in no impairments.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18" w:name="page19"/>
    <w:bookmarkEnd w:id="18"/>
    <w:p>
      <w:pPr>
        <w:ind w:left="420"/>
        <w:spacing w:after="0"/>
        <w:rPr>
          <w:sz w:val="20"/>
          <w:szCs w:val="20"/>
          <w:color w:val="auto"/>
        </w:rPr>
      </w:pPr>
      <w:r>
        <w:rPr>
          <w:rFonts w:ascii="Arial" w:cs="Arial" w:eastAsia="Arial" w:hAnsi="Arial"/>
          <w:sz w:val="18"/>
          <w:szCs w:val="18"/>
          <w:i w:val="1"/>
          <w:iCs w:val="1"/>
          <w:color w:val="auto"/>
        </w:rPr>
        <w:t>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Recently Adopted Accounting Pronouncements. </w:t>
      </w:r>
      <w:r>
        <w:rPr>
          <w:rFonts w:ascii="Arial" w:cs="Arial" w:eastAsia="Arial" w:hAnsi="Arial"/>
          <w:sz w:val="18"/>
          <w:szCs w:val="18"/>
          <w:color w:val="auto"/>
        </w:rPr>
        <w:t>See note 2 to our consolidated financial statements.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 Accounting Pronouncements Not Yet Adopted. </w:t>
      </w:r>
      <w:r>
        <w:rPr>
          <w:rFonts w:ascii="Arial" w:cs="Arial" w:eastAsia="Arial" w:hAnsi="Arial"/>
          <w:sz w:val="18"/>
          <w:szCs w:val="18"/>
          <w:color w:val="auto"/>
        </w:rPr>
        <w:t>See note 2 to our consolidated financial statements.</w:t>
      </w:r>
    </w:p>
    <w:p>
      <w:pPr>
        <w:spacing w:after="0" w:line="3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Our primary exposures to market risks are related to changes in interest rates, which may adversely affect our results of operations and financial position, including as a result of refinancing our existing debt or issuing incremental debt. We seek to manage exposure to changes in interest rates where economically prudent to do so by utilizing fixed rate debt. Currently, all of our debt is fixed rate. See </w:t>
      </w:r>
      <w:r>
        <w:rPr>
          <w:rFonts w:ascii="Arial" w:cs="Arial" w:eastAsia="Arial" w:hAnsi="Arial"/>
          <w:sz w:val="18"/>
          <w:szCs w:val="18"/>
          <w:i w:val="1"/>
          <w:iCs w:val="1"/>
          <w:color w:val="auto"/>
        </w:rPr>
        <w:t>"Item 7. MD&amp;A—Contractual Cash Obligations"</w:t>
      </w:r>
      <w:r>
        <w:rPr>
          <w:rFonts w:ascii="Arial" w:cs="Arial" w:eastAsia="Arial" w:hAnsi="Arial"/>
          <w:sz w:val="18"/>
          <w:szCs w:val="18"/>
          <w:color w:val="auto"/>
        </w:rPr>
        <w:t xml:space="preserve"> and note 5 to our consolidated financial statements for a discussion of our debt maturity.</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December 31, 2017, we have no interest rate swaps hedging any refinancings. We typically do not hedge our exposure to interest rates on potential future borrowings of incremental debt for a substantial period prior to issuance. See "</w:t>
      </w:r>
      <w:r>
        <w:rPr>
          <w:rFonts w:ascii="Arial" w:cs="Arial" w:eastAsia="Arial" w:hAnsi="Arial"/>
          <w:sz w:val="18"/>
          <w:szCs w:val="18"/>
          <w:i w:val="1"/>
          <w:iCs w:val="1"/>
          <w:color w:val="auto"/>
        </w:rPr>
        <w:t>Item 7. MD&amp;A—Liquidity and Capital Resources</w:t>
      </w:r>
      <w:r>
        <w:rPr>
          <w:rFonts w:ascii="Arial" w:cs="Arial" w:eastAsia="Arial" w:hAnsi="Arial"/>
          <w:sz w:val="18"/>
          <w:szCs w:val="18"/>
          <w:color w:val="auto"/>
        </w:rPr>
        <w:t>" regarding our liquidity strategy.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30" w:right="239" w:bottom="1440" w:gutter="0" w:footer="0" w:header="0"/>
        </w:sectPr>
      </w:pPr>
    </w:p>
    <w:bookmarkStart w:id="19" w:name="page20"/>
    <w:bookmarkEnd w:id="19"/>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 and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gridSpan w:val="3"/>
          </w:tcPr>
          <w:p>
            <w:pPr>
              <w:jc w:val="center"/>
              <w:ind w:left="2051"/>
              <w:spacing w:after="0"/>
              <w:rPr>
                <w:sz w:val="20"/>
                <w:szCs w:val="20"/>
                <w:color w:val="auto"/>
              </w:rPr>
            </w:pPr>
            <w:r>
              <w:rPr>
                <w:rFonts w:ascii="Arial" w:cs="Arial" w:eastAsia="Arial" w:hAnsi="Arial"/>
                <w:sz w:val="16"/>
                <w:szCs w:val="16"/>
                <w:b w:val="1"/>
                <w:bCs w:val="1"/>
                <w:color w:val="auto"/>
                <w:w w:val="88"/>
              </w:rPr>
              <w:t>Page</w:t>
            </w:r>
          </w:p>
        </w:tc>
      </w:tr>
      <w:tr>
        <w:trPr>
          <w:trHeight w:val="236"/>
        </w:trPr>
        <w:tc>
          <w:tcPr>
            <w:tcW w:w="4220" w:type="dxa"/>
            <w:vAlign w:val="bottom"/>
            <w:gridSpan w:val="2"/>
          </w:tcPr>
          <w:p>
            <w:pPr>
              <w:spacing w:after="0"/>
              <w:rPr>
                <w:sz w:val="20"/>
                <w:szCs w:val="20"/>
                <w:color w:val="auto"/>
              </w:rPr>
            </w:pPr>
            <w:r>
              <w:rPr>
                <w:rFonts w:ascii="Arial" w:cs="Arial" w:eastAsia="Arial" w:hAnsi="Arial"/>
                <w:sz w:val="18"/>
                <w:szCs w:val="18"/>
                <w:color w:val="auto"/>
                <w:w w:val="91"/>
              </w:rPr>
              <w:t>Report of Independent Registered Public Accounting Firm</w:t>
            </w:r>
          </w:p>
        </w:tc>
        <w:tc>
          <w:tcPr>
            <w:tcW w:w="4400" w:type="dxa"/>
            <w:vAlign w:val="bottom"/>
            <w:gridSpan w:val="5"/>
          </w:tcPr>
          <w:p>
            <w:pPr>
              <w:spacing w:after="0"/>
              <w:rPr>
                <w:sz w:val="20"/>
                <w:szCs w:val="20"/>
                <w:color w:val="auto"/>
              </w:rPr>
            </w:pPr>
          </w:p>
        </w:tc>
        <w:tc>
          <w:tcPr>
            <w:tcW w:w="2400" w:type="dxa"/>
            <w:vAlign w:val="bottom"/>
            <w:gridSpan w:val="2"/>
          </w:tcPr>
          <w:p>
            <w:pPr>
              <w:jc w:val="center"/>
              <w:ind w:left="2131"/>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80" w:type="dxa"/>
            <w:vAlign w:val="bottom"/>
          </w:tcPr>
          <w:p>
            <w:pPr>
              <w:spacing w:after="0"/>
              <w:rPr>
                <w:sz w:val="20"/>
                <w:szCs w:val="20"/>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580" w:type="dxa"/>
            <w:vAlign w:val="bottom"/>
            <w:gridSpan w:val="3"/>
          </w:tcPr>
          <w:p>
            <w:pPr>
              <w:spacing w:after="0"/>
              <w:rPr>
                <w:sz w:val="20"/>
                <w:szCs w:val="20"/>
                <w:color w:val="auto"/>
              </w:rPr>
            </w:pPr>
            <w:r>
              <w:rPr>
                <w:rFonts w:ascii="Arial" w:cs="Arial" w:eastAsia="Arial" w:hAnsi="Arial"/>
                <w:sz w:val="18"/>
                <w:szCs w:val="18"/>
                <w:color w:val="auto"/>
                <w:w w:val="88"/>
              </w:rPr>
              <w:t>Consolidated Balance Sheet as of December 31, 2017 and 2016</w:t>
            </w:r>
          </w:p>
        </w:tc>
        <w:tc>
          <w:tcPr>
            <w:tcW w:w="4040" w:type="dxa"/>
            <w:vAlign w:val="bottom"/>
            <w:gridSpan w:val="4"/>
          </w:tcPr>
          <w:p>
            <w:pPr>
              <w:spacing w:after="0"/>
              <w:rPr>
                <w:sz w:val="21"/>
                <w:szCs w:val="21"/>
                <w:color w:val="auto"/>
              </w:rPr>
            </w:pPr>
          </w:p>
        </w:tc>
        <w:tc>
          <w:tcPr>
            <w:tcW w:w="2400" w:type="dxa"/>
            <w:vAlign w:val="bottom"/>
            <w:gridSpan w:val="2"/>
          </w:tcPr>
          <w:p>
            <w:pPr>
              <w:jc w:val="center"/>
              <w:ind w:left="2131"/>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80" w:type="dxa"/>
            <w:vAlign w:val="bottom"/>
          </w:tcPr>
          <w:p>
            <w:pPr>
              <w:spacing w:after="0"/>
              <w:rPr>
                <w:sz w:val="21"/>
                <w:szCs w:val="2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620" w:type="dxa"/>
            <w:vAlign w:val="bottom"/>
            <w:gridSpan w:val="7"/>
          </w:tcPr>
          <w:p>
            <w:pPr>
              <w:spacing w:after="0"/>
              <w:rPr>
                <w:sz w:val="20"/>
                <w:szCs w:val="20"/>
                <w:color w:val="auto"/>
              </w:rPr>
            </w:pPr>
            <w:r>
              <w:rPr>
                <w:rFonts w:ascii="Arial" w:cs="Arial" w:eastAsia="Arial" w:hAnsi="Arial"/>
                <w:sz w:val="18"/>
                <w:szCs w:val="18"/>
                <w:color w:val="auto"/>
              </w:rPr>
              <w:t>Consolidated Statement of Operations for each of the three years in the period ended December 31, 2017</w:t>
            </w:r>
          </w:p>
        </w:tc>
        <w:tc>
          <w:tcPr>
            <w:tcW w:w="2400" w:type="dxa"/>
            <w:vAlign w:val="bottom"/>
            <w:gridSpan w:val="2"/>
          </w:tcPr>
          <w:p>
            <w:pPr>
              <w:jc w:val="center"/>
              <w:ind w:left="2131"/>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80" w:type="dxa"/>
            <w:vAlign w:val="bottom"/>
          </w:tcPr>
          <w:p>
            <w:pPr>
              <w:spacing w:after="0"/>
              <w:rPr>
                <w:sz w:val="21"/>
                <w:szCs w:val="2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44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620" w:type="dxa"/>
            <w:vAlign w:val="bottom"/>
            <w:gridSpan w:val="7"/>
          </w:tcPr>
          <w:p>
            <w:pPr>
              <w:spacing w:after="0"/>
              <w:rPr>
                <w:sz w:val="20"/>
                <w:szCs w:val="20"/>
                <w:color w:val="auto"/>
              </w:rPr>
            </w:pPr>
            <w:r>
              <w:rPr>
                <w:rFonts w:ascii="Arial" w:cs="Arial" w:eastAsia="Arial" w:hAnsi="Arial"/>
                <w:sz w:val="18"/>
                <w:szCs w:val="18"/>
                <w:color w:val="auto"/>
              </w:rPr>
              <w:t>Consolidated Statement of Cash Flows for each of the three years in the period ended December 31, 2017</w:t>
            </w:r>
          </w:p>
        </w:tc>
        <w:tc>
          <w:tcPr>
            <w:tcW w:w="2400" w:type="dxa"/>
            <w:vAlign w:val="bottom"/>
            <w:gridSpan w:val="2"/>
          </w:tcPr>
          <w:p>
            <w:pPr>
              <w:jc w:val="center"/>
              <w:ind w:left="2131"/>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22</w:t>
              </w:r>
            </w:hyperlink>
          </w:p>
        </w:tc>
        <w:tc>
          <w:tcPr>
            <w:tcW w:w="80" w:type="dxa"/>
            <w:vAlign w:val="bottom"/>
          </w:tcPr>
          <w:p>
            <w:pPr>
              <w:spacing w:after="0"/>
              <w:rPr>
                <w:sz w:val="21"/>
                <w:szCs w:val="2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442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800" w:type="dxa"/>
            <w:vAlign w:val="bottom"/>
            <w:gridSpan w:val="6"/>
          </w:tcPr>
          <w:p>
            <w:pPr>
              <w:spacing w:after="0"/>
              <w:rPr>
                <w:sz w:val="20"/>
                <w:szCs w:val="20"/>
                <w:color w:val="auto"/>
              </w:rPr>
            </w:pPr>
            <w:r>
              <w:rPr>
                <w:rFonts w:ascii="Arial" w:cs="Arial" w:eastAsia="Arial" w:hAnsi="Arial"/>
                <w:sz w:val="18"/>
                <w:szCs w:val="18"/>
                <w:color w:val="auto"/>
                <w:w w:val="89"/>
              </w:rPr>
              <w:t>Consolidated Statement of Changes in Member's Equity for each of the three years in the period ended 2017</w:t>
            </w:r>
          </w:p>
        </w:tc>
        <w:tc>
          <w:tcPr>
            <w:tcW w:w="820" w:type="dxa"/>
            <w:vAlign w:val="bottom"/>
          </w:tcPr>
          <w:p>
            <w:pPr>
              <w:spacing w:after="0"/>
              <w:rPr>
                <w:sz w:val="21"/>
                <w:szCs w:val="21"/>
                <w:color w:val="auto"/>
              </w:rPr>
            </w:pPr>
          </w:p>
        </w:tc>
        <w:tc>
          <w:tcPr>
            <w:tcW w:w="2400" w:type="dxa"/>
            <w:vAlign w:val="bottom"/>
            <w:gridSpan w:val="2"/>
          </w:tcPr>
          <w:p>
            <w:pPr>
              <w:jc w:val="center"/>
              <w:ind w:left="2131"/>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23</w:t>
              </w:r>
            </w:hyperlink>
          </w:p>
        </w:tc>
        <w:tc>
          <w:tcPr>
            <w:tcW w:w="80" w:type="dxa"/>
            <w:vAlign w:val="bottom"/>
          </w:tcPr>
          <w:p>
            <w:pPr>
              <w:spacing w:after="0"/>
              <w:rPr>
                <w:sz w:val="21"/>
                <w:szCs w:val="2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442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800" w:type="dxa"/>
            <w:vAlign w:val="bottom"/>
            <w:gridSpan w:val="6"/>
          </w:tcPr>
          <w:p>
            <w:pPr>
              <w:spacing w:after="0"/>
              <w:rPr>
                <w:sz w:val="20"/>
                <w:szCs w:val="20"/>
                <w:color w:val="auto"/>
              </w:rPr>
            </w:pPr>
            <w:r>
              <w:rPr>
                <w:rFonts w:ascii="Arial" w:cs="Arial" w:eastAsia="Arial" w:hAnsi="Arial"/>
                <w:sz w:val="18"/>
                <w:szCs w:val="18"/>
                <w:color w:val="auto"/>
              </w:rPr>
              <w:t>Notes to Consolidated Financial Statements</w:t>
            </w:r>
          </w:p>
        </w:tc>
        <w:tc>
          <w:tcPr>
            <w:tcW w:w="820" w:type="dxa"/>
            <w:vAlign w:val="bottom"/>
          </w:tcPr>
          <w:p>
            <w:pPr>
              <w:spacing w:after="0"/>
              <w:rPr>
                <w:sz w:val="21"/>
                <w:szCs w:val="21"/>
                <w:color w:val="auto"/>
              </w:rPr>
            </w:pPr>
          </w:p>
        </w:tc>
        <w:tc>
          <w:tcPr>
            <w:tcW w:w="2400" w:type="dxa"/>
            <w:vAlign w:val="bottom"/>
            <w:gridSpan w:val="2"/>
          </w:tcPr>
          <w:p>
            <w:pPr>
              <w:jc w:val="center"/>
              <w:ind w:left="2131"/>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24</w:t>
              </w:r>
            </w:hyperlink>
          </w:p>
        </w:tc>
        <w:tc>
          <w:tcPr>
            <w:tcW w:w="80" w:type="dxa"/>
            <w:vAlign w:val="bottom"/>
          </w:tcPr>
          <w:p>
            <w:pPr>
              <w:spacing w:after="0"/>
              <w:rPr>
                <w:sz w:val="21"/>
                <w:szCs w:val="2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560" w:type="dxa"/>
            <w:vAlign w:val="bottom"/>
            <w:gridSpan w:val="5"/>
          </w:tcPr>
          <w:p>
            <w:pPr>
              <w:spacing w:after="0"/>
              <w:rPr>
                <w:sz w:val="20"/>
                <w:szCs w:val="20"/>
                <w:color w:val="auto"/>
              </w:rPr>
            </w:pPr>
            <w:r>
              <w:rPr>
                <w:rFonts w:ascii="Arial" w:cs="Arial" w:eastAsia="Arial" w:hAnsi="Arial"/>
                <w:sz w:val="18"/>
                <w:szCs w:val="18"/>
                <w:color w:val="auto"/>
                <w:w w:val="90"/>
              </w:rPr>
              <w:t>Schedule II - Valuation and Qualifying Accounts for the years ended December 31, 2017, 2016 and 2015</w:t>
            </w:r>
          </w:p>
        </w:tc>
        <w:tc>
          <w:tcPr>
            <w:tcW w:w="1060" w:type="dxa"/>
            <w:vAlign w:val="bottom"/>
            <w:gridSpan w:val="2"/>
          </w:tcPr>
          <w:p>
            <w:pPr>
              <w:spacing w:after="0"/>
              <w:rPr>
                <w:sz w:val="21"/>
                <w:szCs w:val="21"/>
                <w:color w:val="auto"/>
              </w:rPr>
            </w:pPr>
          </w:p>
        </w:tc>
        <w:tc>
          <w:tcPr>
            <w:tcW w:w="2400" w:type="dxa"/>
            <w:vAlign w:val="bottom"/>
            <w:gridSpan w:val="2"/>
          </w:tcPr>
          <w:p>
            <w:pPr>
              <w:jc w:val="center"/>
              <w:ind w:left="2131"/>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80" w:type="dxa"/>
            <w:vAlign w:val="bottom"/>
          </w:tcPr>
          <w:p>
            <w:pPr>
              <w:spacing w:after="0"/>
              <w:rPr>
                <w:sz w:val="21"/>
                <w:szCs w:val="21"/>
                <w:color w:val="auto"/>
              </w:rPr>
            </w:pPr>
          </w:p>
        </w:tc>
      </w:tr>
      <w:tr>
        <w:trPr>
          <w:trHeight w:val="20"/>
        </w:trPr>
        <w:tc>
          <w:tcPr>
            <w:tcW w:w="7560" w:type="dxa"/>
            <w:vAlign w:val="bottom"/>
            <w:gridSpan w:val="5"/>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620" w:type="dxa"/>
            <w:vAlign w:val="bottom"/>
            <w:gridSpan w:val="7"/>
          </w:tcPr>
          <w:p>
            <w:pPr>
              <w:spacing w:after="0"/>
              <w:rPr>
                <w:sz w:val="20"/>
                <w:szCs w:val="20"/>
                <w:color w:val="auto"/>
              </w:rPr>
            </w:pPr>
            <w:r>
              <w:rPr>
                <w:rFonts w:ascii="Arial" w:cs="Arial" w:eastAsia="Arial" w:hAnsi="Arial"/>
                <w:sz w:val="18"/>
                <w:szCs w:val="18"/>
                <w:color w:val="auto"/>
                <w:w w:val="89"/>
              </w:rPr>
              <w:t>Schedule III - Schedule of Real Estate and Accumulated Depreciation for the years ended December 31, 2017 and 2016</w:t>
            </w:r>
          </w:p>
        </w:tc>
        <w:tc>
          <w:tcPr>
            <w:tcW w:w="2400" w:type="dxa"/>
            <w:vAlign w:val="bottom"/>
            <w:gridSpan w:val="2"/>
          </w:tcPr>
          <w:p>
            <w:pPr>
              <w:jc w:val="center"/>
              <w:ind w:left="2131"/>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41</w:t>
              </w:r>
            </w:hyperlink>
          </w:p>
        </w:tc>
        <w:tc>
          <w:tcPr>
            <w:tcW w:w="80" w:type="dxa"/>
            <w:vAlign w:val="bottom"/>
          </w:tcPr>
          <w:p>
            <w:pPr>
              <w:spacing w:after="0"/>
              <w:rPr>
                <w:sz w:val="21"/>
                <w:szCs w:val="2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Financial statements of certain of CC Holdings GS V LLC's wholly-owned subsidiaries are included pursuant to Rule 3-16 of Regulation S-X in financial statement schedules in a separate section of this Annual Report on Form 10-K (beginning on page S-1 following Part IV).</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CC Holdings GS V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audited the accompanying consolidated balance sheets of CC Holdings GS V LLC and its subsidiaries as of December 31, 2017 and 2016, and the related consolidated statements of operations, cash flows and changes in member’s equity for each of the three years in the period ended December 31, 2017, including the related notes and financial statement schedules listed in the accompanying index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96"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r>
      <w:tr>
        <w:trPr>
          <w:trHeight w:val="236"/>
        </w:trPr>
        <w:tc>
          <w:tcPr>
            <w:tcW w:w="8800" w:type="dxa"/>
            <w:vAlign w:val="bottom"/>
            <w:tcBorders>
              <w:bottom w:val="single" w:sz="8" w:color="CCEEFF"/>
            </w:tcBorders>
            <w:shd w:val="clear" w:color="auto" w:fill="CCEEFF"/>
          </w:tcPr>
          <w:p>
            <w:pPr>
              <w:ind w:left="410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19,550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Receivables, net of allowance of $1,300 and $1,810, respectively</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2,581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3,527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24,051</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24,638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19,833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82,757</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67,441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333,164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346,507</w:t>
            </w:r>
          </w:p>
        </w:tc>
      </w:tr>
      <w:tr>
        <w:trPr>
          <w:trHeight w:val="237"/>
        </w:trPr>
        <w:tc>
          <w:tcPr>
            <w:tcW w:w="88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1,041,157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1,088,883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1,338,730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1,338,730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Site rental contracts and customer relationships,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902,667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1,016,200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19,859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21,807</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Long-term prepaid rent and other assets,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38,154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35,490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3,756,488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3,915,058</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0"/>
        </w:trPr>
        <w:tc>
          <w:tcPr>
            <w:tcW w:w="8800" w:type="dxa"/>
            <w:vAlign w:val="bottom"/>
            <w:tcBorders>
              <w:bottom w:val="single" w:sz="8" w:color="CCEEFF"/>
            </w:tcBorders>
            <w:shd w:val="clear" w:color="auto" w:fill="CCEEFF"/>
          </w:tcPr>
          <w:p>
            <w:pPr>
              <w:ind w:left="336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3,387</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Accrued interest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8,126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8,126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11,930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Other accrued liabilities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8,828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9,856</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30,341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33,299</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Debt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992,663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991,279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ground lease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107,673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102,519</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Above-market leases and other liabilities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49,340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48,716</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1,180,017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1,175,813</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Commitments and contingencies (note 9)</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Member's equity</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2,576,471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2,739,245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earnings (deficit)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member's equity</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2,576,471</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2,739,245</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3,756,488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3,915,058</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2" w:name="page23"/>
    <w:bookmarkEnd w:id="22"/>
    <w:p>
      <w:pPr>
        <w:ind w:left="3660" w:right="3640" w:firstLine="979"/>
        <w:spacing w:after="0" w:line="276" w:lineRule="auto"/>
        <w:tabs>
          <w:tab w:leader="none" w:pos="4946"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HOLDINGS GS V LLC CONSOLIDATED STATEMENT OF OPERATIONS</w:t>
      </w:r>
    </w:p>
    <w:p>
      <w:pPr>
        <w:ind w:left="478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Site rental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616,897</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611,639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607,276</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4"/>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149,764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151,812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150,225</w:t>
            </w:r>
          </w:p>
        </w:tc>
      </w:tr>
      <w:tr>
        <w:trPr>
          <w:trHeight w:val="270"/>
        </w:trPr>
        <w:tc>
          <w:tcPr>
            <w:tcW w:w="674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Site rental cost of operations—related parties</w:t>
            </w:r>
            <w:r>
              <w:rPr>
                <w:rFonts w:ascii="Arial" w:cs="Arial" w:eastAsia="Arial" w:hAnsi="Arial"/>
                <w:sz w:val="21"/>
                <w:szCs w:val="21"/>
                <w:color w:val="auto"/>
                <w:vertAlign w:val="superscript"/>
              </w:rPr>
              <w:t>(a)</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36,655</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33,901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31,859</w:t>
            </w:r>
          </w:p>
        </w:tc>
      </w:tr>
      <w:tr>
        <w:trPr>
          <w:trHeight w:val="25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186,419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185,713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182,084</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Management fee—related party</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46,946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45,433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43,709</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Asset write-down charges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6,021</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210,607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209,361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207,825</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444,153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445,358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439,639</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172,744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166,281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167,637</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 and amortization of deferred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(53,223)</w:t>
            </w: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Gains (losses) on retirement of debt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(10,273)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133,157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106,251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114,170</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733</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133,771</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106,919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114,903</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3" w:name="page24"/>
    <w:bookmarkEnd w:id="23"/>
    <w:p>
      <w:pPr>
        <w:ind w:left="3600" w:right="3620" w:firstLine="999"/>
        <w:spacing w:after="0" w:line="276" w:lineRule="auto"/>
        <w:tabs>
          <w:tab w:leader="none" w:pos="4895"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HOLDINGS GS V LLC CONSOLIDATED STATEMENT OF CASH FLOWS</w:t>
      </w:r>
    </w:p>
    <w:p>
      <w:pPr>
        <w:ind w:left="474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(In thousands of dollars)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133,771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106,919</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114,903</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Depreciation, amortization and accretion</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210,607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209,361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207,825</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Amortization of deferred financing costs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2,828</w:t>
            </w: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Asset write-down charges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4,851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6,021</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(Gains) losses on retirement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Increase (decrease) in accrued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380" w:type="dxa"/>
            <w:vAlign w:val="bottom"/>
          </w:tcPr>
          <w:p>
            <w:pPr>
              <w:ind w:left="700"/>
              <w:spacing w:after="0"/>
              <w:rPr>
                <w:sz w:val="20"/>
                <w:szCs w:val="20"/>
                <w:color w:val="auto"/>
              </w:rPr>
            </w:pPr>
            <w:r>
              <w:rPr>
                <w:rFonts w:ascii="Arial" w:cs="Arial" w:eastAsia="Arial" w:hAnsi="Arial"/>
                <w:sz w:val="16"/>
                <w:szCs w:val="16"/>
                <w:color w:val="auto"/>
              </w:rPr>
              <w:t>Increase (decrease) in accounts payable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113</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Increase (decrease) in deferred revenues, deferred ground lease payable and 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1,734</w:t>
            </w:r>
          </w:p>
        </w:tc>
      </w:tr>
      <w:tr>
        <w:trPr>
          <w:trHeight w:val="237"/>
        </w:trPr>
        <w:tc>
          <w:tcPr>
            <w:tcW w:w="7380" w:type="dxa"/>
            <w:vAlign w:val="bottom"/>
          </w:tcPr>
          <w:p>
            <w:pPr>
              <w:ind w:left="700"/>
              <w:spacing w:after="0"/>
              <w:rPr>
                <w:sz w:val="20"/>
                <w:szCs w:val="20"/>
                <w:color w:val="auto"/>
              </w:rPr>
            </w:pPr>
            <w:r>
              <w:rPr>
                <w:rFonts w:ascii="Arial" w:cs="Arial" w:eastAsia="Arial" w:hAnsi="Arial"/>
                <w:sz w:val="16"/>
                <w:szCs w:val="16"/>
                <w:color w:val="auto"/>
              </w:rPr>
              <w:t>Decrease (increase) in receivables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1,050</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7380" w:type="dxa"/>
            <w:vAlign w:val="bottom"/>
            <w:shd w:val="clear" w:color="auto" w:fill="CCEEFF"/>
          </w:tcPr>
          <w:p>
            <w:pPr>
              <w:ind w:left="700"/>
              <w:spacing w:after="0"/>
              <w:rPr>
                <w:sz w:val="20"/>
                <w:szCs w:val="20"/>
                <w:color w:val="auto"/>
              </w:rPr>
            </w:pPr>
            <w:r>
              <w:rPr>
                <w:rFonts w:ascii="Arial" w:cs="Arial" w:eastAsia="Arial" w:hAnsi="Arial"/>
                <w:sz w:val="16"/>
                <w:szCs w:val="16"/>
                <w:color w:val="auto"/>
                <w:w w:val="92"/>
              </w:rPr>
              <w:t>Decrease (increase) in other current assets, deferred site rental receivable, long-term prepaid rent and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9"/>
        </w:trPr>
        <w:tc>
          <w:tcPr>
            <w:tcW w:w="73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9,574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(23,488)</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357,317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333,052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310,986</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(49,551)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(53,409)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(85,216)</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(85,216)</w:t>
            </w:r>
          </w:p>
        </w:tc>
      </w:tr>
      <w:tr>
        <w:trPr>
          <w:trHeight w:val="231"/>
        </w:trPr>
        <w:tc>
          <w:tcPr>
            <w:tcW w:w="738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Purchases and redemptions of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(508,472)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Equity contribution related to debt repayment</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508,472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Distributions to member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(296,545)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(280,494)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(231,600)</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(296,545)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(280,494)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(231,600)</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11,221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(5,830)</w:t>
            </w:r>
          </w:p>
        </w:tc>
      </w:tr>
      <w:tr>
        <w:trPr>
          <w:trHeight w:val="237"/>
        </w:trPr>
        <w:tc>
          <w:tcPr>
            <w:tcW w:w="738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19,550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20,401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26,231</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30,771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19,550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20,401</w:t>
            </w:r>
          </w:p>
        </w:tc>
      </w:tr>
      <w:tr>
        <w:trPr>
          <w:trHeight w:val="20"/>
        </w:trPr>
        <w:tc>
          <w:tcPr>
            <w:tcW w:w="7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80" w:top="580" w:right="2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Member's Equity</w:t>
            </w: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2014</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2,327,938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193,107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2,521,045</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(231,600)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(231,600)</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114,903</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114,903</w:t>
            </w: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at December 31, 2015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2,327,938</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76,410</w:t>
            </w:r>
          </w:p>
        </w:tc>
        <w:tc>
          <w:tcPr>
            <w:tcW w:w="2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2,404,348</w:t>
            </w:r>
          </w:p>
        </w:tc>
        <w:tc>
          <w:tcPr>
            <w:tcW w:w="0" w:type="dxa"/>
            <w:vAlign w:val="bottom"/>
          </w:tcPr>
          <w:p>
            <w:pPr>
              <w:spacing w:after="0"/>
              <w:rPr>
                <w:sz w:val="1"/>
                <w:szCs w:val="1"/>
                <w:color w:val="auto"/>
              </w:rPr>
            </w:pPr>
          </w:p>
        </w:tc>
      </w:tr>
      <w:tr>
        <w:trPr>
          <w:trHeight w:val="184"/>
        </w:trPr>
        <w:tc>
          <w:tcPr>
            <w:tcW w:w="6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Equity contribution related to debt repayment (note 5)</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508,472</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508,472</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vMerge w:val="continue"/>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(97,165)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(183,329)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(280,494)</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106,919</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106,919</w:t>
            </w: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at December 31,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2,739,245</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2,739,245</w:t>
            </w: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(162,774)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(133,771)</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(296,545)</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133,771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133,771</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2,576,471</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2,576,471</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accompanying consolidated financial statements reflect the consolidated financial position, results of operations, and cash flows of CC Holdings GS V LLC ("CCL") and its consolidated wholly-owned subsidiaries (collectively, "Company"). The Company is a wholly-owned subsidiary of Global Signal Operating Partnership, L.P. ("GSOP"), which is an indirect subsidiary of Crown Castle International Corp., a Delaware corporation ("CCIC" or "Crown Castle"). CCL is a Delaware limited liability company ("LLC") that is a holding company and an issuer of the Company's debt. Intercompany accounts, transactions, and profits have been eliminated. As used herein, the term "including," and any variation thereof means "including without limitations." The use of the word "or" herein is not exclusive.</w:t>
      </w:r>
    </w:p>
    <w:p>
      <w:pPr>
        <w:spacing w:after="0" w:line="13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is organized specifically to own, lease, and manage approximately 7,600 towers and other structures (collectively, "towers"), and to a lesser extent, interests in land under third party and related party towers in various forms, ("land interests") (collectively, "communications infrastructure" or "sites") that are geographically dispersed across the United States ("U.S"). The Company's customers on its communications infrastructure are referred to herein as "tenants." The Company's core business is providing access, including space or capacity, to its sites via long-term contracts in various forms, including licenses, subleases, and lease agreements (collectively, "contracts"). Management services related to the Company's sites are performed by Crown Castle USA Inc. ("CCUSA"), an affiliate of the Company, under the Management Agreement (as defined below), as the Company has no employees.</w:t>
      </w:r>
    </w:p>
    <w:p>
      <w:pPr>
        <w:spacing w:after="0" w:line="11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Approximately 68% of the Company's sites are leased or subleased or operated and managed for an initial period of 32 years (through May 2037) under master lease or other agreements with Sprint ("Sprint Sites"). CCIC, through its subsidiaries (including the Company), has the option to purchase in 2037 all (but not less than all) of the Sprint Sites from Sprint for approximately $2.3 billion. CCIC has no obligation to exercise the purchase option.</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U.S. federal income tax purposes, CCIC operates as a real estate investment trust ("REIT"), and as its indirect subsidiary, the Company's assets and operations are included in the CCIC REIT. See notes 2 and 8.</w:t>
      </w:r>
    </w:p>
    <w:p>
      <w:pPr>
        <w:spacing w:after="0" w:line="1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use assumptions that affect the reported amounts of assets and liabilities and the disclosure for contingent assets and liabilities at the date of the financial statements as well as the reported amounts of revenues and expenses during the reporting period. Actual results could differ from these estimates.</w:t>
      </w:r>
    </w:p>
    <w:p>
      <w:pPr>
        <w:spacing w:after="0" w:line="305" w:lineRule="exact"/>
        <w:rPr>
          <w:sz w:val="20"/>
          <w:szCs w:val="20"/>
          <w:color w:val="auto"/>
        </w:rPr>
      </w:pPr>
    </w:p>
    <w:p>
      <w:pPr>
        <w:ind w:left="420" w:right="7620" w:hanging="412"/>
        <w:spacing w:after="0" w:line="440" w:lineRule="auto"/>
        <w:tabs>
          <w:tab w:leader="none" w:pos="4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Receivables Allowance</w:t>
      </w:r>
    </w:p>
    <w:p>
      <w:pPr>
        <w:spacing w:after="0" w:line="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An allowance for doubtful accounts is recorded as an offset to accounts receivable. The Company uses judgment in estimating this allowance and considers historical collections, current credit status, or contractual provisions. Additions to the allowance for doubtful accounts are charged to “site rental cost of operations,” and deductions from the allowance are recorded when specific accounts receivable are written off as uncollectible.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 Accounting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 classifies its leases at inception as either operating leases or capital leases. A lease is classified as a capital lease if at least one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 subject to certain exceptions noted below: (1) the lease transfers ownership of the leased assets to the lessee, (2) there is a bargain purchase option, (3) the lease term is equal to 75% or more of the economic life of the leased assets or (4) the present value of the minimum lease payments equals or exceeds 90% of the fair value of the leased assets.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Lessee. </w:t>
      </w:r>
      <w:r>
        <w:rPr>
          <w:rFonts w:ascii="Arial" w:cs="Arial" w:eastAsia="Arial" w:hAnsi="Arial"/>
          <w:sz w:val="18"/>
          <w:szCs w:val="18"/>
          <w:color w:val="auto"/>
        </w:rPr>
        <w:t>Leases for land are evaluated for capital lease treatment if at least one of the first two criteria mentioned in the immediately preceding paragraph</w:t>
      </w:r>
      <w:r>
        <w:rPr>
          <w:rFonts w:ascii="Arial" w:cs="Arial" w:eastAsia="Arial" w:hAnsi="Arial"/>
          <w:sz w:val="18"/>
          <w:szCs w:val="18"/>
          <w:i w:val="1"/>
          <w:iCs w:val="1"/>
          <w:color w:val="auto"/>
        </w:rPr>
        <w:t xml:space="preserve"> </w:t>
      </w:r>
      <w:r>
        <w:rPr>
          <w:rFonts w:ascii="Arial" w:cs="Arial" w:eastAsia="Arial" w:hAnsi="Arial"/>
          <w:sz w:val="18"/>
          <w:szCs w:val="18"/>
          <w:color w:val="auto"/>
        </w:rPr>
        <w:t>is present relating to the leased assets. When the Company, as lessee, classifies a lease as a capital lease, it records an asset in an amount equal to the present value of the minimum lease payments under the lease at the beginning of the lease term. Applicable operating leases are recognized on a straight-line basis as discussed under "</w:t>
      </w:r>
      <w:r>
        <w:rPr>
          <w:rFonts w:ascii="Arial" w:cs="Arial" w:eastAsia="Arial" w:hAnsi="Arial"/>
          <w:sz w:val="18"/>
          <w:szCs w:val="18"/>
          <w:i w:val="1"/>
          <w:iCs w:val="1"/>
          <w:color w:val="auto"/>
        </w:rPr>
        <w:t>Costs of Operations</w:t>
      </w:r>
      <w:r>
        <w:rPr>
          <w:rFonts w:ascii="Arial" w:cs="Arial" w:eastAsia="Arial" w:hAnsi="Arial"/>
          <w:sz w:val="18"/>
          <w:szCs w:val="18"/>
          <w:color w:val="auto"/>
        </w:rPr>
        <w:t>" below.</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Lessor. </w:t>
      </w:r>
      <w:r>
        <w:rPr>
          <w:rFonts w:ascii="Arial" w:cs="Arial" w:eastAsia="Arial" w:hAnsi="Arial"/>
          <w:sz w:val="18"/>
          <w:szCs w:val="18"/>
          <w:color w:val="auto"/>
        </w:rPr>
        <w:t>If the Company is the lessor of leased property that is part of a larger whole (including a portion of space on a tower) and for which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not objectively determinable, then such lease is accounted for as an operating lease. As applicable, operating leases are recognized on a straight-line basis as discussed under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"Recent Accounting Pronouncements Not Yet Adopted"</w:t>
      </w:r>
      <w:r>
        <w:rPr>
          <w:rFonts w:ascii="Arial" w:cs="Arial" w:eastAsia="Arial" w:hAnsi="Arial"/>
          <w:sz w:val="18"/>
          <w:szCs w:val="18"/>
          <w:color w:val="auto"/>
        </w:rPr>
        <w:t xml:space="preserve"> below for further discussion.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Property and equipment is stated at cost, net of accumulated depreciation. Property and equipment includes land owned in fee and perpetual easements for land, which have no definite life. When the Company purchases fee ownership or perpetual easements for the land previously subject to ground lease, the Company reduces the value recorded as land by the amount of any associated deferred ground lease payable or unamortized above-market leases. Depreciation is computed utilizing the straight-line method at rates based upon the estimated useful lives of the various classes of assets. Depreciation of communications infrastructure is generally computed with a useful life equal to the shorter of 20 years or the term of the underlying ground lease (including optional renewal periods). Additions, renewals, or improvements are capitalized, while maintenance and repairs are expensed. The carrying value of property and equipment will be reviewed for impairment whenever events or changes in circumstances indicate that the carrying amount of the assets may not be recoverable.</w:t>
      </w:r>
    </w:p>
    <w:p>
      <w:pPr>
        <w:spacing w:after="0" w:line="13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Abandonments and write-offs of property and equipment are recorded to "asset write-down charges" on the Company's consolidated statement of operations and were $0.2 million, $4.9 million, and $5.4 million for the years ended December 31, 2017, 2016, and 2015, respectively.</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its ground lease and easement agreements, the Company records obligations to perform asset retirement activities, including requirements to remove communications infrastructure or remediate the land upon which the Company's communications infrastructure resides. With respect to the Sprint Sites, the Company does not have retirement obligations to the extent such retirement would occur beyond the period for which it has a contract term. Asset retirement obligations are included in "above-market leases and other liabilities" on the Company's consolidated balance sheet. The liability accretes as a result of the passage of time and the related accretion expense is included in "depreciation, amortization, and accretion" expense on the Company's consolidated statement of operations. The associated asset retirement costs are capitalized as an additional carrying amount of the related long-lived asset and depreciated over the useful life of such asset.</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Goodwill represents the excess of the purchase price for an acquired business over the allocated value of the related net assets. The Company tests goodwill for impairment on an annual basis, regardless of whether adverse events or changes in circumstances have occurred. The annual test begins with goodwill and all intangible assets being allocated to applicable reporting units. The Company then performs a qualitative assessment to determine whether it is "more likely than not" that the fair value of the reporting units is less than its carrying amount. If it is concluded that it is "more likely than not" that the fair value of a reporting unit is less than its carrying amount, it is necessary to perform the two-step goodwill impairment test. The two-step goodwill impairment test begins with a comparison of the estimated fair value of the reporting unit and the carrying value of the reporting unit. The first step, commonly referred to as a “step-one impairment test,” is a screen for potential impairment while the second step measures the amount of any impairment if there is an indication from the first step that one exists. The Company's measurement of the fair value for goodwill is based on an estimate of discounted expected future cash flows of the reporting unit. The Company has one reporting unit for goodwill impairment testing. The Company performed its most recent annual goodwill impairment test as of October 1, 2017, which resulted in no impairments.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Intangible assets are included in "site rental contracts and customer relationship, net" and "other intangible assets, net" on the Company's consolidated balance sheet and predominately consist of the estimated fair value of the following items recorded in conjunction with acquisitions: (1) site rental contracts and customer relationships or (2) below-market leases for land interests under the acquired towers classified as "other intangible assets, net." The site rental contracts and customer relationships intangible assets are comprised of (1) the current term of the existing contracts, (2) the expected exercise of the renewal provisions contained within the existing contracts, which automatically occur under contractual provisions, or (3) any associated relationships that are expected to generate value following the expiration of all renewal periods under existing contracts.</w:t>
      </w:r>
    </w:p>
    <w:p>
      <w:pPr>
        <w:spacing w:after="0" w:line="12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useful lives of intangible assets are estimated based on the period over which the intangible asset is expected to benefit the Company, which is calculated on an individual tenant basis, considering, among other things, the contractual provisions with the tenant and gives consideration to the expected useful life of other assets to which the useful life may relate. Amortization expense for intangible assets is computed using the straight-line method over the estimated useful life of each of the intangible assets. The useful life of the site rental contracts and customer relationships intangible asset is limited by the maximum depreciable life of the tower (20 years), as a result of the interdependency of the tower and site rental contracts and customer relationships.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contrast, the site rental contracts and customer relationships are estimated to provide economic benefits for several decades because of the low rate of tenant cancellations and high rate of renewals experienced to date. Thus, while site rental contracts and customer relationships are valued based upon the fair value, which includes assumptions regarding both (1) tenants' exercise of optional renewals contained in the acquired contracts and (2) renewals of the acquired contracts past the contractual term including exercisable options, the site rental contracts and customer relationships are amortized over a period not to exceed 20 years as a result of the useful life being limited by the depreciable life of the sites.</w:t>
      </w:r>
    </w:p>
    <w:p>
      <w:pPr>
        <w:spacing w:after="0" w:line="11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the site rental contracts and customer relationships intangible assets. First, the Company pools the site rental contracts and customer relationships with the related tower assets into portfolio groups for purposes of determining the unit of account for impairment testing. Second and separately, the Company evaluates the site rental contracts and customer relationships by significant tenant or by tenant grouping for individually insignificant tenants, as appropriate. If the sum of the estimated future cash flows (undiscounted) expected to result from the use or eventual disposition of an asset is less than the carrying amount of the asset, an impairment loss is recognized. Measurement of an impairment loss is based on the fair value of the asset.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Above-market Leases</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Above-market leases consist of the estimated fair value of above-market leases for land interests under the Company's towers. Above-market leases for land interests are amortized to costs of operations over their respective estimated remaining contract term at the acquisition date.</w:t>
      </w: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Third-party costs incurred to obtain financing are deferred and are included as a direct deduction from the carrying amount of the related debt liability in "debt" on the Company's consolidated balance sheet.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Site rental revenues are recognized on a monthly basis over the fixed, non-cancelable term of the relevant contract (generally ranging from five to 15 years), regardless of whether the payments from the tenant are received in equal monthly amounts. The Company's contracts contain fixed escalation clauses (such as fixed dollar or fixed percentage increases) or inflation-based escalation clauses (such as those tied to the consumer price index ("CPI")). If the payment terms call for fixed escalations, upfront payments, or rent-free periods, the revenue is recognized on a straight-line basis over the fixed, non-cancelable term of the agreement. When calculating straight-line rental revenues, the Company considers all fixed elements of tenant contractual escalation provisions, even if such escalation provisions contain a variable element in addition to a minimum. The Company's assets related to straight-line site rental revenues are included in "deferred site rental receivables." Amounts billed or received prior to being earned are deferred and reflected in "deferred revenues" on the Company's consolidated balance sheet.</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of Operations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excess of three-fourths of the Company's site rental cost of operations consists of ground lease expenses, and the remainder includes repairs and maintenance expenses, utilities, property taxes, or insurance.</w:t>
      </w:r>
    </w:p>
    <w:p>
      <w:pPr>
        <w:spacing w:after="0" w:line="11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Generally, the ground lease agreements are specific to each site, are for an initial term of five years and are renewable for pre-determined periods. The Company also enters into term easements and ground leases in which it prepays the entire term in advance. Ground lease expense is recognized on a monthly basis, regardless of whether the contract agreement payment terms require the Company to make payments annually, quarterly, monthly, or for the entire term in advance. The Company's ground leases contain fixed escalation clauses (such as fixed dollar or fixed percentage increases) or inflation-based escalation clauses (such as those tied to the CPI). If the payment terms include fixed escalation provisions, the effect of such increases is recognized on a straight-line basis. The Company calculates the straight-line ground lease expense using a time period that equals or exceeds the remaining depreciable life of the communications infrastructure asset. Further, when a tenant has exercisable renewal options that would compel the Company to exercise existing ground lease renewal options, the Company has straight-lined the ground lease expense over a sufficient portion of such ground lease renewals to coincide with the final termination of the tenant's renewal options. The Company's policy is to record ground lease agreements with affiliates under the same or similar economic terms as the contract agreement for the land that existed prior to the purchase of such land by the affiliate.</w:t>
      </w:r>
    </w:p>
    <w:p>
      <w:pPr>
        <w:spacing w:after="0" w:line="1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current liability related to straight-line ground lease expense is included in "other accrued liabilities" on the Company's consolidated balance sheet and was $1.9 million and $1.6 million for the years ended December 31, 2017 and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respectively. The Company's non-current liability related to straight-line ground lease expense is included in "deferred ground lease payable" on the Company's consolidated balance sheet. The Company's assets related to prepaid ground leases is included in "prepaid expenses" and "long-term prepaid rent and other assets, net" on the Company's consolidated balance sheet. The Company's current liability related to accrued property taxes is included in "other accrued liabilities" on the Company's consolidated balance sheet and was $5.7 million and $5.8 million for the years ended December 31, 2017 and 2016, respectively.</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Fee</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is charged a management fee by CCUSA, a wholly-owned indirect subsidiary of CCIC, relating to management services, which include those functions reasonably necessary to maintain, market, operate, manage, and administer the sites. The management fee is equal to 7.5% of the Company's revenues, excluding the revenues related to the accounting for leases with fixed escalators as required by the applicable accounting standards. See note 6.</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CCIC operates as a REIT for U.S. federal income tax purposes. The Company is an indirect subsidiary of CCIC and for U.S. federal income taxes purposes the Company's assets and operations are part of the CCIC REIT. As a REIT, CCIC is generally entitled to a deduction for dividends that it pays and therefore is not subject to U.S. federal corporate income tax on its taxable income that is currently distributed to its stockholders. CCIC also may be subject to certain federal, state, local, and foreign taxes on its income and assets, including (1) alternative minimum taxes (repealed effective January 1, 2018), (2) taxes on any undistributed income, (3) taxes related to the CCIC's taxable REIT subsidiaries, (4) franchise taxes, (5) property taxes, and (6) transfer taxes. In addition, CCIC could in certain circumstances be required to pay an excise or penalty tax, which could be significant in amount, in order to utilize one or more relief provisions under the Internal Revenue Code of 1986, as amended ("Code") to maintain qualification for taxation as a REIT.</w:t>
      </w:r>
    </w:p>
    <w:p>
      <w:pPr>
        <w:spacing w:after="0" w:line="11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does not expect the Tax Cuts and Jobs Act, which was signed into law in December 2017, to have a significant impact on its consolidated financial statements.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assets and liabilities recorded at fair value are categorized based upon a fair value hierarchy that ranks the quality and reliability of the information used to determine fair value. The three levels of the fair value hierarchy are (1) Level 1 - quoted prices (unadjusted) in active and accessible markets, (2) Level 2 - observable prices that are based on inputs not quoted in active markets but corroborated by market data, and (3) Level 3 - unobservable inputs and are not corroborated by market data. The Company evaluates fair value hierarchy level classifications quarterly, and transfers between levels are effective at the end of the quarterly period.</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cash and cash equivalents approximates the carrying value. The Company determines fair value of its debt securities based on indicative quotes (that is non-binding quotes) from brokers that require judgment to interpret market information including implied credit spreads for similar borrowings on recent trades or bid/ask prices or quotes from active markets if applicable. There were no changes since December 31, 2016 in the Company's valuation techniques used to measure fair values. See note 7.</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Reporting Segments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operating segment.</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3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No new accounting pronouncements adopted during the year ended December 31, 2017 had a material impact on the Company's consolidated financial statements.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31"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In February 2016, the FASB issued new guidance on the recognition, measurement, presentation and disclosure of leases. The new guidance requires lessees to recognize a right-of-use asset and a lease liability, initially measured at the present value of the lease payments for all leases with a term greater than 12 months. The accounting for lessors remains largely unchanged from existing guidance. This guidance is effective for the Company as of January 1, 2019 and is required to be applied using a modified retrospective approach for all leases existing at, or entered into after, the beginning of the earliest comparative period presented. Although early adoption is permitted, the Company does not expect to early adopt the new guidance prior to January 1, 2019. The Company expects that (1) lessee arrangements will continue to be classified as operating leases under the new guidance; (2) this guidance to have a material impact on its consolidated balance sheet due to the addition of right-of-use assets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5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and lease liabilities for all lessee arrangements with a term greater than 12 months; and (3) there will not be a material impact to its consolidated statement of operations and consolidated statement of cash flows.</w:t>
      </w:r>
    </w:p>
    <w:p>
      <w:pPr>
        <w:spacing w:after="0" w:line="11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January 2017, the FASB issued new guidance to simplify the accounting for goodwill impairment by removing the second step of the existing goodwill impairment test. As a result of the guidance, goodwill impairment, if any, will be measured during the step-one impairment test as the amount by which a reporting unit's carrying value exceeds its fair value, not to exceed the carrying amount of goodwill. Additionally, the guidance does not change the option to complete a qualitative assessment prior to performing a step-one impairment test. The guidance is effective for the Company as of January 1, 2020. Early adoption is permitted. The Company is currently evaluating the impact of the guidance, including the impact on its consolidated financial statements.</w:t>
      </w:r>
    </w:p>
    <w:p>
      <w:pPr>
        <w:spacing w:after="0" w:line="10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January 2017, the FASB issued new guidance which clarifies the definition of a business in order to assist companies in evaluating whether transactions should be accounted for as acquisitions or disposals of assets or businesses. The guidance is effective for the Company as of January 1, 2018, and is required to be applied prospectively. Early adoption is permitted. The Company will adopt this guidance effective January 1, 2018 and will apply the new guidance to prospective transactions. The adoption of this guidance will not have a material impact on the Company's consolidated financial statements.</w:t>
      </w:r>
    </w:p>
    <w:p>
      <w:pPr>
        <w:spacing w:after="0" w:line="312"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major classes of property and equipment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Estimated Useful Lives</w:t>
            </w:r>
          </w:p>
        </w:tc>
        <w:tc>
          <w:tcPr>
            <w:tcW w:w="2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r>
              <w:rPr>
                <w:rFonts w:ascii="Arial" w:cs="Arial" w:eastAsia="Arial" w:hAnsi="Arial"/>
                <w:sz w:val="21"/>
                <w:szCs w:val="21"/>
                <w:color w:val="auto"/>
                <w:vertAlign w:val="superscript"/>
              </w:rPr>
              <w:t>(a)</w:t>
            </w: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73,214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73,872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Towers</w:t>
            </w:r>
          </w:p>
        </w:tc>
        <w:tc>
          <w:tcPr>
            <w:tcW w:w="1740" w:type="dxa"/>
            <w:vAlign w:val="bottom"/>
            <w:gridSpan w:val="2"/>
          </w:tcPr>
          <w:p>
            <w:pPr>
              <w:jc w:val="right"/>
              <w:ind w:right="360"/>
              <w:spacing w:after="0"/>
              <w:rPr>
                <w:sz w:val="20"/>
                <w:szCs w:val="20"/>
                <w:color w:val="auto"/>
              </w:rPr>
            </w:pPr>
            <w:r>
              <w:rPr>
                <w:rFonts w:ascii="Arial" w:cs="Arial" w:eastAsia="Arial" w:hAnsi="Arial"/>
                <w:sz w:val="16"/>
                <w:szCs w:val="16"/>
                <w:color w:val="auto"/>
              </w:rPr>
              <w:t>1-20 years</w:t>
            </w:r>
          </w:p>
        </w:tc>
        <w:tc>
          <w:tcPr>
            <w:tcW w:w="3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1,872,975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1,827,805</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17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14,514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15,876</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gross property and equipment</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1,960,703</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1,917,553</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15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(919,546)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(828,670)</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1,041,157</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1,088,883</w:t>
            </w:r>
          </w:p>
        </w:tc>
      </w:tr>
      <w:tr>
        <w:trPr>
          <w:trHeight w:val="20"/>
        </w:trPr>
        <w:tc>
          <w:tcPr>
            <w:tcW w:w="6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land owned in fee and perpetual easements.</w:t>
      </w:r>
    </w:p>
    <w:p>
      <w:pPr>
        <w:spacing w:after="0" w:line="16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Depreciation expense for the years ended December 31, 2017, 2016, and 2015 was $94.3 million, $93.5 million, and $92.2 million, respectively. As discussed in notes 1 and 2, the Company has certain prepaid capital leases and associated leasehold improvements, which have related gross property and equipment and accumulated depreciation of $1.0 billion and $559.7 million, respectively, as of December 31, 2017.</w:t>
      </w:r>
    </w:p>
    <w:p>
      <w:pPr>
        <w:spacing w:after="0" w:line="324"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Above-market Leases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Company's intangible assets.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As of December 31, 2017</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31, 2016</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3"/>
              <w:spacing w:after="0" w:line="153" w:lineRule="exact"/>
              <w:rPr>
                <w:sz w:val="20"/>
                <w:szCs w:val="20"/>
                <w:color w:val="auto"/>
              </w:rPr>
            </w:pPr>
            <w:r>
              <w:rPr>
                <w:rFonts w:ascii="Arial" w:cs="Arial" w:eastAsia="Arial" w:hAnsi="Arial"/>
                <w:sz w:val="14"/>
                <w:szCs w:val="14"/>
                <w:b w:val="1"/>
                <w:bCs w:val="1"/>
                <w:color w:val="auto"/>
                <w:w w:val="96"/>
              </w:rPr>
              <w:t>Gross Carrying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1"/>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2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3"/>
              </w:rPr>
              <w:t>Net Book Value</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Site rental contracts and customer relationships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2,102,005</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(1,199,338)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902,667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2,102,005</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(1,085,805)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1,016,200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 intangible assets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50,999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(31,140)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19,859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51,595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(29,788)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21,807</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2,153,004</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(1,230,478)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922,526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2,153,600</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(1,115,593)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1,038,007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Amortization expense related to intangible assets is classified as follows on the Company's consolidated statement of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259"/>
              <w:spacing w:after="0"/>
              <w:rPr>
                <w:sz w:val="20"/>
                <w:szCs w:val="20"/>
                <w:color w:val="auto"/>
              </w:rPr>
            </w:pPr>
            <w:r>
              <w:rPr>
                <w:rFonts w:ascii="Arial" w:cs="Arial" w:eastAsia="Arial" w:hAnsi="Arial"/>
                <w:sz w:val="14"/>
                <w:szCs w:val="14"/>
                <w:b w:val="1"/>
                <w:bCs w:val="1"/>
                <w:color w:val="auto"/>
                <w:w w:val="93"/>
              </w:rPr>
              <w:t>For Years Ended December 31,</w:t>
            </w: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2015</w:t>
            </w: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113,635</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113,621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113,570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Site rental costs of operations</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1,677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1,788</w:t>
            </w:r>
          </w:p>
        </w:tc>
      </w:tr>
      <w:tr>
        <w:trPr>
          <w:trHeight w:val="33"/>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115,226</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115,298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115,358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estimated annual amortization expense related to intangible assets (inclusive of those recorded as an increase to "site rental cost of operations") for the years ending December 31, 2018 to 2022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Years Ending December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r>
      <w:tr>
        <w:trPr>
          <w:trHeight w:val="22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115,164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115,136</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115,105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114,998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114,933</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See note 2 for a further discussion of above-market leases for land interests under the Company's towers recorded in connection with acquisitions. For the years ended December 31, 2017, 2016 and 2015, the Company recorded $1.7 million, $1.8 million and $1.9 million, respectively, as a decrease to "site rental cost of operations." The following is a summary of the Company's above-market leases.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As of December 31, 2017</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31, 2016</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110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1"/>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2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3"/>
              </w:rPr>
              <w:t>Net Book Value</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Above-market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41,538</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18,275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41,538</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19,994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annual amortization expense related to above-market leases for land interests under the Company's towers for the years ending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to 2022 is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Years Ending December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r>
      <w:tr>
        <w:trPr>
          <w:trHeight w:val="22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1,674</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1,422</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2012 Secured Notes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December 24, 2012, CCL and Crown Castle GS III Corp. ("Co-Issuer" and, together with CCL, "Issuers") issued (1) $500.0 million aggregate principal amount of 2.381% senior secured notes due December 2017 ("2.381% Secured Notes") and (2) $1.0 billion aggregate principal amount of 3.849% senior secured notes due April 2023 ("3.849% Secured Notes" and together with the 2.381% Secured Notes, "2012 Secured Notes"). The 2012 Secured Notes were issued pursuant to an indenture dated as of December 24, 2012 ("Indenture"), by and among the Issuers, the Guarantors (as defined below) and The Bank of New York Mellon Trust Company, N.A., as trustee ("Trustee"). The Issuers and the Guarantors are indirect wholly-owned subsidiaries of CCIC. The Company used the net proceeds from the issuance of the 2012 Secured Notes to (1) repurchase and redeem a portion of the previously outstanding 7.75% senior secured notes due 2017 ("7.75% Secured Notes") and (2) distribute cash to CCIC to fund the repurchase and redemption of a portion of CCIC's senior notes.</w:t>
      </w:r>
    </w:p>
    <w:p>
      <w:pPr>
        <w:spacing w:after="0" w:line="13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The outstanding balance of the 2012 Secured Notes as of December 31, 2017 and December 31, 2016 was $1.0 billion. See below for discussion related to the repayment of the previously outstanding 2.381% Secured Notes. The stated interest rate of the 2012 Secured Notes as of </w:t>
      </w:r>
      <w:r>
        <w:rPr>
          <w:rFonts w:ascii="Arial" w:cs="Arial" w:eastAsia="Arial" w:hAnsi="Arial"/>
          <w:sz w:val="18"/>
          <w:szCs w:val="18"/>
          <w:color w:val="231F20"/>
        </w:rPr>
        <w:t>December 31, 2017 was</w:t>
      </w:r>
      <w:r>
        <w:rPr>
          <w:rFonts w:ascii="Arial" w:cs="Arial" w:eastAsia="Arial" w:hAnsi="Arial"/>
          <w:sz w:val="18"/>
          <w:szCs w:val="18"/>
          <w:color w:val="auto"/>
        </w:rPr>
        <w:t xml:space="preserve"> </w:t>
      </w:r>
      <w:r>
        <w:rPr>
          <w:rFonts w:ascii="Arial" w:cs="Arial" w:eastAsia="Arial" w:hAnsi="Arial"/>
          <w:sz w:val="18"/>
          <w:szCs w:val="18"/>
          <w:color w:val="231F20"/>
        </w:rPr>
        <w:t>3.849% per annum.</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3.849% Secured Notes are payable semi-annually in cash in arrears on April 15 and October 15 of each year, beginning on April 15, 2013. CCL, at its option, may redeem the 3.849% Secured Notes in whole or in part at any time by paying 100% of the principal amount of such 3.849% Secured Notes, together with accrued and unpaid interest, if any, plus a "make-whole" premium (as defined in the Indenture).</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3.849% Secured Notes are guaranteed by the direct and indirect wholly-owned subsidiaries of CCL, other than the Co-Issuer (collectively, "Guarantors"). The 3.849% Secured Notes will be paid solely from the cash flows generated from operation of the towers held directly or indirectly by CCL and the Guarantors.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Concurrently with the issuance of the 2012 Secured Notes, CCL and certain of its subsidiaries entered into a pledge and security agreement with the Trustee. Pursuant to the terms of such pledge and security agreement, the 3.849% Secured Notes are secured on a first-priority basis by a pledge of the equity interests of the Guarantors.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Indenture limits, among other things, the ability of CCL and its subsidiaries to incur indebtedness, incur liens, enter into certain mergers or certain change of control transactions and enter into related party transactions, in each case subject to a number of exceptions and qualifications set forth in the Indenture.</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Management Agreement. </w:t>
      </w:r>
      <w:r>
        <w:rPr>
          <w:rFonts w:ascii="Arial" w:cs="Arial" w:eastAsia="Arial" w:hAnsi="Arial"/>
          <w:sz w:val="18"/>
          <w:szCs w:val="18"/>
          <w:color w:val="auto"/>
        </w:rPr>
        <w:t>On December 24, 2012, CCL and the Guarantors entered into a management agreement ("Management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CCUSA, an indirect wholly-owned subsidiary of CCIC ("Manager"). The Management Agreement replaced the previous management agreement that existed among the parties. Pursuant to the Management Agreement, the Manager will continue to perform, on behalf of CCL and the Guarantors, those functions reasonably necessary to maintain, market, operate, manage, and administer their respective sites. The Management Agreement requires that the Company maintain cash sufficient to operate the business, including sufficient cash to pay expenses for the following month (including any interest payment due during the next month pursuant to the Indenture.)</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i w:val="1"/>
          <w:iCs w:val="1"/>
          <w:color w:val="auto"/>
        </w:rPr>
        <w:t xml:space="preserve">Debt Restrictions. </w:t>
      </w:r>
      <w:r>
        <w:rPr>
          <w:rFonts w:ascii="Arial" w:cs="Arial" w:eastAsia="Arial" w:hAnsi="Arial"/>
          <w:sz w:val="18"/>
          <w:szCs w:val="18"/>
          <w:color w:val="auto"/>
        </w:rPr>
        <w:t>The Indenture does not contain financial maintenance covenants but it does contain restrictive negative covenants, subject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related to the Company's ability to incur indebtedness, incur liens, enter into certain mergers or change of control transactions, sell or issue equity interests and enter into related party transactions. With respect to the restriction regarding the issuance of debt, the Company may not issue debt other than (1) certain permitted refinancings of the 3.849% Secured Notes, (2) unsecured trade payables in the ordinary course of business and financing of equipment, land or other property up to an aggregate of $100.0 million, or (3) unsecured debt or additional notes under the Indenture provided that the Debt to Adjusted Consolidated Cash Flow Ratio (as defined in the Indenture) at the time of incurrence, and after giving effect to such incurrence, would have been no greater than 3.5 to 1. As of December 31, 2017, the Company's Debt to Adjusted Consolidated Cash Flow Ratio is 2.5 to 1, and, as a result, the Company is not restricted in its ability to incur additional indebtedness. Further, the Company is not restricted in its ability to distribute cash to affiliates or issue dividends to its member.</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Maturities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the scheduled contractual maturities of total debt outstanding at December 31, 2017.</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Years Ending December 31,</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Cash</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4"/>
              </w:rPr>
              <w:t>Unamortized</w:t>
            </w:r>
          </w:p>
        </w:tc>
        <w:tc>
          <w:tcPr>
            <w:tcW w:w="140" w:type="dxa"/>
            <w:vAlign w:val="bottom"/>
          </w:tcPr>
          <w:p>
            <w:pPr>
              <w:spacing w:after="0"/>
              <w:rPr>
                <w:sz w:val="12"/>
                <w:szCs w:val="12"/>
                <w:color w:val="auto"/>
              </w:rPr>
            </w:pPr>
          </w:p>
        </w:tc>
        <w:tc>
          <w:tcPr>
            <w:tcW w:w="980" w:type="dxa"/>
            <w:vAlign w:val="bottom"/>
            <w:vMerge w:val="restart"/>
          </w:tcPr>
          <w:p>
            <w:pPr>
              <w:jc w:val="center"/>
              <w:ind w:right="65"/>
              <w:spacing w:after="0"/>
              <w:rPr>
                <w:sz w:val="20"/>
                <w:szCs w:val="20"/>
                <w:color w:val="auto"/>
              </w:rPr>
            </w:pPr>
            <w:r>
              <w:rPr>
                <w:rFonts w:ascii="Arial" w:cs="Arial" w:eastAsia="Arial" w:hAnsi="Arial"/>
                <w:sz w:val="14"/>
                <w:szCs w:val="14"/>
                <w:b w:val="1"/>
                <w:bCs w:val="1"/>
                <w:color w:val="auto"/>
                <w:w w:val="93"/>
              </w:rPr>
              <w:t>Total Debt</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60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60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58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2020</w:t>
            </w:r>
          </w:p>
        </w:tc>
        <w:tc>
          <w:tcPr>
            <w:tcW w:w="120" w:type="dxa"/>
            <w:vAlign w:val="bottom"/>
            <w:vMerge w:val="restart"/>
          </w:tcPr>
          <w:p>
            <w:pPr>
              <w:spacing w:after="0"/>
              <w:rPr>
                <w:sz w:val="12"/>
                <w:szCs w:val="12"/>
                <w:color w:val="auto"/>
              </w:rPr>
            </w:pPr>
          </w:p>
        </w:tc>
        <w:tc>
          <w:tcPr>
            <w:tcW w:w="58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56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rPr>
              <w:t>Thereafter</w:t>
            </w:r>
          </w:p>
        </w:tc>
        <w:tc>
          <w:tcPr>
            <w:tcW w:w="12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Deferred</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Obligations</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Financing Costs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Scheduled contractual maturities</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1,000,000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w w:val="98"/>
              </w:rPr>
              <w:t>$  1,000,000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992,663</w:t>
            </w:r>
          </w:p>
        </w:tc>
        <w:tc>
          <w:tcPr>
            <w:tcW w:w="0" w:type="dxa"/>
            <w:vAlign w:val="bottom"/>
          </w:tcPr>
          <w:p>
            <w:pPr>
              <w:spacing w:after="0"/>
              <w:rPr>
                <w:sz w:val="1"/>
                <w:szCs w:val="1"/>
                <w:color w:val="auto"/>
              </w:rPr>
            </w:pPr>
          </w:p>
        </w:tc>
      </w:tr>
      <w:tr>
        <w:trPr>
          <w:trHeight w:val="33"/>
        </w:trPr>
        <w:tc>
          <w:tcPr>
            <w:tcW w:w="3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Previously Outstanding Debt</w:t>
      </w:r>
    </w:p>
    <w:p>
      <w:pPr>
        <w:spacing w:after="0" w:line="171"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In September 2016, CCIC issued $700 million aggregate principal amount of 2.250% senior unsecured notes ("September 2016 Senior Notes"). CCIC used a portion of the net proceeds from the September 2016 Senior Notes offering to repay in full the previously outstanding 2.381% Secured Notes. The Company recorded an equity contribution related to the repayment of the previously outstanding 2.381% Secured Notes for the year ended December 31, 2016. As a result of the repayment of the previously outstanding 2.381% Secured Notes, the Company recorded a loss on retirement of debt of $10.3 million, which was inclusive of $1.8 million related to the write off of deferred financing costs.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Interest Expense and Amortization of Deferred Financing Costs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components of "interest expense and amortization of deferred financing costs" are as follows: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Years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2015</w:t>
            </w:r>
          </w:p>
        </w:tc>
      </w:tr>
      <w:tr>
        <w:trPr>
          <w:trHeight w:val="236"/>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on debt obligations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38,490</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47,088</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50,395</w:t>
            </w:r>
          </w:p>
        </w:tc>
      </w:tr>
      <w:tr>
        <w:trPr>
          <w:trHeight w:val="237"/>
        </w:trPr>
        <w:tc>
          <w:tcPr>
            <w:tcW w:w="6500" w:type="dxa"/>
            <w:vAlign w:val="bottom"/>
          </w:tcPr>
          <w:p>
            <w:pPr>
              <w:ind w:left="20"/>
              <w:spacing w:after="0"/>
              <w:rPr>
                <w:sz w:val="20"/>
                <w:szCs w:val="20"/>
                <w:color w:val="auto"/>
              </w:rPr>
            </w:pPr>
            <w:r>
              <w:rPr>
                <w:rFonts w:ascii="Arial" w:cs="Arial" w:eastAsia="Arial" w:hAnsi="Arial"/>
                <w:sz w:val="16"/>
                <w:szCs w:val="16"/>
                <w:color w:val="auto"/>
              </w:rPr>
              <w:t>Amortization of deferred financing costs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1,384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2,427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2,828</w:t>
            </w:r>
          </w:p>
        </w:tc>
      </w:tr>
      <w:tr>
        <w:trPr>
          <w:trHeight w:val="33"/>
        </w:trPr>
        <w:tc>
          <w:tcPr>
            <w:tcW w:w="6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39,874</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49,515</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53,223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As discussed in note 5, the Company and the Guarantors entered into a Management Agreement with CCUSA, which replaced a previous management agreement among the same parties. 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majority of the sites held by subsidiaries of CCIC. The management fee is equal to 7.5% of the Company's "Operating Revenues," as defined in the Management Agreement, which is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but is not limited to real estate and personal property taxes, ground lease and easement payments, and insurance premiums. In addition, in connection with its role as Manager, CCUSA may make certain modifications to the Company's sites. The management fee charged by CCUSA for the years ended December 31, 2017, 2016, and 2015 totaled $46.9 million, $45.4 million, and $43.7 million, respectively.</w:t>
      </w:r>
    </w:p>
    <w:p>
      <w:pPr>
        <w:spacing w:after="0" w:line="12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addition, CCUSA may perform installation services on the Company's towers for which the Company is not a party to any agreement and for which no operating results are reflected herein.</w:t>
      </w:r>
    </w:p>
    <w:p>
      <w:pPr>
        <w:spacing w:after="0" w:line="11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As part of the CCIC strategy to obtain long-term control of the land under its towers, affiliates of the Company have acquired rights to land interests under the Company's towers. These affiliates then lease the land to the Company. Under such circumstances, the Company's obligation typically continues with the same or similar economic terms as the contract agreement for the land that existed prior to the purchase of such land by the affiliate. As of December 31, 2017, there are nearly 30% of the Company's sites where the land under the tower is owned by an affiliate. Rent expense to affiliates totaled $36.7 million, $33.9 million, and $31.9 million for the years ended December 31, 2017, 2016, and 2015, respectively. Also, the Company receives rent revenue from affiliates for land owned by the Company that affiliates have towers on and pays ground rent expense to affiliates for land owned by affiliates that the Company has towers on. For the years ended December 31, 2017, 2016, and 2015, rent revenue from affiliates totaled $1.0 million, $1.0 million, and $0.9 million, respectively.</w:t>
      </w:r>
    </w:p>
    <w:p>
      <w:pPr>
        <w:spacing w:after="0" w:line="13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the year ended December 31, 2017, the Company recorded an equity distribution of $296.5 million, reflecting distributions to its member. For the year ended December 31, 2016, the company recorded a net equity contribution of $228.0 million, which was inclusive of (1) an equity contribution from CCIC of $508.5 million related to the repayment of the previously outstanding 2.381% Secured Notes (see note 5) and (2) an equity distribution of $280.5 million, reflecting distributions to its member. For the year ended December 31, 2015, the Company recorded an equity distribution of $231.6 million, reflecting distributions to its member. Cash on-hand above the amount that is required by the Management Agreement has been, and is expected to continue to be, distributed to the Company's parent company. As of As of December 31, 2017 and 2016, the Company had no material related party assets or liabilities on its consolidated balance sheet.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Values</w:t>
      </w:r>
    </w:p>
    <w:p>
      <w:pPr>
        <w:spacing w:after="0" w:line="175" w:lineRule="exact"/>
        <w:rPr>
          <w:sz w:val="20"/>
          <w:szCs w:val="20"/>
          <w:color w:val="auto"/>
        </w:rPr>
      </w:pPr>
    </w:p>
    <w:p>
      <w:pPr>
        <w:ind w:right="440" w:firstLine="405"/>
        <w:spacing w:after="0" w:line="279" w:lineRule="auto"/>
        <w:rPr>
          <w:sz w:val="20"/>
          <w:szCs w:val="20"/>
          <w:color w:val="auto"/>
        </w:rPr>
      </w:pPr>
      <w:r>
        <w:rPr>
          <w:rFonts w:ascii="Arial" w:cs="Arial" w:eastAsia="Arial" w:hAnsi="Arial"/>
          <w:sz w:val="17"/>
          <w:szCs w:val="17"/>
          <w:color w:val="auto"/>
        </w:rPr>
        <w:t>The fair value of cash and cash equivalents approximates the carrying value. The Company determines the fair value of its debt securities based on indicative quotes (that are non-binding quotes) from brokers that require judgment to interpret market information, including implied credit spreads for similar borrowings on recent trades or bid/ask prices or quotes from active markets if applicable. The estimated fair values of the Company's financial instruments, along with the carrying amounts of the related assets and liabilities,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Level in Fair</w:t>
            </w: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43"/>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503"/>
              <w:spacing w:after="0"/>
              <w:rPr>
                <w:sz w:val="20"/>
                <w:szCs w:val="20"/>
                <w:color w:val="auto"/>
              </w:rPr>
            </w:pPr>
            <w:r>
              <w:rPr>
                <w:rFonts w:ascii="Arial" w:cs="Arial" w:eastAsia="Arial" w:hAnsi="Arial"/>
                <w:sz w:val="14"/>
                <w:szCs w:val="14"/>
                <w:b w:val="1"/>
                <w:bCs w:val="1"/>
                <w:color w:val="auto"/>
              </w:rPr>
              <w:t>December 31, 2016</w:t>
            </w:r>
          </w:p>
        </w:tc>
      </w:tr>
      <w:tr>
        <w:trPr>
          <w:trHeight w:val="152"/>
        </w:trPr>
        <w:tc>
          <w:tcPr>
            <w:tcW w:w="5380" w:type="dxa"/>
            <w:vAlign w:val="bottom"/>
          </w:tcPr>
          <w:p>
            <w:pPr>
              <w:spacing w:after="0"/>
              <w:rPr>
                <w:sz w:val="13"/>
                <w:szCs w:val="13"/>
                <w:color w:val="auto"/>
              </w:rPr>
            </w:pPr>
          </w:p>
        </w:tc>
        <w:tc>
          <w:tcPr>
            <w:tcW w:w="11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3"/>
                <w:szCs w:val="13"/>
                <w:color w:val="auto"/>
              </w:rPr>
            </w:pP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3"/>
                <w:szCs w:val="13"/>
                <w:color w:val="auto"/>
              </w:rPr>
            </w:pPr>
          </w:p>
        </w:tc>
        <w:tc>
          <w:tcPr>
            <w:tcW w:w="10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880" w:type="dxa"/>
            <w:vAlign w:val="bottom"/>
          </w:tcPr>
          <w:p>
            <w:pPr>
              <w:jc w:val="right"/>
              <w:ind w:right="343"/>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38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Hierarchy</w:t>
            </w: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880" w:type="dxa"/>
            <w:vAlign w:val="bottom"/>
          </w:tcPr>
          <w:p>
            <w:pPr>
              <w:jc w:val="right"/>
              <w:ind w:right="303"/>
              <w:spacing w:after="0"/>
              <w:rPr>
                <w:sz w:val="20"/>
                <w:szCs w:val="20"/>
                <w:color w:val="auto"/>
              </w:rPr>
            </w:pPr>
            <w:r>
              <w:rPr>
                <w:rFonts w:ascii="Arial" w:cs="Arial" w:eastAsia="Arial" w:hAnsi="Arial"/>
                <w:sz w:val="14"/>
                <w:szCs w:val="14"/>
                <w:b w:val="1"/>
                <w:bCs w:val="1"/>
                <w:color w:val="auto"/>
              </w:rPr>
              <w:t>Value</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30,771</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30,771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19,550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19,550</w:t>
            </w:r>
          </w:p>
        </w:tc>
      </w:tr>
      <w:tr>
        <w:trPr>
          <w:trHeight w:val="33"/>
        </w:trPr>
        <w:tc>
          <w:tcPr>
            <w:tcW w:w="5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Debt</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992,663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1,032,530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991,279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1,013,300</w:t>
            </w:r>
          </w:p>
        </w:tc>
      </w:tr>
    </w:tbl>
    <w:p>
      <w:pPr>
        <w:spacing w:after="0" w:line="393"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For the years ended December 31, 2017, </w:t>
      </w:r>
      <w:r>
        <w:rPr>
          <w:rFonts w:ascii="Arial" w:cs="Arial" w:eastAsia="Arial" w:hAnsi="Arial"/>
          <w:sz w:val="17"/>
          <w:szCs w:val="17"/>
          <w:color w:val="000000"/>
        </w:rPr>
        <w:t>2016</w:t>
      </w:r>
      <w:r>
        <w:rPr>
          <w:rFonts w:ascii="Arial" w:cs="Arial" w:eastAsia="Arial" w:hAnsi="Arial"/>
          <w:sz w:val="17"/>
          <w:szCs w:val="17"/>
          <w:color w:val="231F20"/>
        </w:rPr>
        <w:t xml:space="preserve"> and </w:t>
      </w:r>
      <w:r>
        <w:rPr>
          <w:rFonts w:ascii="Arial" w:cs="Arial" w:eastAsia="Arial" w:hAnsi="Arial"/>
          <w:sz w:val="17"/>
          <w:szCs w:val="17"/>
          <w:color w:val="000000"/>
        </w:rPr>
        <w:t>2015</w:t>
      </w:r>
      <w:r>
        <w:rPr>
          <w:rFonts w:ascii="Arial" w:cs="Arial" w:eastAsia="Arial" w:hAnsi="Arial"/>
          <w:sz w:val="17"/>
          <w:szCs w:val="17"/>
          <w:color w:val="231F20"/>
        </w:rPr>
        <w:t xml:space="preserve"> the Company had benefits for income taxes of $0.6 million, $0.7 million, and $0.7 million, respectively, which consisted of the reduction of unrecognized tax benefits as a result of the lapse of the statute of limitations partially offset by state taxes. The Company's effective tax rate for the years ended December 31, 2017, </w:t>
      </w:r>
      <w:r>
        <w:rPr>
          <w:rFonts w:ascii="Arial" w:cs="Arial" w:eastAsia="Arial" w:hAnsi="Arial"/>
          <w:sz w:val="17"/>
          <w:szCs w:val="17"/>
          <w:color w:val="000000"/>
        </w:rPr>
        <w:t>2016</w:t>
      </w:r>
      <w:r>
        <w:rPr>
          <w:rFonts w:ascii="Arial" w:cs="Arial" w:eastAsia="Arial" w:hAnsi="Arial"/>
          <w:sz w:val="17"/>
          <w:szCs w:val="17"/>
          <w:color w:val="231F20"/>
        </w:rPr>
        <w:t xml:space="preserve"> and </w:t>
      </w:r>
      <w:r>
        <w:rPr>
          <w:rFonts w:ascii="Arial" w:cs="Arial" w:eastAsia="Arial" w:hAnsi="Arial"/>
          <w:sz w:val="17"/>
          <w:szCs w:val="17"/>
          <w:color w:val="000000"/>
        </w:rPr>
        <w:t>2015 differed from the federal statutory rate predominately due to CCIC's</w:t>
      </w:r>
      <w:r>
        <w:rPr>
          <w:rFonts w:ascii="Arial" w:cs="Arial" w:eastAsia="Arial" w:hAnsi="Arial"/>
          <w:sz w:val="17"/>
          <w:szCs w:val="17"/>
          <w:color w:val="231F20"/>
        </w:rPr>
        <w:t xml:space="preserve"> </w:t>
      </w:r>
      <w:r>
        <w:rPr>
          <w:rFonts w:ascii="Arial" w:cs="Arial" w:eastAsia="Arial" w:hAnsi="Arial"/>
          <w:sz w:val="17"/>
          <w:szCs w:val="17"/>
          <w:color w:val="000000"/>
        </w:rPr>
        <w:t>REIT status, including the dividends paid deduction (see notes 1 and 2), and the aforementioned impacts described above</w:t>
      </w:r>
      <w:r>
        <w:rPr>
          <w:rFonts w:ascii="Arial" w:cs="Arial" w:eastAsia="Arial" w:hAnsi="Arial"/>
          <w:sz w:val="17"/>
          <w:szCs w:val="17"/>
          <w:color w:val="231F20"/>
        </w:rPr>
        <w: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2017</w:t>
      </w:r>
      <w:r>
        <w:rPr>
          <w:rFonts w:ascii="Arial" w:cs="Arial" w:eastAsia="Arial" w:hAnsi="Arial"/>
          <w:sz w:val="18"/>
          <w:szCs w:val="18"/>
          <w:color w:val="231F20"/>
        </w:rPr>
        <w:t>, there were no unrecognized tax benefits that would impact the effective tax rate, if recognized.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From time to time, the Company is subject to examinations by various tax authorities in jurisdictions in which the Company has business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The Company regularly assesses the likelihood of additional assessments in each of the tax jurisdictions resulting from these examinations. At this time,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231F20"/>
        </w:rPr>
        <w:t>CCIC is not subject to an Internal Revenue Service examination.</w:t>
      </w:r>
    </w:p>
    <w:p>
      <w:pPr>
        <w:spacing w:after="0" w:line="369" w:lineRule="exact"/>
        <w:rPr>
          <w:sz w:val="20"/>
          <w:szCs w:val="20"/>
          <w:color w:val="auto"/>
        </w:rPr>
      </w:pPr>
    </w:p>
    <w:p>
      <w:pPr>
        <w:ind w:left="420" w:hanging="412"/>
        <w:spacing w:after="0"/>
        <w:tabs>
          <w:tab w:leader="none" w:pos="4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consolidated financial position or results of operations. </w:t>
      </w:r>
      <w:r>
        <w:rPr>
          <w:rFonts w:ascii="Arial" w:cs="Arial" w:eastAsia="Arial" w:hAnsi="Arial"/>
          <w:sz w:val="18"/>
          <w:szCs w:val="18"/>
          <w:color w:val="000000"/>
        </w:rPr>
        <w:t>See note 10 for a discussion of the operating lease commitments. In addition, see note 1 for a discussion of the</w:t>
      </w:r>
      <w:r>
        <w:rPr>
          <w:rFonts w:ascii="Arial" w:cs="Arial" w:eastAsia="Arial" w:hAnsi="Arial"/>
          <w:sz w:val="18"/>
          <w:szCs w:val="18"/>
          <w:color w:val="231F20"/>
        </w:rPr>
        <w:t xml:space="preserve"> </w:t>
      </w:r>
      <w:r>
        <w:rPr>
          <w:rFonts w:ascii="Arial" w:cs="Arial" w:eastAsia="Arial" w:hAnsi="Arial"/>
          <w:sz w:val="18"/>
          <w:szCs w:val="18"/>
          <w:color w:val="000000"/>
        </w:rPr>
        <w:t>CCIC's option to purchase approximately 68% of the Company's towers at the end of their respective contract terms. CCIC has no obligation to exercise the purchase option.</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Pursuant to its ground lease and easement agreements, the Company has the obligation to perform certain asset retirement activities, including requirements upon contract or easement termination to remove communications infrastructure or remediate the land upon which communications infrastructure resides. Accretion expense related to liabilities for retirement obligations amounted to $2.6 million, $2.3 million, and $2.1 million for the years ended December 31, 2017, 2016, and 2015, respectively. As of December 31, 2017 and 2016, liabilities for retirement obligations amounted to $30.9 million and $28.5 million, respectively, representing the net present value of the estimated expected future cash outlay. As of December 31, 2017, the estimated undiscounted future cash outlay for asset retirement obligations was approximately $132 million. See note 2.</w:t>
      </w:r>
    </w:p>
    <w:p>
      <w:pPr>
        <w:spacing w:after="0" w:line="337" w:lineRule="exact"/>
        <w:rPr>
          <w:sz w:val="20"/>
          <w:szCs w:val="20"/>
          <w:color w:val="auto"/>
        </w:rPr>
      </w:pPr>
    </w:p>
    <w:p>
      <w:pPr>
        <w:ind w:left="420" w:right="9660" w:hanging="412"/>
        <w:spacing w:after="0" w:line="528" w:lineRule="auto"/>
        <w:tabs>
          <w:tab w:leader="none" w:pos="420" w:val="left"/>
        </w:tabs>
        <w:numPr>
          <w:ilvl w:val="0"/>
          <w:numId w:val="2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Leases </w:t>
      </w:r>
      <w:r>
        <w:rPr>
          <w:rFonts w:ascii="Arial" w:cs="Arial" w:eastAsia="Arial" w:hAnsi="Arial"/>
          <w:sz w:val="15"/>
          <w:szCs w:val="15"/>
          <w:b w:val="1"/>
          <w:bCs w:val="1"/>
          <w:i w:val="1"/>
          <w:iCs w:val="1"/>
          <w:color w:val="auto"/>
        </w:rPr>
        <w:t>Tenant Leases</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table is a summary of the rental cash payments owed to the Company, as a lessor, by tenants pursuant to contractual agreements in effect as of December 31, 2017. Generally, the Company's leases with its tenants provide for (1) annual escalations, (2) multiple renewal periods at the tenant's option, and (3) only limited termination rights at the applicable tenant's option through the current term. As of December 31, 2017, the weighted-average remaining term (calculated by weighting the</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remaining term for each lease by the related site rental revenue) of tenant leases is approximately six years, exclusive of renewals at the tenant's option. The tenants' rental payments included in the table below are through the current terms with a maximum current term of 20 years and do not assume exercise of tenant renewal options.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Tenant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631,239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618,134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611,719</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593,410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550,235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1,203,114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4,207,851</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following table is a summary of rental cash payments owed by the Company, as lessee, to landlords pursuant to contractual agreements in effect as of December 31, 2017. The Company is obligated under non-cancelable operating leases for land interests under approximately 90% of its sites. The majority of these lease agreements have (1) certain termination rights that provide for cancellation after a notice period, (2) multiple renewal options at the Company's option, and (3) annual escalations. Lease agreements may also contain provisions for a contingent payment based on revenues or the gross margin derived from the tower located on the leased land interest. More than 80% and more than 50% of the Company's sites are under the Company's control for greater than ten and 20 years, respectively, including renewals at the Company's option. The operating lease payments included in the table below include payments for certain renewal periods at the Company's option up to the estimated tower useful life of 20 years and an estimate of contingent payments based on revenues and gross margins derived from existing tenant leases. See also note 6.</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138,940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140,350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141,363</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141,078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138,026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1,726,965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2,426,722</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Rental expense from operating leases was $148.6 million, $144.6 million, and $142.9 million for the years ended December 31, 2017, 2016, and 2015, respectively. The rental expense was inclusive of contingent payments based on revenues or gross margin derived from the tower located on the leased land of $29.6 million, $29.0 million, and $28.0 million for the years ended December 31, 2017, 2016, and 2015, respectively.</w:t>
      </w:r>
    </w:p>
    <w:p>
      <w:pPr>
        <w:spacing w:after="0" w:line="324"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are primarily cash and cash equivalents and trade receivables. The Company mitigates its risk with respect to cash and cash equivalents by maintaining such deposits at high credit quality financial institutions and monitoring the credit ratings of those institutions. See note 2.</w:t>
      </w:r>
    </w:p>
    <w:p>
      <w:pPr>
        <w:spacing w:after="0" w:line="12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derives the largest portion of its revenues from customers in the wireless industry. The Company also has a concentration in its volume of business with Sprint, AT&amp;T, T-Mobile, and Verizon Wireless that accounts for a significant portion of the Company's revenues, receivables, and deferred site rental receivables. The Company mitigates its concentrations of credit risk with respect to trade receivables by actively monitoring the creditworthiness of its tenants, the use of tenant contracts with contractually determinable payment terms and proactive management of past due balances.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Major Customers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percentage of the Company's revenues for those tenants accounting for more than 10% of the Company's revenues.</w:t>
      </w:r>
    </w:p>
    <w:p>
      <w:pPr>
        <w:spacing w:after="0" w:line="186"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23495</wp:posOffset>
            </wp:positionV>
            <wp:extent cx="30270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2015</w:t>
            </w:r>
          </w:p>
        </w:tc>
      </w:tr>
      <w:tr>
        <w:trPr>
          <w:trHeight w:val="236"/>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Sprint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AT&amp;T</w:t>
            </w:r>
          </w:p>
        </w:tc>
        <w:tc>
          <w:tcPr>
            <w:tcW w:w="4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6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T-Mobile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Verizon Wireless</w:t>
            </w:r>
          </w:p>
        </w:tc>
        <w:tc>
          <w:tcPr>
            <w:tcW w:w="4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6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is a summary of the supplemental cash flow information during the years ended December 31, 2017, 2016, and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4"/>
                <w:szCs w:val="14"/>
                <w:b w:val="1"/>
                <w:bCs w:val="1"/>
                <w:color w:val="auto"/>
              </w:rPr>
              <w:t>For Years Ended December 31,</w:t>
            </w:r>
          </w:p>
        </w:tc>
        <w:tc>
          <w:tcPr>
            <w:tcW w:w="80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2015</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 of cash flow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Interest paid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5"/>
              <w:spacing w:after="0"/>
              <w:rPr>
                <w:sz w:val="20"/>
                <w:szCs w:val="20"/>
                <w:color w:val="auto"/>
              </w:rPr>
            </w:pPr>
            <w:r>
              <w:rPr>
                <w:rFonts w:ascii="Arial" w:cs="Arial" w:eastAsia="Arial" w:hAnsi="Arial"/>
                <w:sz w:val="16"/>
                <w:szCs w:val="16"/>
                <w:color w:val="auto"/>
              </w:rPr>
              <w:t>38,490</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47,617</w:t>
            </w:r>
          </w:p>
        </w:tc>
        <w:tc>
          <w:tcPr>
            <w:tcW w:w="2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50,395</w:t>
            </w:r>
          </w:p>
        </w:tc>
      </w:tr>
    </w:tbl>
    <w:p>
      <w:pPr>
        <w:spacing w:after="0" w:line="393"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Guarantor Subsidiaries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CCL has no independent assets or operations. The 3.849% Secured Notes are guaranteed by all subsidiaries of CCL, each of which is a wholly-owned subsidiary of CCL, other than Crown Castle GS III Corp., which is a co-issuer of the 2012 Secured Notes and a wholly-owned finance subsidiary. Such guarantees are full and unconditional and joint and several. Subject to the provisions of the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a subsidiary of CCL,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Indenture, or (4) upon the discharge of the Indenture in accordance with its terms.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 Conclusion Regarding the Effectiveness of Disclosure Controls and Procedures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connection with the preparation of this Annual Report on Form 10-K, as of December 31, 2017, the Company's management conducted an evaluation, under the supervision and with the participation of the Company's Chief Executive Officer ("CEO") and Chief Financial Officer ("CFO"), of the effectiveness of the Company's disclosure controls and procedures (as defined in Rules 13a-15(e) and 15d-15(e) under the Exchange Act). Based upon their evaluation, the CEO and CFO concluded that the Company's disclosure controls and procedures, as of December 31, 2017, were effective to provide reasonable assurance that information required to be disclosed by the Company in the reports filed or submitted by it under the Exchange Act is recorded, processed, summarized, and reported within the time periods specified in the SEC's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(as defined in Rules 13a-15(f) and 15d-15(f) under the Exchange Act) for the Company. Under the supervision and with the participation of the Company's CEO and CFO, management assessed the effectiveness of the Company's internal control over financial reporting based on the framework described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The Company's internal control over financial reporting is a</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designed to provide reasonable assurance regarding the reliability of financial reporting and the preparation of financial statements for external purposes in accordance with U.S. generally accepted accounting principles. The Company's internal control over financial reporting includes those policies and procedures that:</w:t>
      </w:r>
    </w:p>
    <w:p>
      <w:pPr>
        <w:spacing w:after="0" w:line="135" w:lineRule="exact"/>
        <w:rPr>
          <w:sz w:val="20"/>
          <w:szCs w:val="20"/>
          <w:color w:val="auto"/>
        </w:rPr>
      </w:pPr>
    </w:p>
    <w:p>
      <w:pPr>
        <w:ind w:left="820" w:hanging="407"/>
        <w:spacing w:after="0" w:line="258"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jc w:val="both"/>
        <w:ind w:left="820" w:hanging="407"/>
        <w:spacing w:after="0" w:line="250"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 of management and directors of the Company; and</w:t>
      </w:r>
    </w:p>
    <w:p>
      <w:pPr>
        <w:spacing w:after="0" w:line="1" w:lineRule="exact"/>
        <w:rPr>
          <w:rFonts w:ascii="Arial" w:cs="Arial" w:eastAsia="Arial" w:hAnsi="Arial"/>
          <w:sz w:val="18"/>
          <w:szCs w:val="18"/>
          <w:color w:val="auto"/>
        </w:rPr>
      </w:pPr>
    </w:p>
    <w:p>
      <w:pPr>
        <w:ind w:left="820" w:hanging="407"/>
        <w:spacing w:after="0" w:line="261"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acquisitions, use or disposition of the Company's assets that could have a material effect on the financial statements.</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December 31, 2017. Based on the Company's assessment, management has concluded that the Company's internal control over financial reporting was effective as of December 31, 2017 to provide reasonable assurance regarding the reliability of financial reporting and the preparation of financial statements for external reporting purposes in accordance with U.S. generally accepted accounting principles.</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This annual report does not include an attestation report of the Company's independent registered public accounting firm regarding internal control over financial reporting. Management's report was not subject to attestation by the Company's independent registered public accounting firm pursuant to rules of the SEC that permit the Company to provide only management's report in the annual report.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of the Exchange Act) during the most recent fiscal quarter that have materially affected or are reasonably likely to materially affect the Company's internal control over financial reporting.</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 Limitations on the Effectiveness of Controls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the Company's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4" w:right="239" w:bottom="1440" w:gutter="0" w:footer="0" w:header="0"/>
        </w:sectPr>
      </w:pPr>
    </w:p>
    <w:bookmarkStart w:id="37" w:name="page38"/>
    <w:bookmarkEnd w:id="37"/>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an indirect wholly-owned subsidiary of CCIC, our principal accounting fees and services are subject to Crown Castle's Audit Committee pre-approval procedures described in its Proxy Statement. This Proxy Statement can be located at CCIC's website (www.crowncastle.com), under Investors, Proxy Statement. Other than these procedures, the information contained at that website is not incorporated by reference in this filing. During 2017, all services provided by the external auditor were pre-approved by CCIC's Audit Committee in accordance with such policies.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Fees for professional services provided by our auditors include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6"/>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(a)</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249,000</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239,000</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Audit-related fees</w:t>
            </w:r>
          </w:p>
        </w:tc>
        <w:tc>
          <w:tcPr>
            <w:tcW w:w="3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fees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All other fees</w:t>
            </w:r>
          </w:p>
        </w:tc>
        <w:tc>
          <w:tcPr>
            <w:tcW w:w="3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249,000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239,000</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111760</wp:posOffset>
            </wp:positionV>
            <wp:extent cx="114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7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Audit fees principally includes audit and review of financial statements and subsidiary audits, and consents.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3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(a)(1) Financial Statements: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list of financial statements filed as part of this report is submitted as a separate section, the index to which is located on page 18.</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(a)(2) Financial Statement Schedules: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Schedule II—Valuation and Qualifying Accounts.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Schedule III—Schedule of Real Estate and Accumulated Depreciation.</w:t>
      </w:r>
    </w:p>
    <w:p>
      <w:pPr>
        <w:spacing w:after="0" w:line="171" w:lineRule="exact"/>
        <w:rPr>
          <w:sz w:val="20"/>
          <w:szCs w:val="20"/>
          <w:color w:val="auto"/>
        </w:rPr>
      </w:pPr>
    </w:p>
    <w:p>
      <w:pPr>
        <w:ind w:left="420" w:firstLine="405"/>
        <w:spacing w:after="0" w:line="277" w:lineRule="auto"/>
        <w:rPr>
          <w:sz w:val="20"/>
          <w:szCs w:val="20"/>
          <w:color w:val="auto"/>
        </w:rPr>
      </w:pPr>
      <w:r>
        <w:rPr>
          <w:rFonts w:ascii="Arial" w:cs="Arial" w:eastAsia="Arial" w:hAnsi="Arial"/>
          <w:sz w:val="18"/>
          <w:szCs w:val="18"/>
          <w:color w:val="auto"/>
        </w:rPr>
        <w:t>All other schedules are omitted because they are not applicable or because the required information is contained in the financial statements or notes thereto included in this Annual Report on Form 10-K.</w:t>
      </w:r>
    </w:p>
    <w:p>
      <w:pPr>
        <w:spacing w:after="0" w:line="116" w:lineRule="exact"/>
        <w:rPr>
          <w:sz w:val="20"/>
          <w:szCs w:val="20"/>
          <w:color w:val="auto"/>
        </w:rPr>
      </w:pPr>
    </w:p>
    <w:p>
      <w:pPr>
        <w:ind w:left="420" w:firstLine="405"/>
        <w:spacing w:after="0" w:line="277" w:lineRule="auto"/>
        <w:rPr>
          <w:sz w:val="20"/>
          <w:szCs w:val="20"/>
          <w:color w:val="auto"/>
        </w:rPr>
      </w:pPr>
      <w:r>
        <w:rPr>
          <w:rFonts w:ascii="Arial" w:cs="Arial" w:eastAsia="Arial" w:hAnsi="Arial"/>
          <w:sz w:val="18"/>
          <w:szCs w:val="18"/>
          <w:color w:val="auto"/>
        </w:rPr>
        <w:t>Financial statements of certain of CC Holdings GS V LLC's wholly-owned subsidiaries are included pursuant to Rule 3-16 of Regulation S-X in financial statement schedules in a separate section of this Form 10-K (beginning on page S-1 following Part IV).</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(a)(3) Exhibits: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3"/>
                <w:szCs w:val="13"/>
                <w:color w:val="auto"/>
              </w:rPr>
            </w:pPr>
          </w:p>
        </w:tc>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3"/>
                <w:szCs w:val="13"/>
                <w:color w:val="auto"/>
              </w:rPr>
            </w:pPr>
          </w:p>
        </w:tc>
        <w:tc>
          <w:tcPr>
            <w:tcW w:w="1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vMerge w:val="restart"/>
          </w:tcPr>
          <w:p>
            <w:pPr>
              <w:spacing w:after="0"/>
              <w:rPr>
                <w:sz w:val="13"/>
                <w:szCs w:val="13"/>
                <w:color w:val="auto"/>
              </w:rPr>
            </w:pPr>
          </w:p>
        </w:tc>
        <w:tc>
          <w:tcPr>
            <w:tcW w:w="8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6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50"/>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800" w:type="dxa"/>
            <w:vAlign w:val="bottom"/>
            <w:gridSpan w:val="3"/>
            <w:shd w:val="clear" w:color="auto" w:fill="CCEEFF"/>
          </w:tcPr>
          <w:p>
            <w:pPr>
              <w:spacing w:after="0" w:line="202" w:lineRule="exact"/>
              <w:rPr>
                <w:rFonts w:ascii="Arial" w:cs="Arial" w:eastAsia="Arial" w:hAnsi="Arial"/>
                <w:sz w:val="18"/>
                <w:szCs w:val="18"/>
                <w:color w:val="0000FF"/>
                <w:w w:val="97"/>
              </w:rPr>
            </w:pPr>
            <w:hyperlink r:id="rId15">
              <w:r>
                <w:rPr>
                  <w:rFonts w:ascii="Arial" w:cs="Arial" w:eastAsia="Arial" w:hAnsi="Arial"/>
                  <w:sz w:val="18"/>
                  <w:szCs w:val="18"/>
                  <w:color w:val="0000FF"/>
                  <w:w w:val="97"/>
                </w:rPr>
                <w:t>Amended and Restated Certificate of Formation of CC Holdings GS V LLC</w:t>
              </w:r>
            </w:hyperlink>
          </w:p>
        </w:tc>
        <w:tc>
          <w:tcPr>
            <w:tcW w:w="7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S-4</w:t>
            </w:r>
          </w:p>
        </w:tc>
        <w:tc>
          <w:tcPr>
            <w:tcW w:w="1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333-187970</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April 17, 2013</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59"/>
        </w:trPr>
        <w:tc>
          <w:tcPr>
            <w:tcW w:w="10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80" w:type="dxa"/>
            <w:vAlign w:val="bottom"/>
            <w:tcBorders>
              <w:top w:val="single" w:sz="8" w:color="0000FF"/>
            </w:tcBorders>
          </w:tcPr>
          <w:p>
            <w:pPr>
              <w:jc w:val="right"/>
              <w:ind w:right="796"/>
              <w:spacing w:after="0"/>
              <w:rPr>
                <w:sz w:val="20"/>
                <w:szCs w:val="20"/>
                <w:color w:val="auto"/>
              </w:rPr>
            </w:pPr>
            <w:r>
              <w:rPr>
                <w:rFonts w:ascii="Arial" w:cs="Arial" w:eastAsia="Arial" w:hAnsi="Arial"/>
                <w:sz w:val="18"/>
                <w:szCs w:val="18"/>
                <w:color w:val="auto"/>
              </w:rPr>
              <w:t>36</w:t>
            </w: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5740" w:type="dxa"/>
            <w:vAlign w:val="bottom"/>
            <w:gridSpan w:val="13"/>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60" w:type="dxa"/>
            <w:vAlign w:val="bottom"/>
            <w:vMerge w:val="restart"/>
          </w:tcPr>
          <w:p>
            <w:pPr>
              <w:spacing w:after="0"/>
              <w:rPr>
                <w:sz w:val="13"/>
                <w:szCs w:val="13"/>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3"/>
                <w:szCs w:val="13"/>
                <w:color w:val="auto"/>
              </w:rPr>
            </w:pPr>
          </w:p>
        </w:tc>
        <w:tc>
          <w:tcPr>
            <w:tcW w:w="1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vMerge w:val="restart"/>
          </w:tcPr>
          <w:p>
            <w:pPr>
              <w:spacing w:after="0"/>
              <w:rPr>
                <w:sz w:val="13"/>
                <w:szCs w:val="13"/>
                <w:color w:val="auto"/>
              </w:rPr>
            </w:pPr>
          </w:p>
        </w:tc>
        <w:tc>
          <w:tcPr>
            <w:tcW w:w="8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5740" w:type="dxa"/>
            <w:vAlign w:val="bottom"/>
            <w:tcBorders>
              <w:bottom w:val="single" w:sz="8" w:color="auto"/>
            </w:tcBorders>
            <w:gridSpan w:val="13"/>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2"/>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5720" w:type="dxa"/>
            <w:vAlign w:val="bottom"/>
            <w:tcBorders>
              <w:bottom w:val="single" w:sz="8" w:color="0000FF"/>
            </w:tcBorders>
            <w:gridSpan w:val="12"/>
          </w:tcPr>
          <w:p>
            <w:pPr>
              <w:spacing w:after="0" w:line="202" w:lineRule="exact"/>
              <w:rPr>
                <w:rFonts w:ascii="Arial" w:cs="Arial" w:eastAsia="Arial" w:hAnsi="Arial"/>
                <w:sz w:val="18"/>
                <w:szCs w:val="18"/>
                <w:color w:val="0000FF"/>
                <w:w w:val="93"/>
              </w:rPr>
            </w:pPr>
            <w:hyperlink r:id="rId16">
              <w:r>
                <w:rPr>
                  <w:rFonts w:ascii="Arial" w:cs="Arial" w:eastAsia="Arial" w:hAnsi="Arial"/>
                  <w:sz w:val="18"/>
                  <w:szCs w:val="18"/>
                  <w:color w:val="0000FF"/>
                  <w:w w:val="93"/>
                </w:rPr>
                <w:t>Second Amended and Restated Limited Liability Company Agreement of CC</w:t>
              </w:r>
            </w:hyperlink>
          </w:p>
        </w:tc>
        <w:tc>
          <w:tcPr>
            <w:tcW w:w="80" w:type="dxa"/>
            <w:vAlign w:val="bottom"/>
            <w:gridSpan w:val="2"/>
          </w:tcPr>
          <w:p>
            <w:pPr>
              <w:spacing w:after="0"/>
              <w:rPr>
                <w:sz w:val="17"/>
                <w:szCs w:val="17"/>
                <w:color w:val="auto"/>
              </w:rPr>
            </w:pPr>
          </w:p>
        </w:tc>
        <w:tc>
          <w:tcPr>
            <w:tcW w:w="7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S-4</w:t>
            </w:r>
          </w:p>
        </w:tc>
        <w:tc>
          <w:tcPr>
            <w:tcW w:w="1240" w:type="dxa"/>
            <w:vAlign w:val="bottom"/>
          </w:tcPr>
          <w:p>
            <w:pPr>
              <w:ind w:left="20"/>
              <w:spacing w:after="0" w:line="202" w:lineRule="exact"/>
              <w:rPr>
                <w:sz w:val="20"/>
                <w:szCs w:val="20"/>
                <w:color w:val="auto"/>
              </w:rPr>
            </w:pPr>
            <w:r>
              <w:rPr>
                <w:rFonts w:ascii="Arial" w:cs="Arial" w:eastAsia="Arial" w:hAnsi="Arial"/>
                <w:sz w:val="18"/>
                <w:szCs w:val="18"/>
                <w:color w:val="auto"/>
              </w:rPr>
              <w:t>333-187970</w:t>
            </w:r>
          </w:p>
        </w:tc>
        <w:tc>
          <w:tcPr>
            <w:tcW w:w="100" w:type="dxa"/>
            <w:vAlign w:val="bottom"/>
          </w:tcPr>
          <w:p>
            <w:pPr>
              <w:spacing w:after="0"/>
              <w:rPr>
                <w:sz w:val="17"/>
                <w:szCs w:val="17"/>
                <w:color w:val="auto"/>
              </w:rPr>
            </w:pPr>
          </w:p>
        </w:tc>
        <w:tc>
          <w:tcPr>
            <w:tcW w:w="15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April 17, 2013</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0" w:type="dxa"/>
            <w:vAlign w:val="bottom"/>
            <w:gridSpan w:val="14"/>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Holdings GS V LLC</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1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160" w:type="dxa"/>
            <w:vAlign w:val="bottom"/>
            <w:tcBorders>
              <w:right w:val="single" w:sz="8" w:color="CCEEFF"/>
            </w:tcBorders>
            <w:shd w:val="clear" w:color="auto" w:fill="CCEEFF"/>
          </w:tcPr>
          <w:p>
            <w:pPr>
              <w:spacing w:after="0"/>
              <w:rPr>
                <w:sz w:val="17"/>
                <w:szCs w:val="17"/>
                <w:color w:val="auto"/>
              </w:rPr>
            </w:pPr>
          </w:p>
        </w:tc>
        <w:tc>
          <w:tcPr>
            <w:tcW w:w="5800" w:type="dxa"/>
            <w:vAlign w:val="bottom"/>
            <w:gridSpan w:val="14"/>
            <w:shd w:val="clear" w:color="auto" w:fill="CCEEFF"/>
          </w:tcPr>
          <w:p>
            <w:pPr>
              <w:spacing w:after="0" w:line="202" w:lineRule="exact"/>
              <w:rPr>
                <w:rFonts w:ascii="Arial" w:cs="Arial" w:eastAsia="Arial" w:hAnsi="Arial"/>
                <w:sz w:val="18"/>
                <w:szCs w:val="18"/>
                <w:color w:val="0000FF"/>
                <w:w w:val="94"/>
              </w:rPr>
            </w:pPr>
            <w:hyperlink r:id="rId17">
              <w:r>
                <w:rPr>
                  <w:rFonts w:ascii="Arial" w:cs="Arial" w:eastAsia="Arial" w:hAnsi="Arial"/>
                  <w:sz w:val="18"/>
                  <w:szCs w:val="18"/>
                  <w:color w:val="0000FF"/>
                  <w:w w:val="94"/>
                </w:rPr>
                <w:t>Indenture dated as of December 24, 2012, by and among CC Holdings GS V</w:t>
              </w:r>
            </w:hyperlink>
          </w:p>
        </w:tc>
        <w:tc>
          <w:tcPr>
            <w:tcW w:w="7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8-K</w:t>
            </w:r>
          </w:p>
        </w:tc>
        <w:tc>
          <w:tcPr>
            <w:tcW w:w="1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96"/>
              </w:rPr>
              <w:t>December 28, 2012</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Borders>
              <w:right w:val="single" w:sz="8" w:color="CCEEFF"/>
            </w:tcBorders>
            <w:shd w:val="clear" w:color="auto" w:fill="0000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LLC, Crown Castle GS III Corp., each of the guarantors party thereto and The</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6"/>
              </w:rPr>
            </w:pPr>
            <w:hyperlink r:id="rId17">
              <w:r>
                <w:rPr>
                  <w:rFonts w:ascii="Arial" w:cs="Arial" w:eastAsia="Arial" w:hAnsi="Arial"/>
                  <w:sz w:val="18"/>
                  <w:szCs w:val="18"/>
                  <w:color w:val="0000FF"/>
                  <w:w w:val="96"/>
                </w:rPr>
                <w:t>Bank of New York Mellon Trust Company, N.A., as Trustee, relating to the</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89"/>
              </w:rPr>
            </w:pPr>
            <w:hyperlink r:id="rId17">
              <w:r>
                <w:rPr>
                  <w:rFonts w:ascii="Arial" w:cs="Arial" w:eastAsia="Arial" w:hAnsi="Arial"/>
                  <w:sz w:val="18"/>
                  <w:szCs w:val="18"/>
                  <w:color w:val="0000FF"/>
                  <w:w w:val="89"/>
                </w:rPr>
                <w:t>2.</w:t>
              </w:r>
              <w:r>
                <w:rPr>
                  <w:rFonts w:ascii="Arial" w:cs="Arial" w:eastAsia="Arial" w:hAnsi="Arial"/>
                  <w:sz w:val="18"/>
                  <w:szCs w:val="18"/>
                  <w:u w:val="single" w:color="auto"/>
                  <w:color w:val="0000FF"/>
                  <w:w w:val="89"/>
                </w:rPr>
                <w:t>381%</w:t>
              </w:r>
              <w:r>
                <w:rPr>
                  <w:rFonts w:ascii="Arial" w:cs="Arial" w:eastAsia="Arial" w:hAnsi="Arial"/>
                  <w:sz w:val="18"/>
                  <w:szCs w:val="18"/>
                  <w:color w:val="0000FF"/>
                  <w:w w:val="89"/>
                </w:rPr>
                <w:t xml:space="preserve"> Senior Secured Notes due 2017 and the 3.849% Senior Secured Notes</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800" w:type="dxa"/>
            <w:vAlign w:val="bottom"/>
            <w:gridSpan w:val="14"/>
            <w:shd w:val="clear" w:color="auto" w:fill="CCEEFF"/>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due 2023</w:t>
              </w:r>
            </w:hyperlink>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5720" w:type="dxa"/>
            <w:vAlign w:val="bottom"/>
            <w:tcBorders>
              <w:bottom w:val="single" w:sz="8" w:color="0000FF"/>
            </w:tcBorders>
            <w:gridSpan w:val="12"/>
          </w:tcPr>
          <w:p>
            <w:pPr>
              <w:spacing w:after="0" w:line="202" w:lineRule="exact"/>
              <w:rPr>
                <w:rFonts w:ascii="Arial" w:cs="Arial" w:eastAsia="Arial" w:hAnsi="Arial"/>
                <w:sz w:val="18"/>
                <w:szCs w:val="18"/>
                <w:color w:val="0000FF"/>
                <w:w w:val="98"/>
              </w:rPr>
            </w:pPr>
            <w:hyperlink r:id="rId18">
              <w:r>
                <w:rPr>
                  <w:rFonts w:ascii="Arial" w:cs="Arial" w:eastAsia="Arial" w:hAnsi="Arial"/>
                  <w:sz w:val="18"/>
                  <w:szCs w:val="18"/>
                  <w:color w:val="0000FF"/>
                  <w:w w:val="98"/>
                </w:rPr>
                <w:t>Pledge and Security Agreement dated as of December 24, 2012, by and</w:t>
              </w:r>
            </w:hyperlink>
          </w:p>
        </w:tc>
        <w:tc>
          <w:tcPr>
            <w:tcW w:w="80" w:type="dxa"/>
            <w:vAlign w:val="bottom"/>
            <w:gridSpan w:val="2"/>
          </w:tcPr>
          <w:p>
            <w:pPr>
              <w:spacing w:after="0"/>
              <w:rPr>
                <w:sz w:val="17"/>
                <w:szCs w:val="17"/>
                <w:color w:val="auto"/>
              </w:rPr>
            </w:pPr>
          </w:p>
        </w:tc>
        <w:tc>
          <w:tcPr>
            <w:tcW w:w="7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S-4</w:t>
            </w:r>
          </w:p>
        </w:tc>
        <w:tc>
          <w:tcPr>
            <w:tcW w:w="1240" w:type="dxa"/>
            <w:vAlign w:val="bottom"/>
          </w:tcPr>
          <w:p>
            <w:pPr>
              <w:ind w:left="20"/>
              <w:spacing w:after="0" w:line="202" w:lineRule="exact"/>
              <w:rPr>
                <w:sz w:val="20"/>
                <w:szCs w:val="20"/>
                <w:color w:val="auto"/>
              </w:rPr>
            </w:pPr>
            <w:r>
              <w:rPr>
                <w:rFonts w:ascii="Arial" w:cs="Arial" w:eastAsia="Arial" w:hAnsi="Arial"/>
                <w:sz w:val="18"/>
                <w:szCs w:val="18"/>
                <w:color w:val="auto"/>
              </w:rPr>
              <w:t>333-187970</w:t>
            </w:r>
          </w:p>
        </w:tc>
        <w:tc>
          <w:tcPr>
            <w:tcW w:w="100" w:type="dxa"/>
            <w:vAlign w:val="bottom"/>
          </w:tcPr>
          <w:p>
            <w:pPr>
              <w:spacing w:after="0"/>
              <w:rPr>
                <w:sz w:val="17"/>
                <w:szCs w:val="17"/>
                <w:color w:val="auto"/>
              </w:rPr>
            </w:pPr>
          </w:p>
        </w:tc>
        <w:tc>
          <w:tcPr>
            <w:tcW w:w="15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April 17, 2013</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12"/>
          </w:tcPr>
          <w:p>
            <w:pPr>
              <w:spacing w:after="0" w:line="196" w:lineRule="exact"/>
              <w:rPr>
                <w:rFonts w:ascii="Arial" w:cs="Arial" w:eastAsia="Arial" w:hAnsi="Arial"/>
                <w:sz w:val="18"/>
                <w:szCs w:val="18"/>
                <w:color w:val="0000FF"/>
                <w:w w:val="96"/>
              </w:rPr>
            </w:pPr>
            <w:hyperlink r:id="rId18">
              <w:r>
                <w:rPr>
                  <w:rFonts w:ascii="Arial" w:cs="Arial" w:eastAsia="Arial" w:hAnsi="Arial"/>
                  <w:sz w:val="18"/>
                  <w:szCs w:val="18"/>
                  <w:color w:val="0000FF"/>
                  <w:w w:val="96"/>
                </w:rPr>
                <w:t>among CC Holdings GS V LLC, Pinnacle Towers LLC, Pinnacle Towers III</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12"/>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LLC, Pinnacle Towers V Inc. and The Bank of New York Mellon Trust</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Company, N.A., as Trustee, relating to the 2.381% Senior Secured Notes due</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0" w:type="dxa"/>
            <w:vAlign w:val="bottom"/>
            <w:gridSpan w:val="14"/>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2017 and the 3.849% Senior Secured Notes due 2023</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1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2"/>
            <w:shd w:val="clear" w:color="auto" w:fill="CCEEFF"/>
          </w:tcPr>
          <w:p>
            <w:pPr>
              <w:spacing w:after="0" w:line="202" w:lineRule="exact"/>
              <w:rPr>
                <w:rFonts w:ascii="Arial" w:cs="Arial" w:eastAsia="Arial" w:hAnsi="Arial"/>
                <w:sz w:val="18"/>
                <w:szCs w:val="18"/>
                <w:color w:val="0000FF"/>
                <w:w w:val="93"/>
              </w:rPr>
            </w:pPr>
            <w:hyperlink r:id="rId19">
              <w:r>
                <w:rPr>
                  <w:rFonts w:ascii="Arial" w:cs="Arial" w:eastAsia="Arial" w:hAnsi="Arial"/>
                  <w:sz w:val="18"/>
                  <w:szCs w:val="18"/>
                  <w:color w:val="0000FF"/>
                  <w:w w:val="93"/>
                </w:rPr>
                <w:t>Agreement to Contribute, Lease and Sublease, dated as February 14, 2005,</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8-K</w:t>
            </w:r>
          </w:p>
        </w:tc>
        <w:tc>
          <w:tcPr>
            <w:tcW w:w="12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001-32168</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February 17, 2005</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3"/>
              </w:rPr>
            </w:pPr>
            <w:hyperlink r:id="rId19">
              <w:r>
                <w:rPr>
                  <w:rFonts w:ascii="Arial" w:cs="Arial" w:eastAsia="Arial" w:hAnsi="Arial"/>
                  <w:sz w:val="18"/>
                  <w:szCs w:val="18"/>
                  <w:color w:val="0000FF"/>
                  <w:w w:val="93"/>
                </w:rPr>
                <w:t>among Sprint Corporation, the Sprint subsidiaries named therein and Global</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78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Signal Inc.</w:t>
              </w:r>
            </w:hyperlink>
          </w:p>
        </w:tc>
        <w:tc>
          <w:tcPr>
            <w:tcW w:w="5020" w:type="dxa"/>
            <w:vAlign w:val="bottom"/>
            <w:tcBorders>
              <w:bottom w:val="single" w:sz="8" w:color="CCEEFF"/>
            </w:tcBorders>
            <w:gridSpan w:val="11"/>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10.2</w:t>
            </w:r>
          </w:p>
        </w:tc>
        <w:tc>
          <w:tcPr>
            <w:tcW w:w="160" w:type="dxa"/>
            <w:vAlign w:val="bottom"/>
          </w:tcPr>
          <w:p>
            <w:pPr>
              <w:spacing w:after="0"/>
              <w:rPr>
                <w:sz w:val="17"/>
                <w:szCs w:val="17"/>
                <w:color w:val="auto"/>
              </w:rPr>
            </w:pPr>
          </w:p>
        </w:tc>
        <w:tc>
          <w:tcPr>
            <w:tcW w:w="5720" w:type="dxa"/>
            <w:vAlign w:val="bottom"/>
            <w:tcBorders>
              <w:bottom w:val="single" w:sz="8" w:color="0000FF"/>
            </w:tcBorders>
            <w:gridSpan w:val="12"/>
          </w:tcPr>
          <w:p>
            <w:pPr>
              <w:spacing w:after="0" w:line="202" w:lineRule="exact"/>
              <w:rPr>
                <w:rFonts w:ascii="Arial" w:cs="Arial" w:eastAsia="Arial" w:hAnsi="Arial"/>
                <w:sz w:val="18"/>
                <w:szCs w:val="18"/>
                <w:color w:val="0000FF"/>
                <w:w w:val="94"/>
              </w:rPr>
            </w:pPr>
            <w:hyperlink r:id="rId20">
              <w:r>
                <w:rPr>
                  <w:rFonts w:ascii="Arial" w:cs="Arial" w:eastAsia="Arial" w:hAnsi="Arial"/>
                  <w:sz w:val="18"/>
                  <w:szCs w:val="18"/>
                  <w:color w:val="0000FF"/>
                  <w:w w:val="94"/>
                </w:rPr>
                <w:t>Master Lease and Sublease, dated as of May 26, 2005, by and among STC</w:t>
              </w:r>
            </w:hyperlink>
          </w:p>
        </w:tc>
        <w:tc>
          <w:tcPr>
            <w:tcW w:w="80" w:type="dxa"/>
            <w:vAlign w:val="bottom"/>
            <w:gridSpan w:val="2"/>
          </w:tcPr>
          <w:p>
            <w:pPr>
              <w:spacing w:after="0"/>
              <w:rPr>
                <w:sz w:val="17"/>
                <w:szCs w:val="17"/>
                <w:color w:val="auto"/>
              </w:rPr>
            </w:pPr>
          </w:p>
        </w:tc>
        <w:tc>
          <w:tcPr>
            <w:tcW w:w="7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8-K</w:t>
            </w:r>
          </w:p>
        </w:tc>
        <w:tc>
          <w:tcPr>
            <w:tcW w:w="1240" w:type="dxa"/>
            <w:vAlign w:val="bottom"/>
          </w:tcPr>
          <w:p>
            <w:pPr>
              <w:ind w:left="20"/>
              <w:spacing w:after="0" w:line="202" w:lineRule="exact"/>
              <w:rPr>
                <w:sz w:val="20"/>
                <w:szCs w:val="20"/>
                <w:color w:val="auto"/>
              </w:rPr>
            </w:pPr>
            <w:r>
              <w:rPr>
                <w:rFonts w:ascii="Arial" w:cs="Arial" w:eastAsia="Arial" w:hAnsi="Arial"/>
                <w:sz w:val="18"/>
                <w:szCs w:val="18"/>
                <w:color w:val="auto"/>
              </w:rPr>
              <w:t>001-32168</w:t>
            </w:r>
          </w:p>
        </w:tc>
        <w:tc>
          <w:tcPr>
            <w:tcW w:w="100" w:type="dxa"/>
            <w:vAlign w:val="bottom"/>
          </w:tcPr>
          <w:p>
            <w:pPr>
              <w:spacing w:after="0"/>
              <w:rPr>
                <w:sz w:val="17"/>
                <w:szCs w:val="17"/>
                <w:color w:val="auto"/>
              </w:rPr>
            </w:pPr>
          </w:p>
        </w:tc>
        <w:tc>
          <w:tcPr>
            <w:tcW w:w="15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May 27, 2005</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20">
              <w:r>
                <w:rPr>
                  <w:rFonts w:ascii="Arial" w:cs="Arial" w:eastAsia="Arial" w:hAnsi="Arial"/>
                  <w:sz w:val="18"/>
                  <w:szCs w:val="18"/>
                  <w:color w:val="0000FF"/>
                  <w:w w:val="93"/>
                </w:rPr>
                <w:t>One LLC, as lessor, Sprint Telephony PCS L.P., as Sprint Collocator, Global</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0" w:type="dxa"/>
            <w:vAlign w:val="bottom"/>
            <w:gridSpan w:val="14"/>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Signal Acquisitions II LLC, as lessee, and Global Signal Inc.</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1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10.3</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2"/>
            <w:shd w:val="clear" w:color="auto" w:fill="CCEEFF"/>
          </w:tcPr>
          <w:p>
            <w:pPr>
              <w:spacing w:after="0" w:line="202" w:lineRule="exact"/>
              <w:rPr>
                <w:rFonts w:ascii="Arial" w:cs="Arial" w:eastAsia="Arial" w:hAnsi="Arial"/>
                <w:sz w:val="18"/>
                <w:szCs w:val="18"/>
                <w:color w:val="0000FF"/>
                <w:w w:val="94"/>
              </w:rPr>
            </w:pPr>
            <w:hyperlink r:id="rId21">
              <w:r>
                <w:rPr>
                  <w:rFonts w:ascii="Arial" w:cs="Arial" w:eastAsia="Arial" w:hAnsi="Arial"/>
                  <w:sz w:val="18"/>
                  <w:szCs w:val="18"/>
                  <w:color w:val="0000FF"/>
                  <w:w w:val="94"/>
                </w:rPr>
                <w:t>Master Lease and Sublease, dated as of May 26, 2005, by and among STC</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8-K</w:t>
            </w:r>
          </w:p>
        </w:tc>
        <w:tc>
          <w:tcPr>
            <w:tcW w:w="12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001-32168</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May 27, 2005</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9"/>
              </w:rPr>
            </w:pPr>
            <w:hyperlink r:id="rId21">
              <w:r>
                <w:rPr>
                  <w:rFonts w:ascii="Arial" w:cs="Arial" w:eastAsia="Arial" w:hAnsi="Arial"/>
                  <w:sz w:val="18"/>
                  <w:szCs w:val="18"/>
                  <w:color w:val="0000FF"/>
                  <w:w w:val="99"/>
                </w:rPr>
                <w:t>Two LLC, as lessor, SprintCom, Inc., as Sprint Collocator, Global Signal</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800" w:type="dxa"/>
            <w:vAlign w:val="bottom"/>
            <w:gridSpan w:val="14"/>
            <w:shd w:val="clear" w:color="auto" w:fill="CCEEFF"/>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Acquisitions II LLC, as lessee, and Global Signal Inc.</w:t>
              </w:r>
            </w:hyperlink>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0000FF"/>
            </w:tcBorders>
            <w:shd w:val="clear" w:color="auto" w:fill="CCEEFF"/>
          </w:tcPr>
          <w:p>
            <w:pPr>
              <w:spacing w:after="0"/>
              <w:rPr>
                <w:sz w:val="22"/>
                <w:szCs w:val="22"/>
                <w:color w:val="auto"/>
              </w:rPr>
            </w:pPr>
          </w:p>
        </w:tc>
        <w:tc>
          <w:tcPr>
            <w:tcW w:w="380" w:type="dxa"/>
            <w:vAlign w:val="bottom"/>
            <w:tcBorders>
              <w:top w:val="single" w:sz="8" w:color="0000FF"/>
            </w:tcBorders>
            <w:shd w:val="clear" w:color="auto" w:fill="CCEEFF"/>
          </w:tcPr>
          <w:p>
            <w:pPr>
              <w:spacing w:after="0"/>
              <w:rPr>
                <w:sz w:val="22"/>
                <w:szCs w:val="22"/>
                <w:color w:val="auto"/>
              </w:rPr>
            </w:pPr>
          </w:p>
        </w:tc>
        <w:tc>
          <w:tcPr>
            <w:tcW w:w="120" w:type="dxa"/>
            <w:vAlign w:val="bottom"/>
            <w:tcBorders>
              <w:top w:val="single" w:sz="8" w:color="0000FF"/>
            </w:tcBorders>
            <w:shd w:val="clear" w:color="auto" w:fill="CCEEFF"/>
          </w:tcPr>
          <w:p>
            <w:pPr>
              <w:spacing w:after="0"/>
              <w:rPr>
                <w:sz w:val="22"/>
                <w:szCs w:val="22"/>
                <w:color w:val="auto"/>
              </w:rPr>
            </w:pPr>
          </w:p>
        </w:tc>
        <w:tc>
          <w:tcPr>
            <w:tcW w:w="720" w:type="dxa"/>
            <w:vAlign w:val="bottom"/>
            <w:tcBorders>
              <w:top w:val="single" w:sz="8" w:color="0000FF"/>
            </w:tcBorders>
            <w:shd w:val="clear" w:color="auto" w:fill="CCEEFF"/>
          </w:tcPr>
          <w:p>
            <w:pPr>
              <w:spacing w:after="0"/>
              <w:rPr>
                <w:sz w:val="22"/>
                <w:szCs w:val="22"/>
                <w:color w:val="auto"/>
              </w:rPr>
            </w:pPr>
          </w:p>
        </w:tc>
        <w:tc>
          <w:tcPr>
            <w:tcW w:w="160" w:type="dxa"/>
            <w:vAlign w:val="bottom"/>
            <w:tcBorders>
              <w:top w:val="single" w:sz="8" w:color="0000FF"/>
            </w:tcBorders>
            <w:shd w:val="clear" w:color="auto" w:fill="CCEEFF"/>
          </w:tcPr>
          <w:p>
            <w:pPr>
              <w:spacing w:after="0"/>
              <w:rPr>
                <w:sz w:val="22"/>
                <w:szCs w:val="22"/>
                <w:color w:val="auto"/>
              </w:rPr>
            </w:pPr>
          </w:p>
        </w:tc>
        <w:tc>
          <w:tcPr>
            <w:tcW w:w="218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10.4</w:t>
            </w:r>
          </w:p>
        </w:tc>
        <w:tc>
          <w:tcPr>
            <w:tcW w:w="160" w:type="dxa"/>
            <w:vAlign w:val="bottom"/>
          </w:tcPr>
          <w:p>
            <w:pPr>
              <w:spacing w:after="0"/>
              <w:rPr>
                <w:sz w:val="17"/>
                <w:szCs w:val="17"/>
                <w:color w:val="auto"/>
              </w:rPr>
            </w:pPr>
          </w:p>
        </w:tc>
        <w:tc>
          <w:tcPr>
            <w:tcW w:w="5720" w:type="dxa"/>
            <w:vAlign w:val="bottom"/>
            <w:tcBorders>
              <w:bottom w:val="single" w:sz="8" w:color="0000FF"/>
            </w:tcBorders>
            <w:gridSpan w:val="12"/>
          </w:tcPr>
          <w:p>
            <w:pPr>
              <w:spacing w:after="0" w:line="202" w:lineRule="exact"/>
              <w:rPr>
                <w:rFonts w:ascii="Arial" w:cs="Arial" w:eastAsia="Arial" w:hAnsi="Arial"/>
                <w:sz w:val="18"/>
                <w:szCs w:val="18"/>
                <w:color w:val="0000FF"/>
                <w:w w:val="94"/>
              </w:rPr>
            </w:pPr>
            <w:hyperlink r:id="rId22">
              <w:r>
                <w:rPr>
                  <w:rFonts w:ascii="Arial" w:cs="Arial" w:eastAsia="Arial" w:hAnsi="Arial"/>
                  <w:sz w:val="18"/>
                  <w:szCs w:val="18"/>
                  <w:color w:val="0000FF"/>
                  <w:w w:val="94"/>
                </w:rPr>
                <w:t>Master Lease and Sublease, dated as of May 26, 2005, by and among STC</w:t>
              </w:r>
            </w:hyperlink>
          </w:p>
        </w:tc>
        <w:tc>
          <w:tcPr>
            <w:tcW w:w="80" w:type="dxa"/>
            <w:vAlign w:val="bottom"/>
            <w:gridSpan w:val="2"/>
          </w:tcPr>
          <w:p>
            <w:pPr>
              <w:spacing w:after="0"/>
              <w:rPr>
                <w:sz w:val="17"/>
                <w:szCs w:val="17"/>
                <w:color w:val="auto"/>
              </w:rPr>
            </w:pPr>
          </w:p>
        </w:tc>
        <w:tc>
          <w:tcPr>
            <w:tcW w:w="7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8-K</w:t>
            </w:r>
          </w:p>
        </w:tc>
        <w:tc>
          <w:tcPr>
            <w:tcW w:w="1240" w:type="dxa"/>
            <w:vAlign w:val="bottom"/>
          </w:tcPr>
          <w:p>
            <w:pPr>
              <w:ind w:left="20"/>
              <w:spacing w:after="0" w:line="202" w:lineRule="exact"/>
              <w:rPr>
                <w:sz w:val="20"/>
                <w:szCs w:val="20"/>
                <w:color w:val="auto"/>
              </w:rPr>
            </w:pPr>
            <w:r>
              <w:rPr>
                <w:rFonts w:ascii="Arial" w:cs="Arial" w:eastAsia="Arial" w:hAnsi="Arial"/>
                <w:sz w:val="18"/>
                <w:szCs w:val="18"/>
                <w:color w:val="auto"/>
              </w:rPr>
              <w:t>001-32168</w:t>
            </w:r>
          </w:p>
        </w:tc>
        <w:tc>
          <w:tcPr>
            <w:tcW w:w="100" w:type="dxa"/>
            <w:vAlign w:val="bottom"/>
          </w:tcPr>
          <w:p>
            <w:pPr>
              <w:spacing w:after="0"/>
              <w:rPr>
                <w:sz w:val="17"/>
                <w:szCs w:val="17"/>
                <w:color w:val="auto"/>
              </w:rPr>
            </w:pPr>
          </w:p>
        </w:tc>
        <w:tc>
          <w:tcPr>
            <w:tcW w:w="15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May 27, 2005</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12"/>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Three LLC, as lessor, American PCS Communications, LLC, as Sprint</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12"/>
          </w:tcPr>
          <w:p>
            <w:pPr>
              <w:spacing w:after="0" w:line="196" w:lineRule="exact"/>
              <w:rPr>
                <w:rFonts w:ascii="Arial" w:cs="Arial" w:eastAsia="Arial" w:hAnsi="Arial"/>
                <w:sz w:val="18"/>
                <w:szCs w:val="18"/>
                <w:color w:val="0000FF"/>
                <w:w w:val="96"/>
              </w:rPr>
            </w:pPr>
            <w:hyperlink r:id="rId22">
              <w:r>
                <w:rPr>
                  <w:rFonts w:ascii="Arial" w:cs="Arial" w:eastAsia="Arial" w:hAnsi="Arial"/>
                  <w:sz w:val="18"/>
                  <w:szCs w:val="18"/>
                  <w:color w:val="0000FF"/>
                  <w:w w:val="96"/>
                </w:rPr>
                <w:t>Collocator, Global Signal Acquisitions II LLC, as lessee, and Global Signal</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0" w:type="dxa"/>
            <w:vAlign w:val="bottom"/>
            <w:gridSpan w:val="14"/>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Inc.</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10.5</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2"/>
            <w:shd w:val="clear" w:color="auto" w:fill="CCEEFF"/>
          </w:tcPr>
          <w:p>
            <w:pPr>
              <w:spacing w:after="0" w:line="202" w:lineRule="exact"/>
              <w:rPr>
                <w:rFonts w:ascii="Arial" w:cs="Arial" w:eastAsia="Arial" w:hAnsi="Arial"/>
                <w:sz w:val="18"/>
                <w:szCs w:val="18"/>
                <w:color w:val="0000FF"/>
                <w:w w:val="94"/>
              </w:rPr>
            </w:pPr>
            <w:hyperlink r:id="rId23">
              <w:r>
                <w:rPr>
                  <w:rFonts w:ascii="Arial" w:cs="Arial" w:eastAsia="Arial" w:hAnsi="Arial"/>
                  <w:sz w:val="18"/>
                  <w:szCs w:val="18"/>
                  <w:color w:val="0000FF"/>
                  <w:w w:val="94"/>
                </w:rPr>
                <w:t>Master Lease and Sublease, dated as of May 26, 2005, by and among STC</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8-K</w:t>
            </w:r>
          </w:p>
        </w:tc>
        <w:tc>
          <w:tcPr>
            <w:tcW w:w="12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001-32168</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May 27, 2005</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Four LLC, as lessor, PhillieCo, L.P., as Sprint Collocator, Global Signal</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800" w:type="dxa"/>
            <w:vAlign w:val="bottom"/>
            <w:gridSpan w:val="14"/>
            <w:shd w:val="clear" w:color="auto" w:fill="CCEEFF"/>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Acquisitions II LLC, as lessee, and Global Signal Inc.</w:t>
              </w:r>
            </w:hyperlink>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0000FF"/>
            </w:tcBorders>
            <w:shd w:val="clear" w:color="auto" w:fill="CCEEFF"/>
          </w:tcPr>
          <w:p>
            <w:pPr>
              <w:spacing w:after="0"/>
              <w:rPr>
                <w:sz w:val="22"/>
                <w:szCs w:val="22"/>
                <w:color w:val="auto"/>
              </w:rPr>
            </w:pPr>
          </w:p>
        </w:tc>
        <w:tc>
          <w:tcPr>
            <w:tcW w:w="380" w:type="dxa"/>
            <w:vAlign w:val="bottom"/>
            <w:tcBorders>
              <w:top w:val="single" w:sz="8" w:color="0000FF"/>
            </w:tcBorders>
            <w:shd w:val="clear" w:color="auto" w:fill="CCEEFF"/>
          </w:tcPr>
          <w:p>
            <w:pPr>
              <w:spacing w:after="0"/>
              <w:rPr>
                <w:sz w:val="22"/>
                <w:szCs w:val="22"/>
                <w:color w:val="auto"/>
              </w:rPr>
            </w:pPr>
          </w:p>
        </w:tc>
        <w:tc>
          <w:tcPr>
            <w:tcW w:w="120" w:type="dxa"/>
            <w:vAlign w:val="bottom"/>
            <w:tcBorders>
              <w:top w:val="single" w:sz="8" w:color="0000FF"/>
            </w:tcBorders>
            <w:shd w:val="clear" w:color="auto" w:fill="CCEEFF"/>
          </w:tcPr>
          <w:p>
            <w:pPr>
              <w:spacing w:after="0"/>
              <w:rPr>
                <w:sz w:val="22"/>
                <w:szCs w:val="22"/>
                <w:color w:val="auto"/>
              </w:rPr>
            </w:pPr>
          </w:p>
        </w:tc>
        <w:tc>
          <w:tcPr>
            <w:tcW w:w="720" w:type="dxa"/>
            <w:vAlign w:val="bottom"/>
            <w:tcBorders>
              <w:top w:val="single" w:sz="8" w:color="0000FF"/>
            </w:tcBorders>
            <w:shd w:val="clear" w:color="auto" w:fill="CCEEFF"/>
          </w:tcPr>
          <w:p>
            <w:pPr>
              <w:spacing w:after="0"/>
              <w:rPr>
                <w:sz w:val="22"/>
                <w:szCs w:val="22"/>
                <w:color w:val="auto"/>
              </w:rPr>
            </w:pPr>
          </w:p>
        </w:tc>
        <w:tc>
          <w:tcPr>
            <w:tcW w:w="160" w:type="dxa"/>
            <w:vAlign w:val="bottom"/>
            <w:tcBorders>
              <w:top w:val="single" w:sz="8" w:color="0000FF"/>
            </w:tcBorders>
            <w:shd w:val="clear" w:color="auto" w:fill="CCEEFF"/>
          </w:tcPr>
          <w:p>
            <w:pPr>
              <w:spacing w:after="0"/>
              <w:rPr>
                <w:sz w:val="22"/>
                <w:szCs w:val="22"/>
                <w:color w:val="auto"/>
              </w:rPr>
            </w:pPr>
          </w:p>
        </w:tc>
        <w:tc>
          <w:tcPr>
            <w:tcW w:w="218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10.6</w:t>
            </w:r>
          </w:p>
        </w:tc>
        <w:tc>
          <w:tcPr>
            <w:tcW w:w="160" w:type="dxa"/>
            <w:vAlign w:val="bottom"/>
          </w:tcPr>
          <w:p>
            <w:pPr>
              <w:spacing w:after="0"/>
              <w:rPr>
                <w:sz w:val="17"/>
                <w:szCs w:val="17"/>
                <w:color w:val="auto"/>
              </w:rPr>
            </w:pPr>
          </w:p>
        </w:tc>
        <w:tc>
          <w:tcPr>
            <w:tcW w:w="5720" w:type="dxa"/>
            <w:vAlign w:val="bottom"/>
            <w:tcBorders>
              <w:bottom w:val="single" w:sz="8" w:color="0000FF"/>
            </w:tcBorders>
            <w:gridSpan w:val="12"/>
          </w:tcPr>
          <w:p>
            <w:pPr>
              <w:spacing w:after="0" w:line="202" w:lineRule="exact"/>
              <w:rPr>
                <w:rFonts w:ascii="Arial" w:cs="Arial" w:eastAsia="Arial" w:hAnsi="Arial"/>
                <w:sz w:val="18"/>
                <w:szCs w:val="18"/>
                <w:color w:val="0000FF"/>
                <w:w w:val="94"/>
              </w:rPr>
            </w:pPr>
            <w:hyperlink r:id="rId24">
              <w:r>
                <w:rPr>
                  <w:rFonts w:ascii="Arial" w:cs="Arial" w:eastAsia="Arial" w:hAnsi="Arial"/>
                  <w:sz w:val="18"/>
                  <w:szCs w:val="18"/>
                  <w:color w:val="0000FF"/>
                  <w:w w:val="94"/>
                </w:rPr>
                <w:t>Master Lease and Sublease, dated as of May 26, 2005, by and among STC</w:t>
              </w:r>
            </w:hyperlink>
          </w:p>
        </w:tc>
        <w:tc>
          <w:tcPr>
            <w:tcW w:w="80" w:type="dxa"/>
            <w:vAlign w:val="bottom"/>
            <w:gridSpan w:val="2"/>
          </w:tcPr>
          <w:p>
            <w:pPr>
              <w:spacing w:after="0"/>
              <w:rPr>
                <w:sz w:val="17"/>
                <w:szCs w:val="17"/>
                <w:color w:val="auto"/>
              </w:rPr>
            </w:pPr>
          </w:p>
        </w:tc>
        <w:tc>
          <w:tcPr>
            <w:tcW w:w="7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8-K</w:t>
            </w:r>
          </w:p>
        </w:tc>
        <w:tc>
          <w:tcPr>
            <w:tcW w:w="1240" w:type="dxa"/>
            <w:vAlign w:val="bottom"/>
          </w:tcPr>
          <w:p>
            <w:pPr>
              <w:ind w:left="20"/>
              <w:spacing w:after="0" w:line="202" w:lineRule="exact"/>
              <w:rPr>
                <w:sz w:val="20"/>
                <w:szCs w:val="20"/>
                <w:color w:val="auto"/>
              </w:rPr>
            </w:pPr>
            <w:r>
              <w:rPr>
                <w:rFonts w:ascii="Arial" w:cs="Arial" w:eastAsia="Arial" w:hAnsi="Arial"/>
                <w:sz w:val="18"/>
                <w:szCs w:val="18"/>
                <w:color w:val="auto"/>
              </w:rPr>
              <w:t>001-32168</w:t>
            </w:r>
          </w:p>
        </w:tc>
        <w:tc>
          <w:tcPr>
            <w:tcW w:w="100" w:type="dxa"/>
            <w:vAlign w:val="bottom"/>
          </w:tcPr>
          <w:p>
            <w:pPr>
              <w:spacing w:after="0"/>
              <w:rPr>
                <w:sz w:val="17"/>
                <w:szCs w:val="17"/>
                <w:color w:val="auto"/>
              </w:rPr>
            </w:pPr>
          </w:p>
        </w:tc>
        <w:tc>
          <w:tcPr>
            <w:tcW w:w="15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May 27, 2005</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Five LLC, as lessor, Sprint Spectrum L.P., as Sprint Collocator, Global Signal</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0" w:type="dxa"/>
            <w:vAlign w:val="bottom"/>
            <w:gridSpan w:val="14"/>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Acquisitions II LLC, as lessee, and Global Signal Inc.</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1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10.7</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2"/>
            <w:shd w:val="clear" w:color="auto" w:fill="CCEEFF"/>
          </w:tcPr>
          <w:p>
            <w:pPr>
              <w:spacing w:after="0" w:line="202" w:lineRule="exact"/>
              <w:rPr>
                <w:rFonts w:ascii="Arial" w:cs="Arial" w:eastAsia="Arial" w:hAnsi="Arial"/>
                <w:sz w:val="18"/>
                <w:szCs w:val="18"/>
                <w:color w:val="0000FF"/>
                <w:w w:val="89"/>
              </w:rPr>
            </w:pPr>
            <w:hyperlink r:id="rId25">
              <w:r>
                <w:rPr>
                  <w:rFonts w:ascii="Arial" w:cs="Arial" w:eastAsia="Arial" w:hAnsi="Arial"/>
                  <w:sz w:val="18"/>
                  <w:szCs w:val="18"/>
                  <w:color w:val="0000FF"/>
                  <w:w w:val="89"/>
                </w:rPr>
                <w:t>Master Lease and Sublease, dated as of May 26, 2005, by and among STC Six</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8-K</w:t>
            </w:r>
          </w:p>
        </w:tc>
        <w:tc>
          <w:tcPr>
            <w:tcW w:w="12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001-32168</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May 27, 2005</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8"/>
              </w:rPr>
            </w:pPr>
            <w:hyperlink r:id="rId25">
              <w:r>
                <w:rPr>
                  <w:rFonts w:ascii="Arial" w:cs="Arial" w:eastAsia="Arial" w:hAnsi="Arial"/>
                  <w:sz w:val="18"/>
                  <w:szCs w:val="18"/>
                  <w:color w:val="0000FF"/>
                  <w:w w:val="98"/>
                </w:rPr>
                <w:t>Company,  Sprint  Spectrum  L.P.,  as  Sprint  Collocator,  Global  Signal</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800" w:type="dxa"/>
            <w:vAlign w:val="bottom"/>
            <w:gridSpan w:val="14"/>
            <w:shd w:val="clear" w:color="auto" w:fill="CCEEFF"/>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Acquisitions II LLC, as lessee, and Global Signal Inc.</w:t>
              </w:r>
            </w:hyperlink>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0000FF"/>
            </w:tcBorders>
            <w:shd w:val="clear" w:color="auto" w:fill="CCEEFF"/>
          </w:tcPr>
          <w:p>
            <w:pPr>
              <w:spacing w:after="0"/>
              <w:rPr>
                <w:sz w:val="22"/>
                <w:szCs w:val="22"/>
                <w:color w:val="auto"/>
              </w:rPr>
            </w:pPr>
          </w:p>
        </w:tc>
        <w:tc>
          <w:tcPr>
            <w:tcW w:w="380" w:type="dxa"/>
            <w:vAlign w:val="bottom"/>
            <w:tcBorders>
              <w:top w:val="single" w:sz="8" w:color="0000FF"/>
            </w:tcBorders>
            <w:shd w:val="clear" w:color="auto" w:fill="CCEEFF"/>
          </w:tcPr>
          <w:p>
            <w:pPr>
              <w:spacing w:after="0"/>
              <w:rPr>
                <w:sz w:val="22"/>
                <w:szCs w:val="22"/>
                <w:color w:val="auto"/>
              </w:rPr>
            </w:pPr>
          </w:p>
        </w:tc>
        <w:tc>
          <w:tcPr>
            <w:tcW w:w="120" w:type="dxa"/>
            <w:vAlign w:val="bottom"/>
            <w:tcBorders>
              <w:top w:val="single" w:sz="8" w:color="0000FF"/>
            </w:tcBorders>
            <w:shd w:val="clear" w:color="auto" w:fill="CCEEFF"/>
          </w:tcPr>
          <w:p>
            <w:pPr>
              <w:spacing w:after="0"/>
              <w:rPr>
                <w:sz w:val="22"/>
                <w:szCs w:val="22"/>
                <w:color w:val="auto"/>
              </w:rPr>
            </w:pPr>
          </w:p>
        </w:tc>
        <w:tc>
          <w:tcPr>
            <w:tcW w:w="720" w:type="dxa"/>
            <w:vAlign w:val="bottom"/>
            <w:tcBorders>
              <w:top w:val="single" w:sz="8" w:color="0000FF"/>
            </w:tcBorders>
            <w:shd w:val="clear" w:color="auto" w:fill="CCEEFF"/>
          </w:tcPr>
          <w:p>
            <w:pPr>
              <w:spacing w:after="0"/>
              <w:rPr>
                <w:sz w:val="22"/>
                <w:szCs w:val="22"/>
                <w:color w:val="auto"/>
              </w:rPr>
            </w:pPr>
          </w:p>
        </w:tc>
        <w:tc>
          <w:tcPr>
            <w:tcW w:w="160" w:type="dxa"/>
            <w:vAlign w:val="bottom"/>
            <w:tcBorders>
              <w:top w:val="single" w:sz="8" w:color="0000FF"/>
            </w:tcBorders>
            <w:shd w:val="clear" w:color="auto" w:fill="CCEEFF"/>
          </w:tcPr>
          <w:p>
            <w:pPr>
              <w:spacing w:after="0"/>
              <w:rPr>
                <w:sz w:val="22"/>
                <w:szCs w:val="22"/>
                <w:color w:val="auto"/>
              </w:rPr>
            </w:pPr>
          </w:p>
        </w:tc>
        <w:tc>
          <w:tcPr>
            <w:tcW w:w="218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10.8</w:t>
            </w:r>
          </w:p>
        </w:tc>
        <w:tc>
          <w:tcPr>
            <w:tcW w:w="160" w:type="dxa"/>
            <w:vAlign w:val="bottom"/>
          </w:tcPr>
          <w:p>
            <w:pPr>
              <w:spacing w:after="0"/>
              <w:rPr>
                <w:sz w:val="17"/>
                <w:szCs w:val="17"/>
                <w:color w:val="auto"/>
              </w:rPr>
            </w:pPr>
          </w:p>
        </w:tc>
        <w:tc>
          <w:tcPr>
            <w:tcW w:w="5720" w:type="dxa"/>
            <w:vAlign w:val="bottom"/>
            <w:tcBorders>
              <w:bottom w:val="single" w:sz="8" w:color="0000FF"/>
            </w:tcBorders>
            <w:gridSpan w:val="12"/>
          </w:tcPr>
          <w:p>
            <w:pPr>
              <w:spacing w:after="0" w:line="202" w:lineRule="exact"/>
              <w:rPr>
                <w:rFonts w:ascii="Arial" w:cs="Arial" w:eastAsia="Arial" w:hAnsi="Arial"/>
                <w:sz w:val="18"/>
                <w:szCs w:val="18"/>
                <w:color w:val="0000FF"/>
                <w:w w:val="97"/>
              </w:rPr>
            </w:pPr>
            <w:hyperlink r:id="rId26">
              <w:r>
                <w:rPr>
                  <w:rFonts w:ascii="Arial" w:cs="Arial" w:eastAsia="Arial" w:hAnsi="Arial"/>
                  <w:sz w:val="18"/>
                  <w:szCs w:val="18"/>
                  <w:color w:val="0000FF"/>
                  <w:w w:val="97"/>
                </w:rPr>
                <w:t>Management Agreement, dated as of December 24, 2012, by and among</w:t>
              </w:r>
            </w:hyperlink>
          </w:p>
        </w:tc>
        <w:tc>
          <w:tcPr>
            <w:tcW w:w="80" w:type="dxa"/>
            <w:vAlign w:val="bottom"/>
            <w:gridSpan w:val="2"/>
          </w:tcPr>
          <w:p>
            <w:pPr>
              <w:spacing w:after="0"/>
              <w:rPr>
                <w:sz w:val="17"/>
                <w:szCs w:val="17"/>
                <w:color w:val="auto"/>
              </w:rPr>
            </w:pPr>
          </w:p>
        </w:tc>
        <w:tc>
          <w:tcPr>
            <w:tcW w:w="7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S-4</w:t>
            </w:r>
          </w:p>
        </w:tc>
        <w:tc>
          <w:tcPr>
            <w:tcW w:w="1240" w:type="dxa"/>
            <w:vAlign w:val="bottom"/>
          </w:tcPr>
          <w:p>
            <w:pPr>
              <w:ind w:left="20"/>
              <w:spacing w:after="0" w:line="202" w:lineRule="exact"/>
              <w:rPr>
                <w:sz w:val="20"/>
                <w:szCs w:val="20"/>
                <w:color w:val="auto"/>
              </w:rPr>
            </w:pPr>
            <w:r>
              <w:rPr>
                <w:rFonts w:ascii="Arial" w:cs="Arial" w:eastAsia="Arial" w:hAnsi="Arial"/>
                <w:sz w:val="18"/>
                <w:szCs w:val="18"/>
                <w:color w:val="auto"/>
              </w:rPr>
              <w:t>333-187970</w:t>
            </w:r>
          </w:p>
        </w:tc>
        <w:tc>
          <w:tcPr>
            <w:tcW w:w="100" w:type="dxa"/>
            <w:vAlign w:val="bottom"/>
          </w:tcPr>
          <w:p>
            <w:pPr>
              <w:spacing w:after="0"/>
              <w:rPr>
                <w:sz w:val="17"/>
                <w:szCs w:val="17"/>
                <w:color w:val="auto"/>
              </w:rPr>
            </w:pPr>
          </w:p>
        </w:tc>
        <w:tc>
          <w:tcPr>
            <w:tcW w:w="15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April 17, 2013</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12"/>
          </w:tcPr>
          <w:p>
            <w:pPr>
              <w:spacing w:after="0" w:line="196" w:lineRule="exact"/>
              <w:rPr>
                <w:rFonts w:ascii="Arial" w:cs="Arial" w:eastAsia="Arial" w:hAnsi="Arial"/>
                <w:sz w:val="18"/>
                <w:szCs w:val="18"/>
                <w:color w:val="0000FF"/>
                <w:w w:val="97"/>
              </w:rPr>
            </w:pPr>
            <w:hyperlink r:id="rId26">
              <w:r>
                <w:rPr>
                  <w:rFonts w:ascii="Arial" w:cs="Arial" w:eastAsia="Arial" w:hAnsi="Arial"/>
                  <w:sz w:val="18"/>
                  <w:szCs w:val="18"/>
                  <w:color w:val="0000FF"/>
                  <w:w w:val="97"/>
                </w:rPr>
                <w:t>Crown Castle USA Inc., as Manager, and CC Holdings GS V LLC, Global</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12"/>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Signal Acquisitions LLC, Global Signal Acquisitions II LLC, Pinnacle</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2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26">
              <w:r>
                <w:rPr>
                  <w:rFonts w:ascii="Arial" w:cs="Arial" w:eastAsia="Arial" w:hAnsi="Arial"/>
                  <w:sz w:val="18"/>
                  <w:szCs w:val="18"/>
                  <w:color w:val="0000FF"/>
                  <w:w w:val="93"/>
                </w:rPr>
                <w:t>Towers LLC and the direct and indirect subsidiaries of Pinnacle Towers LLC,</w:t>
              </w:r>
            </w:hyperlink>
          </w:p>
        </w:tc>
        <w:tc>
          <w:tcPr>
            <w:tcW w:w="8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0" w:type="dxa"/>
            <w:vAlign w:val="bottom"/>
            <w:gridSpan w:val="14"/>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collectively, as Owners</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10.9</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2"/>
            <w:shd w:val="clear" w:color="auto" w:fill="CCEEFF"/>
          </w:tcPr>
          <w:p>
            <w:pPr>
              <w:spacing w:after="0" w:line="202" w:lineRule="exact"/>
              <w:rPr>
                <w:rFonts w:ascii="Arial" w:cs="Arial" w:eastAsia="Arial" w:hAnsi="Arial"/>
                <w:sz w:val="18"/>
                <w:szCs w:val="18"/>
                <w:color w:val="0000FF"/>
                <w:w w:val="99"/>
              </w:rPr>
            </w:pPr>
            <w:hyperlink r:id="rId27">
              <w:r>
                <w:rPr>
                  <w:rFonts w:ascii="Arial" w:cs="Arial" w:eastAsia="Arial" w:hAnsi="Arial"/>
                  <w:sz w:val="18"/>
                  <w:szCs w:val="18"/>
                  <w:color w:val="0000FF"/>
                  <w:w w:val="99"/>
                </w:rPr>
                <w:t>Registration Rights Agreement, dated as of December 24, 2012, by and</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8-K</w:t>
            </w:r>
          </w:p>
        </w:tc>
        <w:tc>
          <w:tcPr>
            <w:tcW w:w="12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001-16441</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96"/>
              </w:rPr>
              <w:t>December 28, 2012</w:t>
            </w:r>
          </w:p>
        </w:tc>
        <w:tc>
          <w:tcPr>
            <w:tcW w:w="8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among CC Holdings GS V LLC, Crown Castle GS III Corp., each of the</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800" w:type="dxa"/>
            <w:vAlign w:val="bottom"/>
            <w:gridSpan w:val="14"/>
            <w:shd w:val="clear" w:color="auto" w:fill="CCEEFF"/>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guarantors  party  thereto  and  Merrill  Lynch,  Pierce,  Fenner  &amp;  Smith</w:t>
              </w:r>
            </w:hyperlink>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100" w:type="dxa"/>
            <w:vAlign w:val="bottom"/>
            <w:gridSpan w:val="8"/>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Borders>
              <w:right w:val="single" w:sz="8" w:color="CCEEFF"/>
            </w:tcBorders>
            <w:shd w:val="clear" w:color="auto" w:fill="0000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572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3"/>
              </w:rPr>
            </w:pPr>
            <w:hyperlink r:id="rId27">
              <w:r>
                <w:rPr>
                  <w:rFonts w:ascii="Arial" w:cs="Arial" w:eastAsia="Arial" w:hAnsi="Arial"/>
                  <w:sz w:val="18"/>
                  <w:szCs w:val="18"/>
                  <w:color w:val="0000FF"/>
                  <w:w w:val="93"/>
                </w:rPr>
                <w:t>Incorporated, Barclays Capital Inc., J.P. Morgan Securities LLC and Morgan</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4520" w:type="dxa"/>
            <w:vAlign w:val="bottom"/>
            <w:tcBorders>
              <w:bottom w:val="single" w:sz="8" w:color="0000FF"/>
            </w:tcBorders>
            <w:gridSpan w:val="10"/>
            <w:shd w:val="clear" w:color="auto" w:fill="CCEEFF"/>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Stanley &amp; Co. LLC, as representatives of the initial purchasers</w:t>
              </w:r>
            </w:hyperlink>
          </w:p>
        </w:tc>
        <w:tc>
          <w:tcPr>
            <w:tcW w:w="1280" w:type="dxa"/>
            <w:vAlign w:val="bottom"/>
            <w:tcBorders>
              <w:bottom w:val="single" w:sz="8" w:color="CCEEFF"/>
            </w:tcBorders>
            <w:gridSpan w:val="4"/>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5800" w:type="dxa"/>
            <w:vAlign w:val="bottom"/>
            <w:gridSpan w:val="14"/>
          </w:tcPr>
          <w:p>
            <w:pPr>
              <w:spacing w:after="0" w:line="202" w:lineRule="exact"/>
              <w:rPr>
                <w:rFonts w:ascii="Arial" w:cs="Arial" w:eastAsia="Arial" w:hAnsi="Arial"/>
                <w:sz w:val="18"/>
                <w:szCs w:val="18"/>
                <w:color w:val="0000FF"/>
              </w:rPr>
            </w:pPr>
            <w:hyperlink w:anchor="page89">
              <w:r>
                <w:rPr>
                  <w:rFonts w:ascii="Arial" w:cs="Arial" w:eastAsia="Arial" w:hAnsi="Arial"/>
                  <w:sz w:val="18"/>
                  <w:szCs w:val="18"/>
                  <w:color w:val="0000FF"/>
                </w:rPr>
                <w:t>Computation of Ratios of Earnings to Fixed Charges and Earnings to</w:t>
              </w:r>
            </w:hyperlink>
          </w:p>
        </w:tc>
        <w:tc>
          <w:tcPr>
            <w:tcW w:w="7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89">
              <w:r>
                <w:rPr>
                  <w:rFonts w:ascii="Arial" w:cs="Arial" w:eastAsia="Arial" w:hAnsi="Arial"/>
                  <w:sz w:val="18"/>
                  <w:szCs w:val="18"/>
                  <w:color w:val="0000FF"/>
                </w:rPr>
                <w:t>Combined Fixed Charges and Preferred Stock Dividends</w:t>
              </w:r>
            </w:hyperlink>
          </w:p>
        </w:tc>
        <w:tc>
          <w:tcPr>
            <w:tcW w:w="84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Power of Attorney (included on signature page of this annual report)</w:t>
            </w:r>
          </w:p>
        </w:tc>
        <w:tc>
          <w:tcPr>
            <w:tcW w:w="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60" w:type="dxa"/>
            <w:vAlign w:val="bottom"/>
            <w:gridSpan w:val="11"/>
          </w:tcPr>
          <w:p>
            <w:pPr>
              <w:ind w:left="4420"/>
              <w:spacing w:after="0"/>
              <w:rPr>
                <w:sz w:val="20"/>
                <w:szCs w:val="20"/>
                <w:color w:val="auto"/>
              </w:rPr>
            </w:pPr>
            <w:r>
              <w:rPr>
                <w:rFonts w:ascii="Arial" w:cs="Arial" w:eastAsia="Arial" w:hAnsi="Arial"/>
                <w:sz w:val="18"/>
                <w:szCs w:val="18"/>
                <w:color w:val="auto"/>
              </w:rPr>
              <w:t>37</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6"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3"/>
                <w:szCs w:val="13"/>
                <w:color w:val="auto"/>
              </w:rPr>
            </w:pPr>
          </w:p>
        </w:tc>
        <w:tc>
          <w:tcPr>
            <w:tcW w:w="568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3"/>
                <w:szCs w:val="13"/>
                <w:color w:val="auto"/>
              </w:rPr>
            </w:pPr>
          </w:p>
        </w:tc>
        <w:tc>
          <w:tcPr>
            <w:tcW w:w="1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Date of Filing</w:t>
            </w:r>
          </w:p>
        </w:tc>
        <w:tc>
          <w:tcPr>
            <w:tcW w:w="100" w:type="dxa"/>
            <w:vAlign w:val="bottom"/>
            <w:vMerge w:val="restart"/>
          </w:tcPr>
          <w:p>
            <w:pPr>
              <w:spacing w:after="0"/>
              <w:rPr>
                <w:sz w:val="13"/>
                <w:szCs w:val="13"/>
                <w:color w:val="auto"/>
              </w:rPr>
            </w:pPr>
          </w:p>
        </w:tc>
        <w:tc>
          <w:tcPr>
            <w:tcW w:w="8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680" w:type="dxa"/>
            <w:vAlign w:val="bottom"/>
            <w:tcBorders>
              <w:bottom w:val="single" w:sz="8" w:color="auto"/>
            </w:tcBorders>
            <w:gridSpan w:val="8"/>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2"/>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80" w:type="dxa"/>
            <w:vAlign w:val="bottom"/>
            <w:tcBorders>
              <w:bottom w:val="single" w:sz="8" w:color="0000FF"/>
            </w:tcBorders>
            <w:gridSpan w:val="7"/>
          </w:tcPr>
          <w:p>
            <w:pPr>
              <w:spacing w:after="0" w:line="202" w:lineRule="exact"/>
              <w:rPr>
                <w:rFonts w:ascii="Arial" w:cs="Arial" w:eastAsia="Arial" w:hAnsi="Arial"/>
                <w:sz w:val="18"/>
                <w:szCs w:val="18"/>
                <w:color w:val="0000FF"/>
                <w:w w:val="91"/>
              </w:rPr>
            </w:pPr>
            <w:hyperlink w:anchor="page90">
              <w:r>
                <w:rPr>
                  <w:rFonts w:ascii="Arial" w:cs="Arial" w:eastAsia="Arial" w:hAnsi="Arial"/>
                  <w:sz w:val="18"/>
                  <w:szCs w:val="18"/>
                  <w:color w:val="0000FF"/>
                  <w:w w:val="91"/>
                </w:rPr>
                <w:t>Certification of Chief Executive Officer pursuant to Section 302 of Sarbanes-</w:t>
              </w:r>
            </w:hyperlink>
          </w:p>
        </w:tc>
        <w:tc>
          <w:tcPr>
            <w:tcW w:w="220" w:type="dxa"/>
            <w:vAlign w:val="bottom"/>
            <w:gridSpan w:val="2"/>
          </w:tcPr>
          <w:p>
            <w:pPr>
              <w:spacing w:after="0"/>
              <w:rPr>
                <w:sz w:val="17"/>
                <w:szCs w:val="17"/>
                <w:color w:val="auto"/>
              </w:rPr>
            </w:pPr>
          </w:p>
        </w:tc>
        <w:tc>
          <w:tcPr>
            <w:tcW w:w="7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0" w:type="dxa"/>
            <w:vAlign w:val="bottom"/>
            <w:gridSpan w:val="9"/>
          </w:tcPr>
          <w:p>
            <w:pPr>
              <w:spacing w:after="0" w:line="196" w:lineRule="exact"/>
              <w:rPr>
                <w:rFonts w:ascii="Arial" w:cs="Arial" w:eastAsia="Arial" w:hAnsi="Arial"/>
                <w:sz w:val="18"/>
                <w:szCs w:val="18"/>
                <w:color w:val="0000FF"/>
              </w:rPr>
            </w:pPr>
            <w:hyperlink w:anchor="page90">
              <w:r>
                <w:rPr>
                  <w:rFonts w:ascii="Arial" w:cs="Arial" w:eastAsia="Arial" w:hAnsi="Arial"/>
                  <w:sz w:val="18"/>
                  <w:szCs w:val="18"/>
                  <w:color w:val="0000FF"/>
                </w:rPr>
                <w:t>Oxley Act of 2002</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00" w:type="dxa"/>
            <w:vAlign w:val="bottom"/>
          </w:tcPr>
          <w:p>
            <w:pPr>
              <w:spacing w:after="0"/>
              <w:rPr>
                <w:sz w:val="4"/>
                <w:szCs w:val="4"/>
                <w:color w:val="auto"/>
              </w:rPr>
            </w:pPr>
          </w:p>
        </w:tc>
        <w:tc>
          <w:tcPr>
            <w:tcW w:w="2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0" w:type="dxa"/>
            <w:vAlign w:val="bottom"/>
            <w:gridSpan w:val="9"/>
            <w:shd w:val="clear" w:color="auto" w:fill="CCEEFF"/>
          </w:tcPr>
          <w:p>
            <w:pPr>
              <w:spacing w:after="0" w:line="202" w:lineRule="exact"/>
              <w:rPr>
                <w:rFonts w:ascii="Arial" w:cs="Arial" w:eastAsia="Arial" w:hAnsi="Arial"/>
                <w:sz w:val="18"/>
                <w:szCs w:val="18"/>
                <w:color w:val="0000FF"/>
                <w:w w:val="96"/>
              </w:rPr>
            </w:pPr>
            <w:hyperlink w:anchor="page91">
              <w:r>
                <w:rPr>
                  <w:rFonts w:ascii="Arial" w:cs="Arial" w:eastAsia="Arial" w:hAnsi="Arial"/>
                  <w:sz w:val="18"/>
                  <w:szCs w:val="18"/>
                  <w:color w:val="0000FF"/>
                  <w:w w:val="96"/>
                </w:rPr>
                <w:t>Certification of Chief Financial Officer pursuant to Section 302 of Sarbanes-</w:t>
              </w:r>
            </w:hyperlink>
          </w:p>
        </w:tc>
        <w:tc>
          <w:tcPr>
            <w:tcW w:w="7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520" w:type="dxa"/>
            <w:vAlign w:val="bottom"/>
            <w:tcBorders>
              <w:top w:val="single" w:sz="8" w:color="0000FF"/>
            </w:tcBorders>
            <w:gridSpan w:val="5"/>
            <w:shd w:val="clear" w:color="auto" w:fill="CCEEFF"/>
          </w:tcPr>
          <w:p>
            <w:pPr>
              <w:spacing w:after="0" w:line="196" w:lineRule="exact"/>
              <w:rPr>
                <w:rFonts w:ascii="Arial" w:cs="Arial" w:eastAsia="Arial" w:hAnsi="Arial"/>
                <w:sz w:val="18"/>
                <w:szCs w:val="18"/>
                <w:color w:val="0000FF"/>
              </w:rPr>
            </w:pPr>
            <w:hyperlink w:anchor="page91">
              <w:r>
                <w:rPr>
                  <w:rFonts w:ascii="Arial" w:cs="Arial" w:eastAsia="Arial" w:hAnsi="Arial"/>
                  <w:sz w:val="18"/>
                  <w:szCs w:val="18"/>
                  <w:color w:val="0000FF"/>
                </w:rPr>
                <w:t>Oxley Act of 2002</w:t>
              </w:r>
            </w:hyperlink>
          </w:p>
        </w:tc>
        <w:tc>
          <w:tcPr>
            <w:tcW w:w="280" w:type="dxa"/>
            <w:vAlign w:val="bottom"/>
            <w:tcBorders>
              <w:top w:val="single" w:sz="8" w:color="CCEEFF"/>
            </w:tcBorders>
            <w:gridSpan w:val="4"/>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0" w:type="dxa"/>
            <w:vAlign w:val="bottom"/>
            <w:gridSpan w:val="9"/>
          </w:tcPr>
          <w:p>
            <w:pPr>
              <w:spacing w:after="0" w:line="202" w:lineRule="exact"/>
              <w:rPr>
                <w:rFonts w:ascii="Arial" w:cs="Arial" w:eastAsia="Arial" w:hAnsi="Arial"/>
                <w:sz w:val="18"/>
                <w:szCs w:val="18"/>
                <w:color w:val="0000FF"/>
                <w:w w:val="97"/>
              </w:rPr>
            </w:pPr>
            <w:hyperlink w:anchor="page92">
              <w:r>
                <w:rPr>
                  <w:rFonts w:ascii="Arial" w:cs="Arial" w:eastAsia="Arial" w:hAnsi="Arial"/>
                  <w:sz w:val="18"/>
                  <w:szCs w:val="18"/>
                  <w:color w:val="0000FF"/>
                  <w:w w:val="97"/>
                </w:rPr>
                <w:t>Certification of Chief Executive Officer and Chief Financial Officer pursuant</w:t>
              </w:r>
            </w:hyperlink>
          </w:p>
        </w:tc>
        <w:tc>
          <w:tcPr>
            <w:tcW w:w="7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92">
              <w:r>
                <w:rPr>
                  <w:rFonts w:ascii="Arial" w:cs="Arial" w:eastAsia="Arial" w:hAnsi="Arial"/>
                  <w:sz w:val="18"/>
                  <w:szCs w:val="18"/>
                  <w:color w:val="0000FF"/>
                </w:rPr>
                <w:t>to Section 906 of Sarbanes-Oxley Act of 2002</w:t>
              </w:r>
            </w:hyperlink>
          </w:p>
        </w:tc>
        <w:tc>
          <w:tcPr>
            <w:tcW w:w="24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00" w:type="dxa"/>
            <w:vAlign w:val="bottom"/>
            <w:tcBorders>
              <w:top w:val="single" w:sz="8" w:color="0000FF"/>
            </w:tcBorders>
          </w:tcPr>
          <w:p>
            <w:pPr>
              <w:spacing w:after="0"/>
              <w:rPr>
                <w:sz w:val="4"/>
                <w:szCs w:val="4"/>
                <w:color w:val="auto"/>
              </w:rPr>
            </w:pPr>
          </w:p>
        </w:tc>
        <w:tc>
          <w:tcPr>
            <w:tcW w:w="2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1"/>
                <w:szCs w:val="21"/>
                <w:color w:val="auto"/>
              </w:rPr>
            </w:pPr>
          </w:p>
        </w:tc>
        <w:tc>
          <w:tcPr>
            <w:tcW w:w="580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Definition Linkbase</w:t>
            </w:r>
          </w:p>
        </w:tc>
        <w:tc>
          <w:tcPr>
            <w:tcW w:w="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1"/>
                <w:szCs w:val="21"/>
                <w:color w:val="auto"/>
              </w:rPr>
            </w:pPr>
          </w:p>
        </w:tc>
        <w:tc>
          <w:tcPr>
            <w:tcW w:w="580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1"/>
                <w:szCs w:val="21"/>
                <w:color w:val="auto"/>
              </w:rPr>
            </w:pPr>
          </w:p>
        </w:tc>
        <w:tc>
          <w:tcPr>
            <w:tcW w:w="580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1460" w:type="dxa"/>
            <w:vAlign w:val="bottom"/>
            <w:gridSpan w:val="4"/>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58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760" w:type="dxa"/>
            <w:vAlign w:val="bottom"/>
            <w:gridSpan w:val="12"/>
          </w:tcPr>
          <w:p>
            <w:pPr>
              <w:ind w:left="40"/>
              <w:spacing w:after="0"/>
              <w:rPr>
                <w:sz w:val="20"/>
                <w:szCs w:val="20"/>
                <w:color w:val="auto"/>
              </w:rPr>
            </w:pPr>
            <w:r>
              <w:rPr>
                <w:rFonts w:ascii="Arial" w:cs="Arial" w:eastAsia="Arial" w:hAnsi="Arial"/>
                <w:sz w:val="18"/>
                <w:szCs w:val="18"/>
                <w:color w:val="auto"/>
              </w:rPr>
              <w:t>Filed herewith.</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760" w:type="dxa"/>
            <w:vAlign w:val="bottom"/>
            <w:gridSpan w:val="12"/>
          </w:tcPr>
          <w:p>
            <w:pPr>
              <w:ind w:left="120"/>
              <w:spacing w:after="0"/>
              <w:rPr>
                <w:sz w:val="20"/>
                <w:szCs w:val="20"/>
                <w:color w:val="auto"/>
              </w:rPr>
            </w:pPr>
            <w:r>
              <w:rPr>
                <w:rFonts w:ascii="Arial" w:cs="Arial" w:eastAsia="Arial" w:hAnsi="Arial"/>
                <w:sz w:val="18"/>
                <w:szCs w:val="18"/>
                <w:color w:val="auto"/>
              </w:rPr>
              <w:t>Furnished herewith.</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6"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 on this 26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February, 2018.</w:t>
      </w:r>
    </w:p>
    <w:p>
      <w:pPr>
        <w:spacing w:after="0" w:line="200" w:lineRule="exact"/>
        <w:rPr>
          <w:sz w:val="20"/>
          <w:szCs w:val="20"/>
          <w:color w:val="auto"/>
        </w:rPr>
      </w:pPr>
    </w:p>
    <w:p>
      <w:pPr>
        <w:spacing w:after="0" w:line="214"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CC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xml:space="preserve"> GS V LLC</w:t>
      </w:r>
    </w:p>
    <w:p>
      <w:pPr>
        <w:spacing w:after="0" w:line="337"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ANIEL</w:t>
      </w:r>
      <w:r>
        <w:rPr>
          <w:rFonts w:ascii="Arial" w:cs="Arial" w:eastAsia="Arial" w:hAnsi="Arial"/>
          <w:sz w:val="18"/>
          <w:szCs w:val="18"/>
          <w:color w:val="auto"/>
        </w:rPr>
        <w:t xml:space="preserve"> K. S</w:t>
      </w:r>
      <w:r>
        <w:rPr>
          <w:rFonts w:ascii="Arial" w:cs="Arial" w:eastAsia="Arial" w:hAnsi="Arial"/>
          <w:sz w:val="14"/>
          <w:szCs w:val="14"/>
          <w:color w:val="auto"/>
        </w:rPr>
        <w:t>CHLANGER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22860</wp:posOffset>
            </wp:positionV>
            <wp:extent cx="30270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43"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Daniel K. Schlanger</w:t>
      </w:r>
    </w:p>
    <w:p>
      <w:pPr>
        <w:spacing w:after="0" w:line="73"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Senior Vice President, Chief Financial Officer and Treasurer</w:t>
      </w:r>
    </w:p>
    <w:p>
      <w:pPr>
        <w:spacing w:after="0" w:line="73"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(Principal Financial Officer)</w:t>
      </w:r>
    </w:p>
    <w:p>
      <w:pPr>
        <w:spacing w:after="0" w:line="342" w:lineRule="exact"/>
        <w:rPr>
          <w:sz w:val="20"/>
          <w:szCs w:val="20"/>
          <w:color w:val="auto"/>
        </w:rPr>
      </w:pPr>
    </w:p>
    <w:p>
      <w:pPr>
        <w:ind w:left="6280"/>
        <w:spacing w:after="0"/>
        <w:tabs>
          <w:tab w:leader="none" w:pos="8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S. C</w:t>
      </w:r>
      <w:r>
        <w:rPr>
          <w:rFonts w:ascii="Arial" w:cs="Arial" w:eastAsia="Arial" w:hAnsi="Arial"/>
          <w:sz w:val="14"/>
          <w:szCs w:val="14"/>
          <w:color w:val="auto"/>
        </w:rPr>
        <w:t>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Robert S. Collins</w:t>
      </w:r>
    </w:p>
    <w:p>
      <w:pPr>
        <w:spacing w:after="0" w:line="73"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Vice President and Controller</w:t>
      </w:r>
    </w:p>
    <w:p>
      <w:pPr>
        <w:spacing w:after="0" w:line="73"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(Principal Accounting Officer)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Jay A. Brown and Kenneth J. Simon and each of them, as his true and lawful attorneys-in-fact and agents with full power of substitution and re-substitution for him and in his name, place and stead, in any and all capacities, to sign any and all documents relating to the Annual Report on Form 10-K, including any and all amendments and supplements thereto, for the year ended December 31, 2017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as he might or could do in person, hereby ratifying and confirming all that said attorneys-in-fact and agents or their substitute or substitutes may lawfully do or cause to be done by virtue hereof.</w:t>
      </w:r>
    </w:p>
    <w:p>
      <w:pPr>
        <w:spacing w:after="0" w:line="113" w:lineRule="exact"/>
        <w:rPr>
          <w:sz w:val="20"/>
          <w:szCs w:val="20"/>
          <w:color w:val="auto"/>
        </w:rPr>
      </w:pPr>
    </w:p>
    <w:p>
      <w:pPr>
        <w:jc w:val="both"/>
        <w:ind w:right="20" w:firstLine="405"/>
        <w:spacing w:after="0" w:line="303"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this Annual Report on Form 10-K has been signed below by the following persons on behalf of the Registrant and in the capacities indicated below on this 26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February,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6"/>
                <w:szCs w:val="16"/>
                <w:b w:val="1"/>
                <w:bCs w:val="1"/>
                <w:color w:val="auto"/>
                <w:w w:val="91"/>
              </w:rPr>
              <w:t>Name</w:t>
            </w:r>
          </w:p>
        </w:tc>
        <w:tc>
          <w:tcPr>
            <w:tcW w:w="20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20"/>
        </w:trPr>
        <w:tc>
          <w:tcPr>
            <w:tcW w:w="204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60" w:type="dxa"/>
            <w:vAlign w:val="bottom"/>
            <w:gridSpan w:val="4"/>
          </w:tcPr>
          <w:p>
            <w:pPr>
              <w:jc w:val="cente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AY</w:t>
            </w:r>
            <w:r>
              <w:rPr>
                <w:rFonts w:ascii="Arial" w:cs="Arial" w:eastAsia="Arial" w:hAnsi="Arial"/>
                <w:sz w:val="18"/>
                <w:szCs w:val="18"/>
                <w:color w:val="auto"/>
              </w:rPr>
              <w:t xml:space="preserve"> A. B</w:t>
            </w:r>
            <w:r>
              <w:rPr>
                <w:rFonts w:ascii="Arial" w:cs="Arial" w:eastAsia="Arial" w:hAnsi="Arial"/>
                <w:sz w:val="14"/>
                <w:szCs w:val="14"/>
                <w:color w:val="auto"/>
              </w:rPr>
              <w:t>ROWN</w:t>
            </w:r>
          </w:p>
        </w:tc>
        <w:tc>
          <w:tcPr>
            <w:tcW w:w="4640" w:type="dxa"/>
            <w:vAlign w:val="bottom"/>
            <w:gridSpan w:val="3"/>
          </w:tcPr>
          <w:p>
            <w:pPr>
              <w:ind w:left="82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640" w:type="dxa"/>
            <w:vAlign w:val="bottom"/>
            <w:gridSpan w:val="3"/>
            <w:vMerge w:val="restart"/>
          </w:tcPr>
          <w:p>
            <w:pPr>
              <w:ind w:left="8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2900" w:type="dxa"/>
            <w:vAlign w:val="bottom"/>
            <w:gridSpan w:val="3"/>
          </w:tcPr>
          <w:p>
            <w:pPr>
              <w:jc w:val="center"/>
              <w:ind w:right="1560"/>
              <w:spacing w:after="0"/>
              <w:rPr>
                <w:sz w:val="20"/>
                <w:szCs w:val="20"/>
                <w:color w:val="auto"/>
              </w:rPr>
            </w:pPr>
            <w:r>
              <w:rPr>
                <w:rFonts w:ascii="Arial" w:cs="Arial" w:eastAsia="Arial" w:hAnsi="Arial"/>
                <w:sz w:val="16"/>
                <w:szCs w:val="16"/>
                <w:b w:val="1"/>
                <w:bCs w:val="1"/>
                <w:color w:val="auto"/>
                <w:w w:val="92"/>
              </w:rPr>
              <w:t>Jay A. Brown</w:t>
            </w:r>
          </w:p>
        </w:tc>
        <w:tc>
          <w:tcPr>
            <w:tcW w:w="46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560" w:type="dxa"/>
            <w:vAlign w:val="bottom"/>
          </w:tcPr>
          <w:p>
            <w:pPr>
              <w:ind w:left="1200"/>
              <w:spacing w:after="0"/>
              <w:rPr>
                <w:sz w:val="20"/>
                <w:szCs w:val="20"/>
                <w:color w:val="auto"/>
              </w:rPr>
            </w:pPr>
            <w:r>
              <w:rPr>
                <w:rFonts w:ascii="Arial" w:cs="Arial" w:eastAsia="Arial" w:hAnsi="Arial"/>
                <w:sz w:val="18"/>
                <w:szCs w:val="18"/>
                <w:color w:val="auto"/>
              </w:rPr>
              <w:t>/s/</w:t>
            </w:r>
          </w:p>
        </w:tc>
        <w:tc>
          <w:tcPr>
            <w:tcW w:w="2900" w:type="dxa"/>
            <w:vAlign w:val="bottom"/>
            <w:gridSpan w:val="3"/>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K. S</w:t>
            </w:r>
            <w:r>
              <w:rPr>
                <w:rFonts w:ascii="Arial" w:cs="Arial" w:eastAsia="Arial" w:hAnsi="Arial"/>
                <w:sz w:val="14"/>
                <w:szCs w:val="14"/>
                <w:color w:val="auto"/>
              </w:rPr>
              <w:t>CHLANGER</w:t>
            </w:r>
          </w:p>
        </w:tc>
        <w:tc>
          <w:tcPr>
            <w:tcW w:w="4640" w:type="dxa"/>
            <w:vAlign w:val="bottom"/>
            <w:gridSpan w:val="3"/>
          </w:tcPr>
          <w:p>
            <w:pPr>
              <w:ind w:left="820"/>
              <w:spacing w:after="0"/>
              <w:rPr>
                <w:sz w:val="20"/>
                <w:szCs w:val="20"/>
                <w:color w:val="auto"/>
              </w:rPr>
            </w:pPr>
            <w:r>
              <w:rPr>
                <w:rFonts w:ascii="Arial" w:cs="Arial" w:eastAsia="Arial" w:hAnsi="Arial"/>
                <w:sz w:val="18"/>
                <w:szCs w:val="18"/>
                <w:color w:val="auto"/>
              </w:rPr>
              <w:t>Senior Vice President, Chief Financial Officer,</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640" w:type="dxa"/>
            <w:vAlign w:val="bottom"/>
            <w:gridSpan w:val="3"/>
            <w:vMerge w:val="restart"/>
          </w:tcPr>
          <w:p>
            <w:pPr>
              <w:ind w:left="820"/>
              <w:spacing w:after="0"/>
              <w:rPr>
                <w:sz w:val="20"/>
                <w:szCs w:val="20"/>
                <w:color w:val="auto"/>
              </w:rPr>
            </w:pPr>
            <w:r>
              <w:rPr>
                <w:rFonts w:ascii="Arial" w:cs="Arial" w:eastAsia="Arial" w:hAnsi="Arial"/>
                <w:sz w:val="18"/>
                <w:szCs w:val="18"/>
                <w:color w:val="auto"/>
                <w:w w:val="94"/>
              </w:rPr>
              <w:t>Treasurer and Director (Principal Financial Officer)</w:t>
            </w:r>
          </w:p>
        </w:tc>
        <w:tc>
          <w:tcPr>
            <w:tcW w:w="0" w:type="dxa"/>
            <w:vAlign w:val="bottom"/>
          </w:tcPr>
          <w:p>
            <w:pPr>
              <w:spacing w:after="0"/>
              <w:rPr>
                <w:sz w:val="1"/>
                <w:szCs w:val="1"/>
                <w:color w:val="auto"/>
              </w:rPr>
            </w:pPr>
          </w:p>
        </w:tc>
      </w:tr>
      <w:tr>
        <w:trPr>
          <w:trHeight w:val="223"/>
        </w:trPr>
        <w:tc>
          <w:tcPr>
            <w:tcW w:w="4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Daniel K. Schlanger</w:t>
            </w:r>
          </w:p>
        </w:tc>
        <w:tc>
          <w:tcPr>
            <w:tcW w:w="46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560" w:type="dxa"/>
            <w:vAlign w:val="bottom"/>
          </w:tcPr>
          <w:p>
            <w:pPr>
              <w:ind w:left="1420"/>
              <w:spacing w:after="0"/>
              <w:rPr>
                <w:sz w:val="20"/>
                <w:szCs w:val="20"/>
                <w:color w:val="auto"/>
              </w:rPr>
            </w:pPr>
            <w:r>
              <w:rPr>
                <w:rFonts w:ascii="Arial" w:cs="Arial" w:eastAsia="Arial" w:hAnsi="Arial"/>
                <w:sz w:val="14"/>
                <w:szCs w:val="14"/>
                <w:color w:val="auto"/>
                <w:w w:val="80"/>
              </w:rPr>
              <w:t>/s/</w:t>
            </w:r>
          </w:p>
        </w:tc>
        <w:tc>
          <w:tcPr>
            <w:tcW w:w="2900" w:type="dxa"/>
            <w:vAlign w:val="bottom"/>
            <w:gridSpan w:val="3"/>
          </w:tcPr>
          <w:p>
            <w:pPr>
              <w:ind w:left="14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ENNETH</w:t>
            </w:r>
            <w:r>
              <w:rPr>
                <w:rFonts w:ascii="Arial" w:cs="Arial" w:eastAsia="Arial" w:hAnsi="Arial"/>
                <w:sz w:val="18"/>
                <w:szCs w:val="18"/>
                <w:color w:val="auto"/>
              </w:rPr>
              <w:t xml:space="preserve"> J</w:t>
            </w:r>
            <w:r>
              <w:rPr>
                <w:rFonts w:ascii="Arial" w:cs="Arial" w:eastAsia="Arial" w:hAnsi="Arial"/>
                <w:sz w:val="14"/>
                <w:szCs w:val="14"/>
                <w:color w:val="auto"/>
              </w:rPr>
              <w:t>.</w:t>
            </w:r>
            <w:r>
              <w:rPr>
                <w:rFonts w:ascii="Arial" w:cs="Arial" w:eastAsia="Arial" w:hAnsi="Arial"/>
                <w:sz w:val="18"/>
                <w:szCs w:val="18"/>
                <w:color w:val="auto"/>
              </w:rPr>
              <w:t xml:space="preserve"> S</w:t>
            </w:r>
            <w:r>
              <w:rPr>
                <w:rFonts w:ascii="Arial" w:cs="Arial" w:eastAsia="Arial" w:hAnsi="Arial"/>
                <w:sz w:val="14"/>
                <w:szCs w:val="14"/>
                <w:color w:val="auto"/>
              </w:rPr>
              <w:t>IMON</w:t>
            </w:r>
          </w:p>
        </w:tc>
        <w:tc>
          <w:tcPr>
            <w:tcW w:w="4640" w:type="dxa"/>
            <w:vAlign w:val="bottom"/>
            <w:gridSpan w:val="3"/>
          </w:tcPr>
          <w:p>
            <w:pPr>
              <w:ind w:left="820"/>
              <w:spacing w:after="0"/>
              <w:rPr>
                <w:sz w:val="20"/>
                <w:szCs w:val="20"/>
                <w:color w:val="auto"/>
              </w:rPr>
            </w:pPr>
            <w:r>
              <w:rPr>
                <w:rFonts w:ascii="Arial" w:cs="Arial" w:eastAsia="Arial" w:hAnsi="Arial"/>
                <w:sz w:val="18"/>
                <w:szCs w:val="18"/>
                <w:color w:val="auto"/>
                <w:w w:val="90"/>
              </w:rPr>
              <w:t>Senior Vice President, General Counsel and Director</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60" w:type="dxa"/>
            <w:vAlign w:val="bottom"/>
          </w:tcPr>
          <w:p>
            <w:pPr>
              <w:spacing w:after="0"/>
              <w:rPr>
                <w:sz w:val="18"/>
                <w:szCs w:val="18"/>
                <w:color w:val="auto"/>
              </w:rPr>
            </w:pPr>
          </w:p>
        </w:tc>
        <w:tc>
          <w:tcPr>
            <w:tcW w:w="2900" w:type="dxa"/>
            <w:vAlign w:val="bottom"/>
            <w:gridSpan w:val="3"/>
          </w:tcPr>
          <w:p>
            <w:pPr>
              <w:jc w:val="center"/>
              <w:ind w:right="1540"/>
              <w:spacing w:after="0"/>
              <w:rPr>
                <w:sz w:val="20"/>
                <w:szCs w:val="20"/>
                <w:color w:val="auto"/>
              </w:rPr>
            </w:pPr>
            <w:r>
              <w:rPr>
                <w:rFonts w:ascii="Arial" w:cs="Arial" w:eastAsia="Arial" w:hAnsi="Arial"/>
                <w:sz w:val="16"/>
                <w:szCs w:val="16"/>
                <w:b w:val="1"/>
                <w:bCs w:val="1"/>
                <w:color w:val="auto"/>
                <w:w w:val="91"/>
              </w:rPr>
              <w:t>Kenneth J. Simon</w:t>
            </w: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560" w:type="dxa"/>
            <w:vAlign w:val="bottom"/>
          </w:tcPr>
          <w:p>
            <w:pPr>
              <w:ind w:left="1340"/>
              <w:spacing w:after="0"/>
              <w:rPr>
                <w:sz w:val="20"/>
                <w:szCs w:val="20"/>
                <w:color w:val="auto"/>
              </w:rPr>
            </w:pPr>
            <w:r>
              <w:rPr>
                <w:rFonts w:ascii="Arial" w:cs="Arial" w:eastAsia="Arial" w:hAnsi="Arial"/>
                <w:sz w:val="18"/>
                <w:szCs w:val="18"/>
                <w:color w:val="auto"/>
              </w:rPr>
              <w:t>/s/</w:t>
            </w:r>
          </w:p>
        </w:tc>
        <w:tc>
          <w:tcPr>
            <w:tcW w:w="2900" w:type="dxa"/>
            <w:vAlign w:val="bottom"/>
            <w:gridSpan w:val="3"/>
          </w:tcPr>
          <w:p>
            <w:pPr>
              <w:ind w:left="1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OBERT</w:t>
            </w:r>
            <w:r>
              <w:rPr>
                <w:rFonts w:ascii="Arial" w:cs="Arial" w:eastAsia="Arial" w:hAnsi="Arial"/>
                <w:sz w:val="18"/>
                <w:szCs w:val="18"/>
                <w:color w:val="auto"/>
              </w:rPr>
              <w:t xml:space="preserve"> S. C</w:t>
            </w:r>
            <w:r>
              <w:rPr>
                <w:rFonts w:ascii="Arial" w:cs="Arial" w:eastAsia="Arial" w:hAnsi="Arial"/>
                <w:sz w:val="14"/>
                <w:szCs w:val="14"/>
                <w:color w:val="auto"/>
              </w:rPr>
              <w:t>OLLINS</w:t>
            </w:r>
          </w:p>
        </w:tc>
        <w:tc>
          <w:tcPr>
            <w:tcW w:w="4640" w:type="dxa"/>
            <w:vAlign w:val="bottom"/>
            <w:gridSpan w:val="3"/>
          </w:tcPr>
          <w:p>
            <w:pPr>
              <w:ind w:left="820"/>
              <w:spacing w:after="0"/>
              <w:rPr>
                <w:sz w:val="20"/>
                <w:szCs w:val="20"/>
                <w:color w:val="auto"/>
              </w:rPr>
            </w:pPr>
            <w:r>
              <w:rPr>
                <w:rFonts w:ascii="Arial" w:cs="Arial" w:eastAsia="Arial" w:hAnsi="Arial"/>
                <w:sz w:val="18"/>
                <w:szCs w:val="18"/>
                <w:color w:val="auto"/>
              </w:rPr>
              <w:t>Vice President and Controller</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640" w:type="dxa"/>
            <w:vAlign w:val="bottom"/>
            <w:gridSpan w:val="3"/>
            <w:vMerge w:val="restart"/>
          </w:tcPr>
          <w:p>
            <w:pPr>
              <w:ind w:left="8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2900" w:type="dxa"/>
            <w:vAlign w:val="bottom"/>
            <w:gridSpan w:val="3"/>
          </w:tcPr>
          <w:p>
            <w:pPr>
              <w:jc w:val="center"/>
              <w:ind w:right="1560"/>
              <w:spacing w:after="0"/>
              <w:rPr>
                <w:sz w:val="20"/>
                <w:szCs w:val="20"/>
                <w:color w:val="auto"/>
              </w:rPr>
            </w:pPr>
            <w:r>
              <w:rPr>
                <w:rFonts w:ascii="Arial" w:cs="Arial" w:eastAsia="Arial" w:hAnsi="Arial"/>
                <w:sz w:val="16"/>
                <w:szCs w:val="16"/>
                <w:b w:val="1"/>
                <w:bCs w:val="1"/>
                <w:color w:val="auto"/>
                <w:w w:val="91"/>
              </w:rPr>
              <w:t>Robert S. Collins</w:t>
            </w:r>
          </w:p>
        </w:tc>
        <w:tc>
          <w:tcPr>
            <w:tcW w:w="46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720" w:type="dxa"/>
            <w:vAlign w:val="bottom"/>
          </w:tcPr>
          <w:p>
            <w:pPr>
              <w:ind w:left="116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1" w:name="page42"/>
    <w:bookmarkEnd w:id="41"/>
    <w:p>
      <w:pPr>
        <w:ind w:left="4640"/>
        <w:spacing w:after="0"/>
        <w:rPr>
          <w:sz w:val="20"/>
          <w:szCs w:val="20"/>
          <w:color w:val="auto"/>
        </w:rPr>
      </w:pPr>
      <w:r>
        <w:rPr>
          <w:rFonts w:ascii="Arial" w:cs="Arial" w:eastAsia="Arial" w:hAnsi="Arial"/>
          <w:sz w:val="18"/>
          <w:szCs w:val="18"/>
          <w:b w:val="1"/>
          <w:bCs w:val="1"/>
          <w:color w:val="auto"/>
        </w:rPr>
        <w:t>CC HOLDINGS GS V LLC</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7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Additions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w w:val="91"/>
              </w:rPr>
              <w:t>Deletions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4"/>
              </w:rPr>
              <w:t>Balance at</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Charged to</w:t>
            </w:r>
          </w:p>
        </w:tc>
        <w:tc>
          <w:tcPr>
            <w:tcW w:w="140" w:type="dxa"/>
            <w:vAlign w:val="bottom"/>
          </w:tcPr>
          <w:p>
            <w:pPr>
              <w:spacing w:after="0"/>
              <w:rPr>
                <w:sz w:val="12"/>
                <w:szCs w:val="12"/>
                <w:color w:val="auto"/>
              </w:rPr>
            </w:pPr>
          </w:p>
        </w:tc>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Credited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9"/>
              <w:spacing w:after="0" w:line="13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Beginning</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Written Off</w:t>
            </w:r>
          </w:p>
        </w:tc>
        <w:tc>
          <w:tcPr>
            <w:tcW w:w="14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of Year</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Operations</w:t>
            </w:r>
          </w:p>
        </w:tc>
        <w:tc>
          <w:tcPr>
            <w:tcW w:w="14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Operations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9"/>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jc w:val="right"/>
              <w:ind w:right="1790"/>
              <w:spacing w:after="0"/>
              <w:rPr>
                <w:sz w:val="20"/>
                <w:szCs w:val="20"/>
                <w:color w:val="auto"/>
              </w:rPr>
            </w:pPr>
            <w:r>
              <w:rPr>
                <w:rFonts w:ascii="Arial" w:cs="Arial" w:eastAsia="Arial" w:hAnsi="Arial"/>
                <w:sz w:val="18"/>
                <w:szCs w:val="18"/>
                <w:color w:val="auto"/>
                <w:w w:val="93"/>
              </w:rPr>
              <w:t>Allowance for Doubtful Accounts Receivable: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tcPr>
          <w:p>
            <w:pPr>
              <w:jc w:val="right"/>
              <w:ind w:right="431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1,810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62"/>
        </w:trPr>
        <w:tc>
          <w:tcPr>
            <w:tcW w:w="5260" w:type="dxa"/>
            <w:vAlign w:val="bottom"/>
            <w:tcBorders>
              <w:bottom w:val="single" w:sz="8" w:color="CCEEFF"/>
            </w:tcBorders>
            <w:shd w:val="clear" w:color="auto" w:fill="CCEEFF"/>
          </w:tcPr>
          <w:p>
            <w:pPr>
              <w:jc w:val="right"/>
              <w:ind w:right="4310"/>
              <w:spacing w:after="0" w:line="203" w:lineRule="exact"/>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jc w:val="right"/>
              <w:ind w:right="431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60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558"/>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2" w:name="page43"/>
    <w:bookmarkEnd w:id="42"/>
    <w:p>
      <w:pPr>
        <w:ind w:left="4640"/>
        <w:spacing w:after="0"/>
        <w:rPr>
          <w:sz w:val="20"/>
          <w:szCs w:val="20"/>
          <w:color w:val="auto"/>
        </w:rPr>
      </w:pPr>
      <w:r>
        <w:rPr>
          <w:rFonts w:ascii="Arial" w:cs="Arial" w:eastAsia="Arial" w:hAnsi="Arial"/>
          <w:sz w:val="18"/>
          <w:szCs w:val="18"/>
          <w:b w:val="1"/>
          <w:bCs w:val="1"/>
          <w:color w:val="auto"/>
        </w:rPr>
        <w:t>CC HOLDINGS GS V LLC</w:t>
      </w:r>
    </w:p>
    <w:p>
      <w:pPr>
        <w:spacing w:after="0" w:line="171"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SCHEDULE III—SCHEDULE OF REAL ESTATE AND ACCUMULATED DEPRECIATION</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9"/>
              </w:rPr>
              <w:t>Life on Which</w:t>
            </w:r>
          </w:p>
        </w:tc>
      </w:tr>
      <w:tr>
        <w:trPr>
          <w:trHeight w:val="135"/>
        </w:trPr>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Depreciation in</w:t>
            </w:r>
          </w:p>
        </w:tc>
      </w:tr>
      <w:tr>
        <w:trPr>
          <w:trHeight w:val="135"/>
        </w:trPr>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jc w:val="center"/>
              <w:ind w:left="2"/>
              <w:spacing w:after="0" w:line="135" w:lineRule="exact"/>
              <w:rPr>
                <w:sz w:val="20"/>
                <w:szCs w:val="20"/>
                <w:color w:val="auto"/>
              </w:rPr>
            </w:pPr>
            <w:r>
              <w:rPr>
                <w:rFonts w:ascii="Arial" w:cs="Arial" w:eastAsia="Arial" w:hAnsi="Arial"/>
                <w:sz w:val="13"/>
                <w:szCs w:val="13"/>
                <w:b w:val="1"/>
                <w:bCs w:val="1"/>
                <w:color w:val="auto"/>
                <w:w w:val="88"/>
              </w:rPr>
              <w:t>Cost Capitalized</w:t>
            </w:r>
          </w:p>
        </w:tc>
        <w:tc>
          <w:tcPr>
            <w:tcW w:w="180" w:type="dxa"/>
            <w:vAlign w:val="bottom"/>
          </w:tcPr>
          <w:p>
            <w:pPr>
              <w:spacing w:after="0"/>
              <w:rPr>
                <w:sz w:val="11"/>
                <w:szCs w:val="11"/>
                <w:color w:val="auto"/>
              </w:rPr>
            </w:pPr>
          </w:p>
        </w:tc>
        <w:tc>
          <w:tcPr>
            <w:tcW w:w="1020" w:type="dxa"/>
            <w:vAlign w:val="bottom"/>
          </w:tcPr>
          <w:p>
            <w:pPr>
              <w:jc w:val="center"/>
              <w:ind w:right="94"/>
              <w:spacing w:after="0" w:line="135" w:lineRule="exact"/>
              <w:rPr>
                <w:sz w:val="20"/>
                <w:szCs w:val="20"/>
                <w:color w:val="auto"/>
              </w:rPr>
            </w:pPr>
            <w:r>
              <w:rPr>
                <w:rFonts w:ascii="Arial" w:cs="Arial" w:eastAsia="Arial" w:hAnsi="Arial"/>
                <w:sz w:val="13"/>
                <w:szCs w:val="13"/>
                <w:b w:val="1"/>
                <w:bCs w:val="1"/>
                <w:color w:val="auto"/>
                <w:w w:val="86"/>
              </w:rPr>
              <w:t>Gross Amount</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center"/>
              <w:ind w:right="134"/>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Latest Income</w:t>
            </w:r>
          </w:p>
        </w:tc>
      </w:tr>
      <w:tr>
        <w:trPr>
          <w:trHeight w:val="135"/>
        </w:trPr>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Initial Cost to</w:t>
            </w:r>
          </w:p>
        </w:tc>
        <w:tc>
          <w:tcPr>
            <w:tcW w:w="1120" w:type="dxa"/>
            <w:vAlign w:val="bottom"/>
          </w:tcPr>
          <w:p>
            <w:pPr>
              <w:jc w:val="center"/>
              <w:ind w:left="22"/>
              <w:spacing w:after="0" w:line="135" w:lineRule="exact"/>
              <w:rPr>
                <w:sz w:val="20"/>
                <w:szCs w:val="20"/>
                <w:color w:val="auto"/>
              </w:rPr>
            </w:pPr>
            <w:r>
              <w:rPr>
                <w:rFonts w:ascii="Arial" w:cs="Arial" w:eastAsia="Arial" w:hAnsi="Arial"/>
                <w:sz w:val="13"/>
                <w:szCs w:val="13"/>
                <w:b w:val="1"/>
                <w:bCs w:val="1"/>
                <w:color w:val="auto"/>
                <w:w w:val="84"/>
              </w:rPr>
              <w:t>Subsequent to</w:t>
            </w:r>
          </w:p>
        </w:tc>
        <w:tc>
          <w:tcPr>
            <w:tcW w:w="12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Carried at Close of</w:t>
            </w:r>
          </w:p>
        </w:tc>
        <w:tc>
          <w:tcPr>
            <w:tcW w:w="260" w:type="dxa"/>
            <w:vAlign w:val="bottom"/>
          </w:tcPr>
          <w:p>
            <w:pPr>
              <w:spacing w:after="0"/>
              <w:rPr>
                <w:sz w:val="11"/>
                <w:szCs w:val="11"/>
                <w:color w:val="auto"/>
              </w:rPr>
            </w:pPr>
          </w:p>
        </w:tc>
        <w:tc>
          <w:tcPr>
            <w:tcW w:w="13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Depreciation at Close</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Date of</w:t>
            </w:r>
          </w:p>
        </w:tc>
        <w:tc>
          <w:tcPr>
            <w:tcW w:w="118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Statement is</w:t>
            </w:r>
          </w:p>
        </w:tc>
      </w:tr>
      <w:tr>
        <w:trPr>
          <w:trHeight w:val="172"/>
        </w:trPr>
        <w:tc>
          <w:tcPr>
            <w:tcW w:w="1240" w:type="dxa"/>
            <w:vAlign w:val="bottom"/>
          </w:tcPr>
          <w:p>
            <w:pPr>
              <w:jc w:val="center"/>
              <w:ind w:left="73"/>
              <w:spacing w:after="0"/>
              <w:rPr>
                <w:sz w:val="20"/>
                <w:szCs w:val="20"/>
                <w:color w:val="auto"/>
              </w:rPr>
            </w:pPr>
            <w:r>
              <w:rPr>
                <w:rFonts w:ascii="Arial" w:cs="Arial" w:eastAsia="Arial" w:hAnsi="Arial"/>
                <w:sz w:val="13"/>
                <w:szCs w:val="13"/>
                <w:b w:val="1"/>
                <w:bCs w:val="1"/>
                <w:color w:val="auto"/>
                <w:w w:val="86"/>
              </w:rPr>
              <w:t>Description</w:t>
            </w:r>
          </w:p>
        </w:tc>
        <w:tc>
          <w:tcPr>
            <w:tcW w:w="320" w:type="dxa"/>
            <w:vAlign w:val="bottom"/>
          </w:tcPr>
          <w:p>
            <w:pPr>
              <w:spacing w:after="0"/>
              <w:rPr>
                <w:sz w:val="14"/>
                <w:szCs w:val="14"/>
                <w:color w:val="auto"/>
              </w:rPr>
            </w:pPr>
          </w:p>
        </w:tc>
        <w:tc>
          <w:tcPr>
            <w:tcW w:w="1100" w:type="dxa"/>
            <w:vAlign w:val="bottom"/>
          </w:tcPr>
          <w:p>
            <w:pPr>
              <w:jc w:val="right"/>
              <w:ind w:right="173"/>
              <w:spacing w:after="0"/>
              <w:rPr>
                <w:sz w:val="20"/>
                <w:szCs w:val="20"/>
                <w:color w:val="auto"/>
              </w:rPr>
            </w:pPr>
            <w:r>
              <w:rPr>
                <w:rFonts w:ascii="Arial" w:cs="Arial" w:eastAsia="Arial" w:hAnsi="Arial"/>
                <w:sz w:val="13"/>
                <w:szCs w:val="13"/>
                <w:b w:val="1"/>
                <w:bCs w:val="1"/>
                <w:color w:val="auto"/>
                <w:w w:val="90"/>
              </w:rPr>
              <w:t>Encumbrances</w:t>
            </w:r>
          </w:p>
        </w:tc>
        <w:tc>
          <w:tcPr>
            <w:tcW w:w="3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7"/>
              </w:rPr>
              <w:t>Company</w:t>
            </w:r>
          </w:p>
        </w:tc>
        <w:tc>
          <w:tcPr>
            <w:tcW w:w="1120" w:type="dxa"/>
            <w:vAlign w:val="bottom"/>
          </w:tcPr>
          <w:p>
            <w:pPr>
              <w:jc w:val="center"/>
              <w:ind w:left="2"/>
              <w:spacing w:after="0"/>
              <w:rPr>
                <w:sz w:val="20"/>
                <w:szCs w:val="20"/>
                <w:color w:val="auto"/>
              </w:rPr>
            </w:pPr>
            <w:r>
              <w:rPr>
                <w:rFonts w:ascii="Arial" w:cs="Arial" w:eastAsia="Arial" w:hAnsi="Arial"/>
                <w:sz w:val="13"/>
                <w:szCs w:val="13"/>
                <w:b w:val="1"/>
                <w:bCs w:val="1"/>
                <w:color w:val="auto"/>
                <w:w w:val="87"/>
              </w:rPr>
              <w:t>Acquisition</w:t>
            </w:r>
          </w:p>
        </w:tc>
        <w:tc>
          <w:tcPr>
            <w:tcW w:w="180" w:type="dxa"/>
            <w:vAlign w:val="bottom"/>
          </w:tcPr>
          <w:p>
            <w:pPr>
              <w:spacing w:after="0"/>
              <w:rPr>
                <w:sz w:val="14"/>
                <w:szCs w:val="14"/>
                <w:color w:val="auto"/>
              </w:rPr>
            </w:pPr>
          </w:p>
        </w:tc>
        <w:tc>
          <w:tcPr>
            <w:tcW w:w="1020" w:type="dxa"/>
            <w:vAlign w:val="bottom"/>
          </w:tcPr>
          <w:p>
            <w:pPr>
              <w:jc w:val="center"/>
              <w:ind w:right="94"/>
              <w:spacing w:after="0"/>
              <w:rPr>
                <w:sz w:val="20"/>
                <w:szCs w:val="20"/>
                <w:color w:val="auto"/>
              </w:rPr>
            </w:pPr>
            <w:r>
              <w:rPr>
                <w:rFonts w:ascii="Arial" w:cs="Arial" w:eastAsia="Arial" w:hAnsi="Arial"/>
                <w:sz w:val="13"/>
                <w:szCs w:val="13"/>
                <w:b w:val="1"/>
                <w:bCs w:val="1"/>
                <w:color w:val="auto"/>
                <w:w w:val="90"/>
              </w:rPr>
              <w:t>Current Period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154"/>
              <w:spacing w:after="0"/>
              <w:rPr>
                <w:sz w:val="20"/>
                <w:szCs w:val="20"/>
                <w:color w:val="auto"/>
              </w:rPr>
            </w:pPr>
            <w:r>
              <w:rPr>
                <w:rFonts w:ascii="Arial" w:cs="Arial" w:eastAsia="Arial" w:hAnsi="Arial"/>
                <w:sz w:val="13"/>
                <w:szCs w:val="13"/>
                <w:b w:val="1"/>
                <w:bCs w:val="1"/>
                <w:color w:val="auto"/>
                <w:w w:val="89"/>
              </w:rPr>
              <w:t>of Current Period</w:t>
            </w:r>
          </w:p>
        </w:tc>
        <w:tc>
          <w:tcPr>
            <w:tcW w:w="1020" w:type="dxa"/>
            <w:vAlign w:val="bottom"/>
          </w:tcPr>
          <w:p>
            <w:pPr>
              <w:jc w:val="center"/>
              <w:ind w:right="14"/>
              <w:spacing w:after="0"/>
              <w:rPr>
                <w:sz w:val="20"/>
                <w:szCs w:val="20"/>
                <w:color w:val="auto"/>
              </w:rPr>
            </w:pPr>
            <w:r>
              <w:rPr>
                <w:rFonts w:ascii="Arial" w:cs="Arial" w:eastAsia="Arial" w:hAnsi="Arial"/>
                <w:sz w:val="13"/>
                <w:szCs w:val="13"/>
                <w:b w:val="1"/>
                <w:bCs w:val="1"/>
                <w:color w:val="auto"/>
                <w:w w:val="86"/>
              </w:rPr>
              <w:t>Construction</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8"/>
              </w:rPr>
              <w:t>Date Acquired</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7"/>
              </w:rPr>
              <w:t>Computed</w:t>
            </w:r>
          </w:p>
        </w:tc>
      </w:tr>
      <w:tr>
        <w:trPr>
          <w:trHeight w:val="224"/>
        </w:trPr>
        <w:tc>
          <w:tcPr>
            <w:tcW w:w="1240" w:type="dxa"/>
            <w:vAlign w:val="bottom"/>
            <w:shd w:val="clear" w:color="auto" w:fill="CCEEFF"/>
          </w:tcPr>
          <w:p>
            <w:pPr>
              <w:jc w:val="center"/>
              <w:ind w:left="93"/>
              <w:spacing w:after="0"/>
              <w:rPr>
                <w:sz w:val="20"/>
                <w:szCs w:val="20"/>
                <w:color w:val="auto"/>
              </w:rPr>
            </w:pPr>
            <w:r>
              <w:rPr>
                <w:rFonts w:ascii="Arial" w:cs="Arial" w:eastAsia="Arial" w:hAnsi="Arial"/>
                <w:sz w:val="14"/>
                <w:szCs w:val="14"/>
                <w:color w:val="auto"/>
                <w:w w:val="92"/>
              </w:rPr>
              <w:t>7,603 sites</w:t>
            </w:r>
            <w:r>
              <w:rPr>
                <w:rFonts w:ascii="Arial" w:cs="Arial" w:eastAsia="Arial" w:hAnsi="Arial"/>
                <w:sz w:val="8"/>
                <w:szCs w:val="8"/>
                <w:color w:val="auto"/>
                <w:w w:val="92"/>
              </w:rPr>
              <w:t>(1)</w:t>
            </w:r>
          </w:p>
        </w:tc>
        <w:tc>
          <w:tcPr>
            <w:tcW w:w="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992,663</w:t>
            </w:r>
          </w:p>
        </w:tc>
        <w:tc>
          <w:tcPr>
            <w:tcW w:w="36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(2)</w:t>
            </w:r>
          </w:p>
        </w:tc>
        <w:tc>
          <w:tcPr>
            <w:tcW w:w="1020" w:type="dxa"/>
            <w:vAlign w:val="bottom"/>
            <w:shd w:val="clear" w:color="auto" w:fill="CCEEFF"/>
          </w:tcPr>
          <w:p>
            <w:pPr>
              <w:jc w:val="right"/>
              <w:ind w:right="403"/>
              <w:spacing w:after="0"/>
              <w:rPr>
                <w:sz w:val="20"/>
                <w:szCs w:val="20"/>
                <w:color w:val="auto"/>
              </w:rPr>
            </w:pPr>
            <w:r>
              <w:rPr>
                <w:rFonts w:ascii="Arial" w:cs="Arial" w:eastAsia="Arial" w:hAnsi="Arial"/>
                <w:sz w:val="9"/>
                <w:szCs w:val="9"/>
                <w:color w:val="auto"/>
              </w:rPr>
              <w:t>(3)</w:t>
            </w:r>
          </w:p>
        </w:tc>
        <w:tc>
          <w:tcPr>
            <w:tcW w:w="1120" w:type="dxa"/>
            <w:vAlign w:val="bottom"/>
            <w:shd w:val="clear" w:color="auto" w:fill="CCEEFF"/>
          </w:tcPr>
          <w:p>
            <w:pPr>
              <w:jc w:val="right"/>
              <w:ind w:right="442"/>
              <w:spacing w:after="0"/>
              <w:rPr>
                <w:sz w:val="20"/>
                <w:szCs w:val="20"/>
                <w:color w:val="auto"/>
              </w:rPr>
            </w:pPr>
            <w:r>
              <w:rPr>
                <w:rFonts w:ascii="Arial" w:cs="Arial" w:eastAsia="Arial" w:hAnsi="Arial"/>
                <w:sz w:val="9"/>
                <w:szCs w:val="9"/>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1,960,703</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rPr>
              <w:t>(919,546)</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Up to 20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 single site exceeds 5% of the aggregate gross amounts at which the assets were carried at the close of the period set forth in the table above.</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As of December 31, 2017, all of the Company's debt is secured by a pledge of the equity interests in each applicable Guarantor.</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Company has omitted this information, as it would be impracticable to compile such information on a site-by-site basis.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Does not include those sites under construction.</w:t>
      </w:r>
    </w:p>
    <w:p>
      <w:pPr>
        <w:spacing w:after="0" w:line="377"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6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amount at beginning</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1,917,553</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1,875,940</w:t>
            </w:r>
          </w:p>
        </w:tc>
      </w:tr>
      <w:tr>
        <w:trPr>
          <w:trHeight w:val="264"/>
        </w:trPr>
        <w:tc>
          <w:tcPr>
            <w:tcW w:w="8640" w:type="dxa"/>
            <w:vAlign w:val="bottom"/>
          </w:tcPr>
          <w:p>
            <w:pPr>
              <w:ind w:left="20"/>
              <w:spacing w:after="0"/>
              <w:rPr>
                <w:sz w:val="20"/>
                <w:szCs w:val="20"/>
                <w:color w:val="auto"/>
              </w:rPr>
            </w:pPr>
            <w:r>
              <w:rPr>
                <w:rFonts w:ascii="Arial" w:cs="Arial" w:eastAsia="Arial" w:hAnsi="Arial"/>
                <w:sz w:val="14"/>
                <w:szCs w:val="14"/>
                <w:color w:val="auto"/>
              </w:rPr>
              <w:t>Additions during period:</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2"/>
        </w:trPr>
        <w:tc>
          <w:tcPr>
            <w:tcW w:w="86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Acquisitions through foreclosure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8640" w:type="dxa"/>
            <w:vAlign w:val="bottom"/>
          </w:tcPr>
          <w:p>
            <w:pPr>
              <w:ind w:left="580"/>
              <w:spacing w:after="0"/>
              <w:rPr>
                <w:sz w:val="20"/>
                <w:szCs w:val="20"/>
                <w:color w:val="auto"/>
              </w:rPr>
            </w:pPr>
            <w:r>
              <w:rPr>
                <w:rFonts w:ascii="Arial" w:cs="Arial" w:eastAsia="Arial" w:hAnsi="Arial"/>
                <w:sz w:val="14"/>
                <w:szCs w:val="14"/>
                <w:color w:val="auto"/>
              </w:rPr>
              <w:t>Other acquisitions</w:t>
            </w:r>
          </w:p>
        </w:tc>
        <w:tc>
          <w:tcPr>
            <w:tcW w:w="3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86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Communications infrastructure construction and improvements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40,051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43,721</w:t>
            </w:r>
          </w:p>
        </w:tc>
      </w:tr>
      <w:tr>
        <w:trPr>
          <w:trHeight w:val="210"/>
        </w:trPr>
        <w:tc>
          <w:tcPr>
            <w:tcW w:w="8640" w:type="dxa"/>
            <w:vAlign w:val="bottom"/>
          </w:tcPr>
          <w:p>
            <w:pPr>
              <w:ind w:left="580"/>
              <w:spacing w:after="0"/>
              <w:rPr>
                <w:sz w:val="20"/>
                <w:szCs w:val="20"/>
                <w:color w:val="auto"/>
              </w:rPr>
            </w:pPr>
            <w:r>
              <w:rPr>
                <w:rFonts w:ascii="Arial" w:cs="Arial" w:eastAsia="Arial" w:hAnsi="Arial"/>
                <w:sz w:val="14"/>
                <w:szCs w:val="14"/>
                <w:color w:val="auto"/>
              </w:rPr>
              <w:t>Purchase of land interests</w:t>
            </w:r>
          </w:p>
        </w:tc>
        <w:tc>
          <w:tcPr>
            <w:tcW w:w="3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86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Sustaining capital expenditures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9,500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9,688</w:t>
            </w:r>
          </w:p>
        </w:tc>
      </w:tr>
      <w:tr>
        <w:trPr>
          <w:trHeight w:val="210"/>
        </w:trPr>
        <w:tc>
          <w:tcPr>
            <w:tcW w:w="864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additions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49,551</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53,409</w:t>
            </w:r>
          </w:p>
        </w:tc>
      </w:tr>
      <w:tr>
        <w:trPr>
          <w:trHeight w:val="264"/>
        </w:trPr>
        <w:tc>
          <w:tcPr>
            <w:tcW w:w="8640" w:type="dxa"/>
            <w:vAlign w:val="bottom"/>
          </w:tcPr>
          <w:p>
            <w:pPr>
              <w:ind w:left="20"/>
              <w:spacing w:after="0"/>
              <w:rPr>
                <w:sz w:val="20"/>
                <w:szCs w:val="20"/>
                <w:color w:val="auto"/>
              </w:rPr>
            </w:pPr>
            <w:r>
              <w:rPr>
                <w:rFonts w:ascii="Arial" w:cs="Arial" w:eastAsia="Arial" w:hAnsi="Arial"/>
                <w:sz w:val="14"/>
                <w:szCs w:val="14"/>
                <w:color w:val="auto"/>
              </w:rPr>
              <w:t>Deductions during period:</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09"/>
        </w:trPr>
        <w:tc>
          <w:tcPr>
            <w:tcW w:w="86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Cost of real estate sold or disposed</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(6,401)</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(11,796)</w:t>
            </w:r>
          </w:p>
        </w:tc>
      </w:tr>
      <w:tr>
        <w:trPr>
          <w:trHeight w:val="210"/>
        </w:trPr>
        <w:tc>
          <w:tcPr>
            <w:tcW w:w="864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deductions:</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(6,401)</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(11,796)</w:t>
            </w:r>
          </w:p>
        </w:tc>
      </w:tr>
      <w:tr>
        <w:trPr>
          <w:trHeight w:val="216"/>
        </w:trPr>
        <w:tc>
          <w:tcPr>
            <w:tcW w:w="8640" w:type="dxa"/>
            <w:vAlign w:val="bottom"/>
          </w:tcPr>
          <w:p>
            <w:pPr>
              <w:ind w:left="20"/>
              <w:spacing w:after="0"/>
              <w:rPr>
                <w:sz w:val="20"/>
                <w:szCs w:val="20"/>
                <w:color w:val="auto"/>
              </w:rPr>
            </w:pPr>
            <w:r>
              <w:rPr>
                <w:rFonts w:ascii="Arial" w:cs="Arial" w:eastAsia="Arial" w:hAnsi="Arial"/>
                <w:sz w:val="14"/>
                <w:szCs w:val="14"/>
                <w:color w:val="auto"/>
              </w:rPr>
              <w:t>Balance at end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1,960,703</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1,917,553</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6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r>
      <w:tr>
        <w:trPr>
          <w:trHeight w:val="202"/>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amount of accumulated depreciation at beginning</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(828,670)</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(740,236)</w:t>
            </w:r>
          </w:p>
        </w:tc>
      </w:tr>
      <w:tr>
        <w:trPr>
          <w:trHeight w:val="264"/>
        </w:trPr>
        <w:tc>
          <w:tcPr>
            <w:tcW w:w="8640" w:type="dxa"/>
            <w:vAlign w:val="bottom"/>
          </w:tcPr>
          <w:p>
            <w:pPr>
              <w:ind w:left="20"/>
              <w:spacing w:after="0"/>
              <w:rPr>
                <w:sz w:val="20"/>
                <w:szCs w:val="20"/>
                <w:color w:val="auto"/>
              </w:rPr>
            </w:pPr>
            <w:r>
              <w:rPr>
                <w:rFonts w:ascii="Arial" w:cs="Arial" w:eastAsia="Arial" w:hAnsi="Arial"/>
                <w:sz w:val="14"/>
                <w:szCs w:val="14"/>
                <w:color w:val="auto"/>
              </w:rPr>
              <w:t>Additions during period:</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03"/>
        </w:trPr>
        <w:tc>
          <w:tcPr>
            <w:tcW w:w="86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Depreciation</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(94,348)</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(93,455)</w:t>
            </w:r>
          </w:p>
        </w:tc>
      </w:tr>
      <w:tr>
        <w:trPr>
          <w:trHeight w:val="196"/>
        </w:trPr>
        <w:tc>
          <w:tcPr>
            <w:tcW w:w="8640" w:type="dxa"/>
            <w:vAlign w:val="bottom"/>
          </w:tcPr>
          <w:p>
            <w:pPr>
              <w:ind w:left="20"/>
              <w:spacing w:after="0"/>
              <w:rPr>
                <w:sz w:val="20"/>
                <w:szCs w:val="20"/>
                <w:color w:val="auto"/>
              </w:rPr>
            </w:pPr>
            <w:r>
              <w:rPr>
                <w:rFonts w:ascii="Arial" w:cs="Arial" w:eastAsia="Arial" w:hAnsi="Arial"/>
                <w:sz w:val="14"/>
                <w:szCs w:val="14"/>
                <w:color w:val="auto"/>
              </w:rPr>
              <w:t>Total additions</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(94,348)</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(93,455)</w:t>
            </w:r>
          </w:p>
        </w:tc>
      </w:tr>
      <w:tr>
        <w:trPr>
          <w:trHeight w:val="276"/>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Deductions during period:</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10"/>
        </w:trPr>
        <w:tc>
          <w:tcPr>
            <w:tcW w:w="8640" w:type="dxa"/>
            <w:vAlign w:val="bottom"/>
          </w:tcPr>
          <w:p>
            <w:pPr>
              <w:ind w:left="580"/>
              <w:spacing w:after="0"/>
              <w:rPr>
                <w:sz w:val="20"/>
                <w:szCs w:val="20"/>
                <w:color w:val="auto"/>
              </w:rPr>
            </w:pPr>
            <w:r>
              <w:rPr>
                <w:rFonts w:ascii="Arial" w:cs="Arial" w:eastAsia="Arial" w:hAnsi="Arial"/>
                <w:sz w:val="14"/>
                <w:szCs w:val="14"/>
                <w:color w:val="auto"/>
              </w:rPr>
              <w:t>Amount for assets sold or disposed</w:t>
            </w:r>
          </w:p>
        </w:tc>
        <w:tc>
          <w:tcPr>
            <w:tcW w:w="3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3,472</w:t>
            </w:r>
          </w:p>
        </w:tc>
        <w:tc>
          <w:tcPr>
            <w:tcW w:w="30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5,021</w:t>
            </w:r>
          </w:p>
        </w:tc>
      </w:tr>
      <w:tr>
        <w:trPr>
          <w:trHeight w:val="216"/>
        </w:trPr>
        <w:tc>
          <w:tcPr>
            <w:tcW w:w="86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deductions</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3,472</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5,021</w:t>
            </w:r>
          </w:p>
        </w:tc>
      </w:tr>
      <w:tr>
        <w:trPr>
          <w:trHeight w:val="202"/>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end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(919,546)</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(828,670)</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Other Financial Statements of CC Holdings GS V LLC's Subsidiaries: Global Signal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Acquisitions LLC, Global Signal Acquisitions II LLC and Pinnacle Towers LLC</w:t>
      </w:r>
    </w:p>
    <w:p>
      <w:pPr>
        <w:spacing w:after="0" w:line="1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financial statements for CC Holdings GS V LLC's wholly-owned subsidiaries, Global Signal Acquisitions LLC, Global Signal Acquisitions II LLC and Pinnacle Towers LLC, are included pursuant to Regulation S-X, Rule 3-16, "Financial Statements of Affiliates Whose Securities Collateralize an Issue Registered or Being Registered."</w:t>
      </w:r>
    </w:p>
    <w:p>
      <w:pPr>
        <w:spacing w:after="0" w:line="12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Global Signal Acquisitions LLC</w:t>
      </w:r>
    </w:p>
    <w:p>
      <w:pPr>
        <w:spacing w:after="0" w:line="17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Global Signal Acquisitions LLC Financial Statements</w:t>
      </w:r>
    </w:p>
    <w:p>
      <w:pPr>
        <w:spacing w:after="0" w:line="2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Years Ended December 31, 2017, 2016 and 2015</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Report of Independent Registered Public Accounting Firm</w:t>
            </w:r>
          </w:p>
        </w:tc>
        <w:tc>
          <w:tcPr>
            <w:tcW w:w="6520" w:type="dxa"/>
            <w:vAlign w:val="bottom"/>
            <w:gridSpan w:val="8"/>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S-3</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Balance Sheet as of December 31, 2017 and 2016</w:t>
            </w:r>
          </w:p>
        </w:tc>
        <w:tc>
          <w:tcPr>
            <w:tcW w:w="7180" w:type="dxa"/>
            <w:vAlign w:val="bottom"/>
            <w:gridSpan w:val="10"/>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S-4</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9"/>
              </w:rPr>
              <w:t>Statement of Operations for each of the three years in the period ended December 31, 2017</w:t>
            </w:r>
          </w:p>
        </w:tc>
        <w:tc>
          <w:tcPr>
            <w:tcW w:w="420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S-5</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Statement of Cash Flows for each of the three years in the period ended December 31, 2017</w:t>
            </w:r>
          </w:p>
        </w:tc>
        <w:tc>
          <w:tcPr>
            <w:tcW w:w="40" w:type="dxa"/>
            <w:vAlign w:val="bottom"/>
          </w:tcPr>
          <w:p>
            <w:pPr>
              <w:spacing w:after="0"/>
              <w:rPr>
                <w:sz w:val="21"/>
                <w:szCs w:val="21"/>
                <w:color w:val="auto"/>
              </w:rPr>
            </w:pPr>
          </w:p>
        </w:tc>
        <w:tc>
          <w:tcPr>
            <w:tcW w:w="260" w:type="dxa"/>
            <w:vAlign w:val="bottom"/>
            <w:vMerge w:val="restart"/>
          </w:tcPr>
          <w:p>
            <w:pPr>
              <w:jc w:val="cente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S-6</w:t>
              </w:r>
            </w:hyperlink>
          </w:p>
        </w:tc>
        <w:tc>
          <w:tcPr>
            <w:tcW w:w="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0000EE"/>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Statement of Changes in Member's Equity for each of the three years in the period ended December 31, 2017</w:t>
            </w:r>
          </w:p>
        </w:tc>
        <w:tc>
          <w:tcPr>
            <w:tcW w:w="40" w:type="dxa"/>
            <w:vAlign w:val="bottom"/>
          </w:tcPr>
          <w:p>
            <w:pPr>
              <w:spacing w:after="0"/>
              <w:rPr>
                <w:sz w:val="21"/>
                <w:szCs w:val="21"/>
                <w:color w:val="auto"/>
              </w:rPr>
            </w:pPr>
          </w:p>
        </w:tc>
        <w:tc>
          <w:tcPr>
            <w:tcW w:w="260" w:type="dxa"/>
            <w:vAlign w:val="bottom"/>
            <w:vMerge w:val="restart"/>
          </w:tcPr>
          <w:p>
            <w:pPr>
              <w:jc w:val="cente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S-7</w:t>
              </w:r>
            </w:hyperlink>
          </w:p>
        </w:tc>
        <w:tc>
          <w:tcPr>
            <w:tcW w:w="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0000EE"/>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Notes to Financial Statements</w:t>
            </w:r>
          </w:p>
        </w:tc>
        <w:tc>
          <w:tcPr>
            <w:tcW w:w="40" w:type="dxa"/>
            <w:vAlign w:val="bottom"/>
          </w:tcPr>
          <w:p>
            <w:pPr>
              <w:spacing w:after="0"/>
              <w:rPr>
                <w:sz w:val="21"/>
                <w:szCs w:val="21"/>
                <w:color w:val="auto"/>
              </w:rPr>
            </w:pPr>
          </w:p>
        </w:tc>
        <w:tc>
          <w:tcPr>
            <w:tcW w:w="300" w:type="dxa"/>
            <w:vAlign w:val="bottom"/>
            <w:gridSpan w:val="2"/>
          </w:tcPr>
          <w:p>
            <w:pPr>
              <w:jc w:val="center"/>
              <w:ind w:right="40"/>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S-8</w:t>
              </w:r>
            </w:hyperlink>
          </w:p>
        </w:tc>
        <w:tc>
          <w:tcPr>
            <w:tcW w:w="0" w:type="dxa"/>
            <w:vAlign w:val="bottom"/>
          </w:tcPr>
          <w:p>
            <w:pPr>
              <w:spacing w:after="0"/>
              <w:rPr>
                <w:sz w:val="1"/>
                <w:szCs w:val="1"/>
                <w:color w:val="auto"/>
              </w:rPr>
            </w:pPr>
          </w:p>
        </w:tc>
      </w:tr>
      <w:tr>
        <w:trPr>
          <w:trHeight w:val="426"/>
        </w:trPr>
        <w:tc>
          <w:tcPr>
            <w:tcW w:w="214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gridSpan w:val="8"/>
          </w:tcPr>
          <w:p>
            <w:pPr>
              <w:jc w:val="center"/>
              <w:ind w:right="3240"/>
              <w:spacing w:after="0"/>
              <w:rPr>
                <w:sz w:val="20"/>
                <w:szCs w:val="20"/>
                <w:color w:val="auto"/>
              </w:rPr>
            </w:pPr>
            <w:r>
              <w:rPr>
                <w:rFonts w:ascii="Arial" w:cs="Arial" w:eastAsia="Arial" w:hAnsi="Arial"/>
                <w:sz w:val="18"/>
                <w:szCs w:val="18"/>
                <w:b w:val="1"/>
                <w:bCs w:val="1"/>
                <w:color w:val="auto"/>
                <w:w w:val="93"/>
              </w:rPr>
              <w:t>Global Signal Acquisitions II LLC</w:t>
            </w:r>
          </w:p>
        </w:tc>
        <w:tc>
          <w:tcPr>
            <w:tcW w:w="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180" w:type="dxa"/>
            <w:vAlign w:val="bottom"/>
            <w:gridSpan w:val="10"/>
          </w:tcPr>
          <w:p>
            <w:pPr>
              <w:jc w:val="center"/>
              <w:ind w:right="2580"/>
              <w:spacing w:after="0"/>
              <w:rPr>
                <w:sz w:val="20"/>
                <w:szCs w:val="20"/>
                <w:color w:val="auto"/>
              </w:rPr>
            </w:pPr>
            <w:r>
              <w:rPr>
                <w:rFonts w:ascii="Arial" w:cs="Arial" w:eastAsia="Arial" w:hAnsi="Arial"/>
                <w:sz w:val="18"/>
                <w:szCs w:val="18"/>
                <w:color w:val="auto"/>
                <w:w w:val="93"/>
              </w:rPr>
              <w:t>Global Signal Acquisitions II LLC Financial Statements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180" w:type="dxa"/>
            <w:vAlign w:val="bottom"/>
            <w:gridSpan w:val="10"/>
          </w:tcPr>
          <w:p>
            <w:pPr>
              <w:jc w:val="center"/>
              <w:ind w:right="2580"/>
              <w:spacing w:after="0"/>
              <w:rPr>
                <w:sz w:val="20"/>
                <w:szCs w:val="20"/>
                <w:color w:val="auto"/>
              </w:rPr>
            </w:pPr>
            <w:r>
              <w:rPr>
                <w:rFonts w:ascii="Arial" w:cs="Arial" w:eastAsia="Arial" w:hAnsi="Arial"/>
                <w:sz w:val="18"/>
                <w:szCs w:val="18"/>
                <w:color w:val="auto"/>
                <w:w w:val="88"/>
              </w:rPr>
              <w:t>Years Ended December 31, 2017, 2016 and 2015</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2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Report of Independent Registered Public Accounting Firm</w:t>
            </w:r>
          </w:p>
        </w:tc>
        <w:tc>
          <w:tcPr>
            <w:tcW w:w="6520" w:type="dxa"/>
            <w:vAlign w:val="bottom"/>
            <w:gridSpan w:val="8"/>
          </w:tcPr>
          <w:p>
            <w:pPr>
              <w:spacing w:after="0"/>
              <w:rPr>
                <w:sz w:val="20"/>
                <w:szCs w:val="20"/>
                <w:color w:val="auto"/>
              </w:rPr>
            </w:pPr>
          </w:p>
        </w:tc>
        <w:tc>
          <w:tcPr>
            <w:tcW w:w="34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S-17</w:t>
              </w:r>
            </w:hyperlink>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Balance Sheet as of December 31, 2017 and 2016</w:t>
            </w:r>
          </w:p>
        </w:tc>
        <w:tc>
          <w:tcPr>
            <w:tcW w:w="7180" w:type="dxa"/>
            <w:vAlign w:val="bottom"/>
            <w:gridSpan w:val="10"/>
          </w:tcPr>
          <w:p>
            <w:pPr>
              <w:spacing w:after="0"/>
              <w:rPr>
                <w:sz w:val="21"/>
                <w:szCs w:val="21"/>
                <w:color w:val="auto"/>
              </w:rPr>
            </w:pPr>
          </w:p>
        </w:tc>
        <w:tc>
          <w:tcPr>
            <w:tcW w:w="34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S-18</w:t>
              </w:r>
            </w:hyperlink>
          </w:p>
        </w:tc>
        <w:tc>
          <w:tcPr>
            <w:tcW w:w="0" w:type="dxa"/>
            <w:vAlign w:val="bottom"/>
          </w:tcPr>
          <w:p>
            <w:pPr>
              <w:spacing w:after="0"/>
              <w:rPr>
                <w:sz w:val="1"/>
                <w:szCs w:val="1"/>
                <w:color w:val="auto"/>
              </w:rPr>
            </w:pPr>
          </w:p>
        </w:tc>
      </w:tr>
      <w:tr>
        <w:trPr>
          <w:trHeight w:val="250"/>
        </w:trPr>
        <w:tc>
          <w:tcPr>
            <w:tcW w:w="65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9"/>
              </w:rPr>
              <w:t>Statement of Operations for each of the three years in the period ended December 31, 2017</w:t>
            </w:r>
          </w:p>
        </w:tc>
        <w:tc>
          <w:tcPr>
            <w:tcW w:w="4200" w:type="dxa"/>
            <w:vAlign w:val="bottom"/>
            <w:gridSpan w:val="6"/>
          </w:tcPr>
          <w:p>
            <w:pPr>
              <w:spacing w:after="0"/>
              <w:rPr>
                <w:sz w:val="21"/>
                <w:szCs w:val="21"/>
                <w:color w:val="auto"/>
              </w:rPr>
            </w:pPr>
          </w:p>
        </w:tc>
        <w:tc>
          <w:tcPr>
            <w:tcW w:w="34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S-19</w:t>
              </w:r>
            </w:hyperlink>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Statement of Cash Flows for each of the three years in the period ended December 31, 2017</w:t>
            </w:r>
          </w:p>
        </w:tc>
        <w:tc>
          <w:tcPr>
            <w:tcW w:w="340" w:type="dxa"/>
            <w:vAlign w:val="bottom"/>
            <w:gridSpan w:val="3"/>
            <w:vMerge w:val="restart"/>
          </w:tcPr>
          <w:p>
            <w:pPr>
              <w:jc w:val="cente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S-20</w:t>
              </w:r>
            </w:hyperlink>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Borders>
              <w:bottom w:val="single" w:sz="8" w:color="0000EE"/>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Statement of Changes in Member's Equity for each of the three years in the period ended December 31, 2017</w:t>
            </w:r>
          </w:p>
        </w:tc>
        <w:tc>
          <w:tcPr>
            <w:tcW w:w="340" w:type="dxa"/>
            <w:vAlign w:val="bottom"/>
            <w:gridSpan w:val="3"/>
            <w:vMerge w:val="restart"/>
          </w:tcPr>
          <w:p>
            <w:pPr>
              <w:jc w:val="cente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S-21</w:t>
              </w:r>
            </w:hyperlink>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Borders>
              <w:bottom w:val="single" w:sz="8" w:color="0000EE"/>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Notes to Financial Statements</w:t>
            </w:r>
          </w:p>
        </w:tc>
        <w:tc>
          <w:tcPr>
            <w:tcW w:w="340" w:type="dxa"/>
            <w:vAlign w:val="bottom"/>
            <w:gridSpan w:val="3"/>
          </w:tcPr>
          <w:p>
            <w:pPr>
              <w:jc w:val="cente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S-22</w:t>
              </w:r>
            </w:hyperlink>
          </w:p>
        </w:tc>
        <w:tc>
          <w:tcPr>
            <w:tcW w:w="0" w:type="dxa"/>
            <w:vAlign w:val="bottom"/>
          </w:tcPr>
          <w:p>
            <w:pPr>
              <w:spacing w:after="0"/>
              <w:rPr>
                <w:sz w:val="1"/>
                <w:szCs w:val="1"/>
                <w:color w:val="auto"/>
              </w:rPr>
            </w:pPr>
          </w:p>
        </w:tc>
      </w:tr>
      <w:tr>
        <w:trPr>
          <w:trHeight w:val="426"/>
        </w:trPr>
        <w:tc>
          <w:tcPr>
            <w:tcW w:w="214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80" w:type="dxa"/>
            <w:vAlign w:val="bottom"/>
            <w:gridSpan w:val="7"/>
          </w:tcPr>
          <w:p>
            <w:pPr>
              <w:jc w:val="center"/>
              <w:ind w:right="3580"/>
              <w:spacing w:after="0"/>
              <w:rPr>
                <w:sz w:val="20"/>
                <w:szCs w:val="20"/>
                <w:color w:val="auto"/>
              </w:rPr>
            </w:pPr>
            <w:r>
              <w:rPr>
                <w:rFonts w:ascii="Arial" w:cs="Arial" w:eastAsia="Arial" w:hAnsi="Arial"/>
                <w:sz w:val="18"/>
                <w:szCs w:val="18"/>
                <w:b w:val="1"/>
                <w:bCs w:val="1"/>
                <w:color w:val="auto"/>
                <w:w w:val="92"/>
              </w:rPr>
              <w:t>Pinnacle Towers LLC</w:t>
            </w: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180" w:type="dxa"/>
            <w:vAlign w:val="bottom"/>
            <w:gridSpan w:val="10"/>
          </w:tcPr>
          <w:p>
            <w:pPr>
              <w:jc w:val="center"/>
              <w:ind w:right="2580"/>
              <w:spacing w:after="0"/>
              <w:rPr>
                <w:sz w:val="20"/>
                <w:szCs w:val="20"/>
                <w:color w:val="auto"/>
              </w:rPr>
            </w:pPr>
            <w:r>
              <w:rPr>
                <w:rFonts w:ascii="Arial" w:cs="Arial" w:eastAsia="Arial" w:hAnsi="Arial"/>
                <w:sz w:val="18"/>
                <w:szCs w:val="18"/>
                <w:color w:val="auto"/>
                <w:w w:val="90"/>
              </w:rPr>
              <w:t>Pinnacle Towers LLC Consolidated Financial Statements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180" w:type="dxa"/>
            <w:vAlign w:val="bottom"/>
            <w:gridSpan w:val="10"/>
          </w:tcPr>
          <w:p>
            <w:pPr>
              <w:jc w:val="center"/>
              <w:ind w:right="2580"/>
              <w:spacing w:after="0"/>
              <w:rPr>
                <w:sz w:val="20"/>
                <w:szCs w:val="20"/>
                <w:color w:val="auto"/>
              </w:rPr>
            </w:pPr>
            <w:r>
              <w:rPr>
                <w:rFonts w:ascii="Arial" w:cs="Arial" w:eastAsia="Arial" w:hAnsi="Arial"/>
                <w:sz w:val="18"/>
                <w:szCs w:val="18"/>
                <w:color w:val="auto"/>
                <w:w w:val="88"/>
              </w:rPr>
              <w:t>Years Ended December 31, 2017, 2016 and 2015</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2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36"/>
        </w:trPr>
        <w:tc>
          <w:tcPr>
            <w:tcW w:w="42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Report of Independent Registered Public Accounting Firm</w:t>
            </w:r>
          </w:p>
        </w:tc>
        <w:tc>
          <w:tcPr>
            <w:tcW w:w="6540" w:type="dxa"/>
            <w:vAlign w:val="bottom"/>
            <w:gridSpan w:val="9"/>
          </w:tcPr>
          <w:p>
            <w:pPr>
              <w:spacing w:after="0"/>
              <w:rPr>
                <w:sz w:val="20"/>
                <w:szCs w:val="20"/>
                <w:color w:val="auto"/>
              </w:rPr>
            </w:pPr>
          </w:p>
        </w:tc>
        <w:tc>
          <w:tcPr>
            <w:tcW w:w="34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S-32</w:t>
              </w:r>
            </w:hyperlink>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Consolidated Balance Sheet as of December 31, 2017 and 2016</w:t>
            </w:r>
          </w:p>
        </w:tc>
        <w:tc>
          <w:tcPr>
            <w:tcW w:w="340" w:type="dxa"/>
            <w:vAlign w:val="bottom"/>
            <w:gridSpan w:val="3"/>
            <w:vMerge w:val="restart"/>
          </w:tcPr>
          <w:p>
            <w:pPr>
              <w:jc w:val="cente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S-33</w:t>
              </w:r>
            </w:hyperlink>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Borders>
              <w:bottom w:val="single" w:sz="8" w:color="0000EE"/>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Consolidated Statement of Operations for each of the three years in the period ended December 31, 2017</w:t>
            </w:r>
          </w:p>
        </w:tc>
        <w:tc>
          <w:tcPr>
            <w:tcW w:w="340" w:type="dxa"/>
            <w:vAlign w:val="bottom"/>
            <w:gridSpan w:val="3"/>
            <w:vMerge w:val="restart"/>
          </w:tcPr>
          <w:p>
            <w:pPr>
              <w:jc w:val="cente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S-34</w:t>
              </w:r>
            </w:hyperlink>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Borders>
              <w:bottom w:val="single" w:sz="8" w:color="0000EE"/>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Consolidated Statement of Cash Flows for each of the three years in the period ended December 31, 2017</w:t>
            </w:r>
          </w:p>
        </w:tc>
        <w:tc>
          <w:tcPr>
            <w:tcW w:w="340" w:type="dxa"/>
            <w:vAlign w:val="bottom"/>
            <w:gridSpan w:val="3"/>
            <w:vMerge w:val="restart"/>
          </w:tcPr>
          <w:p>
            <w:pPr>
              <w:jc w:val="cente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S-35</w:t>
              </w:r>
            </w:hyperlink>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Borders>
              <w:bottom w:val="single" w:sz="8" w:color="0000EE"/>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Consolidated Statement of Changes in Member's Equity for each of the three years in the period ended December 31, 2017</w:t>
            </w:r>
          </w:p>
        </w:tc>
        <w:tc>
          <w:tcPr>
            <w:tcW w:w="340" w:type="dxa"/>
            <w:vAlign w:val="bottom"/>
            <w:gridSpan w:val="3"/>
            <w:vMerge w:val="restart"/>
          </w:tcPr>
          <w:p>
            <w:pPr>
              <w:jc w:val="cente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S-36</w:t>
              </w:r>
            </w:hyperlink>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Borders>
              <w:bottom w:val="single" w:sz="8" w:color="0000EE"/>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760" w:type="dxa"/>
            <w:vAlign w:val="bottom"/>
            <w:gridSpan w:val="13"/>
          </w:tcPr>
          <w:p>
            <w:pPr>
              <w:spacing w:after="0"/>
              <w:rPr>
                <w:sz w:val="20"/>
                <w:szCs w:val="20"/>
                <w:color w:val="auto"/>
              </w:rPr>
            </w:pPr>
            <w:r>
              <w:rPr>
                <w:rFonts w:ascii="Arial" w:cs="Arial" w:eastAsia="Arial" w:hAnsi="Arial"/>
                <w:sz w:val="18"/>
                <w:szCs w:val="18"/>
                <w:color w:val="auto"/>
              </w:rPr>
              <w:t>Notes to Consolidated Financial Statements</w:t>
            </w:r>
          </w:p>
        </w:tc>
        <w:tc>
          <w:tcPr>
            <w:tcW w:w="340" w:type="dxa"/>
            <w:vAlign w:val="bottom"/>
            <w:gridSpan w:val="3"/>
          </w:tcPr>
          <w:p>
            <w:pPr>
              <w:jc w:val="cente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S-37</w:t>
              </w:r>
            </w:hyperlink>
          </w:p>
        </w:tc>
        <w:tc>
          <w:tcPr>
            <w:tcW w:w="0" w:type="dxa"/>
            <w:vAlign w:val="bottom"/>
          </w:tcPr>
          <w:p>
            <w:pPr>
              <w:spacing w:after="0"/>
              <w:rPr>
                <w:sz w:val="1"/>
                <w:szCs w:val="1"/>
                <w:color w:val="auto"/>
              </w:rPr>
            </w:pPr>
          </w:p>
        </w:tc>
      </w:tr>
      <w:tr>
        <w:trPr>
          <w:trHeight w:val="885"/>
        </w:trPr>
        <w:tc>
          <w:tcPr>
            <w:tcW w:w="2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80" w:type="dxa"/>
            <w:vAlign w:val="bottom"/>
            <w:gridSpan w:val="7"/>
          </w:tcPr>
          <w:p>
            <w:pPr>
              <w:ind w:left="960"/>
              <w:spacing w:after="0"/>
              <w:rPr>
                <w:sz w:val="20"/>
                <w:szCs w:val="20"/>
                <w:color w:val="auto"/>
              </w:rPr>
            </w:pPr>
            <w:r>
              <w:rPr>
                <w:rFonts w:ascii="Arial" w:cs="Arial" w:eastAsia="Arial" w:hAnsi="Arial"/>
                <w:sz w:val="18"/>
                <w:szCs w:val="18"/>
                <w:color w:val="auto"/>
              </w:rPr>
              <w:t>S-1</w:t>
            </w: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GLOBAL SIGNAL ACQUISITIONS LLC</w:t>
      </w:r>
    </w:p>
    <w:p>
      <w:pPr>
        <w:sectPr>
          <w:pgSz w:w="11900" w:h="16838" w:orient="portrait"/>
          <w:cols w:equalWidth="0" w:num="1">
            <w:col w:w="9019"/>
          </w:cols>
          <w:pgMar w:left="1440" w:top="580" w:right="1440"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December 31, 2017, 2016 and 2015</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9019"/>
          </w:cols>
          <w:pgMar w:left="1440" w:top="580" w:right="1440" w:bottom="1440" w:gutter="0" w:footer="0" w:header="0"/>
          <w:type w:val="continuous"/>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CC Holdings GS V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balance sheets of Global Signal Acquisitions LLC as of December 31, 2017 and 2016, and the related statements of operations, cash flows and changes in member’s equity for each of the three years in the period ended December 31, 2017, including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of these financial statements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580"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r>
      <w:tr>
        <w:trPr>
          <w:trHeight w:val="236"/>
        </w:trPr>
        <w:tc>
          <w:tcPr>
            <w:tcW w:w="8800" w:type="dxa"/>
            <w:vAlign w:val="bottom"/>
            <w:tcBorders>
              <w:bottom w:val="single" w:sz="8" w:color="CCEEFF"/>
            </w:tcBorders>
            <w:shd w:val="clear" w:color="auto" w:fill="CCEEFF"/>
          </w:tcPr>
          <w:p>
            <w:pPr>
              <w:ind w:left="410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Receivables, net of allowance of $82 and $74, respectively</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Prepaid expenses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973</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1,640</w:t>
            </w:r>
          </w:p>
        </w:tc>
      </w:tr>
      <w:tr>
        <w:trPr>
          <w:trHeight w:val="237"/>
        </w:trPr>
        <w:tc>
          <w:tcPr>
            <w:tcW w:w="8800" w:type="dxa"/>
            <w:vAlign w:val="bottom"/>
          </w:tcPr>
          <w:p>
            <w:pPr>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18,118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19,017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62,595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65,079</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68,841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68,841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rental contracts and customer relationships,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47,637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53,209</w:t>
            </w:r>
          </w:p>
        </w:tc>
      </w:tr>
      <w:tr>
        <w:trPr>
          <w:trHeight w:val="237"/>
        </w:trPr>
        <w:tc>
          <w:tcPr>
            <w:tcW w:w="880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2,973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3,098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prepaid rent and other assets,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1,508</w:t>
            </w:r>
          </w:p>
        </w:tc>
      </w:tr>
      <w:tr>
        <w:trPr>
          <w:trHeight w:val="284"/>
        </w:trPr>
        <w:tc>
          <w:tcPr>
            <w:tcW w:w="88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203,594</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212,392</w:t>
            </w:r>
          </w:p>
        </w:tc>
      </w:tr>
      <w:tr>
        <w:trPr>
          <w:trHeight w:val="217"/>
        </w:trPr>
        <w:tc>
          <w:tcPr>
            <w:tcW w:w="8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7"/>
        </w:trPr>
        <w:tc>
          <w:tcPr>
            <w:tcW w:w="8800" w:type="dxa"/>
            <w:vAlign w:val="bottom"/>
          </w:tcPr>
          <w:p>
            <w:pPr>
              <w:ind w:left="336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Other accrued liabilities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390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1,098</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Deferred ground lease payable</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3,167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Above-market leases and 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2,822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2,773</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6,900</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7,038</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Commitments and contingencies (note 8)</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Member's equity: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196,694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204,889</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Accumulated earnings (deficit)</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465</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196,694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205,354</w:t>
            </w:r>
          </w:p>
        </w:tc>
      </w:tr>
      <w:tr>
        <w:trPr>
          <w:trHeight w:val="244"/>
        </w:trPr>
        <w:tc>
          <w:tcPr>
            <w:tcW w:w="8800" w:type="dxa"/>
            <w:vAlign w:val="bottom"/>
          </w:tcPr>
          <w:p>
            <w:pPr>
              <w:ind w:left="60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203,594</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212,392</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580"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3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2015</w:t>
            </w: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Site rental revenues—third parties</w:t>
            </w:r>
          </w:p>
        </w:tc>
        <w:tc>
          <w:tcPr>
            <w:tcW w:w="92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29,143</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28,497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27,875</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Site rental revenues—related parties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2,319</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Site rental revenues—total</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31,501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30,819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30,194</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4"/>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(a)</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5,127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5,454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5,192</w:t>
            </w:r>
          </w:p>
        </w:tc>
      </w:tr>
      <w:tr>
        <w:trPr>
          <w:trHeight w:val="270"/>
        </w:trPr>
        <w:tc>
          <w:tcPr>
            <w:tcW w:w="674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Site rental cost of operations—related parties</w:t>
            </w:r>
            <w:r>
              <w:rPr>
                <w:rFonts w:ascii="Arial" w:cs="Arial" w:eastAsia="Arial" w:hAnsi="Arial"/>
                <w:sz w:val="21"/>
                <w:szCs w:val="21"/>
                <w:color w:val="auto"/>
                <w:vertAlign w:val="superscript"/>
              </w:rPr>
              <w:t>(a)</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990</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901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861</w:t>
            </w:r>
          </w:p>
        </w:tc>
      </w:tr>
      <w:tr>
        <w:trPr>
          <w:trHeight w:val="25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(a)</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6,117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6,355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6,053</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Management fee—related party</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2,394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2,115</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Asset write-down charges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369</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10,435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10,277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10,132</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18,946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18,669</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income (loss)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12,555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11,819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11,525</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Income (loss) before income taxes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12,571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11,814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11,535</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34</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Net income (loss)</w:t>
            </w:r>
          </w:p>
        </w:tc>
        <w:tc>
          <w:tcPr>
            <w:tcW w:w="920" w:type="dxa"/>
            <w:vAlign w:val="bottom"/>
            <w:tcBorders>
              <w:top w:val="single" w:sz="8" w:color="auto"/>
            </w:tcBorders>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12,608</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11,858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11,569</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580" w:right="23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12,608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11,858</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11,569</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Depreciation, amortization and accretion</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10,435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10,277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10,132</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Asset write-down charges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369</w:t>
            </w: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Increase (decrease) in 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37"/>
        </w:trPr>
        <w:tc>
          <w:tcPr>
            <w:tcW w:w="7380" w:type="dxa"/>
            <w:vAlign w:val="bottom"/>
          </w:tcPr>
          <w:p>
            <w:pPr>
              <w:ind w:left="700"/>
              <w:spacing w:after="0"/>
              <w:rPr>
                <w:sz w:val="20"/>
                <w:szCs w:val="20"/>
                <w:color w:val="auto"/>
              </w:rPr>
            </w:pPr>
            <w:r>
              <w:rPr>
                <w:rFonts w:ascii="Arial" w:cs="Arial" w:eastAsia="Arial" w:hAnsi="Arial"/>
                <w:sz w:val="16"/>
                <w:szCs w:val="16"/>
                <w:color w:val="auto"/>
              </w:rPr>
              <w:t>Increase (decrease) in deferred revenues, deferred ground lease payable and other liabilities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(631)</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Decrease (increase) in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r>
      <w:tr>
        <w:trPr>
          <w:trHeight w:val="220"/>
        </w:trPr>
        <w:tc>
          <w:tcPr>
            <w:tcW w:w="7380" w:type="dxa"/>
            <w:vAlign w:val="bottom"/>
          </w:tcPr>
          <w:p>
            <w:pPr>
              <w:ind w:left="700"/>
              <w:spacing w:after="0"/>
              <w:rPr>
                <w:sz w:val="20"/>
                <w:szCs w:val="20"/>
                <w:color w:val="auto"/>
              </w:rPr>
            </w:pPr>
            <w:r>
              <w:rPr>
                <w:rFonts w:ascii="Arial" w:cs="Arial" w:eastAsia="Arial" w:hAnsi="Arial"/>
                <w:sz w:val="16"/>
                <w:szCs w:val="16"/>
                <w:color w:val="auto"/>
                <w:w w:val="92"/>
              </w:rPr>
              <w:t>Decrease (increase) in other current assets, deferred site rental receivable, long-term prepaid rent and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7380" w:type="dxa"/>
            <w:vAlign w:val="bottom"/>
          </w:tcPr>
          <w:p>
            <w:pPr>
              <w:ind w:left="86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(1,839)</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23,390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19,546</w:t>
            </w:r>
          </w:p>
        </w:tc>
      </w:tr>
      <w:tr>
        <w:trPr>
          <w:trHeight w:val="231"/>
        </w:trPr>
        <w:tc>
          <w:tcPr>
            <w:tcW w:w="73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(4,655)</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(4,655)</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Distributions to member</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(21,268)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(14,891)</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(14,891)</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r>
      <w:tr>
        <w:trPr>
          <w:trHeight w:val="244"/>
        </w:trPr>
        <w:tc>
          <w:tcPr>
            <w:tcW w:w="738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20"/>
        </w:trPr>
        <w:tc>
          <w:tcPr>
            <w:tcW w:w="7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60"/>
          </w:cols>
          <w:pgMar w:left="280" w:top="580" w:right="2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Member's Equity</w:t>
            </w: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2014</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204,889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11,023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215,912</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(14,891)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(14,891)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11,569</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11,569</w:t>
            </w: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at December 31, 2015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204,889</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7,701</w:t>
            </w:r>
          </w:p>
        </w:tc>
        <w:tc>
          <w:tcPr>
            <w:tcW w:w="2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212,590</w:t>
            </w: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(19,094)</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(19,094)</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11,858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11,858</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204,889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465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205,354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(13,073)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(21,268)</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12,608</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12,608</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at December 31,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196,694</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196,694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580" w:right="239" w:bottom="1440" w:gutter="0" w:footer="0" w:header="0"/>
        </w:sectPr>
      </w:pPr>
    </w:p>
    <w:bookmarkStart w:id="50" w:name="page51"/>
    <w:bookmarkEnd w:id="50"/>
    <w:p>
      <w:pPr>
        <w:ind w:left="4060"/>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accompanying financial statements reflect the financial position, results of operations and cash flows of Global Signal Acquisitions LLC ("Company"). The Company is a wholly-owned subsidiary of CC Holdings GS V LLC ("CCL"), which is an indirect, wholly-owned subsidiary of Crown Castle International Corp., a Delaware corporation ("CCIC" or "Crown Castle"). As used herein, the term "including," and any variation thereof means "including without limitations." The use of the word "or" herein is not exclusive.</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organized specifically to own, lease and manage towers and other structures (collectively, "towers") and to a lesser extent, interests in land under third party and related party towers in various forms ("land interests") (collectively, "communications infrastructure" or "sites") that are geographically dispersed across the United States ("U.S."). The Company's core business is providing access, including space or capacity, to its sites via long-term contracts in various forms, including licenses, subleases and lease agreements (collectively, "contracts"). Management services related to communications towers and other communication sites are performed by Crown Castle USA Inc. ("CCUSA"), an affiliate of the Company, under a management agreement, as the Company has no employees.</w:t>
      </w:r>
    </w:p>
    <w:p>
      <w:pPr>
        <w:spacing w:after="0" w:line="1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U.S. federal income tax purposes, CCIC operates as a real estate investment trust ("REIT"), and as its indirect subsidiary, the Company's assets and operations are included in the CCIC REIT. See notes 2 and 7.</w:t>
      </w:r>
    </w:p>
    <w:p>
      <w:pPr>
        <w:spacing w:after="0" w:line="1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use assumptions that affect the reported amounts of assets and liabilities and the disclosure for contingent assets and liabilities at the date of the financial statements as well as the reported amounts of revenues and expenses during the reporting period. Actual results could differ from these estimates.</w:t>
      </w:r>
    </w:p>
    <w:p>
      <w:pPr>
        <w:spacing w:after="0" w:line="305" w:lineRule="exact"/>
        <w:rPr>
          <w:sz w:val="20"/>
          <w:szCs w:val="20"/>
          <w:color w:val="auto"/>
        </w:rPr>
      </w:pPr>
    </w:p>
    <w:p>
      <w:pPr>
        <w:ind w:left="420" w:right="7620" w:hanging="412"/>
        <w:spacing w:after="0" w:line="440" w:lineRule="auto"/>
        <w:tabs>
          <w:tab w:leader="none" w:pos="4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Receivables Allowance</w:t>
      </w:r>
    </w:p>
    <w:p>
      <w:pPr>
        <w:spacing w:after="0" w:line="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An allowance for doubtful accounts is recorded as an offset to accounts receivable. The Company uses judgment in estimating this allowance and considers historical collections, current credit status or contractual provisions. Additions to the allowance for doubtful accounts are charged to "site rental cost of operations" and deductions from the allowance are recorded when specific accounts receivable are written off as uncollectible.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 Accounting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 classifies its leases at inception as either operating leases or capital leases. A lease is classified as a capital lease if at least one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 subject to certain exceptions noted below: (1) the lease transfers ownership of the leased assets to the lessee, (2) there is a bargain purchase option, (3) the lease term is equal to 75% or more of the economic life of the leased assets, or (4) the present value of the minimum lease payments equals or exceeds 90% of the fair value of the leased assets.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Lessee. </w:t>
      </w:r>
      <w:r>
        <w:rPr>
          <w:rFonts w:ascii="Arial" w:cs="Arial" w:eastAsia="Arial" w:hAnsi="Arial"/>
          <w:sz w:val="18"/>
          <w:szCs w:val="18"/>
          <w:color w:val="auto"/>
        </w:rPr>
        <w:t>Leases for land are evaluated for capital lease treatment if at least one of the first two criteria mentioned in the immediately preceding paragraph</w:t>
      </w:r>
      <w:r>
        <w:rPr>
          <w:rFonts w:ascii="Arial" w:cs="Arial" w:eastAsia="Arial" w:hAnsi="Arial"/>
          <w:sz w:val="18"/>
          <w:szCs w:val="18"/>
          <w:i w:val="1"/>
          <w:iCs w:val="1"/>
          <w:color w:val="auto"/>
        </w:rPr>
        <w:t xml:space="preserve"> </w:t>
      </w:r>
      <w:r>
        <w:rPr>
          <w:rFonts w:ascii="Arial" w:cs="Arial" w:eastAsia="Arial" w:hAnsi="Arial"/>
          <w:sz w:val="18"/>
          <w:szCs w:val="18"/>
          <w:color w:val="auto"/>
        </w:rPr>
        <w:t>is present relating to the leased assets. When the Company, as lessee, classifies a lease as a capital lease, it records an asset in an amount equal to the present value of the minimum lease payments under the lease at the beginning of the lease term. Applicable operating leases are recognized on a straight-line basis as discussed under "</w:t>
      </w:r>
      <w:r>
        <w:rPr>
          <w:rFonts w:ascii="Arial" w:cs="Arial" w:eastAsia="Arial" w:hAnsi="Arial"/>
          <w:sz w:val="18"/>
          <w:szCs w:val="18"/>
          <w:i w:val="1"/>
          <w:iCs w:val="1"/>
          <w:color w:val="auto"/>
        </w:rPr>
        <w:t>Costs of Operations</w:t>
      </w:r>
      <w:r>
        <w:rPr>
          <w:rFonts w:ascii="Arial" w:cs="Arial" w:eastAsia="Arial" w:hAnsi="Arial"/>
          <w:sz w:val="18"/>
          <w:szCs w:val="18"/>
          <w:color w:val="auto"/>
        </w:rPr>
        <w:t>" below.</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Lessor. </w:t>
      </w:r>
      <w:r>
        <w:rPr>
          <w:rFonts w:ascii="Arial" w:cs="Arial" w:eastAsia="Arial" w:hAnsi="Arial"/>
          <w:sz w:val="18"/>
          <w:szCs w:val="18"/>
          <w:color w:val="auto"/>
        </w:rPr>
        <w:t>If the Company is the lessor of leased property that is part of a larger whole (including a portion of space on a tower) and for which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not objectively determinable, then such lease is accounted for as an operating lease. As applicable, operating leases are recognized on a straight-line basis as discussed under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"Recent Accounting Pronouncements Not Yet Adopted"</w:t>
      </w:r>
      <w:r>
        <w:rPr>
          <w:rFonts w:ascii="Arial" w:cs="Arial" w:eastAsia="Arial" w:hAnsi="Arial"/>
          <w:sz w:val="18"/>
          <w:szCs w:val="18"/>
          <w:color w:val="auto"/>
        </w:rPr>
        <w:t xml:space="preserve"> below for further discussion.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Property and equipment is stated at cost, net of accumulated depreciation. Property and equipment includes land owned in fee and perpetual easements for land, which have no definite life. When the Company purchases fee ownership or perpetual easements for the land previously subject to ground lease, the Company reduces the value recorded as land by the amount of any associated deferred ground lease payable or unamortized above-market leases. Depreciation is computed utilizing the straight-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121" w:right="239" w:bottom="1440" w:gutter="0" w:footer="0" w:header="0"/>
        </w:sectPr>
      </w:pPr>
    </w:p>
    <w:bookmarkStart w:id="51" w:name="page52"/>
    <w:bookmarkEnd w:id="51"/>
    <w:p>
      <w:pPr>
        <w:ind w:left="4060"/>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line method at rates based upon the estimated useful lives of the various classes of assets. Depreciation of communications infrastructure is generally computed with a useful life equal to the shorter of 20 years or the term of the underlying ground lease (including optional renewal periods). Additions, renewals or improvements are capitalized, while maintenance and repairs are expensed. The carrying value of property and equipment will be reviewed for impairment whenever events or changes in circumstances indicate that the carrying amount of the assets may not be recoverable.</w:t>
      </w:r>
    </w:p>
    <w:p>
      <w:pPr>
        <w:spacing w:after="0" w:line="117" w:lineRule="exact"/>
        <w:rPr>
          <w:sz w:val="20"/>
          <w:szCs w:val="20"/>
          <w:color w:val="auto"/>
        </w:rPr>
      </w:pPr>
    </w:p>
    <w:p>
      <w:pPr>
        <w:ind w:left="420" w:right="660"/>
        <w:spacing w:after="0" w:line="438" w:lineRule="auto"/>
        <w:rPr>
          <w:sz w:val="20"/>
          <w:szCs w:val="20"/>
          <w:color w:val="auto"/>
        </w:rPr>
      </w:pPr>
      <w:r>
        <w:rPr>
          <w:rFonts w:ascii="Arial" w:cs="Arial" w:eastAsia="Arial" w:hAnsi="Arial"/>
          <w:sz w:val="18"/>
          <w:szCs w:val="18"/>
          <w:color w:val="auto"/>
        </w:rPr>
        <w:t xml:space="preserve">Abandonments and write-offs of property and equipment are recorded to "asset write-down charges" on the Company's statement of operations. </w:t>
      </w:r>
      <w:r>
        <w:rPr>
          <w:rFonts w:ascii="Arial" w:cs="Arial" w:eastAsia="Arial" w:hAnsi="Arial"/>
          <w:sz w:val="18"/>
          <w:szCs w:val="18"/>
          <w:b w:val="1"/>
          <w:bCs w:val="1"/>
          <w:i w:val="1"/>
          <w:iCs w:val="1"/>
          <w:color w:val="auto"/>
        </w:rPr>
        <w:t>Asset Retirement Obligations</w:t>
      </w:r>
    </w:p>
    <w:p>
      <w:pPr>
        <w:spacing w:after="0" w:line="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Pursuant to its ground lease and easement agreements, the Company records obligations to perform asset retirement activities, including requirements to remove communications infrastructure or remediate the land upon which the Company's communications infrastructure resides. Asset retirement obligations are included in "above-market leases and other liabilities" on the Company's balance sheet. The liability accretes as a result of the passage of time and the related accretion expense is included in "depreciation, amortization and accretion" expense on the Company's statement of operations. The associated asset retirement costs are capitalized as an additional carrying amount of the related long-lived asset and depreciated over the useful life of such asset.</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Goodwill represents the excess of the purchase price for an acquired business over the allocated value of the related net assets. The Company tests goodwill for impairment on an annual basis, regardless of whether adverse events or changes in circumstances have occurred. The annual test begins with goodwill and all intangible assets being allocated to applicable reporting units. The Company then performs a qualitative assessment to determine whether it is "more likely than not" that the fair value of the reporting units is less than its carrying amount. If it is concluded that it is "more likely than not" that the fair value of a reporting unit is less than its carrying amount, it is necessary to perform the two-step goodwill impairment test. The two-step goodwill impairment test begins with a comparison of the estimated fair value of the reporting unit and the carrying value of the reporting unit. The first step, commonly referred to as a "step-one impairment test," is a screen for potential impairment while the second step measures the amount of any impairment if there is an indication from the first step that one exists. The Company's measurement of the fair value for goodwill is based on an estimate of discounted expected future cash flows of the reporting unit. The Company has one reporting unit for goodwill impairment testing. The Company performed its most recent annual test of goodwill as of October 1, 2017, which resulted in no impairments.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Intangible assets are included in "site rental contracts and customer relationships, net" and "other intangible assets, net" on the Company's balance sheet and predominately consist of the estimated fair value of site rental contracts and customer relationships recorded in conjunction with acquisitions. The site rental contracts and customer relationships intangible assets are comprised of (1) the current term of the existing contracts, (2) the expected exercise of the renewal provisions contained within the existing contracts, which automatically occur under contractual provisions, or (3) any associated relationships that are expected to generate value following the expiration of all renewal periods under existing contracts.</w:t>
      </w:r>
    </w:p>
    <w:p>
      <w:pPr>
        <w:spacing w:after="0" w:line="11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useful lives of intangible assets are estimated based on the period over which the intangible asset is expected to benefit the Company, which is calculated on an individual tenant basis, considering, among other things, the contractual provisions with the tenant and gives consideration to the expected useful life of other assets to which the useful life may relate. Amortization expense for intangible assets is computed using the straight-line method over the estimated useful life of each of the intangible assets. The useful life of the site rental contracts and customer relationships intangible asset is limited by the maximum depreciable life of the tower (20 years), as a result of the interdependency of the tower and site rental contracts and customer relationships. In contrast, the site rental contracts and customer relationships are estimated to provide economic benefits for several decades because of the low rate of tenant cancellations and high rate of renewals experienced to date. Thus, while site rental contracts and customer relationships are valued based upon the fair value, which includes assumptions regarding both (1) tenants' exercise of optional renewals contained in the acquired contracts and (2) renewals of the acquired contracts past the contractual term including exercisable options, the site rental contracts and customer relationships are amortized over a period not to exceed 20 years as a result of the useful life being limited by the depreciable life of the sites.</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the site rental contracts and customer relationships intangible assets. First, the Company pools the site rental contracts and customer relationships with the related tower assets into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121" w:right="239" w:bottom="1440" w:gutter="0" w:footer="0" w:header="0"/>
        </w:sectPr>
      </w:pPr>
    </w:p>
    <w:bookmarkStart w:id="52" w:name="page53"/>
    <w:bookmarkEnd w:id="52"/>
    <w:p>
      <w:pPr>
        <w:ind w:left="4060"/>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portfolio groups for purposes of determining the unit of account for impairment testing. Second and separately, the Company evaluates the site rental contracts and customer relationships by significant tenant or by tenant grouping for individually insignificant tenants, as appropriate. If the sum of the estimated future cash flows (undiscounted) expected to result from the use or eventual disposition of an asset is less than the carrying amount of the asset, an impairment loss is recognized. Measurement of an impairment loss is based on the fair value of the asset.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Above-market Leases</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Above-market leases consist of the estimated fair value of above-market leases for land interests under the Company's towers. Above-market leases for land interests are amortized to costs of operations over their respective estimated remaining contract term at the acquisition date.</w:t>
      </w: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Site rental revenues are recognized on a monthly basis over the fixed, non-cancelable term of the relevant contract (generally ranging from five to 15 years), regardless of whether the payments from the tenant are received in equal monthly amounts. The Company's contracts contain fixed escalation clauses (such as fixed dollar or fixed percentage increases) or inflation-based escalation clauses (such as those tied to the consumer price index ("CPI")). If the payment terms call for fixed escalations, upfront payments, or rent-free periods, the revenue is recognized on a straight-line basis over the fixed, non-cancelable term of the agreement. When calculating straight-line rental revenues, the Company considers all fixed elements of tenant contractual escalation provisions, even if such escalation provisions contain a variable element in addition to a minimum. The Company's assets related to straight-line site rental revenues are included in "deferred site rental receivables." Amounts billed or received prior to being earned are deferred and reflected in "deferred revenues" on the Company's balance sheet.</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of Operations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excess of four-fifths of the Company's site rental cost of operations consists of ground lease expenses, and the remainder includes repairs and maintenance expenses, utilities, property taxes, or insurance.</w:t>
      </w:r>
    </w:p>
    <w:p>
      <w:pPr>
        <w:spacing w:after="0" w:line="11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Generally, the ground lease agreements are specific to each site, are for an initial term of five years and are renewable for pre-determined periods. The Company also enters into term easements and ground leases in which it prepays the entire term in advance. Ground lease expense is recognized on a monthly basis, regardless of whether the contract agreement payment terms require the Company to make payments annually, quarterly, monthly, or for the entire term in advance. The Company's ground leases contain fixed escalation clauses (such as fixed dollar or fixed percentage increases) or inflation-based escalation clauses (such as those tied to the CPI). If the payment terms include fixed escalation provisions, the effect of such increases is recognized on a straight-line basis. The Company calculates the straight-line ground lease expense using a time period that equals or exceeds the remaining depreciable life of the communications infrastructure asset. Further, when a tenant has exercisable renewal options that would compel the Company to exercise existing ground lease renewal options, the Company has straight-lined the ground lease expense over a sufficient portion of such ground lease renewals to coincide with the final termination of the tenant's renewal options. The Company's policy is to record ground lease agreements with affiliates under the same or similar economic terms as the contract agreement for the land that existed prior to the purchase of such land by the affiliate.</w:t>
      </w:r>
    </w:p>
    <w:p>
      <w:pPr>
        <w:spacing w:after="0" w:line="11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Company's current liability related to straight-line ground lease expense is included in "other accrued liabilities" on the Company's consolidated balance sheet and was $0.1 million for the years ended December 31, 2017 and 2016. The Company's non-current liability related to straight-line ground lease expense is included in "deferred ground lease payable" on the Company's balance sheet. The Company's assets related to prepaid ground leases is included in "prepaid expenses" and "long-term prepaid rent and other assets, net" on the Company's balance sheet. The Company's current liability related to accrued property taxes is included in "other accrued liabilities" on the Company's balance sheet and was $0.2 million and $0.3 million for the years ended December 31, 2017 and 2016, respectively.</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Fee</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is charged a management fee by CCUSA, a wholly-owned, indirect subsidiary of CCIC, relating to management services, which include those functions reasonably necessary to maintain, market, operate, manage, and administer the sites. The management fee is equal to 7.5% of the Company's revenues, excluding the revenues related to the accounting for leases with fixed escalators as required by the applicable accounting standards. See note 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121" w:right="239" w:bottom="1440" w:gutter="0" w:footer="0" w:header="0"/>
        </w:sectPr>
      </w:pPr>
    </w:p>
    <w:bookmarkStart w:id="53" w:name="page54"/>
    <w:bookmarkEnd w:id="53"/>
    <w:p>
      <w:pPr>
        <w:ind w:left="4060"/>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231F20"/>
        </w:rPr>
        <w:t xml:space="preserve">CCIC operates as a REIT for U.S. federal income tax purposes. The Company is an indirect subsidiary of CCIC and for U.S. federal income taxes purposes the Company's assets and operations are part of the CCIC REIT. </w:t>
      </w:r>
      <w:r>
        <w:rPr>
          <w:rFonts w:ascii="Arial" w:cs="Arial" w:eastAsia="Arial" w:hAnsi="Arial"/>
          <w:sz w:val="16"/>
          <w:szCs w:val="16"/>
          <w:color w:val="000000"/>
        </w:rPr>
        <w:t>As a REIT, CCIC is generally entitled to a deduction for dividends that it pays and</w:t>
      </w:r>
      <w:r>
        <w:rPr>
          <w:rFonts w:ascii="Arial" w:cs="Arial" w:eastAsia="Arial" w:hAnsi="Arial"/>
          <w:sz w:val="16"/>
          <w:szCs w:val="16"/>
          <w:color w:val="231F20"/>
        </w:rPr>
        <w:t xml:space="preserve"> </w:t>
      </w:r>
      <w:r>
        <w:rPr>
          <w:rFonts w:ascii="Arial" w:cs="Arial" w:eastAsia="Arial" w:hAnsi="Arial"/>
          <w:sz w:val="16"/>
          <w:szCs w:val="16"/>
          <w:color w:val="000000"/>
        </w:rPr>
        <w:t>therefore is not subject to U.S. federal corporate income tax on its taxable income that is currently distributed to its stockholders. CCIC also may be subject to certain federal, state, local, and foreign taxes on its income and assets, including (1) alternative minimum taxes (repealed effective January 1, 2018), (2) taxes on any undistributed income, (3) taxes related to the CCIC's taxable REIT subsidiaries, (4) franchise taxes, (5) property taxes, and (6) transfer taxes. In addition, CCIC could in certain circumstances be required to pay an excise or penalty tax, which could be significant in amount, in order to utilize one or more relief provisions under the Internal Revenue Code of 1986, as amended ("Code") to maintain qualification for taxation as a REIT.</w:t>
      </w:r>
    </w:p>
    <w:p>
      <w:pPr>
        <w:spacing w:after="0" w:line="11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The Company does not expect the Tax Cuts and Jobs Act, which was signed into law in December 2017, to have a significant impact on its financial statements.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Reporting Segments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operating segment.</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 new accounting pronouncements adopted during the year ended December 31, 2017 had a material impact on the Company's financial statements.</w:t>
      </w:r>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31" w:lineRule="exact"/>
        <w:rPr>
          <w:sz w:val="20"/>
          <w:szCs w:val="20"/>
          <w:color w:val="auto"/>
        </w:rPr>
      </w:pPr>
    </w:p>
    <w:p>
      <w:pPr>
        <w:ind w:right="160" w:firstLine="405"/>
        <w:spacing w:after="0" w:line="290" w:lineRule="auto"/>
        <w:rPr>
          <w:sz w:val="20"/>
          <w:szCs w:val="20"/>
          <w:color w:val="auto"/>
        </w:rPr>
      </w:pPr>
      <w:r>
        <w:rPr>
          <w:rFonts w:ascii="Arial" w:cs="Arial" w:eastAsia="Arial" w:hAnsi="Arial"/>
          <w:sz w:val="16"/>
          <w:szCs w:val="16"/>
          <w:color w:val="auto"/>
        </w:rPr>
        <w:t>In February 2016, the FASB issued new guidance on the recognition, measurement, presentation and disclosure of leases. The new guidance requires lessees to recognize a right-of-use asset and a lease liability, initially measured at the present value of the lease payments for all leases with a term greater than 12 months. The accounting for lessors remains largely unchanged from existing guidance. This guidance is effective for the Company as of January 1, 2019 and is required to be applied using a modified retrospective approach for all leases existing at, or entered into after, the beginning of the earliest comparative period presented. Although early adoption is permitted, the Company does not expect to early adopt the new guidance prior to January 1, 2019. The Company expects that (1) lessee arrangements will continue to be classified as operating leases under the new guidance; (2) this guidance to have a material impact on its balance sheet due to the addition of right-of-use assets and lease liabilities for all lessee arrangements with a term greater than 12 months; and (3) there will not be a material impact to its statement of operations and statement of cash flows.</w:t>
      </w:r>
    </w:p>
    <w:p>
      <w:pPr>
        <w:spacing w:after="0" w:line="11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January 2017, the FASB issued new guidance to simplify the accounting for goodwill impairment by removing the second step of the existing goodwill impairment test. As a result of the guidance, goodwill impairment, if any, will be measured during the step-one impairment test as the amount by which a reporting unit's carrying value exceeds its fair value, not to exceed the carrying amount of goodwill. Additionally, the guidance does not change the option to complete a qualitative assessment prior to performing a step-one impairment test. The guidance is effective for the Company as of January 1, 2020. Early adoption is permitted. The Company is currently evaluating the impact of the guidance, including the impact on its financial statements.</w:t>
      </w:r>
    </w:p>
    <w:p>
      <w:pPr>
        <w:spacing w:after="0" w:line="10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January 2017, the FASB issued new guidance, which clarifies the definition of a business in order to assist companies in evaluating whether transactions should be accounted for as acquisitions or disposals of assets or businesses. The guidance is effective for the Company as of January 1, 2018, and is required to be applied prospectively. Early adoption is permitted. The Company adopted this guidance effective January 1, 2018 and will apply the new guidance to prospective transactions. The adoption of this guidance will not have a material impact on the Company's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121" w:right="239" w:bottom="1440" w:gutter="0" w:footer="0" w:header="0"/>
        </w:sectPr>
      </w:pPr>
    </w:p>
    <w:bookmarkStart w:id="54" w:name="page55"/>
    <w:bookmarkEnd w:id="54"/>
    <w:p>
      <w:pPr>
        <w:ind w:left="4060"/>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233" w:lineRule="exact"/>
        <w:rPr>
          <w:sz w:val="20"/>
          <w:szCs w:val="20"/>
          <w:color w:val="auto"/>
        </w:rPr>
      </w:pPr>
    </w:p>
    <w:p>
      <w:pPr>
        <w:ind w:left="420" w:hanging="412"/>
        <w:spacing w:after="0"/>
        <w:tabs>
          <w:tab w:leader="none" w:pos="4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major classes of property and equipment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Estimated Useful Lives</w:t>
            </w: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2016</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r>
              <w:rPr>
                <w:rFonts w:ascii="Arial" w:cs="Arial" w:eastAsia="Arial" w:hAnsi="Arial"/>
                <w:sz w:val="21"/>
                <w:szCs w:val="21"/>
                <w:color w:val="auto"/>
                <w:vertAlign w:val="superscript"/>
              </w:rPr>
              <w:t>(a)</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15,401</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15,401</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Towers</w:t>
            </w:r>
          </w:p>
        </w:tc>
        <w:tc>
          <w:tcPr>
            <w:tcW w:w="1720" w:type="dxa"/>
            <w:vAlign w:val="bottom"/>
            <w:gridSpan w:val="2"/>
          </w:tcPr>
          <w:p>
            <w:pPr>
              <w:jc w:val="right"/>
              <w:ind w:right="340"/>
              <w:spacing w:after="0"/>
              <w:rPr>
                <w:sz w:val="20"/>
                <w:szCs w:val="20"/>
                <w:color w:val="auto"/>
              </w:rPr>
            </w:pPr>
            <w:r>
              <w:rPr>
                <w:rFonts w:ascii="Arial" w:cs="Arial" w:eastAsia="Arial" w:hAnsi="Arial"/>
                <w:sz w:val="16"/>
                <w:szCs w:val="16"/>
                <w:color w:val="auto"/>
              </w:rPr>
              <w:t>1-20 years</w:t>
            </w: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89,712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87,616</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17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326</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gross property and equipment</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105,465</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103,343</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1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(42,870)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(38,264)</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62,595</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65,079</w:t>
            </w:r>
          </w:p>
        </w:tc>
      </w:tr>
      <w:tr>
        <w:trPr>
          <w:trHeight w:val="20"/>
        </w:trPr>
        <w:tc>
          <w:tcPr>
            <w:tcW w:w="6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land owned in fee and perpetual easements.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Depreciation expense for the years ended December 31, 2017, 2016, and 2015 was $4.6 million, $4.5 million, and $4.3 million, respectively.</w:t>
      </w:r>
    </w:p>
    <w:p>
      <w:pPr>
        <w:spacing w:after="0" w:line="395" w:lineRule="exact"/>
        <w:rPr>
          <w:sz w:val="20"/>
          <w:szCs w:val="20"/>
          <w:color w:val="auto"/>
        </w:rPr>
      </w:pPr>
    </w:p>
    <w:p>
      <w:pPr>
        <w:ind w:left="420" w:hanging="412"/>
        <w:spacing w:after="0"/>
        <w:tabs>
          <w:tab w:leader="none" w:pos="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Above-market Leases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231F20"/>
        </w:rPr>
        <w:t>The following is a summary of the Company's intangible assets.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2017</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2016</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83"/>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1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3"/>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Site rental contracts and customer relationships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108,020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(60,383)</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47,637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108,020</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53,209</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20" w:type="dxa"/>
            <w:vAlign w:val="bottom"/>
          </w:tcPr>
          <w:p>
            <w:pPr>
              <w:spacing w:after="0"/>
              <w:rPr>
                <w:sz w:val="20"/>
                <w:szCs w:val="20"/>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4,350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2,973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3,098</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112,370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(61,760)</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50,610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112,370</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(56,063)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56,307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Amortization expense related to intangible assets is classified as follows on the Company's statement of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4"/>
                <w:szCs w:val="14"/>
                <w:b w:val="1"/>
                <w:bCs w:val="1"/>
                <w:color w:val="auto"/>
                <w:w w:val="93"/>
              </w:rPr>
              <w:t>For Years Ended December 31,</w:t>
            </w: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2015</w:t>
            </w: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5,674</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5,674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5,674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Site rental costs of operations</w:t>
            </w:r>
          </w:p>
        </w:tc>
        <w:tc>
          <w:tcPr>
            <w:tcW w:w="10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22</w:t>
            </w:r>
          </w:p>
        </w:tc>
      </w:tr>
      <w:tr>
        <w:trPr>
          <w:trHeight w:val="33"/>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5,696</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5,696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estimated annual amortization expense related to intangible assets (inclusive of those recorded as an increase to "site rental cost of operations") for the years ending December 31, 2018 to 2022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2022</w:t>
            </w:r>
          </w:p>
        </w:tc>
      </w:tr>
      <w:tr>
        <w:trPr>
          <w:trHeight w:val="22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5,687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5,686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5,686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5,686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5,686</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See note 2 for a further discussion of above-market leases for land interests under the Company's towers recorded in connection with acquisitions. For the years ended December 31, 2017, 2016 and 2015, the Company recorded $0.1 million, $0.1 million and $0.1 million, respectively, as a decrease to "site rental cost of operations." The following is a summary of the Company's above-market leases.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12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2017</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2016</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65"/>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14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3"/>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Above-market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2,303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(1,305)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998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1,104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annual amortization expense related to above-market leases for land interests under the Company's towers for the years ending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to 2022 is as follows: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73</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20" w:hanging="412"/>
        <w:spacing w:after="0"/>
        <w:tabs>
          <w:tab w:leader="none" w:pos="4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December 2012, CCL and Crown Castle GS III Corp. (a subsidiary of CCL) issued $1.5 billion aggregate principal amount of senior secured notes ("2012 Secured Notes"), which are guaranteed by certain subsidiaries of CCL, including the Company. In addition, the 2012 Secured Notes are secured on a first-priority basis by certain subsidiaries of CCL, including a pledge of the equity interests of the Company. In September 2016, CCIC issued $700 million aggregate principal amount of 2.250% senior unsecured notes. CCIC used a portion of the net proceeds to repay $500 million of the 2012 Secured Notes.</w:t>
      </w:r>
    </w:p>
    <w:p>
      <w:pPr>
        <w:spacing w:after="0" w:line="10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The 2012 Secured Notes do not contain financial maintenance covenants but they do contain restrictive covenants, subject to certain exceptions, related to the Company's ability to incur indebtedness, incur liens, enter into certain mergers or change of control transactions, sell or issue equity interests, and enter into related party transactions. With respect to the restriction regarding the issuance of debt, CCL and its subsidiaries including the Company may not issue debt other than (1) certain permitted refinancings of the 2012 Secured Notes, (2) unsecured trade payables in the ordinary course of business and financing of equipment, land or other property up to an aggregate of $100.0 million, or (3) unsecured debt or additional notes under the 2012 Secured Notes indenture provided that the Debt to Adjusted Consolidated Cash Flow Ratio (as defined in the indenture governing the 2012 Secured Notes) at the time of incurrence, and after giving effect to such incurrence, would have been no greater than 3.5 to 1. As of December 31, 2017, CCL's Debt to Adjusted Consolidated Cash Flow Ratio was </w:t>
      </w:r>
      <w:r>
        <w:rPr>
          <w:rFonts w:ascii="Arial" w:cs="Arial" w:eastAsia="Arial" w:hAnsi="Arial"/>
          <w:sz w:val="17"/>
          <w:szCs w:val="17"/>
          <w:color w:val="231F20"/>
        </w:rPr>
        <w:t>2.5</w:t>
      </w:r>
      <w:r>
        <w:rPr>
          <w:rFonts w:ascii="Arial" w:cs="Arial" w:eastAsia="Arial" w:hAnsi="Arial"/>
          <w:sz w:val="17"/>
          <w:szCs w:val="17"/>
          <w:color w:val="auto"/>
        </w:rPr>
        <w:t xml:space="preserve"> to 1, and, as a result, the </w:t>
      </w:r>
      <w:r>
        <w:rPr>
          <w:rFonts w:ascii="Arial" w:cs="Arial" w:eastAsia="Arial" w:hAnsi="Arial"/>
          <w:sz w:val="17"/>
          <w:szCs w:val="17"/>
          <w:color w:val="231F20"/>
        </w:rPr>
        <w:t>Company is not restricted in its ability to incur additional indebtedness. Further, the Company is not restricted in</w:t>
      </w:r>
      <w:r>
        <w:rPr>
          <w:rFonts w:ascii="Arial" w:cs="Arial" w:eastAsia="Arial" w:hAnsi="Arial"/>
          <w:sz w:val="17"/>
          <w:szCs w:val="17"/>
          <w:color w:val="auto"/>
        </w:rPr>
        <w:t xml:space="preserve"> </w:t>
      </w:r>
      <w:r>
        <w:rPr>
          <w:rFonts w:ascii="Arial" w:cs="Arial" w:eastAsia="Arial" w:hAnsi="Arial"/>
          <w:sz w:val="17"/>
          <w:szCs w:val="17"/>
          <w:color w:val="231F20"/>
        </w:rPr>
        <w:t>its ability to distribute cash to affiliates or issue dividends to its member.</w:t>
      </w:r>
    </w:p>
    <w:p>
      <w:pPr>
        <w:spacing w:after="0" w:line="340" w:lineRule="exact"/>
        <w:rPr>
          <w:sz w:val="20"/>
          <w:szCs w:val="20"/>
          <w:color w:val="auto"/>
        </w:rPr>
      </w:pPr>
    </w:p>
    <w:p>
      <w:pPr>
        <w:ind w:left="420" w:hanging="412"/>
        <w:spacing w:after="0"/>
        <w:tabs>
          <w:tab w:leader="none" w:pos="4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 xml:space="preserve">In December 2012, CCL, the Company, and other subsidiaries of CCL entered into a management agreement ("Management Agreement") with CCUSA, which replaced a previous management agreement among the same parties. </w:t>
      </w:r>
      <w:r>
        <w:rPr>
          <w:rFonts w:ascii="Arial" w:cs="Arial" w:eastAsia="Arial" w:hAnsi="Arial"/>
          <w:sz w:val="16"/>
          <w:szCs w:val="16"/>
          <w:color w:val="231F20"/>
        </w:rPr>
        <w:t>The Company is charged a management fee by CCUSA under the</w:t>
      </w:r>
      <w:r>
        <w:rPr>
          <w:rFonts w:ascii="Arial" w:cs="Arial" w:eastAsia="Arial" w:hAnsi="Arial"/>
          <w:sz w:val="16"/>
          <w:szCs w:val="16"/>
          <w:color w:val="auto"/>
        </w:rPr>
        <w:t xml:space="preserve"> </w:t>
      </w:r>
      <w:r>
        <w:rPr>
          <w:rFonts w:ascii="Arial" w:cs="Arial" w:eastAsia="Arial" w:hAnsi="Arial"/>
          <w:sz w:val="16"/>
          <w:szCs w:val="16"/>
          <w:color w:val="231F20"/>
        </w:rPr>
        <w:t xml:space="preserve">Management Agreement whereby CCUSA has agreed to employ, supervise, and pay at all times a sufficient number of capable employees as may be necessary to perform services in accordance with the operation standards defined in the Management Agreement. </w:t>
      </w:r>
      <w:r>
        <w:rPr>
          <w:rFonts w:ascii="Arial" w:cs="Arial" w:eastAsia="Arial" w:hAnsi="Arial"/>
          <w:sz w:val="16"/>
          <w:szCs w:val="16"/>
          <w:color w:val="000000"/>
        </w:rPr>
        <w:t>CCUSA currently acts as the manager of the</w:t>
      </w:r>
      <w:r>
        <w:rPr>
          <w:rFonts w:ascii="Arial" w:cs="Arial" w:eastAsia="Arial" w:hAnsi="Arial"/>
          <w:sz w:val="16"/>
          <w:szCs w:val="16"/>
          <w:color w:val="231F20"/>
        </w:rPr>
        <w:t xml:space="preserve"> </w:t>
      </w:r>
      <w:r>
        <w:rPr>
          <w:rFonts w:ascii="Arial" w:cs="Arial" w:eastAsia="Arial" w:hAnsi="Arial"/>
          <w:sz w:val="16"/>
          <w:szCs w:val="16"/>
          <w:color w:val="000000"/>
        </w:rPr>
        <w:t xml:space="preserve">majority of the sites held by subsidiaries of CCIC. </w:t>
      </w:r>
      <w:r>
        <w:rPr>
          <w:rFonts w:ascii="Arial" w:cs="Arial" w:eastAsia="Arial" w:hAnsi="Arial"/>
          <w:sz w:val="16"/>
          <w:szCs w:val="16"/>
          <w:color w:val="231F20"/>
        </w:rPr>
        <w:t>The management fee is equal to 7.5% of the Company's "Operating Revenues," as defined in the</w:t>
      </w:r>
      <w:r>
        <w:rPr>
          <w:rFonts w:ascii="Arial" w:cs="Arial" w:eastAsia="Arial" w:hAnsi="Arial"/>
          <w:sz w:val="16"/>
          <w:szCs w:val="16"/>
          <w:color w:val="000000"/>
        </w:rPr>
        <w:t xml:space="preserve"> </w:t>
      </w:r>
      <w:r>
        <w:rPr>
          <w:rFonts w:ascii="Arial" w:cs="Arial" w:eastAsia="Arial" w:hAnsi="Arial"/>
          <w:sz w:val="16"/>
          <w:szCs w:val="16"/>
          <w:color w:val="231F20"/>
        </w:rPr>
        <w:t xml:space="preserve">Management Agreement, </w:t>
      </w:r>
      <w:r>
        <w:rPr>
          <w:rFonts w:ascii="Arial" w:cs="Arial" w:eastAsia="Arial" w:hAnsi="Arial"/>
          <w:sz w:val="16"/>
          <w:szCs w:val="16"/>
          <w:color w:val="000000"/>
        </w:rPr>
        <w:t>which are based on the Company’s reported revenues adjusted to exclude certain items including revenues related to the accounting</w:t>
      </w:r>
      <w:r>
        <w:rPr>
          <w:rFonts w:ascii="Arial" w:cs="Arial" w:eastAsia="Arial" w:hAnsi="Arial"/>
          <w:sz w:val="16"/>
          <w:szCs w:val="16"/>
          <w:color w:val="231F20"/>
        </w:rPr>
        <w:t xml:space="preserve"> </w:t>
      </w:r>
      <w:r>
        <w:rPr>
          <w:rFonts w:ascii="Arial" w:cs="Arial" w:eastAsia="Arial" w:hAnsi="Arial"/>
          <w:sz w:val="16"/>
          <w:szCs w:val="16"/>
          <w:color w:val="000000"/>
        </w:rPr>
        <w:t xml:space="preserve">for leases with fixed escalators. </w:t>
      </w:r>
      <w:r>
        <w:rPr>
          <w:rFonts w:ascii="Arial" w:cs="Arial" w:eastAsia="Arial" w:hAnsi="Arial"/>
          <w:sz w:val="16"/>
          <w:szCs w:val="16"/>
          <w:color w:val="231F20"/>
        </w:rPr>
        <w:t>The fee is compensation for those functions reasonably necessary to maintain, market, operate, manage, and administer the</w:t>
      </w:r>
      <w:r>
        <w:rPr>
          <w:rFonts w:ascii="Arial" w:cs="Arial" w:eastAsia="Arial" w:hAnsi="Arial"/>
          <w:sz w:val="16"/>
          <w:szCs w:val="16"/>
          <w:color w:val="000000"/>
        </w:rPr>
        <w:t xml:space="preserve"> </w:t>
      </w:r>
      <w:r>
        <w:rPr>
          <w:rFonts w:ascii="Arial" w:cs="Arial" w:eastAsia="Arial" w:hAnsi="Arial"/>
          <w:sz w:val="16"/>
          <w:szCs w:val="16"/>
          <w:color w:val="231F20"/>
        </w:rPr>
        <w:t xml:space="preserve">sites, other than the operating expenses, which includes but is not limited to real estate and personal property taxes, ground lease and easement payments, and insurance premiums. In addition, in connection with its role as manager, CCUSA may make certain modifications to the Company's sites. The management fee charged from CCUSA for the years ended December 31, 2017, 2016, and 2015 totaled </w:t>
      </w:r>
      <w:r>
        <w:rPr>
          <w:rFonts w:ascii="Arial" w:cs="Arial" w:eastAsia="Arial" w:hAnsi="Arial"/>
          <w:sz w:val="16"/>
          <w:szCs w:val="16"/>
          <w:color w:val="000000"/>
        </w:rPr>
        <w:t>$2.4 million</w:t>
      </w:r>
      <w:r>
        <w:rPr>
          <w:rFonts w:ascii="Arial" w:cs="Arial" w:eastAsia="Arial" w:hAnsi="Arial"/>
          <w:sz w:val="16"/>
          <w:szCs w:val="16"/>
          <w:color w:val="231F20"/>
        </w:rPr>
        <w:t xml:space="preserve">, </w:t>
      </w:r>
      <w:r>
        <w:rPr>
          <w:rFonts w:ascii="Arial" w:cs="Arial" w:eastAsia="Arial" w:hAnsi="Arial"/>
          <w:sz w:val="16"/>
          <w:szCs w:val="16"/>
          <w:color w:val="000000"/>
        </w:rPr>
        <w:t>$2.3 million</w:t>
      </w:r>
      <w:r>
        <w:rPr>
          <w:rFonts w:ascii="Arial" w:cs="Arial" w:eastAsia="Arial" w:hAnsi="Arial"/>
          <w:sz w:val="16"/>
          <w:szCs w:val="16"/>
          <w:color w:val="231F20"/>
        </w:rPr>
        <w:t xml:space="preserve">, and </w:t>
      </w:r>
      <w:r>
        <w:rPr>
          <w:rFonts w:ascii="Arial" w:cs="Arial" w:eastAsia="Arial" w:hAnsi="Arial"/>
          <w:sz w:val="16"/>
          <w:szCs w:val="16"/>
          <w:color w:val="000000"/>
        </w:rPr>
        <w:t>$2.1 million</w:t>
      </w:r>
      <w:r>
        <w:rPr>
          <w:rFonts w:ascii="Arial" w:cs="Arial" w:eastAsia="Arial" w:hAnsi="Arial"/>
          <w:sz w:val="16"/>
          <w:szCs w:val="16"/>
          <w:color w:val="231F20"/>
        </w:rPr>
        <w:t>, respectively.</w:t>
      </w:r>
    </w:p>
    <w:p>
      <w:pPr>
        <w:spacing w:after="0" w:line="1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In addition, CCUSA may perform installation services on the Company's towers for which the Company is not a party to any such agreement and for which no operating results are reflected herein.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121" w:right="239" w:bottom="1440" w:gutter="0" w:footer="0" w:header="0"/>
        </w:sectPr>
      </w:pPr>
    </w:p>
    <w:bookmarkStart w:id="56" w:name="page57"/>
    <w:bookmarkEnd w:id="56"/>
    <w:p>
      <w:pPr>
        <w:ind w:left="4060"/>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231F20"/>
        </w:rPr>
        <w:t xml:space="preserve">As part of CCIC's strategy to obtain long-term control of the land under its towers, affiliates of the Company have acquired rights to land interests under the Company's towers. These affiliates then lease the land to the Company. Under such circumstances, the Company's obligation typically continues with the same or similar economic terms as the contract agreement for the land that existed prior to the purchase of such land by the affiliate. As of December 31, 2017, there are approximately 20% of the Company's sites where the land under the tower is owned by an affiliate. Rent expense to affiliates totaled </w:t>
      </w:r>
      <w:r>
        <w:rPr>
          <w:rFonts w:ascii="Arial" w:cs="Arial" w:eastAsia="Arial" w:hAnsi="Arial"/>
          <w:sz w:val="16"/>
          <w:szCs w:val="16"/>
          <w:color w:val="000000"/>
        </w:rPr>
        <w:t>$1.0</w:t>
      </w:r>
      <w:r>
        <w:rPr>
          <w:rFonts w:ascii="Arial" w:cs="Arial" w:eastAsia="Arial" w:hAnsi="Arial"/>
          <w:sz w:val="16"/>
          <w:szCs w:val="16"/>
          <w:color w:val="231F20"/>
        </w:rPr>
        <w:t xml:space="preserve"> </w:t>
      </w:r>
      <w:r>
        <w:rPr>
          <w:rFonts w:ascii="Arial" w:cs="Arial" w:eastAsia="Arial" w:hAnsi="Arial"/>
          <w:sz w:val="16"/>
          <w:szCs w:val="16"/>
          <w:color w:val="000000"/>
        </w:rPr>
        <w:t>million</w:t>
      </w:r>
      <w:r>
        <w:rPr>
          <w:rFonts w:ascii="Arial" w:cs="Arial" w:eastAsia="Arial" w:hAnsi="Arial"/>
          <w:sz w:val="16"/>
          <w:szCs w:val="16"/>
          <w:color w:val="231F20"/>
        </w:rPr>
        <w:t>,</w:t>
      </w:r>
      <w:r>
        <w:rPr>
          <w:rFonts w:ascii="Arial" w:cs="Arial" w:eastAsia="Arial" w:hAnsi="Arial"/>
          <w:sz w:val="16"/>
          <w:szCs w:val="16"/>
          <w:color w:val="000000"/>
        </w:rPr>
        <w:t xml:space="preserve"> $0.9 million</w:t>
      </w:r>
      <w:r>
        <w:rPr>
          <w:rFonts w:ascii="Arial" w:cs="Arial" w:eastAsia="Arial" w:hAnsi="Arial"/>
          <w:sz w:val="16"/>
          <w:szCs w:val="16"/>
          <w:color w:val="231F20"/>
        </w:rPr>
        <w:t>, and</w:t>
      </w:r>
      <w:r>
        <w:rPr>
          <w:rFonts w:ascii="Arial" w:cs="Arial" w:eastAsia="Arial" w:hAnsi="Arial"/>
          <w:sz w:val="16"/>
          <w:szCs w:val="16"/>
          <w:color w:val="000000"/>
        </w:rPr>
        <w:t xml:space="preserve"> $0.9 million </w:t>
      </w:r>
      <w:r>
        <w:rPr>
          <w:rFonts w:ascii="Arial" w:cs="Arial" w:eastAsia="Arial" w:hAnsi="Arial"/>
          <w:sz w:val="16"/>
          <w:szCs w:val="16"/>
          <w:color w:val="231F20"/>
        </w:rPr>
        <w:t>for the years ended December 31, 2017, 2016, and 2015, respectively. The Company receives rent revenue from</w:t>
      </w:r>
      <w:r>
        <w:rPr>
          <w:rFonts w:ascii="Arial" w:cs="Arial" w:eastAsia="Arial" w:hAnsi="Arial"/>
          <w:sz w:val="16"/>
          <w:szCs w:val="16"/>
          <w:color w:val="000000"/>
        </w:rPr>
        <w:t xml:space="preserve"> </w:t>
      </w:r>
      <w:r>
        <w:rPr>
          <w:rFonts w:ascii="Arial" w:cs="Arial" w:eastAsia="Arial" w:hAnsi="Arial"/>
          <w:sz w:val="16"/>
          <w:szCs w:val="16"/>
          <w:color w:val="231F20"/>
        </w:rPr>
        <w:t xml:space="preserve">affiliates for land owned by the Company that affiliates have towers on and pays ground rent expense to affiliates for land owned by affiliates that the Company has towers on. For the years ended December 31, 2017, 2016, and 2015, rent revenue from affiliates totaled </w:t>
      </w:r>
      <w:r>
        <w:rPr>
          <w:rFonts w:ascii="Arial" w:cs="Arial" w:eastAsia="Arial" w:hAnsi="Arial"/>
          <w:sz w:val="16"/>
          <w:szCs w:val="16"/>
          <w:color w:val="000000"/>
        </w:rPr>
        <w:t>$2.4 million</w:t>
      </w:r>
      <w:r>
        <w:rPr>
          <w:rFonts w:ascii="Arial" w:cs="Arial" w:eastAsia="Arial" w:hAnsi="Arial"/>
          <w:sz w:val="16"/>
          <w:szCs w:val="16"/>
          <w:color w:val="231F20"/>
        </w:rPr>
        <w:t xml:space="preserve">, </w:t>
      </w:r>
      <w:r>
        <w:rPr>
          <w:rFonts w:ascii="Arial" w:cs="Arial" w:eastAsia="Arial" w:hAnsi="Arial"/>
          <w:sz w:val="16"/>
          <w:szCs w:val="16"/>
          <w:color w:val="000000"/>
        </w:rPr>
        <w:t>$2.3 million</w:t>
      </w:r>
      <w:r>
        <w:rPr>
          <w:rFonts w:ascii="Arial" w:cs="Arial" w:eastAsia="Arial" w:hAnsi="Arial"/>
          <w:sz w:val="16"/>
          <w:szCs w:val="16"/>
          <w:color w:val="231F20"/>
        </w:rPr>
        <w:t xml:space="preserve">, and </w:t>
      </w:r>
      <w:r>
        <w:rPr>
          <w:rFonts w:ascii="Arial" w:cs="Arial" w:eastAsia="Arial" w:hAnsi="Arial"/>
          <w:sz w:val="16"/>
          <w:szCs w:val="16"/>
          <w:color w:val="000000"/>
        </w:rPr>
        <w:t>$2.3</w:t>
      </w:r>
      <w:r>
        <w:rPr>
          <w:rFonts w:ascii="Arial" w:cs="Arial" w:eastAsia="Arial" w:hAnsi="Arial"/>
          <w:sz w:val="16"/>
          <w:szCs w:val="16"/>
          <w:color w:val="231F20"/>
        </w:rPr>
        <w:t xml:space="preserve"> </w:t>
      </w:r>
      <w:r>
        <w:rPr>
          <w:rFonts w:ascii="Arial" w:cs="Arial" w:eastAsia="Arial" w:hAnsi="Arial"/>
          <w:sz w:val="16"/>
          <w:szCs w:val="16"/>
          <w:color w:val="000000"/>
        </w:rPr>
        <w:t>million</w:t>
      </w:r>
      <w:r>
        <w:rPr>
          <w:rFonts w:ascii="Arial" w:cs="Arial" w:eastAsia="Arial" w:hAnsi="Arial"/>
          <w:sz w:val="16"/>
          <w:szCs w:val="16"/>
          <w:color w:val="231F20"/>
        </w:rPr>
        <w:t>, respectively. As of December 31, 2017, approximately 25% of the Company's sites consist of land interests under towers owned by affiliates.</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 recorded equity distributions of </w:t>
      </w:r>
      <w:r>
        <w:rPr>
          <w:rFonts w:ascii="Arial" w:cs="Arial" w:eastAsia="Arial" w:hAnsi="Arial"/>
          <w:sz w:val="18"/>
          <w:szCs w:val="18"/>
          <w:color w:val="000000"/>
        </w:rPr>
        <w:t>$21.3 million</w:t>
      </w:r>
      <w:r>
        <w:rPr>
          <w:rFonts w:ascii="Arial" w:cs="Arial" w:eastAsia="Arial" w:hAnsi="Arial"/>
          <w:sz w:val="18"/>
          <w:szCs w:val="18"/>
          <w:color w:val="231F20"/>
        </w:rPr>
        <w:t xml:space="preserve">, </w:t>
      </w:r>
      <w:r>
        <w:rPr>
          <w:rFonts w:ascii="Arial" w:cs="Arial" w:eastAsia="Arial" w:hAnsi="Arial"/>
          <w:sz w:val="18"/>
          <w:szCs w:val="18"/>
          <w:color w:val="000000"/>
        </w:rPr>
        <w:t>$19.1 million</w:t>
      </w:r>
      <w:r>
        <w:rPr>
          <w:rFonts w:ascii="Arial" w:cs="Arial" w:eastAsia="Arial" w:hAnsi="Arial"/>
          <w:sz w:val="18"/>
          <w:szCs w:val="18"/>
          <w:color w:val="231F20"/>
        </w:rPr>
        <w:t xml:space="preserve">, and </w:t>
      </w:r>
      <w:r>
        <w:rPr>
          <w:rFonts w:ascii="Arial" w:cs="Arial" w:eastAsia="Arial" w:hAnsi="Arial"/>
          <w:sz w:val="18"/>
          <w:szCs w:val="18"/>
          <w:color w:val="000000"/>
        </w:rPr>
        <w:t>$14.9 million</w:t>
      </w:r>
      <w:r>
        <w:rPr>
          <w:rFonts w:ascii="Arial" w:cs="Arial" w:eastAsia="Arial" w:hAnsi="Arial"/>
          <w:sz w:val="18"/>
          <w:szCs w:val="18"/>
          <w:color w:val="231F20"/>
        </w:rPr>
        <w:t xml:space="preserve"> for the years ended December 31, 2017, 2016, and 2015, respectively, reflecting distributions to its member. Cash on-hand above the amount that is required by the Management Agreement has been, and is expected to continue to be, distributed to the Company's parent company, CCL. </w:t>
      </w:r>
      <w:r>
        <w:rPr>
          <w:rFonts w:ascii="Arial" w:cs="Arial" w:eastAsia="Arial" w:hAnsi="Arial"/>
          <w:sz w:val="18"/>
          <w:szCs w:val="18"/>
          <w:color w:val="000000"/>
        </w:rPr>
        <w:t>As of December 31, 2017 and 2016, the Company had no material related party assets</w:t>
      </w:r>
      <w:r>
        <w:rPr>
          <w:rFonts w:ascii="Arial" w:cs="Arial" w:eastAsia="Arial" w:hAnsi="Arial"/>
          <w:sz w:val="18"/>
          <w:szCs w:val="18"/>
          <w:color w:val="231F20"/>
        </w:rPr>
        <w:t xml:space="preserve"> </w:t>
      </w:r>
      <w:r>
        <w:rPr>
          <w:rFonts w:ascii="Arial" w:cs="Arial" w:eastAsia="Arial" w:hAnsi="Arial"/>
          <w:sz w:val="18"/>
          <w:szCs w:val="18"/>
          <w:color w:val="000000"/>
        </w:rPr>
        <w:t>or liabilities on its consolidated balance sheet.</w:t>
      </w:r>
    </w:p>
    <w:p>
      <w:pPr>
        <w:spacing w:after="0" w:line="345" w:lineRule="exact"/>
        <w:rPr>
          <w:sz w:val="20"/>
          <w:szCs w:val="20"/>
          <w:color w:val="auto"/>
        </w:rPr>
      </w:pPr>
    </w:p>
    <w:p>
      <w:pPr>
        <w:ind w:left="420" w:hanging="412"/>
        <w:spacing w:after="0"/>
        <w:tabs>
          <w:tab w:leader="none" w:pos="4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 xml:space="preserve">For the years ended December 31, 2017 and 2016, the Company had benefits for income taxes, which </w:t>
      </w:r>
      <w:r>
        <w:rPr>
          <w:rFonts w:ascii="Arial" w:cs="Arial" w:eastAsia="Arial" w:hAnsi="Arial"/>
          <w:sz w:val="16"/>
          <w:szCs w:val="16"/>
          <w:color w:val="231F20"/>
        </w:rPr>
        <w:t>consisted of the reduction of unrecognized tax</w:t>
      </w:r>
      <w:r>
        <w:rPr>
          <w:rFonts w:ascii="Arial" w:cs="Arial" w:eastAsia="Arial" w:hAnsi="Arial"/>
          <w:sz w:val="16"/>
          <w:szCs w:val="16"/>
          <w:color w:val="auto"/>
        </w:rPr>
        <w:t xml:space="preserve"> </w:t>
      </w:r>
      <w:r>
        <w:rPr>
          <w:rFonts w:ascii="Arial" w:cs="Arial" w:eastAsia="Arial" w:hAnsi="Arial"/>
          <w:sz w:val="16"/>
          <w:szCs w:val="16"/>
          <w:color w:val="231F20"/>
        </w:rPr>
        <w:t xml:space="preserve">benefits as a result of the lapse of the statute of limitations partially offset by state taxes. </w:t>
      </w:r>
      <w:r>
        <w:rPr>
          <w:rFonts w:ascii="Arial" w:cs="Arial" w:eastAsia="Arial" w:hAnsi="Arial"/>
          <w:sz w:val="16"/>
          <w:szCs w:val="16"/>
          <w:color w:val="000000"/>
        </w:rPr>
        <w:t>For the year ended December 31, 2015, the provision for income</w:t>
      </w:r>
      <w:r>
        <w:rPr>
          <w:rFonts w:ascii="Arial" w:cs="Arial" w:eastAsia="Arial" w:hAnsi="Arial"/>
          <w:sz w:val="16"/>
          <w:szCs w:val="16"/>
          <w:color w:val="231F20"/>
        </w:rPr>
        <w:t xml:space="preserve"> </w:t>
      </w:r>
      <w:r>
        <w:rPr>
          <w:rFonts w:ascii="Arial" w:cs="Arial" w:eastAsia="Arial" w:hAnsi="Arial"/>
          <w:sz w:val="16"/>
          <w:szCs w:val="16"/>
          <w:color w:val="000000"/>
        </w:rPr>
        <w:t>taxes relates to state taxes. The Company's effective tax rate for the years ended December 31, 2017, 2016 and 2015 differed from the federal statutory rate predominately due to CCIC's REIT status, including the dividends paid deduction (see notes 1 and 2), and the aforementioned impacts described above.</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As of December 31, 2017, there were no unrecognized tax benefits that would impact the effective tax rate, if recognized.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From time to time, the Company is subject to examinations by various tax authorities in jurisdictions in which the Company has business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The Company regularly assesses the likelihood of additional assessments in each of the tax jurisdictions resulting from these examinations. At this time,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231F20"/>
        </w:rPr>
        <w:t>CCIC is not subject to an Internal Revenue Service examination.</w:t>
      </w:r>
    </w:p>
    <w:p>
      <w:pPr>
        <w:spacing w:after="0" w:line="369" w:lineRule="exact"/>
        <w:rPr>
          <w:sz w:val="20"/>
          <w:szCs w:val="20"/>
          <w:color w:val="auto"/>
        </w:rPr>
      </w:pPr>
    </w:p>
    <w:p>
      <w:pPr>
        <w:ind w:left="420" w:hanging="412"/>
        <w:spacing w:after="0"/>
        <w:tabs>
          <w:tab w:leader="none" w:pos="4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financial position or results of operations. </w:t>
      </w:r>
      <w:r>
        <w:rPr>
          <w:rFonts w:ascii="Arial" w:cs="Arial" w:eastAsia="Arial" w:hAnsi="Arial"/>
          <w:sz w:val="18"/>
          <w:szCs w:val="18"/>
          <w:color w:val="000000"/>
        </w:rPr>
        <w:t>See note 9 for a discussion of the operating lease commitments.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Asset Retirement Obligations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Pursuant to its ground lease and easement agreements, the Company has the obligation to perform certain asset retirement activities, including requirements upon contract or easement termination to remove communications infrastructure or remediate the land upon which communications infrastructure resides. Accretion expense related to liabilities for retirement obligations amounted to $0.2 million, $0.1 million, and $0.1 million for the years ended December 31, 2017, 2016, and 2015, respectively. As of December 31, 2017 and 2016, liabilities for retirement obligations amounted to $1.8 million and $1.7 million, respectively, representing the net present value of the estimated expected future cash outlay. As of December 31, 2017, the estimated undiscounted future cash outlay for asset retirement obligations was approximately $18 million. See note 2.</w:t>
      </w:r>
    </w:p>
    <w:p>
      <w:pPr>
        <w:spacing w:after="0" w:line="337" w:lineRule="exact"/>
        <w:rPr>
          <w:sz w:val="20"/>
          <w:szCs w:val="20"/>
          <w:color w:val="auto"/>
        </w:rPr>
      </w:pPr>
    </w:p>
    <w:p>
      <w:pPr>
        <w:ind w:left="420" w:right="9660" w:hanging="412"/>
        <w:spacing w:after="0" w:line="528" w:lineRule="auto"/>
        <w:tabs>
          <w:tab w:leader="none" w:pos="420"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Leases </w:t>
      </w:r>
      <w:r>
        <w:rPr>
          <w:rFonts w:ascii="Arial" w:cs="Arial" w:eastAsia="Arial" w:hAnsi="Arial"/>
          <w:sz w:val="15"/>
          <w:szCs w:val="15"/>
          <w:b w:val="1"/>
          <w:bCs w:val="1"/>
          <w:i w:val="1"/>
          <w:iCs w:val="1"/>
          <w:color w:val="231F20"/>
        </w:rPr>
        <w:t>Tenant Leases</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The following table is a summary of the rental cash payments owed to the Company, as a lessor, by tenants pursuant to contractual agreements in effect as of December 31, 2017. Generally, the Company's leases with its tenants provide for (1) annual escalations, (2) multiple renewal periods at the tenant's option, and (3) only limited termination rights at the applicable tenant's option through the current term. As of December 31, 2017, the weighted-average remaining term (calculated by weighting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121" w:right="239" w:bottom="1440" w:gutter="0" w:footer="0" w:header="0"/>
        </w:sectPr>
      </w:pPr>
    </w:p>
    <w:bookmarkStart w:id="57" w:name="page58"/>
    <w:bookmarkEnd w:id="57"/>
    <w:p>
      <w:pPr>
        <w:ind w:left="4060"/>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remaining term for each lease by the related site rental revenue) of tenant leases is approximately six years, exclusive of renewals at the tenant's option. The tenants' rental payments included in the table below are through the current terms with a maximum current term of 20 years and do not assume exercise of tenant renewal options.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Tenant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32,761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32,649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32,879</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32,244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29,139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65,612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225,284</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Operating Leases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231F20"/>
        </w:rPr>
        <w:t xml:space="preserve">The following table is a summary of rental cash payments owed by the Company, as lessee, to landlords pursuant to contractual agreements in effect as of December 31, 2017. The Company is obligated under non-cancelable operating leases for land interests under approximately 85% of its sites. The majority of these operating lease agreements have (1) certain termination rights that provide for cancellation after a notice period, (2) multiple renewal options at the Company's option, and (3) annual escalations. Lease agreements may also contain provisions for a contingent payment based on revenues or the gross margin derived from the tower located on the leased land interest. More than 95% and more than 85% the Company's </w:t>
      </w:r>
      <w:r>
        <w:rPr>
          <w:rFonts w:ascii="Arial" w:cs="Arial" w:eastAsia="Arial" w:hAnsi="Arial"/>
          <w:sz w:val="17"/>
          <w:szCs w:val="17"/>
          <w:color w:val="000000"/>
        </w:rPr>
        <w:t>sites are under the Company's control for</w:t>
      </w:r>
      <w:r>
        <w:rPr>
          <w:rFonts w:ascii="Arial" w:cs="Arial" w:eastAsia="Arial" w:hAnsi="Arial"/>
          <w:sz w:val="17"/>
          <w:szCs w:val="17"/>
          <w:color w:val="231F20"/>
        </w:rPr>
        <w:t xml:space="preserve"> </w:t>
      </w:r>
      <w:r>
        <w:rPr>
          <w:rFonts w:ascii="Arial" w:cs="Arial" w:eastAsia="Arial" w:hAnsi="Arial"/>
          <w:sz w:val="17"/>
          <w:szCs w:val="17"/>
          <w:color w:val="000000"/>
        </w:rPr>
        <w:t xml:space="preserve">greater than 10 and 20 years, respectively, including renewals at the Company's option. </w:t>
      </w:r>
      <w:r>
        <w:rPr>
          <w:rFonts w:ascii="Arial" w:cs="Arial" w:eastAsia="Arial" w:hAnsi="Arial"/>
          <w:sz w:val="17"/>
          <w:szCs w:val="17"/>
          <w:color w:val="231F20"/>
        </w:rPr>
        <w:t>The operating lease payments included in the table below include</w:t>
      </w:r>
      <w:r>
        <w:rPr>
          <w:rFonts w:ascii="Arial" w:cs="Arial" w:eastAsia="Arial" w:hAnsi="Arial"/>
          <w:sz w:val="17"/>
          <w:szCs w:val="17"/>
          <w:color w:val="000000"/>
        </w:rPr>
        <w:t xml:space="preserve"> </w:t>
      </w:r>
      <w:r>
        <w:rPr>
          <w:rFonts w:ascii="Arial" w:cs="Arial" w:eastAsia="Arial" w:hAnsi="Arial"/>
          <w:sz w:val="17"/>
          <w:szCs w:val="17"/>
          <w:color w:val="231F20"/>
        </w:rPr>
        <w:t>payments for certain renewal periods at the Company's option up to the estimated tower useful life of 20 years and an estimate of contingent payments based on revenues and gross margins derived from existing tenant leases. See also note 6.</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5,050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5,173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5,184</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4,978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70,676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96,143</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Rental expense from operating leases was </w:t>
      </w:r>
      <w:r>
        <w:rPr>
          <w:rFonts w:ascii="Arial" w:cs="Arial" w:eastAsia="Arial" w:hAnsi="Arial"/>
          <w:sz w:val="18"/>
          <w:szCs w:val="18"/>
          <w:color w:val="000000"/>
        </w:rPr>
        <w:t>$5.0 million</w:t>
      </w:r>
      <w:r>
        <w:rPr>
          <w:rFonts w:ascii="Arial" w:cs="Arial" w:eastAsia="Arial" w:hAnsi="Arial"/>
          <w:sz w:val="18"/>
          <w:szCs w:val="18"/>
          <w:color w:val="231F20"/>
        </w:rPr>
        <w:t xml:space="preserve">, </w:t>
      </w:r>
      <w:r>
        <w:rPr>
          <w:rFonts w:ascii="Arial" w:cs="Arial" w:eastAsia="Arial" w:hAnsi="Arial"/>
          <w:sz w:val="18"/>
          <w:szCs w:val="18"/>
          <w:color w:val="000000"/>
        </w:rPr>
        <w:t>$4.9 million</w:t>
      </w:r>
      <w:r>
        <w:rPr>
          <w:rFonts w:ascii="Arial" w:cs="Arial" w:eastAsia="Arial" w:hAnsi="Arial"/>
          <w:sz w:val="18"/>
          <w:szCs w:val="18"/>
          <w:color w:val="231F20"/>
        </w:rPr>
        <w:t xml:space="preserve">, and </w:t>
      </w:r>
      <w:r>
        <w:rPr>
          <w:rFonts w:ascii="Arial" w:cs="Arial" w:eastAsia="Arial" w:hAnsi="Arial"/>
          <w:sz w:val="18"/>
          <w:szCs w:val="18"/>
          <w:color w:val="000000"/>
        </w:rPr>
        <w:t>$4.8 million</w:t>
      </w:r>
      <w:r>
        <w:rPr>
          <w:rFonts w:ascii="Arial" w:cs="Arial" w:eastAsia="Arial" w:hAnsi="Arial"/>
          <w:sz w:val="18"/>
          <w:szCs w:val="18"/>
          <w:color w:val="231F20"/>
        </w:rPr>
        <w:t xml:space="preserve"> for the years ended December 31, 2017, 2016, and 2015, respectively. The rental expense was inclusive of contingent payments based on revenues or gross margin derived from the tower located on the leased land of </w:t>
      </w:r>
      <w:r>
        <w:rPr>
          <w:rFonts w:ascii="Arial" w:cs="Arial" w:eastAsia="Arial" w:hAnsi="Arial"/>
          <w:sz w:val="18"/>
          <w:szCs w:val="18"/>
          <w:color w:val="000000"/>
        </w:rPr>
        <w:t>$1.2 million</w:t>
      </w:r>
      <w:r>
        <w:rPr>
          <w:rFonts w:ascii="Arial" w:cs="Arial" w:eastAsia="Arial" w:hAnsi="Arial"/>
          <w:sz w:val="18"/>
          <w:szCs w:val="18"/>
          <w:color w:val="231F20"/>
        </w:rPr>
        <w:t>,</w:t>
      </w:r>
      <w:r>
        <w:rPr>
          <w:rFonts w:ascii="Arial" w:cs="Arial" w:eastAsia="Arial" w:hAnsi="Arial"/>
          <w:sz w:val="18"/>
          <w:szCs w:val="18"/>
          <w:color w:val="000000"/>
        </w:rPr>
        <w:t xml:space="preserve"> $1.1 million</w:t>
      </w:r>
      <w:r>
        <w:rPr>
          <w:rFonts w:ascii="Arial" w:cs="Arial" w:eastAsia="Arial" w:hAnsi="Arial"/>
          <w:sz w:val="18"/>
          <w:szCs w:val="18"/>
          <w:color w:val="231F20"/>
        </w:rPr>
        <w:t>, and</w:t>
      </w:r>
      <w:r>
        <w:rPr>
          <w:rFonts w:ascii="Arial" w:cs="Arial" w:eastAsia="Arial" w:hAnsi="Arial"/>
          <w:sz w:val="18"/>
          <w:szCs w:val="18"/>
          <w:color w:val="000000"/>
        </w:rPr>
        <w:t xml:space="preserve"> $1.1 million </w:t>
      </w:r>
      <w:r>
        <w:rPr>
          <w:rFonts w:ascii="Arial" w:cs="Arial" w:eastAsia="Arial" w:hAnsi="Arial"/>
          <w:sz w:val="18"/>
          <w:szCs w:val="18"/>
          <w:color w:val="231F20"/>
        </w:rPr>
        <w:t>for the years ended December 31, 2017, 2016, and 2015, respectively.</w:t>
      </w:r>
    </w:p>
    <w:p>
      <w:pPr>
        <w:spacing w:after="0" w:line="339"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231F20"/>
        </w:rPr>
        <w:t>The financial instrument that potentially subjects the Company to concentrations of credit risk is primarily trade receivables.</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The Company derives the largest portion of its revenues from customers in the wireless industry. The Company also has a concentration in its volume of business with T-Mobile, AT&amp;T, Sprint, and Verizon Wireless that accounts for a significant portion of the Company's revenues, receivables, and deferred site rental receivables. The Company mitigates its concentrations of credit risk with respect to trade receivables by actively monitoring the creditworthiness of its tenants, the use of tenant contracts with contractually determinable payment terms, and proactive management of past due balances.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Major Customers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percentage of the Company's revenues for those tenants accounting for more than 10% of the Company's revenues.</w:t>
      </w:r>
    </w:p>
    <w:p>
      <w:pPr>
        <w:spacing w:after="0" w:line="186"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23495</wp:posOffset>
            </wp:positionV>
            <wp:extent cx="30270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2015</w:t>
            </w:r>
          </w:p>
        </w:tc>
      </w:tr>
      <w:tr>
        <w:trPr>
          <w:trHeight w:val="236"/>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T-Mobile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AT&amp;T</w:t>
            </w:r>
          </w:p>
        </w:tc>
        <w:tc>
          <w:tcPr>
            <w:tcW w:w="4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6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Sprint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Verizon Wireless</w:t>
            </w:r>
          </w:p>
        </w:tc>
        <w:tc>
          <w:tcPr>
            <w:tcW w:w="4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6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121" w:right="23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8"/>
          <w:szCs w:val="18"/>
          <w:b w:val="1"/>
          <w:bCs w:val="1"/>
          <w:color w:val="auto"/>
        </w:rPr>
        <w:t>GLOBAL SIGNAL ACQUISITIONS II LLC</w:t>
      </w:r>
    </w:p>
    <w:p>
      <w:pPr>
        <w:sectPr>
          <w:pgSz w:w="11900" w:h="16838" w:orient="portrait"/>
          <w:cols w:equalWidth="0" w:num="1">
            <w:col w:w="9019"/>
          </w:cols>
          <w:pgMar w:left="1440" w:top="580" w:right="1440"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December 31, 2017, 2016 and 2015</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9019"/>
          </w:cols>
          <w:pgMar w:left="1440" w:top="580" w:right="1440" w:bottom="1440" w:gutter="0" w:footer="0" w:header="0"/>
          <w:type w:val="continuous"/>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CC Holdings GS V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balance sheets of Global Signal Acquisitions II LLC as of December 31, 2017 and 2016, and the related statements of operations, cash flows and changes in member’s equity for each of the three years in the period ended December 31, 2017, including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of these financial statements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580"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r>
      <w:tr>
        <w:trPr>
          <w:trHeight w:val="236"/>
        </w:trPr>
        <w:tc>
          <w:tcPr>
            <w:tcW w:w="8800" w:type="dxa"/>
            <w:vAlign w:val="bottom"/>
            <w:tcBorders>
              <w:bottom w:val="single" w:sz="8" w:color="CCEEFF"/>
            </w:tcBorders>
            <w:shd w:val="clear" w:color="auto" w:fill="CCEEFF"/>
          </w:tcPr>
          <w:p>
            <w:pPr>
              <w:ind w:left="410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19,550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Receivables, net of allowance of $289 and $609, respectively</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938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653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21,583</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16,951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14,155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70,491</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56,077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238,401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248,324</w:t>
            </w:r>
          </w:p>
        </w:tc>
      </w:tr>
      <w:tr>
        <w:trPr>
          <w:trHeight w:val="237"/>
        </w:trPr>
        <w:tc>
          <w:tcPr>
            <w:tcW w:w="88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635,135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667,020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642,545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642,545</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Site rental contracts and customer relationships,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419,374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476,738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16,049</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Long-term prepaid rent and other assets,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30,049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27,294</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2,050,507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2,134,047</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0"/>
        </w:trPr>
        <w:tc>
          <w:tcPr>
            <w:tcW w:w="8800" w:type="dxa"/>
            <w:vAlign w:val="bottom"/>
            <w:tcBorders>
              <w:bottom w:val="single" w:sz="8" w:color="CCEEFF"/>
            </w:tcBorders>
            <w:shd w:val="clear" w:color="auto" w:fill="CCEEFF"/>
          </w:tcPr>
          <w:p>
            <w:pPr>
              <w:ind w:left="336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Deferred revenues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6,451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7,072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5,662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6,098</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13,186</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14,600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ground lease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96,828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91,787</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Above-market leases and other liabilities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35,948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35,486</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145,962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141,873</w:t>
            </w:r>
          </w:p>
        </w:tc>
      </w:tr>
      <w:tr>
        <w:trPr>
          <w:trHeight w:val="231"/>
        </w:trPr>
        <w:tc>
          <w:tcPr>
            <w:tcW w:w="8800" w:type="dxa"/>
            <w:vAlign w:val="bottom"/>
          </w:tcPr>
          <w:p>
            <w:pPr>
              <w:spacing w:after="0"/>
              <w:rPr>
                <w:sz w:val="20"/>
                <w:szCs w:val="20"/>
                <w:color w:val="auto"/>
              </w:rPr>
            </w:pPr>
            <w:r>
              <w:rPr>
                <w:rFonts w:ascii="Arial" w:cs="Arial" w:eastAsia="Arial" w:hAnsi="Arial"/>
                <w:sz w:val="16"/>
                <w:szCs w:val="16"/>
                <w:color w:val="auto"/>
              </w:rPr>
              <w:t>Commitments and contingencies (note 8)</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Member's equity</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1,904,545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1,992,174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earnings (deficit)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member's equity</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1,904,545</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1,992,174</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2,050,507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2,134,047</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580"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Site rental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411,669</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409,102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410,057</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4"/>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109,956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109,227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108,082</w:t>
            </w:r>
          </w:p>
        </w:tc>
      </w:tr>
      <w:tr>
        <w:trPr>
          <w:trHeight w:val="270"/>
        </w:trPr>
        <w:tc>
          <w:tcPr>
            <w:tcW w:w="674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Site rental cost of operations—related parties</w:t>
            </w:r>
            <w:r>
              <w:rPr>
                <w:rFonts w:ascii="Arial" w:cs="Arial" w:eastAsia="Arial" w:hAnsi="Arial"/>
                <w:sz w:val="21"/>
                <w:szCs w:val="21"/>
                <w:color w:val="auto"/>
                <w:vertAlign w:val="superscript"/>
              </w:rPr>
              <w:t>(a)</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33,498</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31,080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29,323</w:t>
            </w:r>
          </w:p>
        </w:tc>
      </w:tr>
      <w:tr>
        <w:trPr>
          <w:trHeight w:val="25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143,454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140,307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137,405</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Management fee—related party</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31,438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30,459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29,543</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Asset write-down charges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2,323</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122,513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122,444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121,237</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297,405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295,282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290,508</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114,264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113,820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119,549</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114,693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113,683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119,185</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767</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115,150</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114,088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119,952</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580" w:right="23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115,150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114,088</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119,952</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Depreciation, amortization and accretion</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122,513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122,444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121,237</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Asset write-down charges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2,323</w:t>
            </w: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Increase (decrease) in 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246</w:t>
            </w:r>
          </w:p>
        </w:tc>
      </w:tr>
      <w:tr>
        <w:trPr>
          <w:trHeight w:val="237"/>
        </w:trPr>
        <w:tc>
          <w:tcPr>
            <w:tcW w:w="7380" w:type="dxa"/>
            <w:vAlign w:val="bottom"/>
          </w:tcPr>
          <w:p>
            <w:pPr>
              <w:ind w:left="700"/>
              <w:spacing w:after="0"/>
              <w:rPr>
                <w:sz w:val="20"/>
                <w:szCs w:val="20"/>
                <w:color w:val="auto"/>
              </w:rPr>
            </w:pPr>
            <w:r>
              <w:rPr>
                <w:rFonts w:ascii="Arial" w:cs="Arial" w:eastAsia="Arial" w:hAnsi="Arial"/>
                <w:sz w:val="16"/>
                <w:szCs w:val="16"/>
                <w:color w:val="auto"/>
              </w:rPr>
              <w:t>Increase (decrease) in deferred revenues, deferred ground lease payable and other liabilities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2,740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4,322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4,609</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Decrease (increase) in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1,187</w:t>
            </w:r>
          </w:p>
        </w:tc>
      </w:tr>
      <w:tr>
        <w:trPr>
          <w:trHeight w:val="220"/>
        </w:trPr>
        <w:tc>
          <w:tcPr>
            <w:tcW w:w="7380" w:type="dxa"/>
            <w:vAlign w:val="bottom"/>
          </w:tcPr>
          <w:p>
            <w:pPr>
              <w:ind w:left="700"/>
              <w:spacing w:after="0"/>
              <w:rPr>
                <w:sz w:val="20"/>
                <w:szCs w:val="20"/>
                <w:color w:val="auto"/>
              </w:rPr>
            </w:pPr>
            <w:r>
              <w:rPr>
                <w:rFonts w:ascii="Arial" w:cs="Arial" w:eastAsia="Arial" w:hAnsi="Arial"/>
                <w:sz w:val="16"/>
                <w:szCs w:val="16"/>
                <w:color w:val="auto"/>
                <w:w w:val="92"/>
              </w:rPr>
              <w:t>Decrease (increase) in other current assets, deferred site rental receivable, long-term prepaid rent and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7380" w:type="dxa"/>
            <w:vAlign w:val="bottom"/>
          </w:tcPr>
          <w:p>
            <w:pPr>
              <w:ind w:left="86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6,219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(15,445)</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245,975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239,909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234,109</w:t>
            </w:r>
          </w:p>
        </w:tc>
      </w:tr>
      <w:tr>
        <w:trPr>
          <w:trHeight w:val="231"/>
        </w:trPr>
        <w:tc>
          <w:tcPr>
            <w:tcW w:w="73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(31,975)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(54,163)</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(31,975)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(29,364)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(54,163)</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Distributions to member</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(202,779)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(211,396)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(185,776)</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(202,779)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(211,396)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(185,776)</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11,221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(5,830)</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26,231</w:t>
            </w:r>
          </w:p>
        </w:tc>
      </w:tr>
      <w:tr>
        <w:trPr>
          <w:trHeight w:val="244"/>
        </w:trPr>
        <w:tc>
          <w:tcPr>
            <w:tcW w:w="738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30,771</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19,550</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20,401</w:t>
            </w:r>
          </w:p>
        </w:tc>
      </w:tr>
      <w:tr>
        <w:trPr>
          <w:trHeight w:val="20"/>
        </w:trPr>
        <w:tc>
          <w:tcPr>
            <w:tcW w:w="7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60"/>
          </w:cols>
          <w:pgMar w:left="280" w:top="580" w:right="2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Member's Equity</w:t>
            </w: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2014</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2,083,747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71,559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2,155,306</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(185,776)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(185,776)</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119,952</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119,952</w:t>
            </w: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at December 31, 2015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2,083,747</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5,735</w:t>
            </w:r>
          </w:p>
        </w:tc>
        <w:tc>
          <w:tcPr>
            <w:tcW w:w="2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2,089,482</w:t>
            </w: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(91,573)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(119,823)</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(211,396)</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114,088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114,088</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1,992,174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1,992,174</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(87,629)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(115,150)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(202,779)</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115,150</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115,150</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at December 31,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1,904,545</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1,904,545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58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accompanying financial statements reflect the financial position, results of operations, and cash flows of Global Signal Acquisitions II LLC ("Company"). The Company is a wholly-owned subsidiary of CC Holdings GS V LLC ("CCL"), which is an indirect, wholly-owned subsidiary of Crown Castle International Corp., a Delaware corporation ("CCIC" or "Crown Castle"). As used herein, the term "including," and any variation thereof means "including without limitations." The use of the word "or" herein is not exclusive.</w:t>
      </w:r>
    </w:p>
    <w:p>
      <w:pPr>
        <w:spacing w:after="0" w:line="1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is organized specifically to own, lease, and manage towers and other structures (collectively, "towers") and to a lesser extent, interests in land under third party and related party towers in various forms ("land interests") (collectively, "communications infrastructure" or "sites") that are geographically dispersed across the United States ("U.S."). The Company's core business is providing access, including space or capacity, to its sites via long-term contracts in various forms, including licenses, subleases, and lease agreements (collectively, "contracts").</w:t>
      </w:r>
    </w:p>
    <w:p>
      <w:pPr>
        <w:spacing w:after="0" w:line="1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Virtually all of the Company's sites are leased or subleased or operated or managed for an initial period under master lease and sublease agreements, including the master lease and sublease agreements, and other agreements with Sprint ("Sprint Sites"). In 2037, CCIC, through its subsidiaries (including the Company), has the option to purchase all (but not less than all) of the leased and subleased Sprint towers from Sprint for approximately $2.3 billion. CCIC has no obligation to exercise the purchase option. Management services related to communications towers and other communication sites are performed by Crown Castle USA Inc. ("CCUSA"), an affiliate of the Company, under a management agreement, as the Company has no employees.</w:t>
      </w:r>
    </w:p>
    <w:p>
      <w:pPr>
        <w:spacing w:after="0" w:line="10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U.S. federal income tax purposes, CCIC operates as a real estate investment trust ("REIT"), and as its indirect subsidiary, the Company's assets and operations are included in the CCIC REIT. See notes 2 and 7.</w:t>
      </w:r>
    </w:p>
    <w:p>
      <w:pPr>
        <w:spacing w:after="0" w:line="1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use assumptions that affect the reported amounts of assets and liabilities and the disclosure for contingent assets and liabilities at the date of the financial statements as well as the reported amounts of revenues and expenses during the reporting period. Actual results could differ from these estimates.</w:t>
      </w:r>
    </w:p>
    <w:p>
      <w:pPr>
        <w:spacing w:after="0" w:line="305" w:lineRule="exact"/>
        <w:rPr>
          <w:sz w:val="20"/>
          <w:szCs w:val="20"/>
          <w:color w:val="auto"/>
        </w:rPr>
      </w:pPr>
    </w:p>
    <w:p>
      <w:pPr>
        <w:ind w:left="420" w:right="7620" w:hanging="412"/>
        <w:spacing w:after="0" w:line="440" w:lineRule="auto"/>
        <w:tabs>
          <w:tab w:leader="none" w:pos="4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Receivables Allowance</w:t>
      </w:r>
    </w:p>
    <w:p>
      <w:pPr>
        <w:spacing w:after="0" w:line="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An allowance for doubtful accounts is recorded as an offset to accounts receivable. The Company uses judgment in estimating this allowance and considers historical collections, current credit status or contractual provisions. Additions to the allowance for doubtful accounts are charged to "site rental cost of operations" and deductions from the allowance are recorded when specific accounts receivable are written off as uncollectible.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 Accounting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 classifies its leases at inception as either operating leases or capital leases. A lease is classified as a capital lease if at least one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 subject to certain exceptions noted below: (1) the lease transfers ownership of the leased assets to the lessee, (2) there is a bargain purchase option, (3) the lease term is equal to 75% or more of the economic life of the leased assets, or (4) the present value of the minimum lease payments equals or exceeds 90% of the fair value of the leased assets.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Lessee. </w:t>
      </w:r>
      <w:r>
        <w:rPr>
          <w:rFonts w:ascii="Arial" w:cs="Arial" w:eastAsia="Arial" w:hAnsi="Arial"/>
          <w:sz w:val="18"/>
          <w:szCs w:val="18"/>
          <w:color w:val="auto"/>
        </w:rPr>
        <w:t>Leases for land are evaluated for capital lease treatment if at least one of the first two criteria mentioned in the immediately preceding paragraph</w:t>
      </w:r>
      <w:r>
        <w:rPr>
          <w:rFonts w:ascii="Arial" w:cs="Arial" w:eastAsia="Arial" w:hAnsi="Arial"/>
          <w:sz w:val="18"/>
          <w:szCs w:val="18"/>
          <w:i w:val="1"/>
          <w:iCs w:val="1"/>
          <w:color w:val="auto"/>
        </w:rPr>
        <w:t xml:space="preserve"> </w:t>
      </w:r>
      <w:r>
        <w:rPr>
          <w:rFonts w:ascii="Arial" w:cs="Arial" w:eastAsia="Arial" w:hAnsi="Arial"/>
          <w:sz w:val="18"/>
          <w:szCs w:val="18"/>
          <w:color w:val="auto"/>
        </w:rPr>
        <w:t>is present relating to the leased assets. When the Company, as lessee, classifies a lease as a capital lease, it records an asset in an amount equal to the present value of the minimum lease payments under the lease at the beginning of the lease term. Applicable operating leases are recognized on a straight-line basis as discussed under "</w:t>
      </w:r>
      <w:r>
        <w:rPr>
          <w:rFonts w:ascii="Arial" w:cs="Arial" w:eastAsia="Arial" w:hAnsi="Arial"/>
          <w:sz w:val="18"/>
          <w:szCs w:val="18"/>
          <w:i w:val="1"/>
          <w:iCs w:val="1"/>
          <w:color w:val="auto"/>
        </w:rPr>
        <w:t>Costs of Operations</w:t>
      </w:r>
      <w:r>
        <w:rPr>
          <w:rFonts w:ascii="Arial" w:cs="Arial" w:eastAsia="Arial" w:hAnsi="Arial"/>
          <w:sz w:val="18"/>
          <w:szCs w:val="18"/>
          <w:color w:val="auto"/>
        </w:rPr>
        <w:t>" below.</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Lessor. </w:t>
      </w:r>
      <w:r>
        <w:rPr>
          <w:rFonts w:ascii="Arial" w:cs="Arial" w:eastAsia="Arial" w:hAnsi="Arial"/>
          <w:sz w:val="18"/>
          <w:szCs w:val="18"/>
          <w:color w:val="auto"/>
        </w:rPr>
        <w:t>If the Company is the lessor of leased property that is part of a larger whole (including with respect to a portion of space on a tower)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fair value is not objectively determinable, then such lease is accounted for as an operating lease. As applicable, operating leases are recognized on a straight-line basis as discussed under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8"/>
          <w:szCs w:val="18"/>
          <w:color w:val="auto"/>
        </w:rPr>
        <w:t>ee also</w:t>
      </w:r>
      <w:r>
        <w:rPr>
          <w:rFonts w:ascii="Arial" w:cs="Arial" w:eastAsia="Arial" w:hAnsi="Arial"/>
          <w:sz w:val="18"/>
          <w:szCs w:val="18"/>
          <w:i w:val="1"/>
          <w:iCs w:val="1"/>
          <w:color w:val="auto"/>
        </w:rPr>
        <w:t xml:space="preserve"> "Recent Accounting Pronouncements Not Yet Adopted" </w:t>
      </w:r>
      <w:r>
        <w:rPr>
          <w:rFonts w:ascii="Arial" w:cs="Arial" w:eastAsia="Arial" w:hAnsi="Arial"/>
          <w:sz w:val="18"/>
          <w:szCs w:val="18"/>
          <w:color w:val="auto"/>
        </w:rPr>
        <w:t>below for further discussion.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Property and equipment is stated at cost, net of accumulated depreciation. Property and equipment includes land owned in fee and perpetual easements for land, which have no definite life. When the Company purchases fee ownership or perpetual easements for the land previously subject to ground lease, the Company reduces the value recorded as land by the amount of any associated deferred ground lease payable or unamortized above-market leases. Depreciation is computed utilizing the straight-line method at rates based upon the estimated useful lives of the various classes of assets. Depreciation of communications infrastructure is generally computed with a useful life equal to the shorter of 20 years or the term of the underlying ground lease (including optional renewal periods). Additions, renewals, or improvements are capitalized, while maintenance and repairs are expensed. The carrying value of property and equipment will be reviewed for impairment whenever events or changes in circumstances indicate that the carrying amount of the assets may not be recoverable.</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Abandonments and write-offs of property and equipment are recorded to "asset write-down charges" on the Company's statement of operations and were $1.9 million and $1.7 million for the years ended December 31, 2016 and 2015,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its ground lease and easement agreements, the Company records obligations to perform asset retirement activities, including requirements to remove communications infrastructure or remediate the land upon which the Company's communications infrastructure resides. With respect to Sprint Sites, the Company does not have retirement obligations to the extent such retirement would occur beyond the period for which it has a contract term. Asset retirement obligations are included in "above-market leases and other liabilities" on the Company's balance sheet. The liability accretes as a result of the passage of time and the related accretion expense is included in "depreciation, amortization, and accretion" expense on the Company's statement of operations. The associated asset retirement costs are capitalized as an additional carrying amount of the related long-lived asset and depreciated over the useful life of such asset.</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Goodwill represents the excess of the purchase price for an acquired business over the allocated value of the related net assets. The Company tests goodwill for impairment on an annual basis, regardless of whether adverse events or changes in circumstances have occurred. The annual test begins with goodwill and all intangible assets being allocated to applicable reporting units. The Company then performs a qualitative assessment to determine whether it is "more likely than not" that the fair value of the reporting units is less than its carrying amount. If it is concluded that it is "more likely than not" that the fair value of a reporting unit is less than its carrying amount, it is necessary to perform the two-step goodwill impairment test. The two-step goodwill impairment test begins with a comparison of the estimated fair value of the reporting unit and the carrying value of the reporting unit. The first step, commonly referred to as a "step-one impairment test," is a screen for potential impairment while the second step measures the amount of any impairment if there is an indication from the first step that one exists. The Company's measurement of the fair value for goodwill is based on an estimate of discounted expected future cash flows of the reporting unit. The Company has one reporting unit for goodwill impairment testing. The Company performed its most recent annual goodwill impairment test as of October 1, 2017, which resulted in no impairments.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Intangible assets are included in "site rental contracts and customer relationships, net" and "other intangible assets, net" on the Company's balance sheet and predominately consist of the estimated fair value of the following items recorded in conjunction with acquisitions: (1) site rental contracts and customer relationships or (2) below-market leases for land interests under the acquired towers classified as "other intangible assets, net." The site rental contracts and customer relationships intangible assets are comprised of (1) the current term of the existing contracts, (2) the expected exercise of the renewal provisions contained within the existing contracts, which automatically occur under contractual provisions, or (3) any associated relationships that are expected to generate value following the expiration of all renewal periods under existing contracts.</w:t>
      </w:r>
    </w:p>
    <w:p>
      <w:pPr>
        <w:spacing w:after="0" w:line="12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useful lives of intangible assets are estimated based on the period over which the intangible asset is expected to benefit the Company, which is calculated on an individual tenant basis, considering, among other things, the contractual provisions with the tenant and gives consideration to the expected useful life of other assets to which the useful life may relate. Amortization expense for intangible assets is computed using the straight-line method over the estimated useful life of each of the intangible assets. The useful life of the site rental contracts and customer relationships intangible asset is limited by the maximum depreciable life of the tower (20 years), as a result of the interdependency of the tower and site rental contracts and customer relationships. In contrast, the site rental contracts and customer relationships are estimated to provide economic benefits for several decades because of the low rate of tenant cancellations and high rate of renewals experienced to date. Thus, while site rental contracts and customer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relationships are valued based upon the fair value, which includes assumptions regarding both (1) customers' exercise of optional renewals contained in the acquired contracts and (2) renewals of the acquired contracts past the contractual term including exercisable options, the site rental contracts, and customer relationships are amortized over a period not to exceed 20 years as a result of the useful life being limited by the depreciable life of the sites.</w:t>
      </w:r>
    </w:p>
    <w:p>
      <w:pPr>
        <w:spacing w:after="0" w:line="11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the site rental contracts and customer relationships intangible assets. First, the Company pools the site rental contracts and customer relationships with the related tower assets into portfolio groups for purposes of determining the unit of account for impairment testing. Second and separately, the Company evaluates the site rental contracts and customer relationships by significant tenant or by tenant grouping for individually insignificant tenants, as appropriate. If the sum of the estimated future cash flows (undiscounted) expected to result from the use or eventual disposition of an asset is less than the carrying amount of the asset, an impairment loss is recognized. Measurement of an impairment loss is based on the fair value of the asset.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Above-market Leases</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Above-market leases consist of the estimated fair value of above-market leases for land interests under the Company's towers. Above-market leases for land interests are amortized to costs of operations over their respective estimated remaining contract term at the acquisition date.</w:t>
      </w: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Site rental revenues are recognized on a monthly basis over the fixed, non-cancelable term of the relevant contract (generally ranging from five to 15 years), regardless of whether the payments from the tenant are received in equal monthly amounts. The Company's contracts contain fixed escalation clauses (such as fixed dollar or fixed percentage increases) or inflation-based escalation clauses (such as those tied to the consumer price index ("CPI")). If the payment terms call for fixed escalations, upfront payments, or rent-free periods, the revenue is recognized on a straight-line basis over the fixed, non-cancelable term of the agreement. When calculating straight-line rental revenues, the Company considers all fixed elements of tenant contractual escalation provisions, even if such escalation provisions contain a variable element in addition to a minimum. The Company's assets related to straight-line site rental revenues are included in "deferred site rental receivables." Amounts billed or received prior to being earned are deferred and reflected in "deferred revenues" on the Company's balance sheet.</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of Operations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excess of four-fifths of the Company's site rental cost of operations consists of ground lease expenses, and the remainder includes repairs and maintenance expenses, utilities, property taxes, or insurance.</w:t>
      </w:r>
    </w:p>
    <w:p>
      <w:pPr>
        <w:spacing w:after="0" w:line="11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Generally, the ground lease agreements are specific to each site, are for an initial term of five years and are renewable for pre-determined periods. The Company also enters into term easements and ground leases in which it prepays the entire term in advance. Ground lease expense is recognized on a monthly basis, regardless of whether the contract agreement payment terms require the Company to make payments annually, quarterly, monthly, or for the entire term in advance. The Company's ground leases contain fixed escalation clauses (such as fixed dollar or fixed percentage increases) or inflation-based escalation clauses (such as those tied to the CPI). If the payment terms include fixed escalation provisions, the effect of such increases is recognized on a straight-line basis. The Company calculates the straight-line ground lease expense using a time period that equals or exceeds the remaining depreciable life of the communications infrastructure asset. Further, when a tenant has exercisable renewal options that would compel the Company to exercise existing ground lease renewal options, the Company has straight-lined the ground lease expense over a sufficient portion of such ground lease renewals to coincide with the final termination of the tenant's renewal options. The Company's policy is to record ground lease agreements with affiliates under the same or similar economic terms as the contract agreement for the land that existed prior to the purchase of such land by the affiliate.</w:t>
      </w:r>
    </w:p>
    <w:p>
      <w:pPr>
        <w:spacing w:after="0" w:line="11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Company's current liability related to straight-line ground lease expense is included in "other accrued liabilities" on the Company's consolidated balance sheet and was $1.6 million and $1.4 million for the years ended December 31, 2017 and 2016, respectively. The Company's non-current liability related to straight-line ground lease expense is included in "deferred ground lease payable" on the Company's balance sheet. The Company's assets related to prepaid ground leases is included in "prepaid expenses" and "long-term prepaid rent and other assets, net" on the Company's balance sheet. The Company's current liability related to accrued property taxes is included in "other accrued liabilities" on the Company's balance sheet and was $3.9 million and $3.5 million for the years ended December 31, 2017 and 2016,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Fee</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is charged a management fee by CCUSA, a wholly-owned, indirect subsidiary of CCIC, relating to management services, which include those functions reasonably necessary to maintain, market, operate, manage and administer the sites. The management fee is equal to 7.5% of the Company's revenues excluding the revenues related to the accounting for leases with fixed escalators as required by the applicable accounting standards. See note 6.</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231F20"/>
        </w:rPr>
        <w:t xml:space="preserve">CCIC operates as a REIT for U.S. federal income tax purposes. The Company is an indirect subsidiary of CCIC and for U.S. federal income taxes purposes the Company's assets and operations are part of the CCIC REIT. </w:t>
      </w:r>
      <w:r>
        <w:rPr>
          <w:rFonts w:ascii="Arial" w:cs="Arial" w:eastAsia="Arial" w:hAnsi="Arial"/>
          <w:sz w:val="16"/>
          <w:szCs w:val="16"/>
          <w:color w:val="000000"/>
        </w:rPr>
        <w:t>As a REIT, CCIC is generally entitled to a deduction for dividends that it pays and</w:t>
      </w:r>
      <w:r>
        <w:rPr>
          <w:rFonts w:ascii="Arial" w:cs="Arial" w:eastAsia="Arial" w:hAnsi="Arial"/>
          <w:sz w:val="16"/>
          <w:szCs w:val="16"/>
          <w:color w:val="231F20"/>
        </w:rPr>
        <w:t xml:space="preserve"> </w:t>
      </w:r>
      <w:r>
        <w:rPr>
          <w:rFonts w:ascii="Arial" w:cs="Arial" w:eastAsia="Arial" w:hAnsi="Arial"/>
          <w:sz w:val="16"/>
          <w:szCs w:val="16"/>
          <w:color w:val="000000"/>
        </w:rPr>
        <w:t>therefore is not subject to U.S. federal corporate income tax on its taxable income that is currently distributed to its stockholders. CCIC also may be subject to certain federal, state, local, and foreign taxes on its income and assets, including (1) alternative minimum taxes (repealed effective January 1, 2018), (2) taxes on any undistributed income, (3) taxes related to the CCIC's taxable REIT subsidiaries, (4) franchise taxes, (5) property taxes, and (6) transfer taxes. In addition, CCIC could in certain circumstances be required to pay an excise or penalty tax, which could be significant in amount, in order to utilize one or more relief provisions under the Internal Revenue Code of 1986, as amended ("Code") to maintain qualification for taxation as a REIT.</w:t>
      </w:r>
    </w:p>
    <w:p>
      <w:pPr>
        <w:spacing w:after="0" w:line="11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The Company does not expect the Tax Cuts and Jobs Act, which was signed into law in December 2017, to have a significant impact on its financial statements.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assets and liabilities recorded at fair value are categorized based upon a fair value hierarchy that ranks the quality and reliability of the information used to determine fair value. The three levels of the fair value hierarchy are (1) Level 1 - quoted prices (unadjusted) in active and accessible markets, (2) Level 2 - observable prices that are based on inputs not quoted in active markets but corroborated by market data, and (3) Level 3 - unobservable inputs and are not corroborated by market data. The Company evaluates fair value hierarchy level classifications quarterly, and transfers between levels are effective at the end of the quarterly period.</w:t>
      </w:r>
    </w:p>
    <w:p>
      <w:pPr>
        <w:spacing w:after="0" w:line="13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fair value of cash and cash equivalents approximates the carrying value. There were no changes since December 31, 2016 in the Company's valuation techniques used to measure fair values.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Reporting Segments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operating segment.</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 new accounting pronouncements adopted during the year ended December 31, 2017 had a material impact on the Company's financial statements.</w:t>
      </w:r>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31" w:lineRule="exact"/>
        <w:rPr>
          <w:sz w:val="20"/>
          <w:szCs w:val="20"/>
          <w:color w:val="auto"/>
        </w:rPr>
      </w:pPr>
    </w:p>
    <w:p>
      <w:pPr>
        <w:ind w:right="160" w:firstLine="405"/>
        <w:spacing w:after="0" w:line="290" w:lineRule="auto"/>
        <w:rPr>
          <w:sz w:val="20"/>
          <w:szCs w:val="20"/>
          <w:color w:val="auto"/>
        </w:rPr>
      </w:pPr>
      <w:r>
        <w:rPr>
          <w:rFonts w:ascii="Arial" w:cs="Arial" w:eastAsia="Arial" w:hAnsi="Arial"/>
          <w:sz w:val="16"/>
          <w:szCs w:val="16"/>
          <w:color w:val="auto"/>
        </w:rPr>
        <w:t>In February 2016, the FASB issued new guidance on the recognition, measurement, presentation and disclosure of leases. The new guidance requires lessees to recognize a right-of-use asset and a lease liability, initially measured at the present value of the lease payments for all leases with a term greater than 12 months. The accounting for lessors remains largely unchanged from existing guidance. This guidance is effective for the Company as of January 1, 2019 and is required to be applied using a modified retrospective approach for all leases existing at, or entered into after, the beginning of the earliest comparative period presented. Although early adoption is permitted, the Company does not expect to early adopt the new guidance prior to January 1, 2019. The Company expects that (1) lessee arrangements will continue to be classified as operating leases under the new guidance; (2) this guidance to have a material impact on its balance sheet due to the addition of right-of-use assets and lease liabilities for all lessee arrangements with a term greater than 12 months; and (3) there will not be a material impact to its statement of operations and statement of cash flows.</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January 2017, the FASB issued new guidance to simplify the accounting for goodwill impairment by removing the second step of the existing goodwill impairment test. As a result of the guidance, goodwill impairment, if any, will be measured during the step-one impairment test as the amount by which a reporting unit's carrying value exceeds its fair value, not to exceed the carrying amount of goodwill. Additionally, the guidance does not change the option to complete a qualitative assessment prior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performing a step-one impairment test. The guidance is effective for the Company as of January 1, 2020. Early adoption is permitted. The Company is currently evaluating the impact of the guidance, including the impact on its financial statements.</w:t>
      </w:r>
    </w:p>
    <w:p>
      <w:pPr>
        <w:spacing w:after="0" w:line="11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January 2017, the FASB issued new guidance, which clarifies the definition of a business in order to assist companies in evaluating whether transactions should be accounted for as acquisitions or disposals of assets or businesses. The guidance is effective for the Company as of January 1, 2018, and is required to be applied prospectively. Early adoption is permitted. The Company adopted this guidance effective January 1, 2018 and will apply the new guidance to prospective transactions. The adoption of this guidance will not have a material impact on the Company's financial statements.</w:t>
      </w:r>
    </w:p>
    <w:p>
      <w:pPr>
        <w:spacing w:after="0" w:line="312" w:lineRule="exact"/>
        <w:rPr>
          <w:sz w:val="20"/>
          <w:szCs w:val="20"/>
          <w:color w:val="auto"/>
        </w:rPr>
      </w:pPr>
    </w:p>
    <w:p>
      <w:pPr>
        <w:ind w:left="420" w:hanging="412"/>
        <w:spacing w:after="0"/>
        <w:tabs>
          <w:tab w:leader="none" w:pos="4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major classes of property and equipment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Estimated Useful Lives</w:t>
            </w: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2016</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r>
              <w:rPr>
                <w:rFonts w:ascii="Arial" w:cs="Arial" w:eastAsia="Arial" w:hAnsi="Arial"/>
                <w:sz w:val="21"/>
                <w:szCs w:val="21"/>
                <w:color w:val="auto"/>
                <w:vertAlign w:val="superscript"/>
              </w:rPr>
              <w:t>(a)</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1,618</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1,620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Towers</w:t>
            </w:r>
          </w:p>
        </w:tc>
        <w:tc>
          <w:tcPr>
            <w:tcW w:w="1720" w:type="dxa"/>
            <w:vAlign w:val="bottom"/>
            <w:gridSpan w:val="2"/>
          </w:tcPr>
          <w:p>
            <w:pPr>
              <w:jc w:val="right"/>
              <w:ind w:right="340"/>
              <w:spacing w:after="0"/>
              <w:rPr>
                <w:sz w:val="20"/>
                <w:szCs w:val="20"/>
                <w:color w:val="auto"/>
              </w:rPr>
            </w:pPr>
            <w:r>
              <w:rPr>
                <w:rFonts w:ascii="Arial" w:cs="Arial" w:eastAsia="Arial" w:hAnsi="Arial"/>
                <w:sz w:val="16"/>
                <w:szCs w:val="16"/>
                <w:color w:val="auto"/>
              </w:rPr>
              <w:t>1-20 years</w:t>
            </w: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1,251,224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1,221,322</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17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7,966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7,632</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gross property and equipment</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1,260,808</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1,230,574</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1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(625,673)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(563,554)</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635,135</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667,020</w:t>
            </w:r>
          </w:p>
        </w:tc>
      </w:tr>
      <w:tr>
        <w:trPr>
          <w:trHeight w:val="20"/>
        </w:trPr>
        <w:tc>
          <w:tcPr>
            <w:tcW w:w="6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land owned in fee and perpetual easements.</w:t>
      </w:r>
    </w:p>
    <w:p>
      <w:pPr>
        <w:spacing w:after="0" w:line="16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Depreciation expense for the years ended </w:t>
      </w:r>
      <w:r>
        <w:rPr>
          <w:rFonts w:ascii="Arial" w:cs="Arial" w:eastAsia="Arial" w:hAnsi="Arial"/>
          <w:sz w:val="18"/>
          <w:szCs w:val="18"/>
          <w:color w:val="231F20"/>
        </w:rPr>
        <w:t>December 31, 2017, 2016, and 2015</w:t>
      </w:r>
      <w:r>
        <w:rPr>
          <w:rFonts w:ascii="Arial" w:cs="Arial" w:eastAsia="Arial" w:hAnsi="Arial"/>
          <w:sz w:val="18"/>
          <w:szCs w:val="18"/>
          <w:color w:val="auto"/>
        </w:rPr>
        <w:t xml:space="preserve"> was $63.3 million, $63.4 million, and $62.3 million, respectively. As discussed in notes 1 and 2, the Company has certain prepaid capital leases with Sprint, which have related gross property and equipment and accumulated depreciation of $1.0 billion and $559.7 million, respectively, as of </w:t>
      </w:r>
      <w:r>
        <w:rPr>
          <w:rFonts w:ascii="Arial" w:cs="Arial" w:eastAsia="Arial" w:hAnsi="Arial"/>
          <w:sz w:val="18"/>
          <w:szCs w:val="18"/>
          <w:color w:val="231F20"/>
        </w:rPr>
        <w:t>December 31, 2017</w:t>
      </w:r>
      <w:r>
        <w:rPr>
          <w:rFonts w:ascii="Arial" w:cs="Arial" w:eastAsia="Arial" w:hAnsi="Arial"/>
          <w:sz w:val="18"/>
          <w:szCs w:val="18"/>
          <w:color w:val="auto"/>
        </w:rPr>
        <w:t>.</w:t>
      </w:r>
    </w:p>
    <w:p>
      <w:pPr>
        <w:spacing w:after="0" w:line="339" w:lineRule="exact"/>
        <w:rPr>
          <w:sz w:val="20"/>
          <w:szCs w:val="20"/>
          <w:color w:val="auto"/>
        </w:rPr>
      </w:pPr>
    </w:p>
    <w:p>
      <w:pPr>
        <w:ind w:left="420" w:hanging="412"/>
        <w:spacing w:after="0"/>
        <w:tabs>
          <w:tab w:leader="none" w:pos="4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Above-market Leases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231F20"/>
        </w:rPr>
        <w:t>The following is a summary of the Company's intangible assets.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2017</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2016</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83"/>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1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3"/>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Site rental contracts and customer relationships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1,008,243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(588,869)</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419,374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1,008,243</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(531,505)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476,738</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20" w:type="dxa"/>
            <w:vAlign w:val="bottom"/>
          </w:tcPr>
          <w:p>
            <w:pPr>
              <w:spacing w:after="0"/>
              <w:rPr>
                <w:sz w:val="20"/>
                <w:szCs w:val="20"/>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31,788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(17,276)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14,512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32,337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16,049</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1,040,031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(606,145)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433,886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1,040,580</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(547,793)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492,787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Amortization expense related to intangible assets is classified as follows on the Company's statement of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4"/>
                <w:szCs w:val="14"/>
                <w:b w:val="1"/>
                <w:bCs w:val="1"/>
                <w:color w:val="auto"/>
                <w:w w:val="93"/>
              </w:rPr>
              <w:t>For Years Ended December 31,</w:t>
            </w: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2015</w:t>
            </w: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57,364</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57,364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57,364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Site rental costs of operations</w:t>
            </w: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1,375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1,456</w:t>
            </w:r>
          </w:p>
        </w:tc>
      </w:tr>
      <w:tr>
        <w:trPr>
          <w:trHeight w:val="33"/>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58,672</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58,739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58,820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estimated annual amortization expense related to intangible assets (inclusive of those recorded as an increase to "site rental cost of operations") for the years ending December 31, 2018 to 2022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2022</w:t>
            </w:r>
          </w:p>
        </w:tc>
      </w:tr>
      <w:tr>
        <w:trPr>
          <w:trHeight w:val="22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58,635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58,635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58,631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58,540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58,486</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See note 2 for a further discussion of above-market leases for land interests under the Company's towers recorded in connection with acquisitions. For the years ended December 31, 2017, 2016 and 2015, the Company recorded $1.3 million, $1.4 million and $1.4 million, respectively, as a decrease to "site rental cost of operations." The following is a summary of the Company's above-market leases.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2017</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2016</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65"/>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14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3"/>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Above-market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31,180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(17,631)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13,549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31,180</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14,843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annual amortization expense related to above-market leases for land interests under the Company's towers for the years ending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to 2022 is as follows: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1,264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1,060</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20" w:hanging="412"/>
        <w:spacing w:after="0"/>
        <w:tabs>
          <w:tab w:leader="none" w:pos="4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December 2012, CCL and Crown Castle GS III Corp. (a subsidiary of CCL) issued $1.5 billion aggregate principal amount of senior secured notes ("2012 Secured Notes"), which are guaranteed by certain subsidiaries of CCL, including the Company. In addition, the 2012 Secured Notes are secured on a first-priority basis by a pledge of the equity interests of certain subsidiaries of CCL, including a pledge of the equity interests of the Company. In September 2016, CCIC issued $700 million aggregate principal amount of 2.250% senior unsecured notes. CCIC used a portion of the net proceeds to repay $500 million of the 2012 Secured Notes.</w:t>
      </w:r>
    </w:p>
    <w:p>
      <w:pPr>
        <w:spacing w:after="0" w:line="13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The 2012 Secured Notes do not contain financial maintenance covenants but they do contain restrictive covenants, subject to certain exceptions, related to the Company's ability to incur indebtedness, incur liens, enter into certain mergers or change of control transactions, sell or issue equity interests and enter into related party transactions. With respect to the restriction regarding the issuance of debt, CCL and its subsidiaries including the Company may not issue debt other than (1) certain permitted refinancings of the 2012 Secured Notes, (2) unsecured trade payables in the ordinary course of business and financing of equipment, land, or other property up to an aggregate of $100.0 million, and (3) unsecured debt or additional notes under the 2012 Secured Notes indenture provided that the Debt to Adjusted Consolidated Cash Flow Ratio (as defined in the indenture governing the 2012 Secured Notes) at the time of incurrence, and after giving effect to such incurrence, would have been no greater than 3.5 to 1. As of December 31, 2017, CCL's Debt to Adjusted Consolidated Cash Flow Ratio was </w:t>
      </w:r>
      <w:r>
        <w:rPr>
          <w:rFonts w:ascii="Arial" w:cs="Arial" w:eastAsia="Arial" w:hAnsi="Arial"/>
          <w:sz w:val="17"/>
          <w:szCs w:val="17"/>
          <w:color w:val="231F20"/>
        </w:rPr>
        <w:t>2.5</w:t>
      </w:r>
      <w:r>
        <w:rPr>
          <w:rFonts w:ascii="Arial" w:cs="Arial" w:eastAsia="Arial" w:hAnsi="Arial"/>
          <w:sz w:val="17"/>
          <w:szCs w:val="17"/>
          <w:color w:val="auto"/>
        </w:rPr>
        <w:t xml:space="preserve"> to 1, and, as a result, </w:t>
      </w:r>
      <w:r>
        <w:rPr>
          <w:rFonts w:ascii="Arial" w:cs="Arial" w:eastAsia="Arial" w:hAnsi="Arial"/>
          <w:sz w:val="17"/>
          <w:szCs w:val="17"/>
          <w:color w:val="231F20"/>
        </w:rPr>
        <w:t>the Company is not restricted in its ability to incur additional indebtedness. Further, the Company is not restricted in</w:t>
      </w:r>
      <w:r>
        <w:rPr>
          <w:rFonts w:ascii="Arial" w:cs="Arial" w:eastAsia="Arial" w:hAnsi="Arial"/>
          <w:sz w:val="17"/>
          <w:szCs w:val="17"/>
          <w:color w:val="auto"/>
        </w:rPr>
        <w:t xml:space="preserve"> </w:t>
      </w:r>
      <w:r>
        <w:rPr>
          <w:rFonts w:ascii="Arial" w:cs="Arial" w:eastAsia="Arial" w:hAnsi="Arial"/>
          <w:sz w:val="17"/>
          <w:szCs w:val="17"/>
          <w:color w:val="231F20"/>
        </w:rPr>
        <w:t>its ability to distribute cash to affiliates or issue dividends to its member.</w:t>
      </w:r>
    </w:p>
    <w:p>
      <w:pPr>
        <w:spacing w:after="0" w:line="340" w:lineRule="exact"/>
        <w:rPr>
          <w:sz w:val="20"/>
          <w:szCs w:val="20"/>
          <w:color w:val="auto"/>
        </w:rPr>
      </w:pPr>
    </w:p>
    <w:p>
      <w:pPr>
        <w:ind w:left="420" w:hanging="412"/>
        <w:spacing w:after="0"/>
        <w:tabs>
          <w:tab w:leader="none" w:pos="4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In December 2012, CCL, the Company, and other subsidiaries of CCL entered into a management agreement (“Management Agreement”) with CCUSA, which replaced a previous management agreement among the same parties. </w:t>
      </w:r>
      <w:r>
        <w:rPr>
          <w:rFonts w:ascii="Arial" w:cs="Arial" w:eastAsia="Arial" w:hAnsi="Arial"/>
          <w:sz w:val="17"/>
          <w:szCs w:val="17"/>
          <w:color w:val="231F20"/>
        </w:rPr>
        <w:t>The Company is charged a management fee by CCUSA under the</w:t>
      </w:r>
      <w:r>
        <w:rPr>
          <w:rFonts w:ascii="Arial" w:cs="Arial" w:eastAsia="Arial" w:hAnsi="Arial"/>
          <w:sz w:val="17"/>
          <w:szCs w:val="17"/>
          <w:color w:val="auto"/>
        </w:rPr>
        <w:t xml:space="preserve"> </w:t>
      </w:r>
      <w:r>
        <w:rPr>
          <w:rFonts w:ascii="Arial" w:cs="Arial" w:eastAsia="Arial" w:hAnsi="Arial"/>
          <w:sz w:val="17"/>
          <w:szCs w:val="17"/>
          <w:color w:val="231F20"/>
        </w:rPr>
        <w:t xml:space="preserve">Management Agreement whereby CCUSA has agreed to employ, supervise, and pay at all times a sufficient number of capable employees as may be necessary to perform services in accordance with the operation standards defined in the Management Agreement. </w:t>
      </w:r>
      <w:r>
        <w:rPr>
          <w:rFonts w:ascii="Arial" w:cs="Arial" w:eastAsia="Arial" w:hAnsi="Arial"/>
          <w:sz w:val="17"/>
          <w:szCs w:val="17"/>
          <w:color w:val="000000"/>
        </w:rPr>
        <w:t>CCUSA currently acts as the manager of the</w:t>
      </w:r>
      <w:r>
        <w:rPr>
          <w:rFonts w:ascii="Arial" w:cs="Arial" w:eastAsia="Arial" w:hAnsi="Arial"/>
          <w:sz w:val="17"/>
          <w:szCs w:val="17"/>
          <w:color w:val="231F20"/>
        </w:rPr>
        <w:t xml:space="preserve"> </w:t>
      </w:r>
      <w:r>
        <w:rPr>
          <w:rFonts w:ascii="Arial" w:cs="Arial" w:eastAsia="Arial" w:hAnsi="Arial"/>
          <w:sz w:val="17"/>
          <w:szCs w:val="17"/>
          <w:color w:val="000000"/>
        </w:rPr>
        <w:t xml:space="preserve">majority of the sites held by subsidiaries of CCIC. </w:t>
      </w:r>
      <w:r>
        <w:rPr>
          <w:rFonts w:ascii="Arial" w:cs="Arial" w:eastAsia="Arial" w:hAnsi="Arial"/>
          <w:sz w:val="17"/>
          <w:szCs w:val="17"/>
          <w:color w:val="231F20"/>
        </w:rPr>
        <w:t>The management fee is equal to 7.5% of the Company's "Operating Revenue," as defined in the</w:t>
      </w:r>
      <w:r>
        <w:rPr>
          <w:rFonts w:ascii="Arial" w:cs="Arial" w:eastAsia="Arial" w:hAnsi="Arial"/>
          <w:sz w:val="17"/>
          <w:szCs w:val="17"/>
          <w:color w:val="000000"/>
        </w:rPr>
        <w:t xml:space="preserve"> </w:t>
      </w:r>
      <w:r>
        <w:rPr>
          <w:rFonts w:ascii="Arial" w:cs="Arial" w:eastAsia="Arial" w:hAnsi="Arial"/>
          <w:sz w:val="17"/>
          <w:szCs w:val="17"/>
          <w:color w:val="231F20"/>
        </w:rPr>
        <w:t>Management Agreement, which are based on the Company's reported revenues adjusted to exclude certain items including revenues related to the accounting for leases with fixed escalators. The fee is compensation for those functions reasonably necessary to maintain,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 xml:space="preserve">market, operate, manage and administer the sites, other than the operating expenses, which includes but is not limited to real estate and personal property taxes, ground lease and easement payments, and insurance premiums. In addition, in connection with its role as manager, CCUSA may make certain modifications to the Company's sites. The management fee charged from CCUSA for the years ended December 31, 2017, 2016, and 2015 totaled </w:t>
      </w:r>
      <w:r>
        <w:rPr>
          <w:rFonts w:ascii="Arial" w:cs="Arial" w:eastAsia="Arial" w:hAnsi="Arial"/>
          <w:sz w:val="18"/>
          <w:szCs w:val="18"/>
          <w:color w:val="000000"/>
        </w:rPr>
        <w:t>$31.4</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w:t>
      </w:r>
      <w:r>
        <w:rPr>
          <w:rFonts w:ascii="Arial" w:cs="Arial" w:eastAsia="Arial" w:hAnsi="Arial"/>
          <w:sz w:val="18"/>
          <w:szCs w:val="18"/>
          <w:color w:val="000000"/>
        </w:rPr>
        <w:t xml:space="preserve"> $30.5 million</w:t>
      </w:r>
      <w:r>
        <w:rPr>
          <w:rFonts w:ascii="Arial" w:cs="Arial" w:eastAsia="Arial" w:hAnsi="Arial"/>
          <w:sz w:val="18"/>
          <w:szCs w:val="18"/>
          <w:color w:val="231F20"/>
        </w:rPr>
        <w:t>, and</w:t>
      </w:r>
      <w:r>
        <w:rPr>
          <w:rFonts w:ascii="Arial" w:cs="Arial" w:eastAsia="Arial" w:hAnsi="Arial"/>
          <w:sz w:val="18"/>
          <w:szCs w:val="18"/>
          <w:color w:val="000000"/>
        </w:rPr>
        <w:t xml:space="preserve"> $29.5 million</w:t>
      </w:r>
      <w:r>
        <w:rPr>
          <w:rFonts w:ascii="Arial" w:cs="Arial" w:eastAsia="Arial" w:hAnsi="Arial"/>
          <w:sz w:val="18"/>
          <w:szCs w:val="18"/>
          <w:color w:val="231F20"/>
        </w:rPr>
        <w:t>, respectively.</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In addition, CCUSA may perform installation services on the Company's towers for which the Company is not a party to any such agreement and for which no operating results are reflected herein.</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As part of CCIC's strategy to obtain long-term control of the land under its towers, affiliates of the Company have acquired rights to land interests under the Company's towers. These affiliates then lease the land to the Company. Under such circumstances, the Company's obligation typically continues with the same or similar economic terms as the contract agreement for the land that existed prior to the purchase of such land by the affiliate. As of December 31, 2017, there are approximately 30% of the Company's sites where the land under the tower is owned by an affiliate. The Company pays ground rent expense to affiliates for land owned by affiliates that the Company has towers on. Rent expense to affiliates totaled </w:t>
      </w:r>
      <w:r>
        <w:rPr>
          <w:rFonts w:ascii="Arial" w:cs="Arial" w:eastAsia="Arial" w:hAnsi="Arial"/>
          <w:sz w:val="17"/>
          <w:szCs w:val="17"/>
          <w:color w:val="000000"/>
        </w:rPr>
        <w:t>$33.5 million</w:t>
      </w:r>
      <w:r>
        <w:rPr>
          <w:rFonts w:ascii="Arial" w:cs="Arial" w:eastAsia="Arial" w:hAnsi="Arial"/>
          <w:sz w:val="17"/>
          <w:szCs w:val="17"/>
          <w:color w:val="231F20"/>
        </w:rPr>
        <w:t xml:space="preserve">, </w:t>
      </w:r>
      <w:r>
        <w:rPr>
          <w:rFonts w:ascii="Arial" w:cs="Arial" w:eastAsia="Arial" w:hAnsi="Arial"/>
          <w:sz w:val="17"/>
          <w:szCs w:val="17"/>
          <w:color w:val="000000"/>
        </w:rPr>
        <w:t>$31.1 million</w:t>
      </w:r>
      <w:r>
        <w:rPr>
          <w:rFonts w:ascii="Arial" w:cs="Arial" w:eastAsia="Arial" w:hAnsi="Arial"/>
          <w:sz w:val="17"/>
          <w:szCs w:val="17"/>
          <w:color w:val="231F20"/>
        </w:rPr>
        <w:t xml:space="preserve">, and </w:t>
      </w:r>
      <w:r>
        <w:rPr>
          <w:rFonts w:ascii="Arial" w:cs="Arial" w:eastAsia="Arial" w:hAnsi="Arial"/>
          <w:sz w:val="17"/>
          <w:szCs w:val="17"/>
          <w:color w:val="000000"/>
        </w:rPr>
        <w:t>$29.3 million</w:t>
      </w:r>
      <w:r>
        <w:rPr>
          <w:rFonts w:ascii="Arial" w:cs="Arial" w:eastAsia="Arial" w:hAnsi="Arial"/>
          <w:sz w:val="17"/>
          <w:szCs w:val="17"/>
          <w:color w:val="231F20"/>
        </w:rPr>
        <w:t xml:space="preserve"> for the years ended December 31, 2017, 2016, and 2015, respectively.</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 recorded an equity distribution of $202.8 million, $211.4 million and $185.8 million for the years ended December 31, 2017, 2016 and 2015, respectively, reflecting distributions to its member. Cash on-hand above the amount that is required by the Management Agreement has been, and is expected to continue to be, distributed to the Company's parent company, CCL. </w:t>
      </w:r>
      <w:r>
        <w:rPr>
          <w:rFonts w:ascii="Arial" w:cs="Arial" w:eastAsia="Arial" w:hAnsi="Arial"/>
          <w:sz w:val="18"/>
          <w:szCs w:val="18"/>
          <w:color w:val="000000"/>
        </w:rPr>
        <w:t>As of December 31, 2017 and 2016, the Company had no material related</w:t>
      </w:r>
      <w:r>
        <w:rPr>
          <w:rFonts w:ascii="Arial" w:cs="Arial" w:eastAsia="Arial" w:hAnsi="Arial"/>
          <w:sz w:val="18"/>
          <w:szCs w:val="18"/>
          <w:color w:val="231F20"/>
        </w:rPr>
        <w:t xml:space="preserve"> </w:t>
      </w:r>
      <w:r>
        <w:rPr>
          <w:rFonts w:ascii="Arial" w:cs="Arial" w:eastAsia="Arial" w:hAnsi="Arial"/>
          <w:sz w:val="18"/>
          <w:szCs w:val="18"/>
          <w:color w:val="000000"/>
        </w:rPr>
        <w:t>party assets or liabilities on its consolidated balance sheet.</w:t>
      </w:r>
    </w:p>
    <w:p>
      <w:pPr>
        <w:spacing w:after="0" w:line="345" w:lineRule="exact"/>
        <w:rPr>
          <w:sz w:val="20"/>
          <w:szCs w:val="20"/>
          <w:color w:val="auto"/>
        </w:rPr>
      </w:pPr>
    </w:p>
    <w:p>
      <w:pPr>
        <w:ind w:left="420" w:hanging="412"/>
        <w:spacing w:after="0"/>
        <w:tabs>
          <w:tab w:leader="none" w:pos="4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For the years ended December 31, 2017, 2016, and 2015 the Company had benefits for income taxes of $0.5 million</w:t>
      </w:r>
      <w:r>
        <w:rPr>
          <w:rFonts w:ascii="Arial" w:cs="Arial" w:eastAsia="Arial" w:hAnsi="Arial"/>
          <w:sz w:val="16"/>
          <w:szCs w:val="16"/>
          <w:color w:val="231F20"/>
        </w:rPr>
        <w:t>, $0.4 million, and $0.8 million,</w:t>
      </w:r>
      <w:r>
        <w:rPr>
          <w:rFonts w:ascii="Arial" w:cs="Arial" w:eastAsia="Arial" w:hAnsi="Arial"/>
          <w:sz w:val="16"/>
          <w:szCs w:val="16"/>
          <w:color w:val="auto"/>
        </w:rPr>
        <w:t xml:space="preserve"> </w:t>
      </w:r>
      <w:r>
        <w:rPr>
          <w:rFonts w:ascii="Arial" w:cs="Arial" w:eastAsia="Arial" w:hAnsi="Arial"/>
          <w:sz w:val="16"/>
          <w:szCs w:val="16"/>
          <w:color w:val="231F20"/>
        </w:rPr>
        <w:t xml:space="preserve">respectively, which consisted of the reduction of unrecognized tax benefits as a result of the lapse of the statute of limitations partially offset by state taxes. The </w:t>
      </w:r>
      <w:r>
        <w:rPr>
          <w:rFonts w:ascii="Arial" w:cs="Arial" w:eastAsia="Arial" w:hAnsi="Arial"/>
          <w:sz w:val="16"/>
          <w:szCs w:val="16"/>
          <w:color w:val="000000"/>
        </w:rPr>
        <w:t>Company's effective tax rate for the years ended December 31, 2017, 2016 and 2015 differed from the federal statutory rate predominately due to CCIC's</w:t>
      </w:r>
      <w:r>
        <w:rPr>
          <w:rFonts w:ascii="Arial" w:cs="Arial" w:eastAsia="Arial" w:hAnsi="Arial"/>
          <w:sz w:val="16"/>
          <w:szCs w:val="16"/>
          <w:color w:val="231F20"/>
        </w:rPr>
        <w:t xml:space="preserve"> </w:t>
      </w:r>
      <w:r>
        <w:rPr>
          <w:rFonts w:ascii="Arial" w:cs="Arial" w:eastAsia="Arial" w:hAnsi="Arial"/>
          <w:sz w:val="16"/>
          <w:szCs w:val="16"/>
          <w:color w:val="000000"/>
        </w:rPr>
        <w:t>REIT status, including the dividends paid deduction (see notes 1 and 2), and the aforementioned impacts described above.</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As of December 31, 2017, there were no unrecognized tax benefits that would impact the effective tax rate, if recognized.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From time to time, the Company is subject to examinations by various tax authorities in jurisdictions in which the Company has business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The Company regularly assesses the likelihood of additional assessments in each of the tax jurisdictions resulting from these examinations. At this time,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231F20"/>
        </w:rPr>
        <w:t>CCIC is not subject to an Internal Revenue Service examination.</w:t>
      </w:r>
    </w:p>
    <w:p>
      <w:pPr>
        <w:spacing w:after="0" w:line="369" w:lineRule="exact"/>
        <w:rPr>
          <w:sz w:val="20"/>
          <w:szCs w:val="20"/>
          <w:color w:val="auto"/>
        </w:rPr>
      </w:pPr>
    </w:p>
    <w:p>
      <w:pPr>
        <w:ind w:left="420" w:hanging="412"/>
        <w:spacing w:after="0"/>
        <w:tabs>
          <w:tab w:leader="none" w:pos="4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231F20"/>
        </w:rPr>
        <w:t xml:space="preserve">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financial position or results of operations. </w:t>
      </w:r>
      <w:r>
        <w:rPr>
          <w:rFonts w:ascii="Arial" w:cs="Arial" w:eastAsia="Arial" w:hAnsi="Arial"/>
          <w:sz w:val="16"/>
          <w:szCs w:val="16"/>
          <w:color w:val="000000"/>
        </w:rPr>
        <w:t>See note 9 for a discussion of the operating lease commitments. In addition, see note 1 for a discussion of CCIC's option to purchase</w:t>
      </w:r>
      <w:r>
        <w:rPr>
          <w:rFonts w:ascii="Arial" w:cs="Arial" w:eastAsia="Arial" w:hAnsi="Arial"/>
          <w:sz w:val="16"/>
          <w:szCs w:val="16"/>
          <w:color w:val="231F20"/>
        </w:rPr>
        <w:t xml:space="preserve"> </w:t>
      </w:r>
      <w:r>
        <w:rPr>
          <w:rFonts w:ascii="Arial" w:cs="Arial" w:eastAsia="Arial" w:hAnsi="Arial"/>
          <w:sz w:val="16"/>
          <w:szCs w:val="16"/>
          <w:color w:val="000000"/>
        </w:rPr>
        <w:t>nearly all of the Company's towers at the end of their respective contract terms. CCIC has no obligation to exercise the purchase option.</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Asset Retirement Obligations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Pursuant to its ground lease and easement agreements, the Company has the obligation to perform certain asset retirement activities, including requirements upon contract or easement termination to remove communications infrastructure or remediate the land upon which communications infrastructure resides. Accretion expense related to liabilities for retirement obligations amounted to $1.9 million, $1.7 million, and $1.5 million for the years ended December 31, 2017, 2016, and 2015, respectively. As of December 31, 2017 and 2016, liabilities for retirement obligations amounted to $22.4 million and $20.6 million, respectively, representing the net present value of the estimated expected future cash outlay. As of December 31, 2017, the estimated undiscounted future cash outlay for asset retirement obligations was approximately $49 million. See note 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33" w:lineRule="exact"/>
        <w:rPr>
          <w:sz w:val="20"/>
          <w:szCs w:val="20"/>
          <w:color w:val="auto"/>
        </w:rPr>
      </w:pPr>
    </w:p>
    <w:p>
      <w:pPr>
        <w:ind w:left="420" w:right="9660" w:hanging="412"/>
        <w:spacing w:after="0" w:line="528" w:lineRule="auto"/>
        <w:tabs>
          <w:tab w:leader="none" w:pos="420"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Leases </w:t>
      </w:r>
      <w:r>
        <w:rPr>
          <w:rFonts w:ascii="Arial" w:cs="Arial" w:eastAsia="Arial" w:hAnsi="Arial"/>
          <w:sz w:val="15"/>
          <w:szCs w:val="15"/>
          <w:b w:val="1"/>
          <w:bCs w:val="1"/>
          <w:i w:val="1"/>
          <w:iCs w:val="1"/>
          <w:color w:val="231F20"/>
        </w:rPr>
        <w:t>Tenant Leases</w:t>
      </w:r>
    </w:p>
    <w:p>
      <w:pPr>
        <w:spacing w:after="0" w:line="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The following table is a summary of the rental cash payments owed to the Company, as a lessor, by tenants pursuant to contractual agreements in effect as of December 31, 2017. Generally, the Company's leases with its tenants provide for (1) annual escalations, (2) multiple renewal periods at the tenant's option, and (3) only limited termination rights at the applicable tenant's option through the current term. As of December 31, 2017, the weighted-average remaining term (calculated by weighting the remaining term for each lease by the related site rental revenue) of tenant leases is approximately six years, exclusive of renewals at the tenant's option. The tenants' rental payments included in the table below are through the current terms with a maximum current term of 20 years and do not assume exercise of tenant renewal options.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Tenant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428,799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425,254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425,237</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417,436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392,251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889,064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2,978,041</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Operating Leases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231F20"/>
        </w:rPr>
        <w:t xml:space="preserve">The following table is a summary of rental cash payments owed by the Company, as lessee, to landlords pursuant to contractual agreements in effect as of December 31, 2017. The Company is obligated under non-cancelable operating leases for land interests under nearly all of its sites. The majority of these operating lease agreements have (1) certain termination rights that provide for cancellation after a notice period, (2) multiple renewal options at the Company's option, and (3) annual escalations. Lease agreements may also contain provisions for a contingent payment based on revenues or the gross margin derived from the tower located on the leased land interest. More than 80% and more than 50% of the Company's </w:t>
      </w:r>
      <w:r>
        <w:rPr>
          <w:rFonts w:ascii="Arial" w:cs="Arial" w:eastAsia="Arial" w:hAnsi="Arial"/>
          <w:sz w:val="17"/>
          <w:szCs w:val="17"/>
          <w:color w:val="000000"/>
        </w:rPr>
        <w:t>sites are under the Company's control for</w:t>
      </w:r>
      <w:r>
        <w:rPr>
          <w:rFonts w:ascii="Arial" w:cs="Arial" w:eastAsia="Arial" w:hAnsi="Arial"/>
          <w:sz w:val="17"/>
          <w:szCs w:val="17"/>
          <w:color w:val="231F20"/>
        </w:rPr>
        <w:t xml:space="preserve"> </w:t>
      </w:r>
      <w:r>
        <w:rPr>
          <w:rFonts w:ascii="Arial" w:cs="Arial" w:eastAsia="Arial" w:hAnsi="Arial"/>
          <w:sz w:val="17"/>
          <w:szCs w:val="17"/>
          <w:color w:val="000000"/>
        </w:rPr>
        <w:t xml:space="preserve">greater than 10 and 20 years, respectively, including renewals at the Company's option. </w:t>
      </w:r>
      <w:r>
        <w:rPr>
          <w:rFonts w:ascii="Arial" w:cs="Arial" w:eastAsia="Arial" w:hAnsi="Arial"/>
          <w:sz w:val="17"/>
          <w:szCs w:val="17"/>
          <w:color w:val="231F20"/>
        </w:rPr>
        <w:t>The operating lease payments included in the table below include</w:t>
      </w:r>
      <w:r>
        <w:rPr>
          <w:rFonts w:ascii="Arial" w:cs="Arial" w:eastAsia="Arial" w:hAnsi="Arial"/>
          <w:sz w:val="17"/>
          <w:szCs w:val="17"/>
          <w:color w:val="000000"/>
        </w:rPr>
        <w:t xml:space="preserve"> </w:t>
      </w:r>
      <w:r>
        <w:rPr>
          <w:rFonts w:ascii="Arial" w:cs="Arial" w:eastAsia="Arial" w:hAnsi="Arial"/>
          <w:sz w:val="17"/>
          <w:szCs w:val="17"/>
          <w:color w:val="231F20"/>
        </w:rPr>
        <w:t>payments for certain renewal periods at the Company's option up to the estimated tower useful life of 20 years and an estimate of contingent payments based on revenues and gross margins derived from existing tenant leases. See also note 6.</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112,018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113,384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114,832</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115,258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112,557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1,394,370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1,962,419</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 xml:space="preserve">Rental expense from operating leases was </w:t>
      </w:r>
      <w:r>
        <w:rPr>
          <w:rFonts w:ascii="Arial" w:cs="Arial" w:eastAsia="Arial" w:hAnsi="Arial"/>
          <w:sz w:val="17"/>
          <w:szCs w:val="17"/>
          <w:color w:val="000000"/>
        </w:rPr>
        <w:t>$120.0 million</w:t>
      </w:r>
      <w:r>
        <w:rPr>
          <w:rFonts w:ascii="Arial" w:cs="Arial" w:eastAsia="Arial" w:hAnsi="Arial"/>
          <w:sz w:val="17"/>
          <w:szCs w:val="17"/>
          <w:color w:val="231F20"/>
        </w:rPr>
        <w:t xml:space="preserve">, </w:t>
      </w:r>
      <w:r>
        <w:rPr>
          <w:rFonts w:ascii="Arial" w:cs="Arial" w:eastAsia="Arial" w:hAnsi="Arial"/>
          <w:sz w:val="17"/>
          <w:szCs w:val="17"/>
          <w:color w:val="000000"/>
        </w:rPr>
        <w:t>$116.0 million</w:t>
      </w:r>
      <w:r>
        <w:rPr>
          <w:rFonts w:ascii="Arial" w:cs="Arial" w:eastAsia="Arial" w:hAnsi="Arial"/>
          <w:sz w:val="17"/>
          <w:szCs w:val="17"/>
          <w:color w:val="231F20"/>
        </w:rPr>
        <w:t xml:space="preserve">, and </w:t>
      </w:r>
      <w:r>
        <w:rPr>
          <w:rFonts w:ascii="Arial" w:cs="Arial" w:eastAsia="Arial" w:hAnsi="Arial"/>
          <w:sz w:val="17"/>
          <w:szCs w:val="17"/>
          <w:color w:val="000000"/>
        </w:rPr>
        <w:t>$114.0 million</w:t>
      </w:r>
      <w:r>
        <w:rPr>
          <w:rFonts w:ascii="Arial" w:cs="Arial" w:eastAsia="Arial" w:hAnsi="Arial"/>
          <w:sz w:val="17"/>
          <w:szCs w:val="17"/>
          <w:color w:val="231F20"/>
        </w:rPr>
        <w:t xml:space="preserve"> for the years ended December 31, 2017, 2016, and 2015, respectively. The rental expense was inclusive of contingent payments based on revenues or gross margin derived from the tower located on the leased land of </w:t>
      </w:r>
      <w:r>
        <w:rPr>
          <w:rFonts w:ascii="Arial" w:cs="Arial" w:eastAsia="Arial" w:hAnsi="Arial"/>
          <w:sz w:val="17"/>
          <w:szCs w:val="17"/>
          <w:color w:val="000000"/>
        </w:rPr>
        <w:t>$18.9 million</w:t>
      </w:r>
      <w:r>
        <w:rPr>
          <w:rFonts w:ascii="Arial" w:cs="Arial" w:eastAsia="Arial" w:hAnsi="Arial"/>
          <w:sz w:val="17"/>
          <w:szCs w:val="17"/>
          <w:color w:val="231F20"/>
        </w:rPr>
        <w:t>,</w:t>
      </w:r>
      <w:r>
        <w:rPr>
          <w:rFonts w:ascii="Arial" w:cs="Arial" w:eastAsia="Arial" w:hAnsi="Arial"/>
          <w:sz w:val="17"/>
          <w:szCs w:val="17"/>
          <w:color w:val="000000"/>
        </w:rPr>
        <w:t xml:space="preserve"> $18.6 million</w:t>
      </w:r>
      <w:r>
        <w:rPr>
          <w:rFonts w:ascii="Arial" w:cs="Arial" w:eastAsia="Arial" w:hAnsi="Arial"/>
          <w:sz w:val="17"/>
          <w:szCs w:val="17"/>
          <w:color w:val="231F20"/>
        </w:rPr>
        <w:t>, and</w:t>
      </w:r>
      <w:r>
        <w:rPr>
          <w:rFonts w:ascii="Arial" w:cs="Arial" w:eastAsia="Arial" w:hAnsi="Arial"/>
          <w:sz w:val="17"/>
          <w:szCs w:val="17"/>
          <w:color w:val="000000"/>
        </w:rPr>
        <w:t xml:space="preserve"> $17.4 million </w:t>
      </w:r>
      <w:r>
        <w:rPr>
          <w:rFonts w:ascii="Arial" w:cs="Arial" w:eastAsia="Arial" w:hAnsi="Arial"/>
          <w:sz w:val="17"/>
          <w:szCs w:val="17"/>
          <w:color w:val="231F20"/>
        </w:rPr>
        <w:t>for the years ended December 31, 2017, 2016, and 2015, respectively.</w:t>
      </w:r>
    </w:p>
    <w:p>
      <w:pPr>
        <w:spacing w:after="0" w:line="324" w:lineRule="exact"/>
        <w:rPr>
          <w:sz w:val="20"/>
          <w:szCs w:val="20"/>
          <w:color w:val="auto"/>
        </w:rPr>
      </w:pPr>
    </w:p>
    <w:p>
      <w:pPr>
        <w:ind w:left="420" w:hanging="412"/>
        <w:spacing w:after="0"/>
        <w:tabs>
          <w:tab w:leader="none" w:pos="4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Financial instruments that potentially subject the Company to concentrations of credit risk are primarily cash and cash equivalents and trade receivables. The Company mitigates its risk with respect to cash and cash equivalents by maintaining such deposits at high credit quality financial institutions and monitoring the credit ratings of those institutions. See notes 2 and 6.</w:t>
      </w:r>
    </w:p>
    <w:p>
      <w:pPr>
        <w:spacing w:after="0" w:line="12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The Company derives the largest portion of its revenues from customers in the wireless industry. The Company also has a concentration in its volume of business with Sprint, AT&amp;T, T-Mobile, and Verizon Wireless that accounts for a significant portion of the Company's revenues, receivables, and deferred site rental receivables. The Company mitigates its concentrations of credit risk with respect to trade receivables by actively monitoring the creditworthiness of its tenants, the use of tenant contracts with contractually determinable payment terms and proactive management of past due balances. See note 1 for a discussion of the Sprint Sites.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121"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Major Customers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percentage of the Company's revenues for those tenants accounting for more than 10% of the Company's revenues.</w:t>
      </w:r>
    </w:p>
    <w:p>
      <w:pPr>
        <w:spacing w:after="0" w:line="186"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23495</wp:posOffset>
            </wp:positionV>
            <wp:extent cx="30270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2015</w:t>
            </w:r>
          </w:p>
        </w:tc>
      </w:tr>
      <w:tr>
        <w:trPr>
          <w:trHeight w:val="236"/>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Sprint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AT&amp;T</w:t>
            </w:r>
          </w:p>
        </w:tc>
        <w:tc>
          <w:tcPr>
            <w:tcW w:w="4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6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T-Mobile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Verizon Wireless</w:t>
            </w:r>
          </w:p>
        </w:tc>
        <w:tc>
          <w:tcPr>
            <w:tcW w:w="4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6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121" w:right="25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2017, 2016 and 2015</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9019"/>
          </w:cols>
          <w:pgMar w:left="1440" w:top="580"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CC Holdings GS V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Pinnacle Towers LLC and its subsidiaries as of December 31, 2017 and 2016, and the related consolidated statements of operations, cash flows and changes in member’s equity for each of the three years in the period ended December 31, 2017, including the related notes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580"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r>
      <w:tr>
        <w:trPr>
          <w:trHeight w:val="236"/>
        </w:trPr>
        <w:tc>
          <w:tcPr>
            <w:tcW w:w="8800" w:type="dxa"/>
            <w:vAlign w:val="bottom"/>
            <w:tcBorders>
              <w:bottom w:val="single" w:sz="8" w:color="CCEEFF"/>
            </w:tcBorders>
            <w:shd w:val="clear" w:color="auto" w:fill="CCEEFF"/>
          </w:tcPr>
          <w:p>
            <w:pPr>
              <w:ind w:left="410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Receivables, net of allowance of $929 and $1,127, respectively</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2,619</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Prepaid expenses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2,225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2,081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4,705</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317</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10,370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9,722</w:t>
            </w:r>
          </w:p>
        </w:tc>
      </w:tr>
      <w:tr>
        <w:trPr>
          <w:trHeight w:val="237"/>
        </w:trPr>
        <w:tc>
          <w:tcPr>
            <w:tcW w:w="8800" w:type="dxa"/>
            <w:vAlign w:val="bottom"/>
          </w:tcPr>
          <w:p>
            <w:pPr>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76,645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79,166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343,426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356,784</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627,345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627,345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rental contracts and customer relationships,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435,656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486,252</w:t>
            </w:r>
          </w:p>
        </w:tc>
      </w:tr>
      <w:tr>
        <w:trPr>
          <w:trHeight w:val="237"/>
        </w:trPr>
        <w:tc>
          <w:tcPr>
            <w:tcW w:w="880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2,374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2,661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prepaid rent and other assets,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6,569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6,688</w:t>
            </w:r>
          </w:p>
        </w:tc>
      </w:tr>
      <w:tr>
        <w:trPr>
          <w:trHeight w:val="284"/>
        </w:trPr>
        <w:tc>
          <w:tcPr>
            <w:tcW w:w="88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1,502,385</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1,568,618</w:t>
            </w:r>
          </w:p>
        </w:tc>
      </w:tr>
      <w:tr>
        <w:trPr>
          <w:trHeight w:val="217"/>
        </w:trPr>
        <w:tc>
          <w:tcPr>
            <w:tcW w:w="8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7"/>
        </w:trPr>
        <w:tc>
          <w:tcPr>
            <w:tcW w:w="8800" w:type="dxa"/>
            <w:vAlign w:val="bottom"/>
          </w:tcPr>
          <w:p>
            <w:pPr>
              <w:ind w:left="336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1,832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4,279</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Other accrued liabilities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2,651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3,050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7,887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9,161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Deferred ground lease payable</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7,710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7,565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Above-market leases and 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10,570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10,458</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26,167</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27,184</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Commitments and contingencies (note 8)</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Member's equity: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1,476,218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1,540,422</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Accumulated earnings (deficit)</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1,012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1,476,218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1,541,434</w:t>
            </w:r>
          </w:p>
        </w:tc>
      </w:tr>
      <w:tr>
        <w:trPr>
          <w:trHeight w:val="244"/>
        </w:trPr>
        <w:tc>
          <w:tcPr>
            <w:tcW w:w="8800" w:type="dxa"/>
            <w:vAlign w:val="bottom"/>
          </w:tcPr>
          <w:p>
            <w:pPr>
              <w:ind w:left="60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1,502,385</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1,568,618</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580"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Site rental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175,942</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173,896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169,200</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4"/>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34,681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37,129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36,914</w:t>
            </w:r>
          </w:p>
        </w:tc>
      </w:tr>
      <w:tr>
        <w:trPr>
          <w:trHeight w:val="270"/>
        </w:trPr>
        <w:tc>
          <w:tcPr>
            <w:tcW w:w="674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Site rental cost of operations—related parties</w:t>
            </w:r>
            <w:r>
              <w:rPr>
                <w:rFonts w:ascii="Arial" w:cs="Arial" w:eastAsia="Arial" w:hAnsi="Arial"/>
                <w:sz w:val="21"/>
                <w:szCs w:val="21"/>
                <w:color w:val="auto"/>
                <w:vertAlign w:val="superscript"/>
              </w:rPr>
              <w:t>(a)</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4,381</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4,100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3,885</w:t>
            </w:r>
          </w:p>
        </w:tc>
      </w:tr>
      <w:tr>
        <w:trPr>
          <w:trHeight w:val="25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39,062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41,229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40,799</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Management fee—related party</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13,280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12,880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12,213</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Asset write-down charges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3,329</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77,659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76,640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76,457</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130,474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133,418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132,798</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45,468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40,478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36,402</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45,602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40,385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36,511</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45,722</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40,604</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36,443</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580" w:right="23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45,722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40,604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36,443</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Depreciation, amortization and accretion</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77,659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76,640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76,457</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Asset write-down charges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3,329</w:t>
            </w: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Increase (decrease) in 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7380" w:type="dxa"/>
            <w:vAlign w:val="bottom"/>
          </w:tcPr>
          <w:p>
            <w:pPr>
              <w:ind w:left="700"/>
              <w:spacing w:after="0"/>
              <w:rPr>
                <w:sz w:val="20"/>
                <w:szCs w:val="20"/>
                <w:color w:val="auto"/>
              </w:rPr>
            </w:pPr>
            <w:r>
              <w:rPr>
                <w:rFonts w:ascii="Arial" w:cs="Arial" w:eastAsia="Arial" w:hAnsi="Arial"/>
                <w:sz w:val="16"/>
                <w:szCs w:val="16"/>
                <w:color w:val="auto"/>
              </w:rPr>
              <w:t>Increase (decrease) in deferred revenues, deferred ground lease payable and other liabilities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(2,209)</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Decrease (increase) in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20"/>
        </w:trPr>
        <w:tc>
          <w:tcPr>
            <w:tcW w:w="7380" w:type="dxa"/>
            <w:vAlign w:val="bottom"/>
          </w:tcPr>
          <w:p>
            <w:pPr>
              <w:ind w:left="700"/>
              <w:spacing w:after="0"/>
              <w:rPr>
                <w:sz w:val="20"/>
                <w:szCs w:val="20"/>
                <w:color w:val="auto"/>
              </w:rPr>
            </w:pPr>
            <w:r>
              <w:rPr>
                <w:rFonts w:ascii="Arial" w:cs="Arial" w:eastAsia="Arial" w:hAnsi="Arial"/>
                <w:sz w:val="16"/>
                <w:szCs w:val="16"/>
                <w:color w:val="auto"/>
                <w:w w:val="92"/>
              </w:rPr>
              <w:t>Decrease (increase) in other current assets, deferred site rental receivable, long-term prepaid rent and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7380" w:type="dxa"/>
            <w:vAlign w:val="bottom"/>
          </w:tcPr>
          <w:p>
            <w:pPr>
              <w:ind w:left="86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2,451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(6,225)</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126,393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118,734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107,573</w:t>
            </w:r>
          </w:p>
        </w:tc>
      </w:tr>
      <w:tr>
        <w:trPr>
          <w:trHeight w:val="231"/>
        </w:trPr>
        <w:tc>
          <w:tcPr>
            <w:tcW w:w="73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(15,455)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(26,371)</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(15,455)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(21,209)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(26,371)</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Distributions to member</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(110,938)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(97,525)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(81,202)</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(110,938)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(81,202)</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r>
      <w:tr>
        <w:trPr>
          <w:trHeight w:val="244"/>
        </w:trPr>
        <w:tc>
          <w:tcPr>
            <w:tcW w:w="738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20"/>
        </w:trPr>
        <w:tc>
          <w:tcPr>
            <w:tcW w:w="7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360"/>
          </w:cols>
          <w:pgMar w:left="280" w:top="580" w:right="2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Member's Equity</w:t>
            </w: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2014</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1,540,422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102,692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1,643,114</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(81,202)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(81,202)</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36,443</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36,443</w:t>
            </w: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at December 31, 2015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1,540,422</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57,933</w:t>
            </w:r>
          </w:p>
        </w:tc>
        <w:tc>
          <w:tcPr>
            <w:tcW w:w="2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1,598,355</w:t>
            </w: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(97,525)</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(97,525)</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40,604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40,604</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1,540,422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1,012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1,541,434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(64,204)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(46,734)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(110,938)</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45,722</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45,722</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at December 31,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1,476,218</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1,476,218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796"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accompanying consolidated financial statements reflect the consolidated financial position, results of operations, and cash flows of Pinnacle Towers LLC and its consolidated wholly-owned subsidiaries (collectively, "Company"). The Company is a wholly-owned subsidiary of CC Holdings GS V LLC ("CCL"), which is an indirect, wholly-owned subsidiary of Crown Castle International Corp., a Delaware corporation ("CCIC" or "Crown Castle"). All significant inter-company accounts, transactions, and profits have been eliminated. As used herein, the term "including," and any variation thereof means "including without limitations." The use of the word "or" herein is not exclusive.</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organized specifically to own, lease and manage towers and other structures (collectively, "towers") and to a lesser extent, interests in land under third party and related party towers in various forms ("land interests") (collectively, "communications infrastructure" or "sites") that are geographically dispersed across the United States ("U.S.") The Company's core business is providing access, including space or capacity, to its sites via long-term contracts in various forms, including licenses, subleases, and lease agreements (collectively, "contracts"). Management services related to communications towers and other communication sites are performed by Crown Castle USA Inc. ("CCUSA"), an affiliate of the Company, under a management agreement, as the Company has no employees.</w:t>
      </w:r>
    </w:p>
    <w:p>
      <w:pPr>
        <w:spacing w:after="0" w:line="1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U.S. federal income tax purposes, CCIC operates as a real estate investment trust ("REIT"), and as its indirect subsidiary, the Company's assets and operations are included in the CCIC REIT. See notes 2 and 7.</w:t>
      </w:r>
    </w:p>
    <w:p>
      <w:pPr>
        <w:spacing w:after="0" w:line="1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use assumptions that affect the reported amounts of assets and liabilities and the disclosure for contingent assets and liabilities at the date of the financial statements as well as the reported amounts of revenues and expenses during the reporting period. Actual results could differ from these estimates.</w:t>
      </w:r>
    </w:p>
    <w:p>
      <w:pPr>
        <w:spacing w:after="0" w:line="305" w:lineRule="exact"/>
        <w:rPr>
          <w:sz w:val="20"/>
          <w:szCs w:val="20"/>
          <w:color w:val="auto"/>
        </w:rPr>
      </w:pPr>
    </w:p>
    <w:p>
      <w:pPr>
        <w:ind w:left="420" w:right="7620" w:hanging="412"/>
        <w:spacing w:after="0" w:line="440" w:lineRule="auto"/>
        <w:tabs>
          <w:tab w:leader="none" w:pos="4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Receivables Allowance</w:t>
      </w:r>
    </w:p>
    <w:p>
      <w:pPr>
        <w:spacing w:after="0" w:line="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An allowance for doubtful accounts is recorded as an offset to accounts receivable. The Company uses judgment in estimating this allowance and considers historical collections, current credit status or contractual provisions. Additions to the allowance for doubtful accounts are charged to "site rental cost of operations" and deductions from the allowance are recorded when specific accounts receivable are written off as uncollectible.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 Accounting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 classifies its leases at inception as either operating leases or capital leases. A lease is classified as a capital lease if at least one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 subject to certain exceptions noted below: (1) the lease transfers ownership of the leased assets to the lessee, (2) there is a bargain purchase option, (3) the lease term is equal to 75% or more of the economic life of the leased assets, or (4) the present value of the minimum lease payments equals or exceeds 90% of the fair value of the leased assets.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Lessee. </w:t>
      </w:r>
      <w:r>
        <w:rPr>
          <w:rFonts w:ascii="Arial" w:cs="Arial" w:eastAsia="Arial" w:hAnsi="Arial"/>
          <w:sz w:val="18"/>
          <w:szCs w:val="18"/>
          <w:color w:val="auto"/>
        </w:rPr>
        <w:t>Leases for land are evaluated for capital lease treatment if at least one of the first two criteria mentioned in the immediately preceding paragraph</w:t>
      </w:r>
      <w:r>
        <w:rPr>
          <w:rFonts w:ascii="Arial" w:cs="Arial" w:eastAsia="Arial" w:hAnsi="Arial"/>
          <w:sz w:val="18"/>
          <w:szCs w:val="18"/>
          <w:i w:val="1"/>
          <w:iCs w:val="1"/>
          <w:color w:val="auto"/>
        </w:rPr>
        <w:t xml:space="preserve"> </w:t>
      </w:r>
      <w:r>
        <w:rPr>
          <w:rFonts w:ascii="Arial" w:cs="Arial" w:eastAsia="Arial" w:hAnsi="Arial"/>
          <w:sz w:val="18"/>
          <w:szCs w:val="18"/>
          <w:color w:val="auto"/>
        </w:rPr>
        <w:t>is present relating to the leased assets. When the Company, as lessee, classifies a lease as a capital lease, it records an asset in an amount equal to the present value of the minimum lease payments under the lease at the beginning of the lease term. Applicable operating leases are recognized on a straight-line basis as discussed under "</w:t>
      </w:r>
      <w:r>
        <w:rPr>
          <w:rFonts w:ascii="Arial" w:cs="Arial" w:eastAsia="Arial" w:hAnsi="Arial"/>
          <w:sz w:val="18"/>
          <w:szCs w:val="18"/>
          <w:i w:val="1"/>
          <w:iCs w:val="1"/>
          <w:color w:val="auto"/>
        </w:rPr>
        <w:t>Costs of Operations</w:t>
      </w:r>
      <w:r>
        <w:rPr>
          <w:rFonts w:ascii="Arial" w:cs="Arial" w:eastAsia="Arial" w:hAnsi="Arial"/>
          <w:sz w:val="18"/>
          <w:szCs w:val="18"/>
          <w:color w:val="auto"/>
        </w:rPr>
        <w:t>" below.</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Lessor. </w:t>
      </w:r>
      <w:r>
        <w:rPr>
          <w:rFonts w:ascii="Arial" w:cs="Arial" w:eastAsia="Arial" w:hAnsi="Arial"/>
          <w:sz w:val="18"/>
          <w:szCs w:val="18"/>
          <w:color w:val="auto"/>
        </w:rPr>
        <w:t>If the Company is the lessor of leased property that is part of a larger whole (including with respect to a portion of space on a tower)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fair value is not objectively determinable, then such lease is accounted for as an operating lease. As applicable, operating leases are recognized on a straight-line basis as discussed under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"Recent Accounting Pronouncements Not Yet Adopted"</w:t>
      </w:r>
      <w:r>
        <w:rPr>
          <w:rFonts w:ascii="Arial" w:cs="Arial" w:eastAsia="Arial" w:hAnsi="Arial"/>
          <w:sz w:val="18"/>
          <w:szCs w:val="18"/>
          <w:color w:val="auto"/>
        </w:rPr>
        <w:t xml:space="preserve"> below for further discussion.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Property and equipment is stated at cost, net of accumulated depreciation. Property and equipment includes land owned in fee and perpetual easements for land, which have no definite life. When the Company purchases fee ownership or perpetual easements for the land previously subject to ground lease, the Company reduces the value recorded as land by the amount of any associated deferred ground lease payable or unamortized above-market leases. Depreciation is computed utilizing the straight-line method at rates based upon the estimated useful lives of the various classes of assets. Depreciation of communications infrastructure is generally computed with a useful life equal to the shorter of 20 years or the term of the underlying ground lease (including optional renewal periods). Additions, renewals, or improvements are capitalized, while maintenance and repairs are expensed. The carrying value of property and equipment will be reviewed for impairment whenever events or changes in circumstances indicate that the carrying amount of the assets may not be recoverable.</w:t>
      </w:r>
    </w:p>
    <w:p>
      <w:pPr>
        <w:spacing w:after="0" w:line="13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Abandonments and write-offs of property and equipment are recorded to "asset write-down charges" on the Company's consolidated statement of operations and were $0.4 million, $2.9 million, and $3.3 million for the years ended December 31, 2017, 2016, and 2015, respectively.</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its ground lease and easement agreements, the Company records obligations to perform asset retirement activities, including requirements to remove communications infrastructure or remediate the land upon which the Company's communications infrastructure resides. Asset retirement obligations are included in "above-market leases and other liabilities" on the Company's consolidated balance sheet. The liability accretes as a result of the passage of time and the related accretion expense is included in "depreciation, amortization and accretion" expense on the Company's consolidated statement of operations. The associated asset retirement costs are capitalized as an additional carrying amount of the related long-lived asset and depreciated over the useful life of such asset.</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Goodwill represents the excess of the purchase price for an acquired business over the allocated value of the related net assets. The Company tests goodwill for impairment on an annual basis, regardless of whether adverse events or changes in circumstances have occurred. The annual test begins with goodwill and all intangible assets being allocated to applicable reporting units. The Company then performs a qualitative assessment to determine whether it is "more likely than not" that the fair value of the reporting units is less than its carrying amount. If it is concluded that it is "more likely than not" that the fair value of a reporting unit is less than its carrying amount, it is necessary to perform the two-step goodwill impairment test. The two-step goodwill impairment test begins with a comparison of the estimated fair value of the reporting unit and the carrying value of the reporting unit. The first step, commonly referred to as a "step-one impairment test," is a screen for potential impairment while the second step measures the amount of any impairment if there is an indication from the first step that one exists. The Company's measurement of the fair value for goodwill is based on an estimate of discounted expected future cash flows of the reporting unit. The Company has one reporting unit for goodwill impairment testing. The Company performed its most recent annual test of goodwill as of October 1, 2017, which resulted in no impairments.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Intangible assets are included in "site rental contracts and customer relationships, net" and "other intangible assets, net" on the Company's consolidated balance sheet and predominately consist of the estimated fair value of the following items recorded in conjunction with acquisitions: (1) site rental contracts and customer relationships or (2) below-market leases for land interests under the acquired towers classified as "other intangible assets, net." The site rental contracts and customer relationships intangible assets are comprised of (1) the current term of the existing contracts, (2) the expected exercise of the renewal provisions contained within the existing contracts, which automatically occur under contractual provisions, or (3) any associated relationships that are expected to generate value following the expiration of all renewal periods under existing contracts.</w:t>
      </w:r>
    </w:p>
    <w:p>
      <w:pPr>
        <w:spacing w:after="0" w:line="12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useful lives of intangible assets are estimated based on the period over which the intangible asset is expected to benefit the Company, which is calculated on an individual tenant basis, considering, among other things, the contractual provisions with the tenant and gives consideration to the expected useful life of other assets to which the useful life may relate. Amortization expense for intangible assets is computed using the straight-line method over the estimated useful life of each of the intangible assets. The useful life of the site rental contracts and customer relationships intangible asset is limited by the maximum depreciable life of the tower (20 years), as a result of the interdependency of the tower and site rental contracts and customer relationships. In contrast, the site rental contracts and customer relationships are estimated to provide economic benefits for several decades because of the low rate of tenant cancellations and high rate of renewals experienced to date. Thus, while site rental contracts and customer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relationships are valued based upon the fair value, which includes assumptions regarding both (1) tenants' exercise of optional renewals contained in the acquired contracts and (2) renewals of the acquired contracts past the contractual term including exercisable options, the site rental contracts and customer relationships are amortized over a period not to exceed 20 years as a result of the useful life being limited by the depreciable life of the sites.</w:t>
      </w:r>
    </w:p>
    <w:p>
      <w:pPr>
        <w:spacing w:after="0" w:line="11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the site rental contracts and customer relationships intangible assets. First, the Company pools the site rental contracts and customer relationships with the related tower assets into portfolio groups for purposes of determining the unit of account for impairment testing. Second and separately, the Company evaluates the site rental contracts and customer relationships by significant tenant or by tenant grouping for individually insignificant tenants, as appropriate. If the sum of the estimated future cash flows (undiscounted) expected to result from the use or eventual disposition of an asset is less than the carrying amount of the asset, an impairment loss is recognized. Measurement of an impairment loss is based on the fair value of the asset.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Above-market Leases</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Above-market leases consist of the estimated fair value of above-market leases for land interests under the Company's towers. Above-market leases for land interests are amortized to costs of operations over their respective estimated remaining contract term at the acquisition date.</w:t>
      </w: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Site rental revenues are recognized on a monthly basis over the fixed, non-cancelable term of the relevant contract (generally ranging from five to 15 years), regardless of whether the payments from the tenant are received in equal monthly amounts. The Company's contracts contain fixed escalation clauses (such as fixed dollar or fixed percentage increases) or inflation-based escalation clauses (such as those tied to the consumer price index ("CPI")). If the payment terms call for fixed escalations, upfront payments, or rent-free periods, the revenue is recognized on a straight-line basis over the fixed, non-cancelable term of the agreement. When calculating straight-line rental revenues, the Company considers all fixed elements of tenant contractual escalation provisions, even if such escalation provisions contain a variable element in addition to a minimum. The Company's assets related to straight-line site rental revenues are included in "deferred site rental receivables." Amounts billed or received prior to being earned are deferred and reflected in "deferred revenues" on the Company's consolidated balance sheet.</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of Operations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Approximately two-thirds of the Company's site rental cost of operations consists of ground lease expenses, and the remainder includes repairs and maintenance expenses, utilities, property taxes, or insurance.</w:t>
      </w:r>
    </w:p>
    <w:p>
      <w:pPr>
        <w:spacing w:after="0" w:line="11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Generally, the ground lease agreements are specific to each site, are for an initial term of five years and are renewable for pre-determined periods. The Company also enters into term easements and ground leases in which it prepays the entire term in advance. Ground lease expense is recognized on a monthly basis, regardless of whether the contract agreement payment terms require the Company to make payments annually, quarterly, monthly, or for the entire term in advance. The Company's ground leases contain fixed escalation clauses (such as fixed dollar or fixed percentage increases) or inflation-based escalation clauses (such as those tied to the CPI). If the payment terms include fixed escalation provisions, the effect of such increases is recognized on a straight-line basis. The Company calculates the straight-line ground lease expense using a time period that equals or exceeds the remaining depreciable life of the communications infrastructure asset. Further, when a tenant has exercisable renewal options that would compel the Company to exercise existing ground lease renewal options, the Company has straight-lined the ground lease expense over a sufficient portion of such ground lease renewals to coincide with the final termination of the tenant's renewal options. The Company's policy is to record ground lease agreements with affiliates under the same or similar economic terms as the contract agreement for the land that existed prior to the purchase of such land by the affiliate.</w:t>
      </w:r>
    </w:p>
    <w:p>
      <w:pPr>
        <w:spacing w:after="0" w:line="1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non-current liability related to straight-line ground lease expense is included in "deferred ground lease payable" on the Company's consolidated balance sheet. The Company's assets related to prepaid ground leases is included in "prepaid expenses" and "long-term prepaid rent and other assets, net" on the Company's consolidated balance sheet. The Company's current liability related to accrued property taxes is included in "other accrued liabilities" on the Company's consolidated balance sheet and was $1.6 million and $2.0 million for the years ended December 31, 2017 and 2016,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Fee</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is charged a management fee by CCUSA, a wholly-owned, indirect subsidiary of CCIC, relating to management services, which include those functions reasonably necessary to maintain, market, operate, manage and administer the sites. The management fee is equal to 7.5% of the Company's revenues excluding the revenues related to the accounting for leases with fixed escalators as required by the applicable accounting standards. See note 6.</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231F20"/>
        </w:rPr>
        <w:t xml:space="preserve">CCIC operates as a REIT for U.S. federal income tax purposes. The Company is an indirect subsidiary of CCIC and for U.S. federal income taxes purposes the Company's assets and operations are part of the CCIC REIT. </w:t>
      </w:r>
      <w:r>
        <w:rPr>
          <w:rFonts w:ascii="Arial" w:cs="Arial" w:eastAsia="Arial" w:hAnsi="Arial"/>
          <w:sz w:val="16"/>
          <w:szCs w:val="16"/>
          <w:color w:val="000000"/>
        </w:rPr>
        <w:t>As a REIT, CCIC is generally entitled to a deduction for dividends that it pays and</w:t>
      </w:r>
      <w:r>
        <w:rPr>
          <w:rFonts w:ascii="Arial" w:cs="Arial" w:eastAsia="Arial" w:hAnsi="Arial"/>
          <w:sz w:val="16"/>
          <w:szCs w:val="16"/>
          <w:color w:val="231F20"/>
        </w:rPr>
        <w:t xml:space="preserve"> </w:t>
      </w:r>
      <w:r>
        <w:rPr>
          <w:rFonts w:ascii="Arial" w:cs="Arial" w:eastAsia="Arial" w:hAnsi="Arial"/>
          <w:sz w:val="16"/>
          <w:szCs w:val="16"/>
          <w:color w:val="000000"/>
        </w:rPr>
        <w:t>therefore is not subject to U.S. federal corporate income tax on its taxable income that is currently distributed to its stockholders. CCIC also may be subject to certain federal, state, local, and foreign taxes on its income and assets, including (1) alternative minimum taxes (repealed effective January 1, 2018), (2) taxes on any undistributed income, (3) taxes related to the CCIC's taxable REIT subsidiaries, (4) franchise taxes, (5) property taxes, and (6) transfer taxes. In addition, CCIC could in certain circumstances be required to pay an excise or penalty tax, which could be significant in amount, in order to utilize one or more relief provisions under the Internal Revenue Code of 1986, as amended ("Code") to maintain qualification for taxation as a REIT.</w:t>
      </w:r>
    </w:p>
    <w:p>
      <w:pPr>
        <w:spacing w:after="0" w:line="11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The Company does not expect the Tax Cuts and Jobs Act, which was signed into law in December 2017, to have a significant impact on its consolidated financial statements.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Reporting Segments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operating segment.</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 new accounting pronouncements adopted during the year ended December 31, 2017 had a material impact on the Company's consolidated financial statements.</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31" w:lineRule="exact"/>
        <w:rPr>
          <w:sz w:val="20"/>
          <w:szCs w:val="20"/>
          <w:color w:val="auto"/>
        </w:rPr>
      </w:pPr>
    </w:p>
    <w:p>
      <w:pPr>
        <w:ind w:right="140" w:firstLine="405"/>
        <w:spacing w:after="0" w:line="290" w:lineRule="auto"/>
        <w:rPr>
          <w:sz w:val="20"/>
          <w:szCs w:val="20"/>
          <w:color w:val="auto"/>
        </w:rPr>
      </w:pPr>
      <w:r>
        <w:rPr>
          <w:rFonts w:ascii="Arial" w:cs="Arial" w:eastAsia="Arial" w:hAnsi="Arial"/>
          <w:sz w:val="16"/>
          <w:szCs w:val="16"/>
          <w:color w:val="auto"/>
        </w:rPr>
        <w:t>In February 2016, the FASB issued new guidance on the recognition, measurement, presentation and disclosure of leases. The new guidance requires lessees to recognize a right-of-use asset and a lease liability, initially measured at the present value of the lease payments for all leases with a term greater than 12 months. The accounting for lessors remains largely unchanged from existing guidance. This guidance is effective for the Company as of January 1, 2019 and is required to be applied using a modified retrospective approach for all leases existing at, or entered into after, the beginning of the earliest comparative period presented. Although early adoption is permitted, the Company does not expect to early adopt the new guidance prior to January 1, 2019. The Company expects that (1) lessee arrangements will continue to be classified as operating leases under the new guidance; (2) this guidance to have a material impact on its consolidated balance sheet due to the addition of right-of-use assets and lease liabilities for all lessee arrangements with a term greater than 12 months; and (3) there will not be a material impact to its consolidated statement of operations and consolidated statement of cash flows.</w:t>
      </w:r>
    </w:p>
    <w:p>
      <w:pPr>
        <w:spacing w:after="0" w:line="11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January 2017, the FASB issued new guidance to simplify the accounting for goodwill impairment by removing the second step of the existing goodwill impairment test. As a result of the guidance, goodwill impairment, if any, will be measured during the step-one impairment test as the amount by which a reporting unit's carrying value exceeds its fair value, not to exceed the carrying amount of goodwill. Additionally, the guidance does not change the option to complete a qualitative assessment prior to performing a step-one impairment test. The guidance is effective for the Company as of January 1, 2020. Early adoption is permitted. The Company is currently evaluating the impact of the guidance, including the impact on its consolidated financial statements.</w:t>
      </w:r>
    </w:p>
    <w:p>
      <w:pPr>
        <w:spacing w:after="0" w:line="10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January 2017, the FASB issued new guidance, which clarifies the definition of a business in order to assist companies in evaluating whether transactions should be accounted for as acquisitions or disposals of assets or businesses. The guidance is effective for the Company as of January 1, 2018, and is required to be applied prospectively. Early adoption is permitted. The Company adopted this guidance effective January 1, 2018 and will apply the new guidance to prospective transactions. The adoption of this guidance will not have a material impact on the Company's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121"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233" w:lineRule="exact"/>
        <w:rPr>
          <w:sz w:val="20"/>
          <w:szCs w:val="20"/>
          <w:color w:val="auto"/>
        </w:rPr>
      </w:pPr>
    </w:p>
    <w:p>
      <w:pPr>
        <w:ind w:left="420" w:hanging="412"/>
        <w:spacing w:after="0"/>
        <w:tabs>
          <w:tab w:leader="none" w:pos="4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major classes of property and equipment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Estimated Useful Lives</w:t>
            </w: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2016</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r>
              <w:rPr>
                <w:rFonts w:ascii="Arial" w:cs="Arial" w:eastAsia="Arial" w:hAnsi="Arial"/>
                <w:sz w:val="21"/>
                <w:szCs w:val="21"/>
                <w:color w:val="auto"/>
                <w:vertAlign w:val="superscript"/>
              </w:rPr>
              <w:t>(a)</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56,195</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56,851</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Towers</w:t>
            </w:r>
          </w:p>
        </w:tc>
        <w:tc>
          <w:tcPr>
            <w:tcW w:w="1720" w:type="dxa"/>
            <w:vAlign w:val="bottom"/>
            <w:gridSpan w:val="2"/>
          </w:tcPr>
          <w:p>
            <w:pPr>
              <w:jc w:val="right"/>
              <w:ind w:right="340"/>
              <w:spacing w:after="0"/>
              <w:rPr>
                <w:sz w:val="20"/>
                <w:szCs w:val="20"/>
                <w:color w:val="auto"/>
              </w:rPr>
            </w:pPr>
            <w:r>
              <w:rPr>
                <w:rFonts w:ascii="Arial" w:cs="Arial" w:eastAsia="Arial" w:hAnsi="Arial"/>
                <w:sz w:val="16"/>
                <w:szCs w:val="16"/>
                <w:color w:val="auto"/>
              </w:rPr>
              <w:t>1-20 years</w:t>
            </w: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532,039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518,868</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17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6,196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7,917</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gross property and equipment</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594,430</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583,636</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1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(251,004)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(226,852)</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343,426</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356,784</w:t>
            </w:r>
          </w:p>
        </w:tc>
      </w:tr>
      <w:tr>
        <w:trPr>
          <w:trHeight w:val="20"/>
        </w:trPr>
        <w:tc>
          <w:tcPr>
            <w:tcW w:w="6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land owned in fee and perpetual easements.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Depreciation expense for the years ended December 31, 2017, 2016, and 2015 was $26.5 million, $25.6 million, and $25.5 million, respectively.</w:t>
      </w:r>
    </w:p>
    <w:p>
      <w:pPr>
        <w:spacing w:after="0" w:line="395" w:lineRule="exact"/>
        <w:rPr>
          <w:sz w:val="20"/>
          <w:szCs w:val="20"/>
          <w:color w:val="auto"/>
        </w:rPr>
      </w:pPr>
    </w:p>
    <w:p>
      <w:pPr>
        <w:ind w:left="420" w:hanging="412"/>
        <w:spacing w:after="0"/>
        <w:tabs>
          <w:tab w:leader="none" w:pos="4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Above-market Leases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231F20"/>
        </w:rPr>
        <w:t>The following is a summary of the Company's intangible assets.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2017</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2016</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83"/>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1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3"/>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Site rental contracts and customer relationships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985,741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(550,085)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435,656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985,741</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(499,489)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486,252</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20" w:type="dxa"/>
            <w:vAlign w:val="bottom"/>
          </w:tcPr>
          <w:p>
            <w:pPr>
              <w:spacing w:after="0"/>
              <w:rPr>
                <w:sz w:val="20"/>
                <w:szCs w:val="20"/>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6,463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(4,089)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2,374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6,510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2,661</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992,204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(554,174)</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438,030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992,251</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(503,338)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488,913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Amortization expense related to intangible assets is classified as follows on the Company's consolidated statement of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4"/>
                <w:szCs w:val="14"/>
                <w:b w:val="1"/>
                <w:bCs w:val="1"/>
                <w:color w:val="auto"/>
                <w:w w:val="93"/>
              </w:rPr>
              <w:t>For Years Ended December 31,</w:t>
            </w: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2015</w:t>
            </w: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50,597</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50,583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50,532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Site rental costs of operations</w:t>
            </w: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299</w:t>
            </w:r>
          </w:p>
        </w:tc>
      </w:tr>
      <w:tr>
        <w:trPr>
          <w:trHeight w:val="33"/>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50,857</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50,862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50,831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estimated annual amortization expense related to intangible assets (inclusive of those recorded as an increase to "site rental cost of operations") for the years ending December 31, 2018 to 2022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2022</w:t>
            </w:r>
          </w:p>
        </w:tc>
      </w:tr>
      <w:tr>
        <w:trPr>
          <w:trHeight w:val="22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50,842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50,814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50,789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50,771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50,760</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See note 2 for a further discussion of above-market leases for land interests under the Company's towers recorded in connection with acquisitions. For the years ended December 31, 2017, 2016 and 2015, the Company recorded $0.3 million, $0.3 million and $0.4 million, respectively, as a decrease to "site rental cost of operations." The following is a summary of the Company's above-market leases.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December 31, 2017</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December 31, 2016</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Book Value</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Above-market leases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8,056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(4,327)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3,729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8,056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4,047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annual amortization expense related to above-market leases for land interests under the Company's towers for the years ending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to 2022 is as follows: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288</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20" w:hanging="412"/>
        <w:spacing w:after="0"/>
        <w:tabs>
          <w:tab w:leader="none" w:pos="4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December 2012, CCL and Crown Castle GS III Corp. (a subsidiary of CCL) issued $1.5 billion aggregate principal amount of senior secured notes ("2012 Secured Notes"), which are guaranteed by certain subsidiaries of CCL, including the Company. In addition, the 2012 Secured Notes are secured on a first priority basis by certain subsidiaries of CCL, including a pledge of the equity interests of the Company. In September 2016, CCIC issued $700 million aggregate principal amount of 2.250% senior unsecured notes. CCIC used a portion of the net proceeds to repay $500 million of the 2012 Secured Notes.</w:t>
      </w:r>
    </w:p>
    <w:p>
      <w:pPr>
        <w:spacing w:after="0" w:line="10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231F20"/>
        </w:rPr>
        <w:t>The 2012 Secured Notes do not contain financial maintenance covenants but they do contain restrictive covenants, subject to certain exceptions, related to the Company's ability to incur indebtedness, incur liens, enter into certain mergers or change of control transactions, sell or issue equity interests and enter into related party transactions. With respect to the restriction regarding the issuance of debt, CCL and its subsidiaries including the Company may not issue debt other than (1) certain permitted refinancings of the 2012 Secured Notes, (2) unsecured trade payables in the ordinary course of business and financing of equipment, land, or other property up to an aggregate of $100.0 million, and (3) unsecured debt or additional notes under the 2012 Secured Notes indenture provided that the Debt to Adjusted Consolidated Cash Flow Ratio (as defined in the indenture governing the 2012 Secured Notes) at the time of incurrence, and after giving effect to such incurrence, would have been no greater than 3.5 to 1. As of December 31, 2017, CCL's Debt to Adjusted Consolidated Cash Flow Ratio was 2.5 to 1, and, as a result, the Company is not restricted in its ability to incur additional indebtedness. Further, the Company is not restricted in its ability to distribute cash to affiliates or issue dividends to its member.</w:t>
      </w:r>
    </w:p>
    <w:p>
      <w:pPr>
        <w:spacing w:after="0" w:line="340" w:lineRule="exact"/>
        <w:rPr>
          <w:sz w:val="20"/>
          <w:szCs w:val="20"/>
          <w:color w:val="auto"/>
        </w:rPr>
      </w:pPr>
    </w:p>
    <w:p>
      <w:pPr>
        <w:ind w:left="420" w:hanging="412"/>
        <w:spacing w:after="0"/>
        <w:tabs>
          <w:tab w:leader="none" w:pos="4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 xml:space="preserve">In December 2012, CCL, the Company, and other subsidiaries of CCL entered into a management agreement ("Management Agreement") with CCUSA, which replaced a previous management agreement among the same parties. </w:t>
      </w:r>
      <w:r>
        <w:rPr>
          <w:rFonts w:ascii="Arial" w:cs="Arial" w:eastAsia="Arial" w:hAnsi="Arial"/>
          <w:sz w:val="16"/>
          <w:szCs w:val="16"/>
          <w:color w:val="231F20"/>
        </w:rPr>
        <w:t>The Company is charged a management fee by CCUSA under the</w:t>
      </w:r>
      <w:r>
        <w:rPr>
          <w:rFonts w:ascii="Arial" w:cs="Arial" w:eastAsia="Arial" w:hAnsi="Arial"/>
          <w:sz w:val="16"/>
          <w:szCs w:val="16"/>
          <w:color w:val="auto"/>
        </w:rPr>
        <w:t xml:space="preserve"> </w:t>
      </w:r>
      <w:r>
        <w:rPr>
          <w:rFonts w:ascii="Arial" w:cs="Arial" w:eastAsia="Arial" w:hAnsi="Arial"/>
          <w:sz w:val="16"/>
          <w:szCs w:val="16"/>
          <w:color w:val="231F20"/>
        </w:rPr>
        <w:t xml:space="preserve">Management Agreement whereby CCUSA has agreed to employ, supervise, and pay at all times a sufficient number of capable employees as may be necessary to perform services in accordance with the operation standards defined in the Management Agreement. </w:t>
      </w:r>
      <w:r>
        <w:rPr>
          <w:rFonts w:ascii="Arial" w:cs="Arial" w:eastAsia="Arial" w:hAnsi="Arial"/>
          <w:sz w:val="16"/>
          <w:szCs w:val="16"/>
          <w:color w:val="000000"/>
        </w:rPr>
        <w:t>CCUSA currently acts as the manager of the</w:t>
      </w:r>
      <w:r>
        <w:rPr>
          <w:rFonts w:ascii="Arial" w:cs="Arial" w:eastAsia="Arial" w:hAnsi="Arial"/>
          <w:sz w:val="16"/>
          <w:szCs w:val="16"/>
          <w:color w:val="231F20"/>
        </w:rPr>
        <w:t xml:space="preserve"> </w:t>
      </w:r>
      <w:r>
        <w:rPr>
          <w:rFonts w:ascii="Arial" w:cs="Arial" w:eastAsia="Arial" w:hAnsi="Arial"/>
          <w:sz w:val="16"/>
          <w:szCs w:val="16"/>
          <w:color w:val="000000"/>
        </w:rPr>
        <w:t xml:space="preserve">majority of the sites held by subsidiaries of CCIC. </w:t>
      </w:r>
      <w:r>
        <w:rPr>
          <w:rFonts w:ascii="Arial" w:cs="Arial" w:eastAsia="Arial" w:hAnsi="Arial"/>
          <w:sz w:val="16"/>
          <w:szCs w:val="16"/>
          <w:color w:val="231F20"/>
        </w:rPr>
        <w:t>The management fee is equal to 7.5% of the Company's "Operating Revenue," as defined in the</w:t>
      </w:r>
      <w:r>
        <w:rPr>
          <w:rFonts w:ascii="Arial" w:cs="Arial" w:eastAsia="Arial" w:hAnsi="Arial"/>
          <w:sz w:val="16"/>
          <w:szCs w:val="16"/>
          <w:color w:val="000000"/>
        </w:rPr>
        <w:t xml:space="preserve"> </w:t>
      </w:r>
      <w:r>
        <w:rPr>
          <w:rFonts w:ascii="Arial" w:cs="Arial" w:eastAsia="Arial" w:hAnsi="Arial"/>
          <w:sz w:val="16"/>
          <w:szCs w:val="16"/>
          <w:color w:val="231F20"/>
        </w:rPr>
        <w:t xml:space="preserve">Management Agreement, </w:t>
      </w:r>
      <w:r>
        <w:rPr>
          <w:rFonts w:ascii="Arial" w:cs="Arial" w:eastAsia="Arial" w:hAnsi="Arial"/>
          <w:sz w:val="16"/>
          <w:szCs w:val="16"/>
          <w:color w:val="000000"/>
        </w:rPr>
        <w:t>which are based on the Company’s reported revenues adjusted to exclude certain items including revenues related to the accounting</w:t>
      </w:r>
      <w:r>
        <w:rPr>
          <w:rFonts w:ascii="Arial" w:cs="Arial" w:eastAsia="Arial" w:hAnsi="Arial"/>
          <w:sz w:val="16"/>
          <w:szCs w:val="16"/>
          <w:color w:val="231F20"/>
        </w:rPr>
        <w:t xml:space="preserve"> </w:t>
      </w:r>
      <w:r>
        <w:rPr>
          <w:rFonts w:ascii="Arial" w:cs="Arial" w:eastAsia="Arial" w:hAnsi="Arial"/>
          <w:sz w:val="16"/>
          <w:szCs w:val="16"/>
          <w:color w:val="000000"/>
        </w:rPr>
        <w:t xml:space="preserve">for leases with fixed escalators. </w:t>
      </w:r>
      <w:r>
        <w:rPr>
          <w:rFonts w:ascii="Arial" w:cs="Arial" w:eastAsia="Arial" w:hAnsi="Arial"/>
          <w:sz w:val="16"/>
          <w:szCs w:val="16"/>
          <w:color w:val="231F20"/>
        </w:rPr>
        <w:t>The fee is compensation for those functions reasonably necessary to maintain, market, operate, manage and administer the</w:t>
      </w:r>
      <w:r>
        <w:rPr>
          <w:rFonts w:ascii="Arial" w:cs="Arial" w:eastAsia="Arial" w:hAnsi="Arial"/>
          <w:sz w:val="16"/>
          <w:szCs w:val="16"/>
          <w:color w:val="000000"/>
        </w:rPr>
        <w:t xml:space="preserve"> </w:t>
      </w:r>
      <w:r>
        <w:rPr>
          <w:rFonts w:ascii="Arial" w:cs="Arial" w:eastAsia="Arial" w:hAnsi="Arial"/>
          <w:sz w:val="16"/>
          <w:szCs w:val="16"/>
          <w:color w:val="231F20"/>
        </w:rPr>
        <w:t xml:space="preserve">sites, other than the operating expenses, which includes but is not limited to real estate and personal property taxes, ground lease and easement payments, and insurance premiums. In addition, in connection with its role as manager, CCUSA may make certain modifications to the Company's sites. The management fee charged from CCUSA for the years ended December 31, 2017, 2016, and 2015 totaled </w:t>
      </w:r>
      <w:r>
        <w:rPr>
          <w:rFonts w:ascii="Arial" w:cs="Arial" w:eastAsia="Arial" w:hAnsi="Arial"/>
          <w:sz w:val="16"/>
          <w:szCs w:val="16"/>
          <w:color w:val="000000"/>
        </w:rPr>
        <w:t>$13.3 million</w:t>
      </w:r>
      <w:r>
        <w:rPr>
          <w:rFonts w:ascii="Arial" w:cs="Arial" w:eastAsia="Arial" w:hAnsi="Arial"/>
          <w:sz w:val="16"/>
          <w:szCs w:val="16"/>
          <w:color w:val="231F20"/>
        </w:rPr>
        <w:t xml:space="preserve">, </w:t>
      </w:r>
      <w:r>
        <w:rPr>
          <w:rFonts w:ascii="Arial" w:cs="Arial" w:eastAsia="Arial" w:hAnsi="Arial"/>
          <w:sz w:val="16"/>
          <w:szCs w:val="16"/>
          <w:color w:val="000000"/>
        </w:rPr>
        <w:t>$12.9 million</w:t>
      </w:r>
      <w:r>
        <w:rPr>
          <w:rFonts w:ascii="Arial" w:cs="Arial" w:eastAsia="Arial" w:hAnsi="Arial"/>
          <w:sz w:val="16"/>
          <w:szCs w:val="16"/>
          <w:color w:val="231F20"/>
        </w:rPr>
        <w:t xml:space="preserve">, and </w:t>
      </w:r>
      <w:r>
        <w:rPr>
          <w:rFonts w:ascii="Arial" w:cs="Arial" w:eastAsia="Arial" w:hAnsi="Arial"/>
          <w:sz w:val="16"/>
          <w:szCs w:val="16"/>
          <w:color w:val="000000"/>
        </w:rPr>
        <w:t>$12.2 million</w:t>
      </w:r>
      <w:r>
        <w:rPr>
          <w:rFonts w:ascii="Arial" w:cs="Arial" w:eastAsia="Arial" w:hAnsi="Arial"/>
          <w:sz w:val="16"/>
          <w:szCs w:val="16"/>
          <w:color w:val="231F20"/>
        </w:rPr>
        <w:t>, respectively.</w:t>
      </w:r>
    </w:p>
    <w:p>
      <w:pPr>
        <w:spacing w:after="0" w:line="1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In addition, CCUSA may perform installation services on the Company's towers for which the Company is not a party to any such agreement and for which no operating results are reflected herein.</w:t>
      </w:r>
    </w:p>
    <w:p>
      <w:pPr>
        <w:spacing w:after="0" w:line="11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As part of CCIC's strategy to obtain long-term control of the land under its towers, affiliates of the Company have acquired rights to land interests under the Company's towers. These affiliates then lease the land to the Company. Under such circumstances, the Company's obligation typically continues with the same or similar economic terms as the contract agreement for the land that existed prior to the purchase of such land by the affiliate. As of December 31, 2017, there are approximately 15% of the Company's sites where the land under the tower is owned by an affiliate. Rent expense to affiliates totaled </w:t>
      </w:r>
      <w:r>
        <w:rPr>
          <w:rFonts w:ascii="Arial" w:cs="Arial" w:eastAsia="Arial" w:hAnsi="Arial"/>
          <w:sz w:val="18"/>
          <w:szCs w:val="18"/>
          <w:color w:val="000000"/>
        </w:rPr>
        <w:t>$4.4</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w:t>
      </w:r>
      <w:r>
        <w:rPr>
          <w:rFonts w:ascii="Arial" w:cs="Arial" w:eastAsia="Arial" w:hAnsi="Arial"/>
          <w:sz w:val="18"/>
          <w:szCs w:val="18"/>
          <w:color w:val="000000"/>
        </w:rPr>
        <w:t xml:space="preserve"> $4.1 million</w:t>
      </w:r>
      <w:r>
        <w:rPr>
          <w:rFonts w:ascii="Arial" w:cs="Arial" w:eastAsia="Arial" w:hAnsi="Arial"/>
          <w:sz w:val="18"/>
          <w:szCs w:val="18"/>
          <w:color w:val="231F20"/>
        </w:rPr>
        <w:t>, and</w:t>
      </w:r>
      <w:r>
        <w:rPr>
          <w:rFonts w:ascii="Arial" w:cs="Arial" w:eastAsia="Arial" w:hAnsi="Arial"/>
          <w:sz w:val="18"/>
          <w:szCs w:val="18"/>
          <w:color w:val="000000"/>
        </w:rPr>
        <w:t xml:space="preserve"> $3.9 million </w:t>
      </w:r>
      <w:r>
        <w:rPr>
          <w:rFonts w:ascii="Arial" w:cs="Arial" w:eastAsia="Arial" w:hAnsi="Arial"/>
          <w:sz w:val="18"/>
          <w:szCs w:val="18"/>
          <w:color w:val="231F20"/>
        </w:rPr>
        <w:t>for the years ended December 31, 2017, 2016, and</w:t>
      </w:r>
      <w:r>
        <w:rPr>
          <w:rFonts w:ascii="Arial" w:cs="Arial" w:eastAsia="Arial" w:hAnsi="Arial"/>
          <w:sz w:val="18"/>
          <w:szCs w:val="18"/>
          <w:color w:val="000000"/>
        </w:rPr>
        <w:t xml:space="preserve"> 2015</w:t>
      </w:r>
      <w:r>
        <w:rPr>
          <w:rFonts w:ascii="Arial" w:cs="Arial" w:eastAsia="Arial" w:hAnsi="Arial"/>
          <w:sz w:val="18"/>
          <w:szCs w:val="18"/>
          <w:color w:val="231F20"/>
        </w:rPr>
        <w:t>, respectively. The Company receives rent revenue from</w:t>
      </w:r>
      <w:r>
        <w:rPr>
          <w:rFonts w:ascii="Arial" w:cs="Arial" w:eastAsia="Arial" w:hAnsi="Arial"/>
          <w:sz w:val="18"/>
          <w:szCs w:val="18"/>
          <w:color w:val="000000"/>
        </w:rPr>
        <w:t xml:space="preserve"> </w:t>
      </w:r>
      <w:r>
        <w:rPr>
          <w:rFonts w:ascii="Arial" w:cs="Arial" w:eastAsia="Arial" w:hAnsi="Arial"/>
          <w:sz w:val="18"/>
          <w:szCs w:val="18"/>
          <w:color w:val="231F20"/>
        </w:rPr>
        <w:t xml:space="preserve">affiliates for land owned by the Company that affiliates have towers on and pays ground rent expense to affiliates for land owned by affiliates that the Company has towers on. For the years ended December 31, 2017, 2016, and </w:t>
      </w:r>
      <w:r>
        <w:rPr>
          <w:rFonts w:ascii="Arial" w:cs="Arial" w:eastAsia="Arial" w:hAnsi="Arial"/>
          <w:sz w:val="18"/>
          <w:szCs w:val="18"/>
          <w:color w:val="000000"/>
        </w:rPr>
        <w:t>2015</w:t>
      </w:r>
      <w:r>
        <w:rPr>
          <w:rFonts w:ascii="Arial" w:cs="Arial" w:eastAsia="Arial" w:hAnsi="Arial"/>
          <w:sz w:val="18"/>
          <w:szCs w:val="18"/>
          <w:color w:val="231F20"/>
        </w:rPr>
        <w:t xml:space="preserve">, rent revenue from affiliates totaled </w:t>
      </w:r>
      <w:r>
        <w:rPr>
          <w:rFonts w:ascii="Arial" w:cs="Arial" w:eastAsia="Arial" w:hAnsi="Arial"/>
          <w:sz w:val="18"/>
          <w:szCs w:val="18"/>
          <w:color w:val="000000"/>
        </w:rPr>
        <w:t>$0.8 million</w:t>
      </w:r>
      <w:r>
        <w:rPr>
          <w:rFonts w:ascii="Arial" w:cs="Arial" w:eastAsia="Arial" w:hAnsi="Arial"/>
          <w:sz w:val="18"/>
          <w:szCs w:val="18"/>
          <w:color w:val="231F20"/>
        </w:rPr>
        <w:t xml:space="preserve">, </w:t>
      </w:r>
      <w:r>
        <w:rPr>
          <w:rFonts w:ascii="Arial" w:cs="Arial" w:eastAsia="Arial" w:hAnsi="Arial"/>
          <w:sz w:val="18"/>
          <w:szCs w:val="18"/>
          <w:color w:val="000000"/>
        </w:rPr>
        <w:t>$0.8 million</w:t>
      </w:r>
      <w:r>
        <w:rPr>
          <w:rFonts w:ascii="Arial" w:cs="Arial" w:eastAsia="Arial" w:hAnsi="Arial"/>
          <w:sz w:val="18"/>
          <w:szCs w:val="18"/>
          <w:color w:val="231F20"/>
        </w:rPr>
        <w:t xml:space="preserve">, and </w:t>
      </w:r>
      <w:r>
        <w:rPr>
          <w:rFonts w:ascii="Arial" w:cs="Arial" w:eastAsia="Arial" w:hAnsi="Arial"/>
          <w:sz w:val="18"/>
          <w:szCs w:val="18"/>
          <w:color w:val="000000"/>
        </w:rPr>
        <w:t>$0.7</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respectively.</w:t>
      </w:r>
    </w:p>
    <w:p>
      <w:pPr>
        <w:spacing w:after="0" w:line="13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Company recorded equity distributions of $110.9 million, </w:t>
      </w:r>
      <w:r>
        <w:rPr>
          <w:rFonts w:ascii="Arial" w:cs="Arial" w:eastAsia="Arial" w:hAnsi="Arial"/>
          <w:sz w:val="17"/>
          <w:szCs w:val="17"/>
          <w:color w:val="000000"/>
        </w:rPr>
        <w:t>$97.5 million</w:t>
      </w:r>
      <w:r>
        <w:rPr>
          <w:rFonts w:ascii="Arial" w:cs="Arial" w:eastAsia="Arial" w:hAnsi="Arial"/>
          <w:sz w:val="17"/>
          <w:szCs w:val="17"/>
          <w:color w:val="231F20"/>
        </w:rPr>
        <w:t xml:space="preserve">, and </w:t>
      </w:r>
      <w:r>
        <w:rPr>
          <w:rFonts w:ascii="Arial" w:cs="Arial" w:eastAsia="Arial" w:hAnsi="Arial"/>
          <w:sz w:val="17"/>
          <w:szCs w:val="17"/>
          <w:color w:val="000000"/>
        </w:rPr>
        <w:t>$81.2 million</w:t>
      </w:r>
      <w:r>
        <w:rPr>
          <w:rFonts w:ascii="Arial" w:cs="Arial" w:eastAsia="Arial" w:hAnsi="Arial"/>
          <w:sz w:val="17"/>
          <w:szCs w:val="17"/>
          <w:color w:val="231F20"/>
        </w:rPr>
        <w:t xml:space="preserve"> for the years ended December 31, 2017, 2016, and </w:t>
      </w:r>
      <w:r>
        <w:rPr>
          <w:rFonts w:ascii="Arial" w:cs="Arial" w:eastAsia="Arial" w:hAnsi="Arial"/>
          <w:sz w:val="17"/>
          <w:szCs w:val="17"/>
          <w:color w:val="000000"/>
        </w:rPr>
        <w:t>2015</w:t>
      </w:r>
      <w:r>
        <w:rPr>
          <w:rFonts w:ascii="Arial" w:cs="Arial" w:eastAsia="Arial" w:hAnsi="Arial"/>
          <w:sz w:val="17"/>
          <w:szCs w:val="17"/>
          <w:color w:val="231F20"/>
        </w:rPr>
        <w:t xml:space="preserve">, respectively, reflecting distributions to its member. Cash on-hand above the amount that is required by the Management Agreement has been, and is expected to continue to be, distributed to the Company's parent company, CCL. See note 7 for a discussion of the equity contribution related to income taxes. </w:t>
      </w:r>
      <w:r>
        <w:rPr>
          <w:rFonts w:ascii="Arial" w:cs="Arial" w:eastAsia="Arial" w:hAnsi="Arial"/>
          <w:sz w:val="17"/>
          <w:szCs w:val="17"/>
          <w:color w:val="000000"/>
        </w:rPr>
        <w:t>As of</w:t>
      </w:r>
      <w:r>
        <w:rPr>
          <w:rFonts w:ascii="Arial" w:cs="Arial" w:eastAsia="Arial" w:hAnsi="Arial"/>
          <w:sz w:val="17"/>
          <w:szCs w:val="17"/>
          <w:color w:val="231F20"/>
        </w:rPr>
        <w:t xml:space="preserve"> </w:t>
      </w:r>
      <w:r>
        <w:rPr>
          <w:rFonts w:ascii="Arial" w:cs="Arial" w:eastAsia="Arial" w:hAnsi="Arial"/>
          <w:sz w:val="17"/>
          <w:szCs w:val="17"/>
          <w:color w:val="000000"/>
        </w:rPr>
        <w:t>December 31, 2017 and 2016, the Company had no material related party assets or liabilities on its consolidated balance sheet.</w:t>
      </w:r>
    </w:p>
    <w:p>
      <w:pPr>
        <w:spacing w:after="0" w:line="330" w:lineRule="exact"/>
        <w:rPr>
          <w:sz w:val="20"/>
          <w:szCs w:val="20"/>
          <w:color w:val="auto"/>
        </w:rPr>
      </w:pPr>
    </w:p>
    <w:p>
      <w:pPr>
        <w:ind w:left="420" w:hanging="412"/>
        <w:spacing w:after="0"/>
        <w:tabs>
          <w:tab w:leader="none" w:pos="4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For the years ended December 31, 2017 and 2016, the Company had benefits for income taxes of $0.1 million and </w:t>
      </w:r>
      <w:r>
        <w:rPr>
          <w:rFonts w:ascii="Arial" w:cs="Arial" w:eastAsia="Arial" w:hAnsi="Arial"/>
          <w:sz w:val="18"/>
          <w:szCs w:val="18"/>
          <w:color w:val="231F20"/>
        </w:rPr>
        <w:t>$0.2 million</w:t>
      </w:r>
      <w:r>
        <w:rPr>
          <w:rFonts w:ascii="Arial" w:cs="Arial" w:eastAsia="Arial" w:hAnsi="Arial"/>
          <w:sz w:val="18"/>
          <w:szCs w:val="18"/>
          <w:color w:val="auto"/>
        </w:rPr>
        <w:t xml:space="preserve">, respectively, </w:t>
      </w:r>
      <w:r>
        <w:rPr>
          <w:rFonts w:ascii="Arial" w:cs="Arial" w:eastAsia="Arial" w:hAnsi="Arial"/>
          <w:sz w:val="18"/>
          <w:szCs w:val="18"/>
          <w:color w:val="231F20"/>
        </w:rPr>
        <w:t>which</w:t>
      </w:r>
      <w:r>
        <w:rPr>
          <w:rFonts w:ascii="Arial" w:cs="Arial" w:eastAsia="Arial" w:hAnsi="Arial"/>
          <w:sz w:val="18"/>
          <w:szCs w:val="18"/>
          <w:color w:val="auto"/>
        </w:rPr>
        <w:t xml:space="preserve"> </w:t>
      </w:r>
      <w:r>
        <w:rPr>
          <w:rFonts w:ascii="Arial" w:cs="Arial" w:eastAsia="Arial" w:hAnsi="Arial"/>
          <w:sz w:val="18"/>
          <w:szCs w:val="18"/>
          <w:color w:val="231F20"/>
        </w:rPr>
        <w:t xml:space="preserve">consisted of the reduction of unrecognized tax benefits as a result of the lapse of the statute of limitations. For the year ended December 31, 2015, the company had a provision for income taxes of $0.1 million, which consisted of state taxes. The </w:t>
      </w:r>
      <w:r>
        <w:rPr>
          <w:rFonts w:ascii="Arial" w:cs="Arial" w:eastAsia="Arial" w:hAnsi="Arial"/>
          <w:sz w:val="18"/>
          <w:szCs w:val="18"/>
          <w:color w:val="000000"/>
        </w:rPr>
        <w:t>Company's effective tax rate for the years ended December 31,</w:t>
      </w:r>
      <w:r>
        <w:rPr>
          <w:rFonts w:ascii="Arial" w:cs="Arial" w:eastAsia="Arial" w:hAnsi="Arial"/>
          <w:sz w:val="18"/>
          <w:szCs w:val="18"/>
          <w:color w:val="231F20"/>
        </w:rPr>
        <w:t xml:space="preserve"> </w:t>
      </w:r>
      <w:r>
        <w:rPr>
          <w:rFonts w:ascii="Arial" w:cs="Arial" w:eastAsia="Arial" w:hAnsi="Arial"/>
          <w:sz w:val="18"/>
          <w:szCs w:val="18"/>
          <w:color w:val="000000"/>
        </w:rPr>
        <w:t>2017, 2016 and 2015 differed from the federal statutory rate predominately due to CCIC's REIT status, including the dividends paid deduction (see notes 1 and 2), and the aforementioned impacts described above.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As of December 31, 2017, there were no unrecognized tax benefits that would impact the effective tax rate, if recognized.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From time to time, the Company is subject to examinations by various tax authorities in jurisdictions in which the Company has business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The Company regularly assesses the likelihood of additional assessments in each of the tax jurisdictions resulting from these examinations. At this time,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231F20"/>
        </w:rPr>
        <w:t>CCIC is not subject to an Internal Revenue Service examination.</w:t>
      </w:r>
    </w:p>
    <w:p>
      <w:pPr>
        <w:spacing w:after="0" w:line="369" w:lineRule="exact"/>
        <w:rPr>
          <w:sz w:val="20"/>
          <w:szCs w:val="20"/>
          <w:color w:val="auto"/>
        </w:rPr>
      </w:pPr>
    </w:p>
    <w:p>
      <w:pPr>
        <w:ind w:left="420" w:hanging="412"/>
        <w:spacing w:after="0"/>
        <w:tabs>
          <w:tab w:leader="none" w:pos="4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consolidated financial position or results of operations. See note 9 for a discussion of the operating lease commitments.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Asset Retirement Obligations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Pursuant to its ground lease and easement agreements, the Company has the obligation to perform certain asset retirement activities, including requirements upon contract or easement termination to remove communications infrastructure or remediate the land upon which its communications infrastructure resides. Accretion expense related to liabilities for retirement obligations amounted to $0.6 million, $0.5 million, and $0.4 million for the years ended December 31, 2017, 2016, and 2015, respectively. As of December 31, 2017 and 2016, liabilities for retirement obligations amounted to $6.7 million and $6.2 million, respectively, representing the net present value of the estimated expected future cash outlay. As of December 31, 2017, the estimated undiscounted future cash outlay for asset retirement obligations was approximately $65 million. See note 2.</w:t>
      </w:r>
    </w:p>
    <w:p>
      <w:pPr>
        <w:spacing w:after="0" w:line="337" w:lineRule="exact"/>
        <w:rPr>
          <w:sz w:val="20"/>
          <w:szCs w:val="20"/>
          <w:color w:val="auto"/>
        </w:rPr>
      </w:pPr>
    </w:p>
    <w:p>
      <w:pPr>
        <w:ind w:left="420" w:right="9940" w:hanging="412"/>
        <w:spacing w:after="0" w:line="528" w:lineRule="auto"/>
        <w:tabs>
          <w:tab w:leader="none" w:pos="420"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Leases </w:t>
      </w:r>
      <w:r>
        <w:rPr>
          <w:rFonts w:ascii="Arial" w:cs="Arial" w:eastAsia="Arial" w:hAnsi="Arial"/>
          <w:sz w:val="15"/>
          <w:szCs w:val="15"/>
          <w:b w:val="1"/>
          <w:bCs w:val="1"/>
          <w:i w:val="1"/>
          <w:iCs w:val="1"/>
          <w:color w:val="231F20"/>
        </w:rPr>
        <w:t>Tenant Leases</w:t>
      </w:r>
    </w:p>
    <w:p>
      <w:pPr>
        <w:spacing w:after="0" w:line="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The following table is a summary of the rental cash payments owed to the Company, as a lessor, by tenants pursuant to contractual agreements in effect as of December 31, 2017. Generally, the Company's leases with its tenants provide for (1) annual escalations, (2) multiple renewal periods at the tenant's option, and (3) only limited termination rights at the applicable tenant's option through the current term. As of December 31, 2017, the weighted-average remaining term (calculated by weighting the remaining term for each lease by the related site rental revenue) of tenant leases is approximately five years, exclusive of renewals at the tenant's option. The tenants' rental payments included in the table below are through the current terms with a maximum current term of 20 years and do not assume exercise of tenant renewal options.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Tenant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171,887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162,439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155,810</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145,938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131,053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268,362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1,035,489</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Operating Leases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231F20"/>
        </w:rPr>
        <w:t xml:space="preserve">The following table is a summary of rental cash payments owed by the Company, as lessee, to landlords pursuant to contractual agreements in effect as of December 31, 2017. The Company is obligated under non-cancelable operating leases for land interests under approximately 65% of its sites. The majority of these operating lease agreements have (1) certain termination rights that provide for cancellation after a notice period, (2) multiple renewal options at the Company's option, and (3) annual escalations. Lease agreements may also contain provisions for a contingent payment based on revenues or the gross margin derived from the tower located on the leased land interest. More than 85% and more than 65% of the Company's </w:t>
      </w:r>
      <w:r>
        <w:rPr>
          <w:rFonts w:ascii="Arial" w:cs="Arial" w:eastAsia="Arial" w:hAnsi="Arial"/>
          <w:sz w:val="17"/>
          <w:szCs w:val="17"/>
          <w:color w:val="000000"/>
        </w:rPr>
        <w:t>sites are under the Company's control for</w:t>
      </w:r>
      <w:r>
        <w:rPr>
          <w:rFonts w:ascii="Arial" w:cs="Arial" w:eastAsia="Arial" w:hAnsi="Arial"/>
          <w:sz w:val="17"/>
          <w:szCs w:val="17"/>
          <w:color w:val="231F20"/>
        </w:rPr>
        <w:t xml:space="preserve"> </w:t>
      </w:r>
      <w:r>
        <w:rPr>
          <w:rFonts w:ascii="Arial" w:cs="Arial" w:eastAsia="Arial" w:hAnsi="Arial"/>
          <w:sz w:val="17"/>
          <w:szCs w:val="17"/>
          <w:color w:val="000000"/>
        </w:rPr>
        <w:t xml:space="preserve">greater than 10 and 20 years, respectively, including renewals at the Company's option. </w:t>
      </w:r>
      <w:r>
        <w:rPr>
          <w:rFonts w:ascii="Arial" w:cs="Arial" w:eastAsia="Arial" w:hAnsi="Arial"/>
          <w:sz w:val="17"/>
          <w:szCs w:val="17"/>
          <w:color w:val="231F20"/>
        </w:rPr>
        <w:t>The operating lease payments included in the table below include</w:t>
      </w:r>
      <w:r>
        <w:rPr>
          <w:rFonts w:ascii="Arial" w:cs="Arial" w:eastAsia="Arial" w:hAnsi="Arial"/>
          <w:sz w:val="17"/>
          <w:szCs w:val="17"/>
          <w:color w:val="000000"/>
        </w:rPr>
        <w:t xml:space="preserve"> </w:t>
      </w:r>
      <w:r>
        <w:rPr>
          <w:rFonts w:ascii="Arial" w:cs="Arial" w:eastAsia="Arial" w:hAnsi="Arial"/>
          <w:sz w:val="17"/>
          <w:szCs w:val="17"/>
          <w:color w:val="231F20"/>
        </w:rPr>
        <w:t>payments for certain renewal periods at the Company's option up to the estimated tower useful life of 20 years and an estimate of contingent payments based on revenues and gross margins derived from existing tenant leases. See also note 6.</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24,086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24,006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23,561</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22,953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22,705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281,845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399,156</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Rental expense from operating leases was </w:t>
      </w:r>
      <w:r>
        <w:rPr>
          <w:rFonts w:ascii="Arial" w:cs="Arial" w:eastAsia="Arial" w:hAnsi="Arial"/>
          <w:sz w:val="18"/>
          <w:szCs w:val="18"/>
          <w:color w:val="000000"/>
        </w:rPr>
        <w:t>$25.8 million</w:t>
      </w:r>
      <w:r>
        <w:rPr>
          <w:rFonts w:ascii="Arial" w:cs="Arial" w:eastAsia="Arial" w:hAnsi="Arial"/>
          <w:sz w:val="18"/>
          <w:szCs w:val="18"/>
          <w:color w:val="231F20"/>
        </w:rPr>
        <w:t xml:space="preserve">, </w:t>
      </w:r>
      <w:r>
        <w:rPr>
          <w:rFonts w:ascii="Arial" w:cs="Arial" w:eastAsia="Arial" w:hAnsi="Arial"/>
          <w:sz w:val="18"/>
          <w:szCs w:val="18"/>
          <w:color w:val="000000"/>
        </w:rPr>
        <w:t>$25.8 million</w:t>
      </w:r>
      <w:r>
        <w:rPr>
          <w:rFonts w:ascii="Arial" w:cs="Arial" w:eastAsia="Arial" w:hAnsi="Arial"/>
          <w:sz w:val="18"/>
          <w:szCs w:val="18"/>
          <w:color w:val="231F20"/>
        </w:rPr>
        <w:t xml:space="preserve">, and </w:t>
      </w:r>
      <w:r>
        <w:rPr>
          <w:rFonts w:ascii="Arial" w:cs="Arial" w:eastAsia="Arial" w:hAnsi="Arial"/>
          <w:sz w:val="18"/>
          <w:szCs w:val="18"/>
          <w:color w:val="000000"/>
        </w:rPr>
        <w:t>$26.3 million</w:t>
      </w:r>
      <w:r>
        <w:rPr>
          <w:rFonts w:ascii="Arial" w:cs="Arial" w:eastAsia="Arial" w:hAnsi="Arial"/>
          <w:sz w:val="18"/>
          <w:szCs w:val="18"/>
          <w:color w:val="231F20"/>
        </w:rPr>
        <w:t xml:space="preserve"> for the years ended December 31, 2017, 2016, and 2015, respectively. The rental expense was inclusive of contingent payments based on revenues or gross margin derived from the tower located on the leased land of </w:t>
      </w:r>
      <w:r>
        <w:rPr>
          <w:rFonts w:ascii="Arial" w:cs="Arial" w:eastAsia="Arial" w:hAnsi="Arial"/>
          <w:sz w:val="18"/>
          <w:szCs w:val="18"/>
          <w:color w:val="000000"/>
        </w:rPr>
        <w:t>$9.5 million</w:t>
      </w:r>
      <w:r>
        <w:rPr>
          <w:rFonts w:ascii="Arial" w:cs="Arial" w:eastAsia="Arial" w:hAnsi="Arial"/>
          <w:sz w:val="18"/>
          <w:szCs w:val="18"/>
          <w:color w:val="231F20"/>
        </w:rPr>
        <w:t>,</w:t>
      </w:r>
      <w:r>
        <w:rPr>
          <w:rFonts w:ascii="Arial" w:cs="Arial" w:eastAsia="Arial" w:hAnsi="Arial"/>
          <w:sz w:val="18"/>
          <w:szCs w:val="18"/>
          <w:color w:val="000000"/>
        </w:rPr>
        <w:t xml:space="preserve"> $9.3 million</w:t>
      </w:r>
      <w:r>
        <w:rPr>
          <w:rFonts w:ascii="Arial" w:cs="Arial" w:eastAsia="Arial" w:hAnsi="Arial"/>
          <w:sz w:val="18"/>
          <w:szCs w:val="18"/>
          <w:color w:val="231F20"/>
        </w:rPr>
        <w:t>, and</w:t>
      </w:r>
      <w:r>
        <w:rPr>
          <w:rFonts w:ascii="Arial" w:cs="Arial" w:eastAsia="Arial" w:hAnsi="Arial"/>
          <w:sz w:val="18"/>
          <w:szCs w:val="18"/>
          <w:color w:val="000000"/>
        </w:rPr>
        <w:t xml:space="preserve"> $9.6 million </w:t>
      </w:r>
      <w:r>
        <w:rPr>
          <w:rFonts w:ascii="Arial" w:cs="Arial" w:eastAsia="Arial" w:hAnsi="Arial"/>
          <w:sz w:val="18"/>
          <w:szCs w:val="18"/>
          <w:color w:val="231F20"/>
        </w:rPr>
        <w:t>for the years ended December 31, 2017, 2016, and 2015, respectively.</w:t>
      </w:r>
    </w:p>
    <w:p>
      <w:pPr>
        <w:spacing w:after="0" w:line="339" w:lineRule="exact"/>
        <w:rPr>
          <w:sz w:val="20"/>
          <w:szCs w:val="20"/>
          <w:color w:val="auto"/>
        </w:rPr>
      </w:pPr>
    </w:p>
    <w:p>
      <w:pPr>
        <w:ind w:left="420" w:hanging="412"/>
        <w:spacing w:after="0"/>
        <w:tabs>
          <w:tab w:leader="none" w:pos="4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231F20"/>
        </w:rPr>
        <w:t>The financial instrument that potentially subjects the Company to concentrations of credit risk is primarily trade receivables.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231F20"/>
        </w:rPr>
        <w:t>The Company derives the largest portion of its revenues from customers in the wireless industry. The Company also has a concentration in its volume of business with AT&amp;T, Sprint, T-Mobile, and Verizon Wireless that accounts for a significant portion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20"/>
          </w:cols>
          <w:pgMar w:left="240" w:top="121"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of the Company's revenues, receivables and deferred site rental receivables. The Company mitigates its concentrations of credit risk with respect to trade receivables by actively monitoring the creditworthiness of its tenants, the use of tenant contracts with contractually determinable payment terms and proactive management of past due balances.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Major Customers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percentage of the Company's revenues for those tenants accounting for more than 10% of the Company's revenues.</w:t>
      </w:r>
    </w:p>
    <w:p>
      <w:pPr>
        <w:spacing w:after="0" w:line="348"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23495</wp:posOffset>
            </wp:positionV>
            <wp:extent cx="3027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2015</w:t>
            </w:r>
          </w:p>
        </w:tc>
      </w:tr>
      <w:tr>
        <w:trPr>
          <w:trHeight w:val="236"/>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AT&amp;T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Sprint</w:t>
            </w:r>
          </w:p>
        </w:tc>
        <w:tc>
          <w:tcPr>
            <w:tcW w:w="4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6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T-Mobile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Verizon Wireless</w:t>
            </w:r>
          </w:p>
        </w:tc>
        <w:tc>
          <w:tcPr>
            <w:tcW w:w="4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6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20"/>
          </w:cols>
          <w:pgMar w:left="240" w:top="12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RATIOS OF EARNINGS TO FIXED CHARGES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TO COMBINED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earnings: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4"/>
              <w:spacing w:after="0"/>
              <w:rPr>
                <w:sz w:val="20"/>
                <w:szCs w:val="20"/>
                <w:color w:val="auto"/>
              </w:rPr>
            </w:pPr>
            <w:r>
              <w:rPr>
                <w:rFonts w:ascii="Arial" w:cs="Arial" w:eastAsia="Arial" w:hAnsi="Arial"/>
                <w:sz w:val="18"/>
                <w:szCs w:val="18"/>
                <w:color w:val="auto"/>
              </w:rPr>
              <w:t>133,157</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106,251</w:t>
            </w:r>
          </w:p>
        </w:tc>
        <w:tc>
          <w:tcPr>
            <w:tcW w:w="5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34"/>
              <w:spacing w:after="0"/>
              <w:rPr>
                <w:sz w:val="20"/>
                <w:szCs w:val="20"/>
                <w:color w:val="auto"/>
              </w:rPr>
            </w:pPr>
            <w:r>
              <w:rPr>
                <w:rFonts w:ascii="Arial" w:cs="Arial" w:eastAsia="Arial" w:hAnsi="Arial"/>
                <w:sz w:val="18"/>
                <w:szCs w:val="18"/>
                <w:color w:val="auto"/>
              </w:rPr>
              <w:t>114,170</w:t>
            </w:r>
          </w:p>
        </w:tc>
        <w:tc>
          <w:tcPr>
            <w:tcW w:w="100" w:type="dxa"/>
            <w:vAlign w:val="bottom"/>
          </w:tcPr>
          <w:p>
            <w:pPr>
              <w:spacing w:after="0"/>
              <w:rPr>
                <w:sz w:val="24"/>
                <w:szCs w:val="24"/>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34"/>
              <w:spacing w:after="0"/>
              <w:rPr>
                <w:sz w:val="20"/>
                <w:szCs w:val="20"/>
                <w:color w:val="auto"/>
              </w:rPr>
            </w:pPr>
            <w:r>
              <w:rPr>
                <w:rFonts w:ascii="Arial" w:cs="Arial" w:eastAsia="Arial" w:hAnsi="Arial"/>
                <w:sz w:val="18"/>
                <w:szCs w:val="18"/>
                <w:color w:val="auto"/>
              </w:rPr>
              <w:t>132,405</w:t>
            </w:r>
          </w:p>
        </w:tc>
        <w:tc>
          <w:tcPr>
            <w:tcW w:w="100" w:type="dxa"/>
            <w:vAlign w:val="bottom"/>
          </w:tcPr>
          <w:p>
            <w:pPr>
              <w:spacing w:after="0"/>
              <w:rPr>
                <w:sz w:val="24"/>
                <w:szCs w:val="24"/>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4"/>
              <w:spacing w:after="0"/>
              <w:rPr>
                <w:sz w:val="20"/>
                <w:szCs w:val="20"/>
                <w:color w:val="auto"/>
              </w:rPr>
            </w:pPr>
            <w:r>
              <w:rPr>
                <w:rFonts w:ascii="Arial" w:cs="Arial" w:eastAsia="Arial" w:hAnsi="Arial"/>
                <w:sz w:val="18"/>
                <w:szCs w:val="18"/>
                <w:color w:val="auto"/>
              </w:rPr>
              <w:t>105,376</w:t>
            </w:r>
          </w:p>
        </w:tc>
        <w:tc>
          <w:tcPr>
            <w:tcW w:w="0" w:type="dxa"/>
            <w:vAlign w:val="bottom"/>
          </w:tcPr>
          <w:p>
            <w:pPr>
              <w:spacing w:after="0"/>
              <w:rPr>
                <w:sz w:val="1"/>
                <w:szCs w:val="1"/>
                <w:color w:val="auto"/>
              </w:rPr>
            </w:pPr>
          </w:p>
        </w:tc>
      </w:tr>
      <w:tr>
        <w:trPr>
          <w:trHeight w:val="81"/>
        </w:trPr>
        <w:tc>
          <w:tcPr>
            <w:tcW w:w="47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Fixed charges (as computed below)</w:t>
            </w:r>
          </w:p>
        </w:tc>
        <w:tc>
          <w:tcPr>
            <w:tcW w:w="300" w:type="dxa"/>
            <w:vAlign w:val="bottom"/>
          </w:tcPr>
          <w:p>
            <w:pPr>
              <w:spacing w:after="0"/>
              <w:rPr>
                <w:sz w:val="24"/>
                <w:szCs w:val="24"/>
                <w:color w:val="auto"/>
              </w:rPr>
            </w:pPr>
          </w:p>
        </w:tc>
        <w:tc>
          <w:tcPr>
            <w:tcW w:w="960" w:type="dxa"/>
            <w:vAlign w:val="bottom"/>
            <w:vMerge w:val="restart"/>
          </w:tcPr>
          <w:p>
            <w:pPr>
              <w:jc w:val="right"/>
              <w:ind w:right="14"/>
              <w:spacing w:after="0"/>
              <w:rPr>
                <w:sz w:val="20"/>
                <w:szCs w:val="20"/>
                <w:color w:val="auto"/>
              </w:rPr>
            </w:pPr>
            <w:r>
              <w:rPr>
                <w:rFonts w:ascii="Arial" w:cs="Arial" w:eastAsia="Arial" w:hAnsi="Arial"/>
                <w:sz w:val="18"/>
                <w:szCs w:val="18"/>
                <w:color w:val="auto"/>
              </w:rPr>
              <w:t>89,418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97,715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34"/>
              <w:spacing w:after="0"/>
              <w:rPr>
                <w:sz w:val="20"/>
                <w:szCs w:val="20"/>
                <w:color w:val="auto"/>
              </w:rPr>
            </w:pPr>
            <w:r>
              <w:rPr>
                <w:rFonts w:ascii="Arial" w:cs="Arial" w:eastAsia="Arial" w:hAnsi="Arial"/>
                <w:sz w:val="18"/>
                <w:szCs w:val="18"/>
                <w:color w:val="auto"/>
              </w:rPr>
              <w:t>100,871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34"/>
              <w:spacing w:after="0"/>
              <w:rPr>
                <w:sz w:val="20"/>
                <w:szCs w:val="20"/>
                <w:color w:val="auto"/>
              </w:rPr>
            </w:pPr>
            <w:r>
              <w:rPr>
                <w:rFonts w:ascii="Arial" w:cs="Arial" w:eastAsia="Arial" w:hAnsi="Arial"/>
                <w:sz w:val="18"/>
                <w:szCs w:val="18"/>
                <w:color w:val="auto"/>
              </w:rPr>
              <w:t>100,427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14"/>
              <w:spacing w:after="0"/>
              <w:rPr>
                <w:sz w:val="20"/>
                <w:szCs w:val="20"/>
                <w:color w:val="auto"/>
              </w:rPr>
            </w:pPr>
            <w:r>
              <w:rPr>
                <w:rFonts w:ascii="Arial" w:cs="Arial" w:eastAsia="Arial" w:hAnsi="Arial"/>
                <w:sz w:val="18"/>
                <w:szCs w:val="18"/>
                <w:color w:val="auto"/>
              </w:rPr>
              <w:t>105,145</w:t>
            </w:r>
          </w:p>
        </w:tc>
        <w:tc>
          <w:tcPr>
            <w:tcW w:w="0" w:type="dxa"/>
            <w:vAlign w:val="bottom"/>
          </w:tcPr>
          <w:p>
            <w:pPr>
              <w:spacing w:after="0"/>
              <w:rPr>
                <w:sz w:val="1"/>
                <w:szCs w:val="1"/>
                <w:color w:val="auto"/>
              </w:rPr>
            </w:pPr>
          </w:p>
        </w:tc>
      </w:tr>
      <w:tr>
        <w:trPr>
          <w:trHeight w:val="81"/>
        </w:trPr>
        <w:tc>
          <w:tcPr>
            <w:tcW w:w="47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shd w:val="clear" w:color="auto" w:fill="CCEEFF"/>
          </w:tcPr>
          <w:p>
            <w:pPr>
              <w:spacing w:after="0"/>
              <w:rPr>
                <w:sz w:val="24"/>
                <w:szCs w:val="2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222,575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203,966</w:t>
            </w:r>
          </w:p>
        </w:tc>
        <w:tc>
          <w:tcPr>
            <w:tcW w:w="5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215,041</w:t>
            </w:r>
          </w:p>
        </w:tc>
        <w:tc>
          <w:tcPr>
            <w:tcW w:w="100" w:type="dxa"/>
            <w:vAlign w:val="bottom"/>
            <w:shd w:val="clear" w:color="auto" w:fill="CCEEFF"/>
          </w:tcPr>
          <w:p>
            <w:pPr>
              <w:spacing w:after="0"/>
              <w:rPr>
                <w:sz w:val="24"/>
                <w:szCs w:val="2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232,832</w:t>
            </w:r>
          </w:p>
        </w:tc>
        <w:tc>
          <w:tcPr>
            <w:tcW w:w="100" w:type="dxa"/>
            <w:vAlign w:val="bottom"/>
            <w:shd w:val="clear" w:color="auto" w:fill="CCEEFF"/>
          </w:tcPr>
          <w:p>
            <w:pPr>
              <w:spacing w:after="0"/>
              <w:rPr>
                <w:sz w:val="24"/>
                <w:szCs w:val="2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210,521</w:t>
            </w:r>
          </w:p>
        </w:tc>
        <w:tc>
          <w:tcPr>
            <w:tcW w:w="0" w:type="dxa"/>
            <w:vAlign w:val="bottom"/>
          </w:tcPr>
          <w:p>
            <w:pPr>
              <w:spacing w:after="0"/>
              <w:rPr>
                <w:sz w:val="1"/>
                <w:szCs w:val="1"/>
                <w:color w:val="auto"/>
              </w:rPr>
            </w:pPr>
          </w:p>
        </w:tc>
      </w:tr>
      <w:tr>
        <w:trPr>
          <w:trHeight w:val="108"/>
        </w:trPr>
        <w:tc>
          <w:tcPr>
            <w:tcW w:w="470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vMerge w:val="continue"/>
            <w:shd w:val="clear" w:color="auto" w:fill="CCEEFF"/>
          </w:tcPr>
          <w:p>
            <w:pPr>
              <w:spacing w:after="0"/>
              <w:rPr>
                <w:sz w:val="9"/>
                <w:szCs w:val="9"/>
                <w:color w:val="auto"/>
              </w:rPr>
            </w:pPr>
          </w:p>
        </w:tc>
        <w:tc>
          <w:tcPr>
            <w:tcW w:w="96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gridSpan w:val="3"/>
            <w:vMerge w:val="continue"/>
            <w:shd w:val="clear" w:color="auto" w:fill="CCEEFF"/>
          </w:tcPr>
          <w:p>
            <w:pPr>
              <w:spacing w:after="0"/>
              <w:rPr>
                <w:sz w:val="9"/>
                <w:szCs w:val="9"/>
                <w:color w:val="auto"/>
              </w:rPr>
            </w:pPr>
          </w:p>
        </w:tc>
        <w:tc>
          <w:tcPr>
            <w:tcW w:w="9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vMerge w:val="continue"/>
            <w:shd w:val="clear" w:color="auto" w:fill="CCEEFF"/>
          </w:tcPr>
          <w:p>
            <w:pPr>
              <w:spacing w:after="0"/>
              <w:rPr>
                <w:sz w:val="9"/>
                <w:szCs w:val="9"/>
                <w:color w:val="auto"/>
              </w:rPr>
            </w:pPr>
          </w:p>
        </w:tc>
        <w:tc>
          <w:tcPr>
            <w:tcW w:w="9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vMerge w:val="continue"/>
            <w:shd w:val="clear" w:color="auto" w:fill="CCEEFF"/>
          </w:tcPr>
          <w:p>
            <w:pPr>
              <w:spacing w:after="0"/>
              <w:rPr>
                <w:sz w:val="9"/>
                <w:szCs w:val="9"/>
                <w:color w:val="auto"/>
              </w:rPr>
            </w:pPr>
          </w:p>
        </w:tc>
        <w:tc>
          <w:tcPr>
            <w:tcW w:w="96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Computation of fixed charges and combined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200" w:hanging="161"/>
        <w:spacing w:after="0" w:line="277" w:lineRule="auto"/>
        <w:rPr>
          <w:sz w:val="20"/>
          <w:szCs w:val="20"/>
          <w:color w:val="auto"/>
        </w:rPr>
      </w:pPr>
      <w:r>
        <w:rPr>
          <w:rFonts w:ascii="Arial" w:cs="Arial" w:eastAsia="Arial" w:hAnsi="Arial"/>
          <w:sz w:val="18"/>
          <w:szCs w:val="18"/>
          <w:color w:val="auto"/>
        </w:rPr>
        <w:t>Amortized premiums, discounts and capitalized expenses related to indebtedness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component of operating lease expense</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charges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Ratio of earnings to fixed charges</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(Deficiency) excess of earnings to cover fixed charges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38,490</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47,088</w:t>
            </w:r>
          </w:p>
        </w:tc>
        <w:tc>
          <w:tcPr>
            <w:tcW w:w="120" w:type="dxa"/>
            <w:vAlign w:val="bottom"/>
          </w:tcPr>
          <w:p>
            <w:pPr>
              <w:spacing w:after="0"/>
              <w:rPr>
                <w:sz w:val="20"/>
                <w:szCs w:val="20"/>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50,395</w:t>
            </w:r>
          </w:p>
        </w:tc>
        <w:tc>
          <w:tcPr>
            <w:tcW w:w="100" w:type="dxa"/>
            <w:vAlign w:val="bottom"/>
          </w:tcPr>
          <w:p>
            <w:pPr>
              <w:spacing w:after="0"/>
              <w:rPr>
                <w:sz w:val="20"/>
                <w:szCs w:val="20"/>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50,395</w:t>
            </w:r>
          </w:p>
        </w:tc>
        <w:tc>
          <w:tcPr>
            <w:tcW w:w="100" w:type="dxa"/>
            <w:vAlign w:val="bottom"/>
          </w:tcPr>
          <w:p>
            <w:pPr>
              <w:spacing w:after="0"/>
              <w:rPr>
                <w:sz w:val="20"/>
                <w:szCs w:val="20"/>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50,824</w:t>
            </w: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1,384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2,427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340" w:type="dxa"/>
            <w:vAlign w:val="bottom"/>
          </w:tcPr>
          <w:p>
            <w:pPr>
              <w:spacing w:after="0"/>
              <w:rPr>
                <w:sz w:val="24"/>
                <w:szCs w:val="2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49,544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48,200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47,648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47,204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46,770</w:t>
            </w: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40" w:type="dxa"/>
            <w:vAlign w:val="bottom"/>
          </w:tcPr>
          <w:p>
            <w:pPr>
              <w:spacing w:after="0"/>
              <w:rPr>
                <w:sz w:val="24"/>
                <w:szCs w:val="2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89,418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97,715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100,871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100,427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105,145</w:t>
            </w: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133,157</w:t>
            </w:r>
          </w:p>
        </w:tc>
        <w:tc>
          <w:tcPr>
            <w:tcW w:w="12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106,251</w:t>
            </w:r>
          </w:p>
        </w:tc>
        <w:tc>
          <w:tcPr>
            <w:tcW w:w="120" w:type="dxa"/>
            <w:vAlign w:val="bottom"/>
          </w:tcPr>
          <w:p>
            <w:pPr>
              <w:spacing w:after="0"/>
              <w:rPr>
                <w:sz w:val="24"/>
                <w:szCs w:val="24"/>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114,170</w:t>
            </w:r>
          </w:p>
        </w:tc>
        <w:tc>
          <w:tcPr>
            <w:tcW w:w="100" w:type="dxa"/>
            <w:vAlign w:val="bottom"/>
          </w:tcPr>
          <w:p>
            <w:pPr>
              <w:spacing w:after="0"/>
              <w:rPr>
                <w:sz w:val="24"/>
                <w:szCs w:val="24"/>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132,405</w:t>
            </w:r>
          </w:p>
        </w:tc>
        <w:tc>
          <w:tcPr>
            <w:tcW w:w="100" w:type="dxa"/>
            <w:vAlign w:val="bottom"/>
          </w:tcPr>
          <w:p>
            <w:pPr>
              <w:spacing w:after="0"/>
              <w:rPr>
                <w:sz w:val="24"/>
                <w:szCs w:val="24"/>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105,376</w:t>
            </w:r>
          </w:p>
        </w:tc>
        <w:tc>
          <w:tcPr>
            <w:tcW w:w="0" w:type="dxa"/>
            <w:vAlign w:val="bottom"/>
          </w:tcPr>
          <w:p>
            <w:pPr>
              <w:spacing w:after="0"/>
              <w:rPr>
                <w:sz w:val="1"/>
                <w:szCs w:val="1"/>
                <w:color w:val="auto"/>
              </w:rPr>
            </w:pPr>
          </w:p>
        </w:tc>
      </w:tr>
      <w:tr>
        <w:trPr>
          <w:trHeight w:val="81"/>
        </w:trPr>
        <w:tc>
          <w:tcPr>
            <w:tcW w:w="3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-1054100</wp:posOffset>
            </wp:positionV>
            <wp:extent cx="72466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-496570</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2">
            <w:col w:w="4160" w:space="540"/>
            <w:col w:w="6720"/>
          </w:cols>
          <w:pgMar w:left="240" w:top="580" w:right="2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2018</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29756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40"/>
          </w:cols>
          <w:pgMar w:left="240" w:top="580" w:right="31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2018</w:t>
      </w:r>
    </w:p>
    <w:p>
      <w:pPr>
        <w:spacing w:after="0" w:line="200" w:lineRule="exact"/>
        <w:rPr>
          <w:sz w:val="20"/>
          <w:szCs w:val="20"/>
          <w:color w:val="auto"/>
        </w:rPr>
      </w:pPr>
    </w:p>
    <w:p>
      <w:pPr>
        <w:spacing w:after="0" w:line="34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31750</wp:posOffset>
            </wp:positionV>
            <wp:extent cx="30702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Senior Vice President, Chief Financial Officer and Treasurer</w:t>
      </w:r>
    </w:p>
    <w:p>
      <w:pPr>
        <w:sectPr>
          <w:pgSz w:w="11900" w:h="16838" w:orient="portrait"/>
          <w:cols w:equalWidth="0" w:num="1">
            <w:col w:w="11340"/>
          </w:cols>
          <w:pgMar w:left="240" w:top="580" w:right="31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Annual Report on Form 10-K of CC Holdings GS V LLC, a Delaware Corporation (“Company”), for the period ending December 31, 2017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47"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December 31, 2017 (the last date of the period covered by the Report).</w:t>
      </w:r>
    </w:p>
    <w:p>
      <w:pPr>
        <w:spacing w:after="0" w:line="27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February 26, 2018</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February 26, 2018</w:t>
      </w:r>
    </w:p>
    <w:p>
      <w:pPr>
        <w:spacing w:after="0" w:line="19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Crown Castle International Corp. and will be retained by Crown Castle International Corp. and furnished to the Securities and Exchange Commission or its staff upon request.</w:t>
      </w:r>
    </w:p>
    <w:sectPr>
      <w:pgSz w:w="11900" w:h="16838" w:orient="portrait"/>
      <w:cols w:equalWidth="0" w:num="1">
        <w:col w:w="11340"/>
      </w:cols>
      <w:pgMar w:left="240" w:top="5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x"/>
      <w:numFmt w:val="bullet"/>
      <w:start w:val="1"/>
    </w:lvl>
  </w:abstractNum>
  <w:abstractNum w:abstractNumId="1">
    <w:nsid w:val="5C482A97"/>
    <w:multiLevelType w:val="hybridMultilevel"/>
    <w:lvl w:ilvl="0">
      <w:lvlJc w:val="left"/>
      <w:lvlText w:val="o"/>
      <w:numFmt w:val="bullet"/>
      <w:start w:val="1"/>
    </w:lvl>
  </w:abstractNum>
  <w:abstractNum w:abstractNumId="2">
    <w:nsid w:val="2463B9EA"/>
    <w:multiLevelType w:val="hybridMultilevel"/>
    <w:lvl w:ilvl="0">
      <w:lvlJc w:val="left"/>
      <w:lvlText w:val="•"/>
      <w:numFmt w:val="bullet"/>
      <w:start w:val="1"/>
    </w:lvl>
    <w:lvl w:ilvl="1">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lvl w:ilvl="1">
      <w:lvlJc w:val="left"/>
      <w:lvlText w:val="◦"/>
      <w:numFmt w:val="bullet"/>
      <w:start w:val="1"/>
    </w:lvl>
  </w:abstractNum>
  <w:abstractNum w:abstractNumId="6">
    <w:nsid w:val="580BD78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1)"/>
      <w:numFmt w:val="lowerLetter"/>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lvl w:ilvl="1">
      <w:lvlJc w:val="left"/>
      <w:lvlText w:val="(%2)"/>
      <w:numFmt w:val="decimal"/>
      <w:start w:val="4"/>
    </w:lvl>
  </w:abstractNum>
  <w:abstractNum w:abstractNumId="11">
    <w:nsid w:val="2A487CB0"/>
    <w:multiLevelType w:val="hybridMultilevel"/>
    <w:lvl w:ilvl="0">
      <w:lvlJc w:val="left"/>
      <w:lvlText w:val="(%1)"/>
      <w:numFmt w:val="lowerLetter"/>
      <w:start w:val="1"/>
    </w:lvl>
    <w:lvl w:ilvl="1">
      <w:lvlJc w:val="left"/>
      <w:lvlText w:val="•"/>
      <w:numFmt w:val="bullet"/>
      <w:start w:val="1"/>
    </w:lvl>
  </w:abstractNum>
  <w:abstractNum w:abstractNumId="12">
    <w:nsid w:val="1D4ED43B"/>
    <w:multiLevelType w:val="hybridMultilevel"/>
    <w:lvl w:ilvl="0">
      <w:lvlJc w:val="left"/>
      <w:lvlText w:val="(%1)"/>
      <w:numFmt w:val="decimal"/>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1)"/>
      <w:numFmt w:val="decimal"/>
      <w:start w:val="1"/>
    </w:lvl>
  </w:abstractNum>
  <w:abstractNum w:abstractNumId="15">
    <w:nsid w:val="57E4CCAF"/>
    <w:multiLevelType w:val="hybridMultilevel"/>
    <w:lvl w:ilvl="0">
      <w:lvlJc w:val="left"/>
      <w:lvlText w:val="%1"/>
      <w:numFmt w:val="upperLetter"/>
      <w:start w:val="29"/>
    </w:lvl>
  </w:abstractNum>
  <w:abstractNum w:abstractNumId="16">
    <w:nsid w:val="7A6D8D3C"/>
    <w:multiLevelType w:val="hybridMultilevel"/>
    <w:lvl w:ilvl="0">
      <w:lvlJc w:val="left"/>
      <w:lvlText w:val="(%1)"/>
      <w:numFmt w:val="lowerLetter"/>
      <w:start w:val="1"/>
    </w:lvl>
  </w:abstractNum>
  <w:abstractNum w:abstractNumId="17">
    <w:nsid w:val="4B588F54"/>
    <w:multiLevelType w:val="hybridMultilevel"/>
    <w:lvl w:ilvl="0">
      <w:lvlJc w:val="left"/>
      <w:lvlText w:val="%1"/>
      <w:numFmt w:val="upperLetter"/>
      <w:start w:val="29"/>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1."/>
      <w:numFmt w:val="decimal"/>
      <w:start w:val="2"/>
    </w:lvl>
  </w:abstractNum>
  <w:abstractNum w:abstractNumId="20">
    <w:nsid w:val="38437FDB"/>
    <w:multiLevelType w:val="hybridMultilevel"/>
    <w:lvl w:ilvl="0">
      <w:lvlJc w:val="left"/>
      <w:lvlText w:val="%1."/>
      <w:numFmt w:val="decimal"/>
      <w:start w:val="3"/>
    </w:lvl>
  </w:abstractNum>
  <w:abstractNum w:abstractNumId="21">
    <w:nsid w:val="7644A45C"/>
    <w:multiLevelType w:val="hybridMultilevel"/>
    <w:lvl w:ilvl="0">
      <w:lvlJc w:val="left"/>
      <w:lvlText w:val="(%1)"/>
      <w:numFmt w:val="lowerLetter"/>
      <w:start w:val="1"/>
    </w:lvl>
  </w:abstractNum>
  <w:abstractNum w:abstractNumId="22">
    <w:nsid w:val="32FFF902"/>
    <w:multiLevelType w:val="hybridMultilevel"/>
    <w:lvl w:ilvl="0">
      <w:lvlJc w:val="left"/>
      <w:lvlText w:val="%1."/>
      <w:numFmt w:val="decimal"/>
      <w:start w:val="4"/>
    </w:lvl>
  </w:abstractNum>
  <w:abstractNum w:abstractNumId="23">
    <w:nsid w:val="684A481A"/>
    <w:multiLevelType w:val="hybridMultilevel"/>
    <w:lvl w:ilvl="0">
      <w:lvlJc w:val="left"/>
      <w:lvlText w:val="%1."/>
      <w:numFmt w:val="decimal"/>
      <w:start w:val="5"/>
    </w:lvl>
  </w:abstractNum>
  <w:abstractNum w:abstractNumId="24">
    <w:nsid w:val="579478FE"/>
    <w:multiLevelType w:val="hybridMultilevel"/>
    <w:lvl w:ilvl="0">
      <w:lvlJc w:val="left"/>
      <w:lvlText w:val="%1."/>
      <w:numFmt w:val="decimal"/>
      <w:start w:val="6"/>
    </w:lvl>
  </w:abstractNum>
  <w:abstractNum w:abstractNumId="25">
    <w:nsid w:val="749ABB43"/>
    <w:multiLevelType w:val="hybridMultilevel"/>
    <w:lvl w:ilvl="0">
      <w:lvlJc w:val="left"/>
      <w:lvlText w:val="%1."/>
      <w:numFmt w:val="decimal"/>
      <w:start w:val="7"/>
    </w:lvl>
  </w:abstractNum>
  <w:abstractNum w:abstractNumId="26">
    <w:nsid w:val="3DC240FB"/>
    <w:multiLevelType w:val="hybridMultilevel"/>
    <w:lvl w:ilvl="0">
      <w:lvlJc w:val="left"/>
      <w:lvlText w:val="%1."/>
      <w:numFmt w:val="decimal"/>
      <w:start w:val="8"/>
    </w:lvl>
  </w:abstractNum>
  <w:abstractNum w:abstractNumId="27">
    <w:nsid w:val="1BA026FA"/>
    <w:multiLevelType w:val="hybridMultilevel"/>
    <w:lvl w:ilvl="0">
      <w:lvlJc w:val="left"/>
      <w:lvlText w:val="%1."/>
      <w:numFmt w:val="decimal"/>
      <w:start w:val="9"/>
    </w:lvl>
  </w:abstractNum>
  <w:abstractNum w:abstractNumId="28">
    <w:nsid w:val="79A1DEAA"/>
    <w:multiLevelType w:val="hybridMultilevel"/>
    <w:lvl w:ilvl="0">
      <w:lvlJc w:val="left"/>
      <w:lvlText w:val="%1."/>
      <w:numFmt w:val="decimal"/>
      <w:start w:val="10"/>
    </w:lvl>
  </w:abstractNum>
  <w:abstractNum w:abstractNumId="29">
    <w:nsid w:val="75C6C33A"/>
    <w:multiLevelType w:val="hybridMultilevel"/>
    <w:lvl w:ilvl="0">
      <w:lvlJc w:val="left"/>
      <w:lvlText w:val="%1."/>
      <w:numFmt w:val="decimal"/>
      <w:start w:val="11"/>
    </w:lvl>
  </w:abstractNum>
  <w:abstractNum w:abstractNumId="30">
    <w:nsid w:val="12E685FB"/>
    <w:multiLevelType w:val="hybridMultilevel"/>
    <w:lvl w:ilvl="0">
      <w:lvlJc w:val="left"/>
      <w:lvlText w:val="%1."/>
      <w:numFmt w:val="decimal"/>
      <w:start w:val="12"/>
    </w:lvl>
  </w:abstractNum>
  <w:abstractNum w:abstractNumId="31">
    <w:nsid w:val="70C6A529"/>
    <w:multiLevelType w:val="hybridMultilevel"/>
    <w:lvl w:ilvl="0">
      <w:lvlJc w:val="left"/>
      <w:lvlText w:val="%1."/>
      <w:numFmt w:val="decimal"/>
      <w:start w:val="13"/>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1)"/>
      <w:numFmt w:val="lowerLetter"/>
      <w:start w:val="1"/>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1)"/>
      <w:numFmt w:val="lowerLetter"/>
      <w:start w:val="1"/>
    </w:lvl>
  </w:abstractNum>
  <w:abstractNum w:abstractNumId="36">
    <w:nsid w:val="649BB77C"/>
    <w:multiLevelType w:val="hybridMultilevel"/>
    <w:lvl w:ilvl="0">
      <w:lvlJc w:val="left"/>
      <w:lvlText w:val="%1."/>
      <w:numFmt w:val="decimal"/>
      <w:start w:val="1"/>
    </w:lvl>
  </w:abstractNum>
  <w:abstractNum w:abstractNumId="37">
    <w:nsid w:val="275AC794"/>
    <w:multiLevelType w:val="hybridMultilevel"/>
    <w:lvl w:ilvl="0">
      <w:lvlJc w:val="left"/>
      <w:lvlText w:val="%1."/>
      <w:numFmt w:val="decimal"/>
      <w:start w:val="2"/>
    </w:lvl>
  </w:abstractNum>
  <w:abstractNum w:abstractNumId="38">
    <w:nsid w:val="39386575"/>
    <w:multiLevelType w:val="hybridMultilevel"/>
    <w:lvl w:ilvl="0">
      <w:lvlJc w:val="left"/>
      <w:lvlText w:val="%1."/>
      <w:numFmt w:val="decimal"/>
      <w:start w:val="3"/>
    </w:lvl>
  </w:abstractNum>
  <w:abstractNum w:abstractNumId="39">
    <w:nsid w:val="1CF10FD8"/>
    <w:multiLevelType w:val="hybridMultilevel"/>
    <w:lvl w:ilvl="0">
      <w:lvlJc w:val="left"/>
      <w:lvlText w:val="(%1)"/>
      <w:numFmt w:val="lowerLetter"/>
      <w:start w:val="1"/>
    </w:lvl>
  </w:abstractNum>
  <w:abstractNum w:abstractNumId="40">
    <w:nsid w:val="180115BE"/>
    <w:multiLevelType w:val="hybridMultilevel"/>
    <w:lvl w:ilvl="0">
      <w:lvlJc w:val="left"/>
      <w:lvlText w:val="%1."/>
      <w:numFmt w:val="decimal"/>
      <w:start w:val="4"/>
    </w:lvl>
  </w:abstractNum>
  <w:abstractNum w:abstractNumId="41">
    <w:nsid w:val="235BA861"/>
    <w:multiLevelType w:val="hybridMultilevel"/>
    <w:lvl w:ilvl="0">
      <w:lvlJc w:val="left"/>
      <w:lvlText w:val="%1."/>
      <w:numFmt w:val="decimal"/>
      <w:start w:val="5"/>
    </w:lvl>
  </w:abstractNum>
  <w:abstractNum w:abstractNumId="42">
    <w:nsid w:val="47398C89"/>
    <w:multiLevelType w:val="hybridMultilevel"/>
    <w:lvl w:ilvl="0">
      <w:lvlJc w:val="left"/>
      <w:lvlText w:val="%1."/>
      <w:numFmt w:val="decimal"/>
      <w:start w:val="6"/>
    </w:lvl>
  </w:abstractNum>
  <w:abstractNum w:abstractNumId="43">
    <w:nsid w:val="354FE9F9"/>
    <w:multiLevelType w:val="hybridMultilevel"/>
    <w:lvl w:ilvl="0">
      <w:lvlJc w:val="left"/>
      <w:lvlText w:val="%1."/>
      <w:numFmt w:val="decimal"/>
      <w:start w:val="7"/>
    </w:lvl>
  </w:abstractNum>
  <w:abstractNum w:abstractNumId="44">
    <w:nsid w:val="15B5AF5C"/>
    <w:multiLevelType w:val="hybridMultilevel"/>
    <w:lvl w:ilvl="0">
      <w:lvlJc w:val="left"/>
      <w:lvlText w:val="%1."/>
      <w:numFmt w:val="decimal"/>
      <w:start w:val="8"/>
    </w:lvl>
  </w:abstractNum>
  <w:abstractNum w:abstractNumId="45">
    <w:nsid w:val="741226BB"/>
    <w:multiLevelType w:val="hybridMultilevel"/>
    <w:lvl w:ilvl="0">
      <w:lvlJc w:val="left"/>
      <w:lvlText w:val="%1."/>
      <w:numFmt w:val="decimal"/>
      <w:start w:val="9"/>
    </w:lvl>
  </w:abstractNum>
  <w:abstractNum w:abstractNumId="46">
    <w:nsid w:val="D34B6A8"/>
    <w:multiLevelType w:val="hybridMultilevel"/>
    <w:lvl w:ilvl="0">
      <w:lvlJc w:val="left"/>
      <w:lvlText w:val="%1."/>
      <w:numFmt w:val="decimal"/>
      <w:start w:val="10"/>
    </w:lvl>
  </w:abstractNum>
  <w:abstractNum w:abstractNumId="47">
    <w:nsid w:val="10233C99"/>
    <w:multiLevelType w:val="hybridMultilevel"/>
    <w:lvl w:ilvl="0">
      <w:lvlJc w:val="left"/>
      <w:lvlText w:val="(%1)"/>
      <w:numFmt w:val="lowerLetter"/>
      <w:start w:val="1"/>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1."/>
      <w:numFmt w:val="decimal"/>
      <w:start w:val="2"/>
    </w:lvl>
  </w:abstractNum>
  <w:abstractNum w:abstractNumId="50">
    <w:nsid w:val="7E0C57B1"/>
    <w:multiLevelType w:val="hybridMultilevel"/>
    <w:lvl w:ilvl="0">
      <w:lvlJc w:val="left"/>
      <w:lvlText w:val="%1."/>
      <w:numFmt w:val="decimal"/>
      <w:start w:val="3"/>
    </w:lvl>
  </w:abstractNum>
  <w:abstractNum w:abstractNumId="51">
    <w:nsid w:val="77AE35EB"/>
    <w:multiLevelType w:val="hybridMultilevel"/>
    <w:lvl w:ilvl="0">
      <w:lvlJc w:val="left"/>
      <w:lvlText w:val="(%1)"/>
      <w:numFmt w:val="lowerLetter"/>
      <w:start w:val="1"/>
    </w:lvl>
  </w:abstractNum>
  <w:abstractNum w:abstractNumId="52">
    <w:nsid w:val="579BE4F1"/>
    <w:multiLevelType w:val="hybridMultilevel"/>
    <w:lvl w:ilvl="0">
      <w:lvlJc w:val="left"/>
      <w:lvlText w:val="%1."/>
      <w:numFmt w:val="decimal"/>
      <w:start w:val="4"/>
    </w:lvl>
  </w:abstractNum>
  <w:abstractNum w:abstractNumId="53">
    <w:nsid w:val="310C50B3"/>
    <w:multiLevelType w:val="hybridMultilevel"/>
    <w:lvl w:ilvl="0">
      <w:lvlJc w:val="left"/>
      <w:lvlText w:val="%1."/>
      <w:numFmt w:val="decimal"/>
      <w:start w:val="5"/>
    </w:lvl>
  </w:abstractNum>
  <w:abstractNum w:abstractNumId="54">
    <w:nsid w:val="5FF87E05"/>
    <w:multiLevelType w:val="hybridMultilevel"/>
    <w:lvl w:ilvl="0">
      <w:lvlJc w:val="left"/>
      <w:lvlText w:val="%1."/>
      <w:numFmt w:val="decimal"/>
      <w:start w:val="6"/>
    </w:lvl>
  </w:abstractNum>
  <w:abstractNum w:abstractNumId="55">
    <w:nsid w:val="2F305DEF"/>
    <w:multiLevelType w:val="hybridMultilevel"/>
    <w:lvl w:ilvl="0">
      <w:lvlJc w:val="left"/>
      <w:lvlText w:val="%1."/>
      <w:numFmt w:val="decimal"/>
      <w:start w:val="7"/>
    </w:lvl>
  </w:abstractNum>
  <w:abstractNum w:abstractNumId="56">
    <w:nsid w:val="25A70BF7"/>
    <w:multiLevelType w:val="hybridMultilevel"/>
    <w:lvl w:ilvl="0">
      <w:lvlJc w:val="left"/>
      <w:lvlText w:val="%1."/>
      <w:numFmt w:val="decimal"/>
      <w:start w:val="8"/>
    </w:lvl>
  </w:abstractNum>
  <w:abstractNum w:abstractNumId="57">
    <w:nsid w:val="1DBABF00"/>
    <w:multiLevelType w:val="hybridMultilevel"/>
    <w:lvl w:ilvl="0">
      <w:lvlJc w:val="left"/>
      <w:lvlText w:val="%1."/>
      <w:numFmt w:val="decimal"/>
      <w:start w:val="9"/>
    </w:lvl>
  </w:abstractNum>
  <w:abstractNum w:abstractNumId="58">
    <w:nsid w:val="4AD084E9"/>
    <w:multiLevelType w:val="hybridMultilevel"/>
    <w:lvl w:ilvl="0">
      <w:lvlJc w:val="left"/>
      <w:lvlText w:val="%1."/>
      <w:numFmt w:val="decimal"/>
      <w:start w:val="10"/>
    </w:lvl>
  </w:abstractNum>
  <w:abstractNum w:abstractNumId="59">
    <w:nsid w:val="1F48EAA1"/>
    <w:multiLevelType w:val="hybridMultilevel"/>
    <w:lvl w:ilvl="0">
      <w:lvlJc w:val="left"/>
      <w:lvlText w:val="(%1)"/>
      <w:numFmt w:val="lowerLetter"/>
      <w:start w:val="1"/>
    </w:lvl>
  </w:abstractNum>
  <w:abstractNum w:abstractNumId="60">
    <w:nsid w:val="1381823A"/>
    <w:multiLevelType w:val="hybridMultilevel"/>
    <w:lvl w:ilvl="0">
      <w:lvlJc w:val="left"/>
      <w:lvlText w:val="%1."/>
      <w:numFmt w:val="decimal"/>
      <w:start w:val="1"/>
    </w:lvl>
  </w:abstractNum>
  <w:abstractNum w:abstractNumId="61">
    <w:nsid w:val="5DB70AE5"/>
    <w:multiLevelType w:val="hybridMultilevel"/>
    <w:lvl w:ilvl="0">
      <w:lvlJc w:val="left"/>
      <w:lvlText w:val="%1."/>
      <w:numFmt w:val="decimal"/>
      <w:start w:val="2"/>
    </w:lvl>
  </w:abstractNum>
  <w:abstractNum w:abstractNumId="62">
    <w:nsid w:val="100F8FCA"/>
    <w:multiLevelType w:val="hybridMultilevel"/>
    <w:lvl w:ilvl="0">
      <w:lvlJc w:val="left"/>
      <w:lvlText w:val="%1."/>
      <w:numFmt w:val="decimal"/>
      <w:start w:val="3"/>
    </w:lvl>
  </w:abstractNum>
  <w:abstractNum w:abstractNumId="63">
    <w:nsid w:val="6590700B"/>
    <w:multiLevelType w:val="hybridMultilevel"/>
    <w:lvl w:ilvl="0">
      <w:lvlJc w:val="left"/>
      <w:lvlText w:val="(%1)"/>
      <w:numFmt w:val="lowerLetter"/>
      <w:start w:val="1"/>
    </w:lvl>
  </w:abstractNum>
  <w:abstractNum w:abstractNumId="64">
    <w:nsid w:val="15014ACB"/>
    <w:multiLevelType w:val="hybridMultilevel"/>
    <w:lvl w:ilvl="0">
      <w:lvlJc w:val="left"/>
      <w:lvlText w:val="%1."/>
      <w:numFmt w:val="decimal"/>
      <w:start w:val="4"/>
    </w:lvl>
  </w:abstractNum>
  <w:abstractNum w:abstractNumId="65">
    <w:nsid w:val="5F5E7FD0"/>
    <w:multiLevelType w:val="hybridMultilevel"/>
    <w:lvl w:ilvl="0">
      <w:lvlJc w:val="left"/>
      <w:lvlText w:val="%1."/>
      <w:numFmt w:val="decimal"/>
      <w:start w:val="5"/>
    </w:lvl>
  </w:abstractNum>
  <w:abstractNum w:abstractNumId="66">
    <w:nsid w:val="98A3148"/>
    <w:multiLevelType w:val="hybridMultilevel"/>
    <w:lvl w:ilvl="0">
      <w:lvlJc w:val="left"/>
      <w:lvlText w:val="%1."/>
      <w:numFmt w:val="decimal"/>
      <w:start w:val="6"/>
    </w:lvl>
  </w:abstractNum>
  <w:abstractNum w:abstractNumId="67">
    <w:nsid w:val="799D0247"/>
    <w:multiLevelType w:val="hybridMultilevel"/>
    <w:lvl w:ilvl="0">
      <w:lvlJc w:val="left"/>
      <w:lvlText w:val="%1."/>
      <w:numFmt w:val="decimal"/>
      <w:start w:val="7"/>
    </w:lvl>
  </w:abstractNum>
  <w:abstractNum w:abstractNumId="68">
    <w:nsid w:val="6B94764"/>
    <w:multiLevelType w:val="hybridMultilevel"/>
    <w:lvl w:ilvl="0">
      <w:lvlJc w:val="left"/>
      <w:lvlText w:val="%1."/>
      <w:numFmt w:val="decimal"/>
      <w:start w:val="8"/>
    </w:lvl>
  </w:abstractNum>
  <w:abstractNum w:abstractNumId="69">
    <w:nsid w:val="42C296BD"/>
    <w:multiLevelType w:val="hybridMultilevel"/>
    <w:lvl w:ilvl="0">
      <w:lvlJc w:val="left"/>
      <w:lvlText w:val="%1."/>
      <w:numFmt w:val="decimal"/>
      <w:start w:val="9"/>
    </w:lvl>
  </w:abstractNum>
  <w:abstractNum w:abstractNumId="70">
    <w:nsid w:val="168E121F"/>
    <w:multiLevelType w:val="hybridMultilevel"/>
    <w:lvl w:ilvl="0">
      <w:lvlJc w:val="left"/>
      <w:lvlText w:val="%1."/>
      <w:numFmt w:val="decimal"/>
      <w:start w:val="10"/>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15" Type="http://schemas.openxmlformats.org/officeDocument/2006/relationships/hyperlink" Target="http://www.sec.gov/Archives/edgar/data/1574211/000119312513158983/d519395dex31.htm" TargetMode="External"/><Relationship Id="rId16" Type="http://schemas.openxmlformats.org/officeDocument/2006/relationships/hyperlink" Target="http://www.sec.gov/Archives/edgar/data/1574211/000119312513158983/d519395dex32.htm" TargetMode="External"/><Relationship Id="rId17" Type="http://schemas.openxmlformats.org/officeDocument/2006/relationships/hyperlink" Target="http://www.sec.gov/Archives/edgar/data/1051470/000095015712000590/ex4-1.htm" TargetMode="External"/><Relationship Id="rId18" Type="http://schemas.openxmlformats.org/officeDocument/2006/relationships/hyperlink" Target="http://www.sec.gov/Archives/edgar/data/1574211/000119312513158983/d519395dex42.htm" TargetMode="External"/><Relationship Id="rId19" Type="http://schemas.openxmlformats.org/officeDocument/2006/relationships/hyperlink" Target="http://www.sec.gov/Archives/edgar/data/1278382/000095013605000880/file002.htm" TargetMode="External"/><Relationship Id="rId20" Type="http://schemas.openxmlformats.org/officeDocument/2006/relationships/hyperlink" Target="http://www.sec.gov/Archives/edgar/data/1278382/000095013605003148/file002.htm" TargetMode="External"/><Relationship Id="rId21" Type="http://schemas.openxmlformats.org/officeDocument/2006/relationships/hyperlink" Target="http://www.sec.gov/Archives/edgar/data/1278382/000095013605003148/file003.htm" TargetMode="External"/><Relationship Id="rId22" Type="http://schemas.openxmlformats.org/officeDocument/2006/relationships/hyperlink" Target="http://www.sec.gov/Archives/edgar/data/1278382/000095013605003148/file004.htm" TargetMode="External"/><Relationship Id="rId23" Type="http://schemas.openxmlformats.org/officeDocument/2006/relationships/hyperlink" Target="http://www.sec.gov/Archives/edgar/data/1278382/000095013605003148/file005.htm" TargetMode="External"/><Relationship Id="rId24" Type="http://schemas.openxmlformats.org/officeDocument/2006/relationships/hyperlink" Target="http://www.sec.gov/Archives/edgar/data/1278382/000095013605003148/file006.htm" TargetMode="External"/><Relationship Id="rId25" Type="http://schemas.openxmlformats.org/officeDocument/2006/relationships/hyperlink" Target="http://www.sec.gov/Archives/edgar/data/1278382/000095013605003148/file007.htm" TargetMode="External"/><Relationship Id="rId26" Type="http://schemas.openxmlformats.org/officeDocument/2006/relationships/hyperlink" Target="http://www.sec.gov/Archives/edgar/data/1574211/000119312513158983/d519395dex108.htm" TargetMode="External"/><Relationship Id="rId27" Type="http://schemas.openxmlformats.org/officeDocument/2006/relationships/hyperlink" Target="http://www.sec.gov/Archives/edgar/data/1051470/000095015712000590/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2019-12-29T00:02:26Z</dcterms:created>
  <dcterms:modified xsi:type="dcterms:W3CDTF">2019-12-29T00:02:26Z</dcterms:modified>
</cp:coreProperties>
</file>