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January 6, 2022</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Crown Castle International Corp.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40"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2920" w:type="dxa"/>
            <w:vAlign w:val="bottom"/>
          </w:tcPr>
          <w:p>
            <w:pPr>
              <w:jc w:val="center"/>
              <w:ind w:left="470"/>
              <w:spacing w:after="0"/>
              <w:rPr>
                <w:sz w:val="20"/>
                <w:szCs w:val="20"/>
                <w:color w:val="auto"/>
              </w:rPr>
            </w:pPr>
            <w:r>
              <w:rPr>
                <w:rFonts w:ascii="Arial" w:cs="Arial" w:eastAsia="Arial" w:hAnsi="Arial"/>
                <w:sz w:val="18"/>
                <w:szCs w:val="18"/>
                <w:b w:val="1"/>
                <w:bCs w:val="1"/>
                <w:color w:val="auto"/>
                <w:w w:val="91"/>
              </w:rPr>
              <w:t>Delaware</w:t>
            </w:r>
          </w:p>
        </w:tc>
        <w:tc>
          <w:tcPr>
            <w:tcW w:w="4440" w:type="dxa"/>
            <w:vAlign w:val="bottom"/>
            <w:gridSpan w:val="3"/>
          </w:tcPr>
          <w:p>
            <w:pPr>
              <w:jc w:val="right"/>
              <w:ind w:right="1350"/>
              <w:spacing w:after="0"/>
              <w:rPr>
                <w:sz w:val="20"/>
                <w:szCs w:val="20"/>
                <w:color w:val="auto"/>
              </w:rPr>
            </w:pPr>
            <w:r>
              <w:rPr>
                <w:rFonts w:ascii="Arial" w:cs="Arial" w:eastAsia="Arial" w:hAnsi="Arial"/>
                <w:sz w:val="18"/>
                <w:szCs w:val="18"/>
                <w:b w:val="1"/>
                <w:bCs w:val="1"/>
                <w:color w:val="auto"/>
              </w:rPr>
              <w:t>001-16441</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00" w:type="dxa"/>
            <w:vAlign w:val="bottom"/>
          </w:tcPr>
          <w:p>
            <w:pPr>
              <w:jc w:val="right"/>
              <w:ind w:right="1270"/>
              <w:spacing w:after="0"/>
              <w:rPr>
                <w:sz w:val="20"/>
                <w:szCs w:val="20"/>
                <w:color w:val="auto"/>
              </w:rPr>
            </w:pPr>
            <w:r>
              <w:rPr>
                <w:rFonts w:ascii="Arial" w:cs="Arial" w:eastAsia="Arial" w:hAnsi="Arial"/>
                <w:sz w:val="18"/>
                <w:szCs w:val="18"/>
                <w:b w:val="1"/>
                <w:bCs w:val="1"/>
                <w:color w:val="auto"/>
              </w:rPr>
              <w:t>76-0470458</w:t>
            </w:r>
          </w:p>
        </w:tc>
      </w:tr>
      <w:tr>
        <w:trPr>
          <w:trHeight w:val="169"/>
        </w:trPr>
        <w:tc>
          <w:tcPr>
            <w:tcW w:w="2920" w:type="dxa"/>
            <w:vAlign w:val="bottom"/>
            <w:tcBorders>
              <w:top w:val="single" w:sz="8" w:color="auto"/>
            </w:tcBorders>
          </w:tcPr>
          <w:p>
            <w:pPr>
              <w:jc w:val="center"/>
              <w:ind w:left="450"/>
              <w:spacing w:after="0" w:line="169" w:lineRule="exact"/>
              <w:rPr>
                <w:sz w:val="20"/>
                <w:szCs w:val="20"/>
                <w:color w:val="auto"/>
              </w:rPr>
            </w:pPr>
            <w:r>
              <w:rPr>
                <w:rFonts w:ascii="Arial" w:cs="Arial" w:eastAsia="Arial" w:hAnsi="Arial"/>
                <w:sz w:val="18"/>
                <w:szCs w:val="18"/>
                <w:color w:val="auto"/>
                <w:w w:val="92"/>
              </w:rPr>
              <w:t>(State or other jurisdiction</w:t>
            </w:r>
          </w:p>
        </w:tc>
        <w:tc>
          <w:tcPr>
            <w:tcW w:w="5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6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3"/>
              </w:rPr>
              <w:t>(Commission File Number)</w:t>
            </w:r>
          </w:p>
        </w:tc>
        <w:tc>
          <w:tcPr>
            <w:tcW w:w="24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100" w:type="dxa"/>
            <w:vAlign w:val="bottom"/>
            <w:tcBorders>
              <w:top w:val="single" w:sz="8" w:color="auto"/>
            </w:tcBorders>
          </w:tcPr>
          <w:p>
            <w:pPr>
              <w:jc w:val="center"/>
              <w:ind w:right="410"/>
              <w:spacing w:after="0" w:line="169"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2920" w:type="dxa"/>
            <w:vAlign w:val="bottom"/>
          </w:tcPr>
          <w:p>
            <w:pPr>
              <w:jc w:val="center"/>
              <w:ind w:left="450"/>
              <w:spacing w:after="0"/>
              <w:rPr>
                <w:sz w:val="20"/>
                <w:szCs w:val="20"/>
                <w:color w:val="auto"/>
              </w:rPr>
            </w:pPr>
            <w:r>
              <w:rPr>
                <w:rFonts w:ascii="Arial" w:cs="Arial" w:eastAsia="Arial" w:hAnsi="Arial"/>
                <w:sz w:val="18"/>
                <w:szCs w:val="18"/>
                <w:color w:val="auto"/>
                <w:w w:val="93"/>
              </w:rPr>
              <w:t>of incorporation)</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525"/>
        </w:trPr>
        <w:tc>
          <w:tcPr>
            <w:tcW w:w="2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4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90"/>
              </w:rPr>
              <w:t>8020 Katy Freeway, Houston, Texas 77024-1908</w:t>
            </w:r>
          </w:p>
        </w:tc>
        <w:tc>
          <w:tcPr>
            <w:tcW w:w="3100" w:type="dxa"/>
            <w:vAlign w:val="bottom"/>
          </w:tcPr>
          <w:p>
            <w:pPr>
              <w:spacing w:after="0"/>
              <w:rPr>
                <w:sz w:val="24"/>
                <w:szCs w:val="24"/>
                <w:color w:val="auto"/>
              </w:rPr>
            </w:pPr>
          </w:p>
        </w:tc>
      </w:tr>
      <w:tr>
        <w:trPr>
          <w:trHeight w:val="230"/>
        </w:trPr>
        <w:tc>
          <w:tcPr>
            <w:tcW w:w="2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40" w:type="dxa"/>
            <w:vAlign w:val="bottom"/>
            <w:gridSpan w:val="3"/>
          </w:tcPr>
          <w:p>
            <w:pPr>
              <w:jc w:val="center"/>
              <w:ind w:right="640"/>
              <w:spacing w:after="0"/>
              <w:rPr>
                <w:sz w:val="20"/>
                <w:szCs w:val="20"/>
                <w:color w:val="auto"/>
              </w:rPr>
            </w:pPr>
            <w:r>
              <w:rPr>
                <w:rFonts w:ascii="Arial" w:cs="Arial" w:eastAsia="Arial" w:hAnsi="Arial"/>
                <w:sz w:val="18"/>
                <w:szCs w:val="18"/>
                <w:color w:val="auto"/>
                <w:w w:val="92"/>
              </w:rPr>
              <w:t>(Address of principal executive offices) (Zip Code)</w:t>
            </w:r>
          </w:p>
        </w:tc>
        <w:tc>
          <w:tcPr>
            <w:tcW w:w="3100" w:type="dxa"/>
            <w:vAlign w:val="bottom"/>
          </w:tcPr>
          <w:p>
            <w:pPr>
              <w:spacing w:after="0"/>
              <w:rPr>
                <w:sz w:val="20"/>
                <w:szCs w:val="20"/>
                <w:color w:val="auto"/>
              </w:rPr>
            </w:pPr>
          </w:p>
        </w:tc>
      </w:tr>
      <w:tr>
        <w:trPr>
          <w:trHeight w:val="405"/>
        </w:trPr>
        <w:tc>
          <w:tcPr>
            <w:tcW w:w="2920" w:type="dxa"/>
            <w:vAlign w:val="bottom"/>
          </w:tcPr>
          <w:p>
            <w:pPr>
              <w:spacing w:after="0"/>
              <w:rPr>
                <w:sz w:val="24"/>
                <w:szCs w:val="24"/>
                <w:color w:val="auto"/>
              </w:rPr>
            </w:pPr>
          </w:p>
        </w:tc>
        <w:tc>
          <w:tcPr>
            <w:tcW w:w="5160" w:type="dxa"/>
            <w:vAlign w:val="bottom"/>
            <w:gridSpan w:val="5"/>
          </w:tcPr>
          <w:p>
            <w:pPr>
              <w:jc w:val="center"/>
              <w:ind w:left="9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(713) 570-3000</w:t>
            </w:r>
          </w:p>
        </w:tc>
        <w:tc>
          <w:tcPr>
            <w:tcW w:w="3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146050</wp:posOffset>
            </wp:positionV>
            <wp:extent cx="36347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540" w:hanging="431"/>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42" w:lineRule="exact"/>
        <w:rPr>
          <w:rFonts w:ascii="MS PGothic" w:cs="MS PGothic" w:eastAsia="MS PGothic" w:hAnsi="MS PGothic"/>
          <w:sz w:val="22"/>
          <w:szCs w:val="22"/>
          <w:color w:val="auto"/>
        </w:rPr>
      </w:pPr>
    </w:p>
    <w:p>
      <w:pPr>
        <w:ind w:left="540" w:hanging="431"/>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42" w:lineRule="exact"/>
        <w:rPr>
          <w:rFonts w:ascii="MS PGothic" w:cs="MS PGothic" w:eastAsia="MS PGothic" w:hAnsi="MS PGothic"/>
          <w:sz w:val="22"/>
          <w:szCs w:val="22"/>
          <w:color w:val="auto"/>
        </w:rPr>
      </w:pPr>
    </w:p>
    <w:p>
      <w:pPr>
        <w:ind w:left="540" w:hanging="431"/>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42" w:lineRule="exact"/>
        <w:rPr>
          <w:rFonts w:ascii="MS PGothic" w:cs="MS PGothic" w:eastAsia="MS PGothic" w:hAnsi="MS PGothic"/>
          <w:sz w:val="22"/>
          <w:szCs w:val="22"/>
          <w:color w:val="auto"/>
        </w:rPr>
      </w:pPr>
    </w:p>
    <w:p>
      <w:pPr>
        <w:ind w:left="540" w:hanging="431"/>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8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30" w:type="dxa"/>
        <w:tblCellMar>
          <w:top w:w="0" w:type="dxa"/>
          <w:left w:w="0" w:type="dxa"/>
          <w:bottom w:w="0" w:type="dxa"/>
          <w:right w:w="0" w:type="dxa"/>
        </w:tblCellMar>
      </w:tblPr>
      <w:tr>
        <w:trPr>
          <w:trHeight w:val="243"/>
        </w:trPr>
        <w:tc>
          <w:tcPr>
            <w:tcW w:w="4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3"/>
        </w:trPr>
        <w:tc>
          <w:tcPr>
            <w:tcW w:w="4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CCI</w:t>
            </w:r>
          </w:p>
        </w:tc>
        <w:tc>
          <w:tcPr>
            <w:tcW w:w="4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1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Rule 12b-2 of the Securities Exchange Act of 1934 (17 CFR §240.12b-2).</w:t>
      </w:r>
    </w:p>
    <w:p>
      <w:pPr>
        <w:spacing w:after="0" w:line="9"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244" w:lineRule="exact"/>
        <w:rPr>
          <w:sz w:val="24"/>
          <w:szCs w:val="24"/>
          <w:color w:val="auto"/>
        </w:rPr>
      </w:pPr>
    </w:p>
    <w:p>
      <w:pPr>
        <w:ind w:right="16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90805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56515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7.01—REGULATION FD DISCLOSURE</w:t>
      </w:r>
    </w:p>
    <w:p>
      <w:pPr>
        <w:spacing w:after="0" w:line="24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On January 6, 2022, Crown Castle International Corp. ("Crown Castle") and T-Mobile US, Inc. ("T-Mobile") announced that they entered into a long-term agreement ("Agreement"). The following are additional details regarding the Agreement:</w:t>
      </w:r>
    </w:p>
    <w:p>
      <w:pPr>
        <w:spacing w:after="0" w:line="197" w:lineRule="exact"/>
        <w:rPr>
          <w:sz w:val="20"/>
          <w:szCs w:val="20"/>
          <w:color w:val="auto"/>
        </w:rPr>
      </w:pPr>
    </w:p>
    <w:p>
      <w:pPr>
        <w:jc w:val="both"/>
        <w:ind w:left="660" w:hanging="328"/>
        <w:spacing w:after="0" w:line="253" w:lineRule="auto"/>
        <w:tabs>
          <w:tab w:leader="none" w:pos="655"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12-year Agreement includes contracted new tower leasing activity and a base escalator that is consistent with historical levels for Crown Castle’s Towers segment. As a result, Crown Castle expects to recognize approximately $250 million of additional straight-lined site rental revenues for full year 2022 for its Towers segment when compared to the Full Year 2022 Outlook issued on October 20, 2021.</w:t>
      </w:r>
    </w:p>
    <w:p>
      <w:pPr>
        <w:spacing w:after="0" w:line="191" w:lineRule="exact"/>
        <w:rPr>
          <w:rFonts w:ascii="Arial" w:cs="Arial" w:eastAsia="Arial" w:hAnsi="Arial"/>
          <w:sz w:val="17"/>
          <w:szCs w:val="17"/>
          <w:color w:val="auto"/>
        </w:rPr>
      </w:pPr>
    </w:p>
    <w:p>
      <w:pPr>
        <w:jc w:val="both"/>
        <w:ind w:left="660" w:hanging="328"/>
        <w:spacing w:after="0" w:line="23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Agreement also includes a contractual commitment by T-Mobile for 35,000 new small cell nodes, including specific commitments in each of the next five years to enter into contracts associated with identified small cell locations. The majority of the committed small cell nodes are expected to be collocated on existing Crown Castle fiber.</w:t>
      </w:r>
    </w:p>
    <w:p>
      <w:pPr>
        <w:spacing w:after="0" w:line="201"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2"/>
        </w:numPr>
        <w:rPr>
          <w:rFonts w:ascii="Arial" w:cs="Arial" w:eastAsia="Arial" w:hAnsi="Arial"/>
          <w:sz w:val="17"/>
          <w:szCs w:val="17"/>
          <w:color w:val="auto"/>
        </w:rPr>
      </w:pPr>
      <w:r>
        <w:rPr>
          <w:rFonts w:ascii="Arial" w:cs="Arial" w:eastAsia="Arial" w:hAnsi="Arial"/>
          <w:sz w:val="17"/>
          <w:szCs w:val="17"/>
          <w:color w:val="auto"/>
        </w:rPr>
        <w:t>Crown Castle anticipates the T-Mobile and Sprint network consolidation contemplated in the Agreement will result in tower non-renewals in 2025 which are expected to reduce site rental revenues by approximately $200 million. Except for full year 2025, Crown Castle expects consolidated annual tower non-renewals to remain in line with the Company’s historical range of 1% to 2% of annual site rental revenues.</w:t>
      </w:r>
    </w:p>
    <w:p>
      <w:pPr>
        <w:spacing w:after="0" w:line="191" w:lineRule="exact"/>
        <w:rPr>
          <w:rFonts w:ascii="Arial" w:cs="Arial" w:eastAsia="Arial" w:hAnsi="Arial"/>
          <w:sz w:val="17"/>
          <w:szCs w:val="17"/>
          <w:color w:val="auto"/>
        </w:rPr>
      </w:pPr>
    </w:p>
    <w:p>
      <w:pPr>
        <w:ind w:left="660" w:right="40" w:hanging="328"/>
        <w:spacing w:after="0" w:line="261" w:lineRule="auto"/>
        <w:tabs>
          <w:tab w:leader="none" w:pos="655" w:val="left"/>
        </w:tabs>
        <w:numPr>
          <w:ilvl w:val="0"/>
          <w:numId w:val="2"/>
        </w:numPr>
        <w:rPr>
          <w:rFonts w:ascii="Arial" w:cs="Arial" w:eastAsia="Arial" w:hAnsi="Arial"/>
          <w:sz w:val="16"/>
          <w:szCs w:val="16"/>
          <w:color w:val="auto"/>
        </w:rPr>
      </w:pPr>
      <w:r>
        <w:rPr>
          <w:rFonts w:ascii="Arial" w:cs="Arial" w:eastAsia="Arial" w:hAnsi="Arial"/>
          <w:sz w:val="16"/>
          <w:szCs w:val="16"/>
          <w:color w:val="auto"/>
        </w:rPr>
        <w:t>Crown Castle also anticipates the T-Mobile and Sprint network consolidation will result in small cell non-renewals which are expected to reduce site rental revenues by approximately $45 million, with the majority occurring in 2023. The financial impact of the anticipated non-renewals is expected to be offset by approximately $10 million per year during the corresponding small cell contract term from the amortization of anticipated upfront payments to be made by T-Mobile associated with certain of those non-renewals. Except for full year 2023, Crown Castle expects consolidated annual small cell non-renewals to remain in line with the Company’s historical range of 1% to 2% of annual site rental revenues.</w:t>
      </w:r>
    </w:p>
    <w:p>
      <w:pPr>
        <w:spacing w:after="0" w:line="187" w:lineRule="exact"/>
        <w:rPr>
          <w:rFonts w:ascii="Arial" w:cs="Arial" w:eastAsia="Arial" w:hAnsi="Arial"/>
          <w:sz w:val="16"/>
          <w:szCs w:val="16"/>
          <w:color w:val="auto"/>
        </w:rPr>
      </w:pPr>
    </w:p>
    <w:p>
      <w:pPr>
        <w:ind w:left="660" w:hanging="328"/>
        <w:spacing w:after="0" w:line="24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Crown Castle’s long-term annual growth target for its common stock dividend remains 7% to 8%. Due to the network consolidation non-renewals in 2025 mentioned above, the Company expects its dividend growth in 2025 to be below its long-term annual target.</w:t>
      </w:r>
    </w:p>
    <w:p>
      <w:pPr>
        <w:spacing w:after="0" w:line="197"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January 6, 2022 press release announcing the Agreement is furnished herewith as Exhibit 99.1. The above disclosure does not purport to be a complete statement of the parties’ rights and obligations under the Agreement.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240" w:type="dxa"/>
            <w:vAlign w:val="bottom"/>
            <w:gridSpan w:val="3"/>
          </w:tcPr>
          <w:p>
            <w:pPr>
              <w:ind w:left="1120"/>
              <w:spacing w:after="0"/>
              <w:rPr>
                <w:sz w:val="20"/>
                <w:szCs w:val="20"/>
                <w:color w:val="auto"/>
              </w:rPr>
            </w:pPr>
            <w:r>
              <w:rPr>
                <w:rFonts w:ascii="Arial" w:cs="Arial" w:eastAsia="Arial" w:hAnsi="Arial"/>
                <w:sz w:val="18"/>
                <w:szCs w:val="18"/>
                <w:b w:val="1"/>
                <w:bCs w:val="1"/>
                <w:color w:val="auto"/>
              </w:rPr>
              <w:t>Exhibit Index</w:t>
            </w:r>
          </w:p>
        </w:tc>
      </w:tr>
      <w:tr>
        <w:trPr>
          <w:trHeight w:val="20"/>
        </w:trPr>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533"/>
        </w:trPr>
        <w:tc>
          <w:tcPr>
            <w:tcW w:w="1320" w:type="dxa"/>
            <w:vAlign w:val="bottom"/>
            <w:gridSpan w:val="2"/>
          </w:tcPr>
          <w:p>
            <w:pPr>
              <w:ind w:left="20"/>
              <w:spacing w:after="0"/>
              <w:rPr>
                <w:sz w:val="20"/>
                <w:szCs w:val="20"/>
                <w:color w:val="auto"/>
              </w:rPr>
            </w:pPr>
            <w:r>
              <w:rPr>
                <w:rFonts w:ascii="Arial" w:cs="Arial" w:eastAsia="Arial" w:hAnsi="Arial"/>
                <w:sz w:val="18"/>
                <w:szCs w:val="18"/>
                <w:color w:val="auto"/>
              </w:rPr>
              <w:t>Exhibit No.</w:t>
            </w:r>
          </w:p>
        </w:tc>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120" w:type="dxa"/>
            <w:vAlign w:val="bottom"/>
            <w:gridSpan w:val="2"/>
          </w:tcPr>
          <w:p>
            <w:pPr>
              <w:ind w:left="760"/>
              <w:spacing w:after="0"/>
              <w:rPr>
                <w:sz w:val="20"/>
                <w:szCs w:val="20"/>
                <w:color w:val="auto"/>
              </w:rPr>
            </w:pPr>
            <w:r>
              <w:rPr>
                <w:rFonts w:ascii="Arial" w:cs="Arial" w:eastAsia="Arial" w:hAnsi="Arial"/>
                <w:sz w:val="18"/>
                <w:szCs w:val="18"/>
                <w:color w:val="auto"/>
              </w:rPr>
              <w:t>Description</w:t>
            </w:r>
          </w:p>
        </w:tc>
      </w:tr>
      <w:tr>
        <w:trPr>
          <w:trHeight w:val="183"/>
        </w:trPr>
        <w:tc>
          <w:tcPr>
            <w:tcW w:w="118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99.1</w:t>
            </w:r>
          </w:p>
        </w:tc>
        <w:tc>
          <w:tcPr>
            <w:tcW w:w="1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620" w:type="dxa"/>
            <w:vAlign w:val="bottom"/>
            <w:tcBorders>
              <w:top w:val="single" w:sz="8" w:color="auto"/>
              <w:bottom w:val="single" w:sz="8" w:color="0000FF"/>
            </w:tcBorders>
          </w:tcPr>
          <w:p>
            <w:pPr>
              <w:spacing w:after="0" w:line="182" w:lineRule="exact"/>
              <w:rPr>
                <w:rFonts w:ascii="Arial" w:cs="Arial" w:eastAsia="Arial" w:hAnsi="Arial"/>
                <w:sz w:val="18"/>
                <w:szCs w:val="18"/>
                <w:color w:val="0000FF"/>
                <w:w w:val="86"/>
              </w:rPr>
            </w:pPr>
            <w:hyperlink w:anchor="page5">
              <w:r>
                <w:rPr>
                  <w:rFonts w:ascii="Arial" w:cs="Arial" w:eastAsia="Arial" w:hAnsi="Arial"/>
                  <w:sz w:val="18"/>
                  <w:szCs w:val="18"/>
                  <w:color w:val="0000FF"/>
                  <w:w w:val="86"/>
                </w:rPr>
                <w:t>Press Release dated January 6, 2022</w:t>
              </w:r>
            </w:hyperlink>
          </w:p>
        </w:tc>
        <w:tc>
          <w:tcPr>
            <w:tcW w:w="7240" w:type="dxa"/>
            <w:vAlign w:val="bottom"/>
            <w:tcBorders>
              <w:top w:val="single" w:sz="8" w:color="auto"/>
            </w:tcBorders>
            <w:gridSpan w:val="3"/>
          </w:tcPr>
          <w:p>
            <w:pPr>
              <w:spacing w:after="0"/>
              <w:rPr>
                <w:sz w:val="15"/>
                <w:szCs w:val="15"/>
                <w:color w:val="auto"/>
              </w:rPr>
            </w:pPr>
          </w:p>
        </w:tc>
      </w:tr>
      <w:tr>
        <w:trPr>
          <w:trHeight w:val="250"/>
        </w:trPr>
        <w:tc>
          <w:tcPr>
            <w:tcW w:w="118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4"/>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bl>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information in Item 7.01 of this Current Report on Form 8-K ("Form 8-K") and Exhibit 99.1 attached hereto are furnished as part of this Form 8-K and shall not be deemed "filed" for purposes of Section 18 of the Securities Exchange Act of 1934, as amended ("Exchange Act"), or otherwise subject to the liabilities of that section, nor shall such information or exhibit be deemed incorporated by reference in any filing under the Securities Act of 1933, as amended, or the Exchange Act, except as shall be expressly set forth by specific reference in such a filing.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Language Regarding Forward Looking Statements</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Form 8-K, including Exhibit 99.1 furnished herewith, contain forward-looking statements that are based on management's current expectations. Such statements include plans, projections, expectations and estimates regarding (1) the Agreement, including any benefits to be derived therefrom, (2) site rental revenues and the impacts thereon from the Agreement, (3) T-Mobile and Sprint network consolidation and the impacts thereof, including tower and small cell non-renewals, (4) collocation on existing Crown Castle fiber, (5) amortization of upfront payments and (6) our dividends, dividend targets and dividend growth rate. Such forward-looking statements are subject to certain risks, uncertainties and assumptions, including prevailing market conditions. Should one or more of these risks or uncertainties materialize, or should underlying assumptions prove incorrect, actual results may vary materially from those expected. More information about potential risks that could affect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t>Crown Castle and its results is included in Crown Castle's filings with the Securities and Exchange Commission. The term "including," and any variation thereof, means "including, without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895" w:right="5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8"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CROWN CASTLE INTERNATIONAL CORP.</w:t>
      </w:r>
    </w:p>
    <w:p>
      <w:pPr>
        <w:spacing w:after="0" w:line="27" w:lineRule="exact"/>
        <w:rPr>
          <w:sz w:val="20"/>
          <w:szCs w:val="20"/>
          <w:color w:val="auto"/>
        </w:rPr>
      </w:pPr>
    </w:p>
    <w:p>
      <w:pPr>
        <w:ind w:left="4780"/>
        <w:spacing w:after="0"/>
        <w:tabs>
          <w:tab w:leader="none" w:pos="5280" w:val="left"/>
        </w:tabs>
        <w:rPr>
          <w:sz w:val="20"/>
          <w:szCs w:val="20"/>
          <w:color w:val="auto"/>
        </w:rPr>
      </w:pPr>
      <w:r>
        <w:rPr>
          <w:rFonts w:ascii="Arial" w:cs="Arial" w:eastAsia="Arial" w:hAnsi="Arial"/>
          <w:sz w:val="18"/>
          <w:szCs w:val="18"/>
          <w:color w:val="auto"/>
        </w:rPr>
        <w:t>By:</w:t>
        <w:tab/>
        <w:t>/s/ Kenneth J. Simon</w:t>
      </w:r>
    </w:p>
    <w:p>
      <w:pPr>
        <w:spacing w:after="0" w:line="23" w:lineRule="exact"/>
        <w:rPr>
          <w:sz w:val="20"/>
          <w:szCs w:val="20"/>
          <w:color w:val="auto"/>
        </w:rPr>
      </w:pPr>
    </w:p>
    <w:tbl>
      <w:tblPr>
        <w:tblLayout w:type="fixed"/>
        <w:tblInd w:w="5280" w:type="dxa"/>
        <w:tblCellMar>
          <w:top w:w="0" w:type="dxa"/>
          <w:left w:w="0" w:type="dxa"/>
          <w:bottom w:w="0" w:type="dxa"/>
          <w:right w:w="0" w:type="dxa"/>
        </w:tblCellMar>
      </w:tblPr>
      <w:tr>
        <w:trPr>
          <w:trHeight w:val="222"/>
        </w:trPr>
        <w:tc>
          <w:tcPr>
            <w:tcW w:w="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7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Kenneth J. Simon</w:t>
            </w:r>
          </w:p>
        </w:tc>
      </w:tr>
      <w:tr>
        <w:trPr>
          <w:trHeight w:val="176"/>
        </w:trPr>
        <w:tc>
          <w:tcPr>
            <w:tcW w:w="620" w:type="dxa"/>
            <w:vAlign w:val="bottom"/>
          </w:tcPr>
          <w:p>
            <w:pPr>
              <w:ind w:left="20"/>
              <w:spacing w:after="0" w:line="176" w:lineRule="exact"/>
              <w:rPr>
                <w:sz w:val="20"/>
                <w:szCs w:val="20"/>
                <w:color w:val="auto"/>
              </w:rPr>
            </w:pPr>
            <w:r>
              <w:rPr>
                <w:rFonts w:ascii="Arial" w:cs="Arial" w:eastAsia="Arial" w:hAnsi="Arial"/>
                <w:sz w:val="18"/>
                <w:szCs w:val="18"/>
                <w:color w:val="auto"/>
              </w:rPr>
              <w:t>Title:</w:t>
            </w:r>
          </w:p>
        </w:tc>
        <w:tc>
          <w:tcPr>
            <w:tcW w:w="3740" w:type="dxa"/>
            <w:vAlign w:val="bottom"/>
          </w:tcPr>
          <w:p>
            <w:pPr>
              <w:ind w:left="140"/>
              <w:spacing w:after="0" w:line="176" w:lineRule="exact"/>
              <w:rPr>
                <w:sz w:val="20"/>
                <w:szCs w:val="20"/>
                <w:color w:val="auto"/>
              </w:rPr>
            </w:pPr>
            <w:r>
              <w:rPr>
                <w:rFonts w:ascii="Arial" w:cs="Arial" w:eastAsia="Arial" w:hAnsi="Arial"/>
                <w:sz w:val="18"/>
                <w:szCs w:val="18"/>
                <w:color w:val="auto"/>
              </w:rPr>
              <w:t>Executive Vice President</w:t>
            </w:r>
          </w:p>
        </w:tc>
      </w:tr>
      <w:tr>
        <w:trPr>
          <w:trHeight w:val="230"/>
        </w:trPr>
        <w:tc>
          <w:tcPr>
            <w:tcW w:w="620" w:type="dxa"/>
            <w:vAlign w:val="bottom"/>
          </w:tcPr>
          <w:p>
            <w:pPr>
              <w:spacing w:after="0"/>
              <w:rPr>
                <w:sz w:val="20"/>
                <w:szCs w:val="20"/>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and General Counsel</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 January 6, 2022</w:t>
      </w:r>
    </w:p>
    <w:p>
      <w:pPr>
        <w:sectPr>
          <w:pgSz w:w="11900" w:h="16838" w:orient="portrait"/>
          <w:cols w:equalWidth="0" w:num="1">
            <w:col w:w="11240"/>
          </w:cols>
          <w:pgMar w:left="320" w:top="1066"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386080</wp:posOffset>
            </wp:positionV>
            <wp:extent cx="1765935" cy="4629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6593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040"/>
        <w:spacing w:after="0"/>
        <w:rPr>
          <w:sz w:val="20"/>
          <w:szCs w:val="20"/>
          <w:color w:val="auto"/>
        </w:rPr>
      </w:pPr>
      <w:r>
        <w:rPr>
          <w:rFonts w:ascii="Arial" w:cs="Arial" w:eastAsia="Arial" w:hAnsi="Arial"/>
          <w:sz w:val="22"/>
          <w:szCs w:val="22"/>
          <w:color w:val="auto"/>
        </w:rPr>
        <w:t>NEWS RELEASE</w:t>
      </w:r>
    </w:p>
    <w:p>
      <w:pPr>
        <w:ind w:left="8040"/>
        <w:spacing w:after="0"/>
        <w:rPr>
          <w:sz w:val="20"/>
          <w:szCs w:val="20"/>
          <w:color w:val="auto"/>
        </w:rPr>
      </w:pPr>
      <w:r>
        <w:rPr>
          <w:rFonts w:ascii="Arial" w:cs="Arial" w:eastAsia="Arial" w:hAnsi="Arial"/>
          <w:sz w:val="22"/>
          <w:szCs w:val="22"/>
          <w:color w:val="auto"/>
        </w:rPr>
        <w:t>January 6, 2022</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T-Mobile and Crown Castle Expand Strategic Relationship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With Long-Term Tower and Small Cell Agreement</w:t>
      </w:r>
    </w:p>
    <w:p>
      <w:pPr>
        <w:spacing w:after="0" w:line="262" w:lineRule="exact"/>
        <w:rPr>
          <w:sz w:val="20"/>
          <w:szCs w:val="20"/>
          <w:color w:val="auto"/>
        </w:rPr>
      </w:pPr>
    </w:p>
    <w:p>
      <w:pPr>
        <w:jc w:val="both"/>
        <w:ind w:firstLine="648"/>
        <w:spacing w:after="0" w:line="405" w:lineRule="auto"/>
        <w:rPr>
          <w:sz w:val="20"/>
          <w:szCs w:val="20"/>
          <w:color w:val="auto"/>
        </w:rPr>
      </w:pPr>
      <w:r>
        <w:rPr>
          <w:rFonts w:ascii="Arial" w:cs="Arial" w:eastAsia="Arial" w:hAnsi="Arial"/>
          <w:sz w:val="18"/>
          <w:szCs w:val="18"/>
          <w:b w:val="1"/>
          <w:bCs w:val="1"/>
          <w:color w:val="auto"/>
        </w:rPr>
        <w:t xml:space="preserve">Bellevue, Wash. and Houston, Texas — January 6, 2022 — </w:t>
      </w:r>
      <w:r>
        <w:rPr>
          <w:rFonts w:ascii="Arial" w:cs="Arial" w:eastAsia="Arial" w:hAnsi="Arial"/>
          <w:sz w:val="18"/>
          <w:szCs w:val="18"/>
          <w:color w:val="auto"/>
        </w:rPr>
        <w:t>T-Mobile US, Inc. (NASDAQ: TMUS) and Crown Castle</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Corp. (NYSE: CCI) announced today that the companies have signed a new 12-year agreement to support the continued build-out of T-Mobile's nationwide 5G network with increased access to Crown Castle's towers and small cell locations. The agreement enables the Un-carrier to further expand and deepen the reach of its industry-leading 5G network to serve consumers across the U.S. while also realizing financial synergies following its merger. The agreement also helps Crown Castle generate long-term tower and small cell revenue growth.</w:t>
      </w:r>
    </w:p>
    <w:p>
      <w:pPr>
        <w:spacing w:after="0" w:line="190" w:lineRule="exact"/>
        <w:rPr>
          <w:sz w:val="20"/>
          <w:szCs w:val="20"/>
          <w:color w:val="auto"/>
        </w:rPr>
      </w:pPr>
    </w:p>
    <w:p>
      <w:pPr>
        <w:ind w:right="140" w:firstLine="648"/>
        <w:spacing w:after="0" w:line="357" w:lineRule="auto"/>
        <w:rPr>
          <w:sz w:val="20"/>
          <w:szCs w:val="20"/>
          <w:color w:val="auto"/>
        </w:rPr>
      </w:pPr>
      <w:r>
        <w:rPr>
          <w:rFonts w:ascii="Arial" w:cs="Arial" w:eastAsia="Arial" w:hAnsi="Arial"/>
          <w:sz w:val="20"/>
          <w:szCs w:val="20"/>
          <w:color w:val="auto"/>
        </w:rPr>
        <w:t>"T-Mobile's expanded alliance with long-term partner Crown Castle will fuel acceleration of our nationwide network build and provide synergies that we can further invest into that build – all in support of our Un-carrier mission to truly deliver 5G FOR ALL," said Neville Ray, president of Technology at T-Mobile. "This agreement is another integral piece of T-Mobile's ongoing efforts to rapidly expand what is already America's largest 5G network. We won't stop focusing on reaching even more customers and delivering fast 5G speeds to more people – every day and into the future."</w:t>
      </w:r>
    </w:p>
    <w:p>
      <w:pPr>
        <w:spacing w:after="0" w:line="220"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20"/>
          <w:szCs w:val="20"/>
          <w:color w:val="auto"/>
        </w:rPr>
        <w:t>"We're excited to build on our long-standing strategic relationship with T-Mobile as we work closely with them to continue to deploy their next-generation 5G network," stated Jay Brown, Crown Castle's chief executive officer. "T-Mobile and Crown Castle are ideal partners for this next phase as wireless network architecture continues to densify. We believe T-Mobile's significant long-term commitment to utilize our comprehensive infrastructure consisting of towers, small cells and fiber will enable our collective teams to quickly meet future network demands."</w:t>
      </w:r>
    </w:p>
    <w:p>
      <w:pPr>
        <w:spacing w:after="0" w:line="220" w:lineRule="exact"/>
        <w:rPr>
          <w:sz w:val="20"/>
          <w:szCs w:val="20"/>
          <w:color w:val="auto"/>
        </w:rPr>
      </w:pPr>
    </w:p>
    <w:p>
      <w:pPr>
        <w:ind w:right="260" w:firstLine="648"/>
        <w:spacing w:after="0" w:line="362" w:lineRule="auto"/>
        <w:rPr>
          <w:sz w:val="20"/>
          <w:szCs w:val="20"/>
          <w:color w:val="auto"/>
        </w:rPr>
      </w:pPr>
      <w:r>
        <w:rPr>
          <w:rFonts w:ascii="Arial" w:cs="Arial" w:eastAsia="Arial" w:hAnsi="Arial"/>
          <w:sz w:val="20"/>
          <w:szCs w:val="20"/>
          <w:color w:val="auto"/>
        </w:rPr>
        <w:t xml:space="preserve">T-Mobile is the leader in 5G with the country’s largest, fastest, and most reliable 5G network, including nationwide Ultra Capacity 5G that delivers blazing-fast speeds to more people than any other provider. </w:t>
      </w:r>
      <w:r>
        <w:rPr>
          <w:rFonts w:ascii="Arial" w:cs="Arial" w:eastAsia="Arial" w:hAnsi="Arial"/>
          <w:sz w:val="20"/>
          <w:szCs w:val="20"/>
          <w:color w:val="262626"/>
        </w:rPr>
        <w:t>For more information on T-Mobile’s network, visit</w:t>
      </w:r>
      <w:r>
        <w:rPr>
          <w:rFonts w:ascii="Arial" w:cs="Arial" w:eastAsia="Arial" w:hAnsi="Arial"/>
          <w:sz w:val="20"/>
          <w:szCs w:val="20"/>
          <w:color w:val="auto"/>
        </w:rPr>
        <w:t xml:space="preserve"> </w:t>
      </w:r>
      <w:r>
        <w:rPr>
          <w:rFonts w:ascii="Arial" w:cs="Arial" w:eastAsia="Arial" w:hAnsi="Arial"/>
          <w:sz w:val="20"/>
          <w:szCs w:val="20"/>
          <w:u w:val="single" w:color="auto"/>
          <w:color w:val="520B7F"/>
        </w:rPr>
        <w:t>T-Mobile.com/coverage</w:t>
      </w:r>
      <w:r>
        <w:rPr>
          <w:rFonts w:ascii="Arial" w:cs="Arial" w:eastAsia="Arial" w:hAnsi="Arial"/>
          <w:sz w:val="20"/>
          <w:szCs w:val="20"/>
          <w:color w:val="262626"/>
        </w:rPr>
        <w:t>.</w:t>
      </w:r>
    </w:p>
    <w:p>
      <w:pPr>
        <w:sectPr>
          <w:pgSz w:w="11900" w:h="16838" w:orient="portrait"/>
          <w:cols w:equalWidth="0" w:num="1">
            <w:col w:w="11240"/>
          </w:cols>
          <w:pgMar w:left="320" w:top="121" w:right="339" w:bottom="1440" w:gutter="0" w:footer="0" w:header="0"/>
        </w:sectPr>
      </w:pPr>
    </w:p>
    <w:bookmarkStart w:id="5" w:name="page6"/>
    <w:bookmarkEnd w:id="5"/>
    <w:p>
      <w:pPr>
        <w:ind w:right="60" w:firstLine="648"/>
        <w:spacing w:after="0" w:line="388" w:lineRule="auto"/>
        <w:rPr>
          <w:sz w:val="20"/>
          <w:szCs w:val="20"/>
          <w:color w:val="auto"/>
        </w:rPr>
      </w:pPr>
      <w:r>
        <w:rPr>
          <w:rFonts w:ascii="Arial" w:cs="Arial" w:eastAsia="Arial" w:hAnsi="Arial"/>
          <w:sz w:val="19"/>
          <w:szCs w:val="19"/>
          <w:color w:val="262626"/>
        </w:rPr>
        <w:t>T-Mobile is America's Largest 5G network &amp; Fastest median, overall combined 5G speeds according analysis by Ookla® of Speedtest Intelligence® data 5G download speeds for Q3 2021. Ookla trademarks used under license and reprinted with permission. Capable device req'd; coverage not available in some areas. Some uses may require certain plan or feature; see T-Mobile.com.</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T-Mobile</w:t>
      </w:r>
    </w:p>
    <w:p>
      <w:pPr>
        <w:spacing w:after="0" w:line="357" w:lineRule="exact"/>
        <w:rPr>
          <w:sz w:val="20"/>
          <w:szCs w:val="20"/>
          <w:color w:val="auto"/>
        </w:rPr>
      </w:pPr>
    </w:p>
    <w:p>
      <w:pPr>
        <w:ind w:right="180" w:firstLine="648"/>
        <w:spacing w:after="0" w:line="403" w:lineRule="auto"/>
        <w:rPr>
          <w:sz w:val="20"/>
          <w:szCs w:val="20"/>
          <w:color w:val="auto"/>
        </w:rPr>
      </w:pPr>
      <w:r>
        <w:rPr>
          <w:rFonts w:ascii="Arial" w:cs="Arial" w:eastAsia="Arial" w:hAnsi="Arial"/>
          <w:sz w:val="18"/>
          <w:szCs w:val="18"/>
          <w:color w:val="262626"/>
        </w:rPr>
        <w:t xml:space="preserve">T-Mobile US, Inc. (NASDAQ: TMUS) is America’s supercharged Un-carrier, delivering an advanced 4G LTE and transformative nationwide 5G network that will offer reliable connectivity for all. T-Mobile’s customers benefit from its unmatched combination of value and quality, unwavering obsession with offering them the best possible service experience and undisputable drive for disruption that creates competition and innovation in wireless and beyond. Based in Bellevue, Wash., T-Mobile provides services through its subsidiaries and operates its flagship brands, T-Mobile, Metro by T-Mobile and Sprint. For more information please visit: </w:t>
      </w:r>
      <w:r>
        <w:rPr>
          <w:rFonts w:ascii="Arial" w:cs="Arial" w:eastAsia="Arial" w:hAnsi="Arial"/>
          <w:sz w:val="18"/>
          <w:szCs w:val="18"/>
          <w:u w:val="single" w:color="auto"/>
          <w:color w:val="520B7F"/>
        </w:rPr>
        <w:t>https://www.t-mobile.com</w:t>
      </w:r>
      <w:r>
        <w:rPr>
          <w:rFonts w:ascii="Arial" w:cs="Arial" w:eastAsia="Arial" w:hAnsi="Arial"/>
          <w:sz w:val="18"/>
          <w:szCs w:val="18"/>
          <w:color w:val="000000"/>
        </w:rPr>
        <w:t>.</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Crown Castle</w:t>
      </w:r>
    </w:p>
    <w:p>
      <w:pPr>
        <w:spacing w:after="0" w:line="357" w:lineRule="exact"/>
        <w:rPr>
          <w:sz w:val="20"/>
          <w:szCs w:val="20"/>
          <w:color w:val="auto"/>
        </w:rPr>
      </w:pPr>
    </w:p>
    <w:p>
      <w:pPr>
        <w:jc w:val="both"/>
        <w:ind w:firstLine="648"/>
        <w:spacing w:after="0" w:line="382" w:lineRule="auto"/>
        <w:rPr>
          <w:sz w:val="20"/>
          <w:szCs w:val="20"/>
          <w:color w:val="auto"/>
        </w:rPr>
      </w:pPr>
      <w:r>
        <w:rPr>
          <w:rFonts w:ascii="Arial" w:cs="Arial" w:eastAsia="Arial" w:hAnsi="Arial"/>
          <w:sz w:val="19"/>
          <w:szCs w:val="19"/>
          <w:color w:val="auto"/>
        </w:rPr>
        <w:t xml:space="preserve">Crown Castle owns, operates and leases more than 40,000 cell towers and approximately 80,000 route miles of fiber supporting small cells and fiber solutions across every major U.S. market. This nationwide portfolio of communications infrastructure connects cities and communities to essential data, technology and wireless service – bringing information, ideas and innovations to the people and businesses that need them. For more information on Crown Castle, please visit </w:t>
      </w:r>
      <w:r>
        <w:rPr>
          <w:rFonts w:ascii="Arial" w:cs="Arial" w:eastAsia="Arial" w:hAnsi="Arial"/>
          <w:sz w:val="19"/>
          <w:szCs w:val="19"/>
          <w:u w:val="single" w:color="auto"/>
          <w:color w:val="520B7F"/>
        </w:rPr>
        <w:t>www.crowncastle.com</w:t>
      </w:r>
      <w:r>
        <w:rPr>
          <w:rFonts w:ascii="Arial" w:cs="Arial" w:eastAsia="Arial" w:hAnsi="Arial"/>
          <w:sz w:val="19"/>
          <w:szCs w:val="19"/>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Contacts</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T-Mobile Media Relations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MediaRelations@t-mobile.com</w:t>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Crown Castle Media Relations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Media.relations@crowncastle.com</w:t>
      </w:r>
    </w:p>
    <w:sectPr>
      <w:pgSz w:w="11900" w:h="16838" w:orient="portrait"/>
      <w:cols w:equalWidth="0" w:num="1">
        <w:col w:w="11240"/>
      </w:cols>
      <w:pgMar w:left="320" w:top="9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2022-01-06T06:23:05Z</dcterms:created>
  <dcterms:modified xsi:type="dcterms:W3CDTF">2022-01-06T06:23:05Z</dcterms:modified>
</cp:coreProperties>
</file>