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ectPr>
          <w:pgSz w:w="11900" w:h="16838" w:orient="portrait"/>
          <w:cols w:equalWidth="0" w:num="1">
            <w:col w:w="11260"/>
          </w:cols>
          <w:pgMar w:left="320" w:top="1160" w:right="319" w:bottom="1440" w:gutter="0" w:footer="0" w:header="0"/>
        </w:sectPr>
      </w:pPr>
    </w:p>
    <w:p>
      <w:pPr>
        <w:spacing w:after="0" w:line="122" w:lineRule="exact"/>
        <w:rPr>
          <w:sz w:val="24"/>
          <w:szCs w:val="24"/>
          <w:color w:val="auto"/>
        </w:rPr>
      </w:pPr>
    </w:p>
    <w:p>
      <w:pPr>
        <w:ind w:left="108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9"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For the quarterly period ended March 31, 2020</w:t>
      </w:r>
    </w:p>
    <w:p>
      <w:pPr>
        <w:spacing w:after="0" w:line="42"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OR</w:t>
      </w:r>
    </w:p>
    <w:p>
      <w:pPr>
        <w:spacing w:after="0" w:line="3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7" w:lineRule="exact"/>
        <w:rPr>
          <w:sz w:val="24"/>
          <w:szCs w:val="24"/>
          <w:color w:val="auto"/>
        </w:rPr>
      </w:pPr>
    </w:p>
    <w:p>
      <w:pPr>
        <w:sectPr>
          <w:pgSz w:w="11900" w:h="16838" w:orient="portrait"/>
          <w:cols w:equalWidth="0" w:num="2">
            <w:col w:w="1280" w:space="100"/>
            <w:col w:w="9880"/>
          </w:cols>
          <w:pgMar w:left="320" w:top="1160" w:right="319" w:bottom="1440" w:gutter="0" w:footer="0" w:header="0"/>
          <w:type w:val="continuous"/>
        </w:sectPr>
      </w:pPr>
    </w:p>
    <w:p>
      <w:pPr>
        <w:ind w:left="4380"/>
        <w:spacing w:after="0"/>
        <w:tabs>
          <w:tab w:leader="none" w:pos="626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4"/>
          <w:szCs w:val="14"/>
          <w:color w:val="auto"/>
        </w:rPr>
        <w:t>to</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333-187970</w:t>
      </w:r>
    </w:p>
    <w:p>
      <w:pPr>
        <w:spacing w:after="0" w:line="13"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CC HOLDINGS GS V LLC</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1" w:lineRule="exact"/>
        <w:rPr>
          <w:sz w:val="24"/>
          <w:szCs w:val="24"/>
          <w:color w:val="auto"/>
        </w:rPr>
      </w:pPr>
    </w:p>
    <w:tbl>
      <w:tblPr>
        <w:tblLayout w:type="fixed"/>
        <w:tblInd w:w="2400" w:type="dxa"/>
        <w:tblCellMar>
          <w:top w:w="0" w:type="dxa"/>
          <w:left w:w="0" w:type="dxa"/>
          <w:bottom w:w="0" w:type="dxa"/>
          <w:right w:w="0" w:type="dxa"/>
        </w:tblCellMar>
      </w:tblPr>
      <w:tr>
        <w:trPr>
          <w:trHeight w:val="210"/>
        </w:trPr>
        <w:tc>
          <w:tcPr>
            <w:tcW w:w="3400" w:type="dxa"/>
            <w:vAlign w:val="bottom"/>
          </w:tcPr>
          <w:p>
            <w:pPr>
              <w:jc w:val="center"/>
              <w:ind w:right="1551"/>
              <w:spacing w:after="0"/>
              <w:rPr>
                <w:sz w:val="20"/>
                <w:szCs w:val="20"/>
                <w:color w:val="auto"/>
              </w:rPr>
            </w:pPr>
            <w:r>
              <w:rPr>
                <w:rFonts w:ascii="Arial" w:cs="Arial" w:eastAsia="Arial" w:hAnsi="Arial"/>
                <w:sz w:val="16"/>
                <w:szCs w:val="16"/>
                <w:b w:val="1"/>
                <w:bCs w:val="1"/>
                <w:color w:val="auto"/>
                <w:w w:val="93"/>
              </w:rPr>
              <w:t>Delaware</w:t>
            </w:r>
          </w:p>
        </w:tc>
        <w:tc>
          <w:tcPr>
            <w:tcW w:w="2620" w:type="dxa"/>
            <w:vAlign w:val="bottom"/>
          </w:tcPr>
          <w:p>
            <w:pPr>
              <w:jc w:val="center"/>
              <w:ind w:left="1551"/>
              <w:spacing w:after="0"/>
              <w:rPr>
                <w:sz w:val="20"/>
                <w:szCs w:val="20"/>
                <w:color w:val="auto"/>
              </w:rPr>
            </w:pPr>
            <w:r>
              <w:rPr>
                <w:rFonts w:ascii="Arial" w:cs="Arial" w:eastAsia="Arial" w:hAnsi="Arial"/>
                <w:sz w:val="16"/>
                <w:szCs w:val="16"/>
                <w:b w:val="1"/>
                <w:bCs w:val="1"/>
                <w:color w:val="auto"/>
                <w:w w:val="93"/>
              </w:rPr>
              <w:t>20-4300339</w:t>
            </w:r>
          </w:p>
        </w:tc>
      </w:tr>
      <w:tr>
        <w:trPr>
          <w:trHeight w:val="177"/>
        </w:trPr>
        <w:tc>
          <w:tcPr>
            <w:tcW w:w="3400" w:type="dxa"/>
            <w:vAlign w:val="bottom"/>
          </w:tcPr>
          <w:p>
            <w:pPr>
              <w:jc w:val="center"/>
              <w:ind w:right="1531"/>
              <w:spacing w:after="0"/>
              <w:rPr>
                <w:sz w:val="20"/>
                <w:szCs w:val="20"/>
                <w:color w:val="auto"/>
              </w:rPr>
            </w:pPr>
            <w:r>
              <w:rPr>
                <w:rFonts w:ascii="Arial" w:cs="Arial" w:eastAsia="Arial" w:hAnsi="Arial"/>
                <w:sz w:val="13"/>
                <w:szCs w:val="13"/>
                <w:b w:val="1"/>
                <w:bCs w:val="1"/>
                <w:color w:val="auto"/>
                <w:w w:val="88"/>
              </w:rPr>
              <w:t>(State or other jurisdiction</w:t>
            </w:r>
          </w:p>
        </w:tc>
        <w:tc>
          <w:tcPr>
            <w:tcW w:w="2620" w:type="dxa"/>
            <w:vAlign w:val="bottom"/>
          </w:tcPr>
          <w:p>
            <w:pPr>
              <w:jc w:val="center"/>
              <w:ind w:left="1551"/>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40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of incorporation or organization)</w:t>
            </w:r>
          </w:p>
        </w:tc>
        <w:tc>
          <w:tcPr>
            <w:tcW w:w="2620" w:type="dxa"/>
            <w:vAlign w:val="bottom"/>
          </w:tcPr>
          <w:p>
            <w:pPr>
              <w:jc w:val="center"/>
              <w:ind w:left="1551"/>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1220 Augusta Drive, Suite 600, Houston, Texas 77057-2261</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(713) 570-3000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9"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62" w:lineRule="exact"/>
        <w:rPr>
          <w:sz w:val="24"/>
          <w:szCs w:val="24"/>
          <w:color w:val="auto"/>
        </w:rPr>
      </w:pPr>
    </w:p>
    <w:p>
      <w:pPr>
        <w:jc w:val="both"/>
        <w:ind w:right="4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92" w:lineRule="exact"/>
        <w:rPr>
          <w:sz w:val="24"/>
          <w:szCs w:val="24"/>
          <w:color w:val="auto"/>
        </w:rPr>
      </w:pPr>
    </w:p>
    <w:p>
      <w:pPr>
        <w:jc w:val="both"/>
        <w:ind w:right="20" w:firstLine="324"/>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58" w:lineRule="exact"/>
        <w:rPr>
          <w:sz w:val="24"/>
          <w:szCs w:val="24"/>
          <w:color w:val="auto"/>
        </w:rPr>
      </w:pPr>
    </w:p>
    <w:p>
      <w:pPr>
        <w:jc w:val="both"/>
        <w:ind w:right="2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jc w:val="both"/>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14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8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 w:lineRule="exact"/>
        <w:rPr>
          <w:sz w:val="24"/>
          <w:szCs w:val="24"/>
          <w:color w:val="auto"/>
        </w:rPr>
      </w:pPr>
    </w:p>
    <w:p>
      <w:pPr>
        <w:jc w:val="both"/>
        <w:ind w:left="140" w:right="226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1" w:lineRule="exact"/>
        <w:rPr>
          <w:sz w:val="24"/>
          <w:szCs w:val="24"/>
          <w:color w:val="auto"/>
        </w:rPr>
      </w:pPr>
    </w:p>
    <w:p>
      <w:pPr>
        <w:ind w:left="340"/>
        <w:spacing w:after="0" w:line="196" w:lineRule="exact"/>
        <w:tabs>
          <w:tab w:leader="none" w:pos="698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31, 2020, the only member of the registrant is a wholly-owned indirect subsidiary of Crown Castle International Corp.</w:t>
      </w:r>
    </w:p>
    <w:p>
      <w:pPr>
        <w:spacing w:after="0" w:line="10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260"/>
          </w:cols>
          <w:pgMar w:left="320" w:top="1160"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10120" w:type="dxa"/>
            <w:vAlign w:val="bottom"/>
            <w:gridSpan w:val="17"/>
          </w:tcPr>
          <w:p>
            <w:pPr>
              <w:spacing w:after="0"/>
              <w:rPr>
                <w:sz w:val="20"/>
                <w:szCs w:val="20"/>
                <w:color w:val="auto"/>
              </w:rPr>
            </w:pPr>
            <w:r>
              <w:rPr>
                <w:rFonts w:ascii="Arial" w:cs="Arial" w:eastAsia="Arial" w:hAnsi="Arial"/>
                <w:sz w:val="18"/>
                <w:szCs w:val="18"/>
                <w:color w:val="auto"/>
              </w:rPr>
              <w:t>PART I—FINANCIAL INFORMATION</w:t>
            </w:r>
          </w:p>
        </w:tc>
        <w:tc>
          <w:tcPr>
            <w:tcW w:w="10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FINANCIAL STATEMENTS</w:t>
            </w:r>
          </w:p>
        </w:tc>
        <w:tc>
          <w:tcPr>
            <w:tcW w:w="6280" w:type="dxa"/>
            <w:vAlign w:val="bottom"/>
            <w:gridSpan w:val="8"/>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CONDENSED CONSOLIDATED BALANCE SHEET (Unaudited)</w:t>
            </w:r>
          </w:p>
        </w:tc>
        <w:tc>
          <w:tcPr>
            <w:tcW w:w="10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CONDENSED CONSOLIDATED STATEMENT OF OPERATIONS (Unaudited)</w:t>
            </w:r>
          </w:p>
        </w:tc>
        <w:tc>
          <w:tcPr>
            <w:tcW w:w="10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9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4"/>
              </w:rPr>
              <w:t>CONDENSED CONSOLIDATED STATEMENT OF CASH FLOWS (Unaudited)</w:t>
            </w:r>
          </w:p>
        </w:tc>
        <w:tc>
          <w:tcPr>
            <w:tcW w:w="2480" w:type="dxa"/>
            <w:vAlign w:val="bottom"/>
            <w:gridSpan w:val="4"/>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5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5"/>
              </w:rPr>
              <w:t>CONDENSED CONSOLIDATED STATEMENT OF CHANGES IN MEMBER'S EQUITY (Unaudited)</w:t>
            </w:r>
          </w:p>
        </w:tc>
        <w:tc>
          <w:tcPr>
            <w:tcW w:w="860" w:type="dxa"/>
            <w:vAlign w:val="bottom"/>
            <w:gridSpan w:val="2"/>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5"/>
              </w:rPr>
              <w:t>NOTES TO CONDENSED CONSOLIDATED FINANCIAL STATEMENTS—Unaudited</w:t>
            </w:r>
          </w:p>
        </w:tc>
        <w:tc>
          <w:tcPr>
            <w:tcW w:w="1900" w:type="dxa"/>
            <w:vAlign w:val="bottom"/>
            <w:gridSpan w:val="3"/>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440" w:type="dxa"/>
            <w:vAlign w:val="bottom"/>
            <w:gridSpan w:val="14"/>
          </w:tcPr>
          <w:p>
            <w:pPr>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06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4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OPERATIONS</w:t>
            </w:r>
          </w:p>
        </w:tc>
        <w:tc>
          <w:tcPr>
            <w:tcW w:w="700" w:type="dxa"/>
            <w:vAlign w:val="bottom"/>
          </w:tcPr>
          <w:p>
            <w:pPr>
              <w:spacing w:after="0"/>
              <w:rPr>
                <w:sz w:val="17"/>
                <w:szCs w:val="17"/>
                <w:color w:val="auto"/>
              </w:rPr>
            </w:pPr>
          </w:p>
        </w:tc>
        <w:tc>
          <w:tcPr>
            <w:tcW w:w="1060" w:type="dxa"/>
            <w:vAlign w:val="bottom"/>
          </w:tcPr>
          <w:p>
            <w:pPr>
              <w:jc w:val="right"/>
              <w:spacing w:after="0" w:line="196" w:lineRule="exact"/>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440" w:type="dxa"/>
            <w:vAlign w:val="bottom"/>
            <w:gridSpan w:val="14"/>
          </w:tcPr>
          <w:p>
            <w:pPr>
              <w:spacing w:after="0"/>
              <w:rPr>
                <w:sz w:val="20"/>
                <w:szCs w:val="20"/>
                <w:color w:val="auto"/>
              </w:rPr>
            </w:pPr>
            <w:r>
              <w:rPr>
                <w:rFonts w:ascii="Arial" w:cs="Arial" w:eastAsia="Arial" w:hAnsi="Arial"/>
                <w:sz w:val="18"/>
                <w:szCs w:val="18"/>
                <w:color w:val="auto"/>
              </w:rPr>
              <w:t>CONTROLS AND PROCEDURES</w:t>
            </w:r>
          </w:p>
        </w:tc>
        <w:tc>
          <w:tcPr>
            <w:tcW w:w="106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18</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PART II—OTHER INFORMATION</w:t>
            </w:r>
          </w:p>
        </w:tc>
        <w:tc>
          <w:tcPr>
            <w:tcW w:w="7460" w:type="dxa"/>
            <w:vAlign w:val="bottom"/>
            <w:gridSpan w:val="12"/>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LEGAL PROCEEDINGS</w:t>
            </w:r>
          </w:p>
        </w:tc>
        <w:tc>
          <w:tcPr>
            <w:tcW w:w="6560" w:type="dxa"/>
            <w:vAlign w:val="bottom"/>
            <w:gridSpan w:val="9"/>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RISK FACTORS</w:t>
            </w:r>
          </w:p>
        </w:tc>
        <w:tc>
          <w:tcPr>
            <w:tcW w:w="7160" w:type="dxa"/>
            <w:vAlign w:val="bottom"/>
            <w:gridSpan w:val="10"/>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440" w:type="dxa"/>
            <w:vAlign w:val="bottom"/>
            <w:gridSpan w:val="14"/>
          </w:tcPr>
          <w:p>
            <w:pPr>
              <w:spacing w:after="0"/>
              <w:rPr>
                <w:sz w:val="20"/>
                <w:szCs w:val="20"/>
                <w:color w:val="auto"/>
              </w:rPr>
            </w:pPr>
            <w:r>
              <w:rPr>
                <w:rFonts w:ascii="Arial" w:cs="Arial" w:eastAsia="Arial" w:hAnsi="Arial"/>
                <w:sz w:val="18"/>
                <w:szCs w:val="18"/>
                <w:color w:val="auto"/>
              </w:rPr>
              <w:t>EXHIBITS</w:t>
            </w:r>
          </w:p>
        </w:tc>
        <w:tc>
          <w:tcPr>
            <w:tcW w:w="10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50"/>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EXHIBIT INDEX</w:t>
            </w:r>
          </w:p>
        </w:tc>
        <w:tc>
          <w:tcPr>
            <w:tcW w:w="36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50"/>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SIGNATURES</w:t>
            </w:r>
          </w:p>
        </w:tc>
        <w:tc>
          <w:tcPr>
            <w:tcW w:w="5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20</w:t>
              </w:r>
            </w:hyperlink>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"Part I—Item 4. Controls and Procedures" and "Part II—Item 1A. Risk Factors" </w:t>
      </w:r>
      <w:r>
        <w:rPr>
          <w:rFonts w:ascii="Arial" w:cs="Arial" w:eastAsia="Arial" w:hAnsi="Arial"/>
          <w:sz w:val="16"/>
          <w:szCs w:val="16"/>
          <w:color w:val="auto"/>
        </w:rPr>
        <w:t>herein. Such forward-looking statements include (1)</w:t>
      </w:r>
      <w:r>
        <w:rPr>
          <w:rFonts w:ascii="Arial" w:cs="Arial" w:eastAsia="Arial" w:hAnsi="Arial"/>
          <w:sz w:val="16"/>
          <w:szCs w:val="16"/>
          <w:i w:val="1"/>
          <w:iCs w:val="1"/>
          <w:color w:val="auto"/>
        </w:rPr>
        <w:t xml:space="preserve"> </w:t>
      </w:r>
      <w:r>
        <w:rPr>
          <w:rFonts w:ascii="Arial" w:cs="Arial" w:eastAsia="Arial" w:hAnsi="Arial"/>
          <w:sz w:val="16"/>
          <w:szCs w:val="16"/>
          <w:color w:val="auto"/>
        </w:rPr>
        <w:t>anticipated growth in the wireless industry and demand for wireless data, (2) wireless carriers' focus on improving network quality and expanding capacity,</w:t>
      </w:r>
    </w:p>
    <w:p>
      <w:pPr>
        <w:spacing w:after="0" w:line="2" w:lineRule="exact"/>
        <w:rPr>
          <w:sz w:val="20"/>
          <w:szCs w:val="20"/>
          <w:color w:val="auto"/>
        </w:rPr>
      </w:pPr>
    </w:p>
    <w:p>
      <w:pPr>
        <w:jc w:val="both"/>
        <w:ind w:firstLine="8"/>
        <w:spacing w:after="0" w:line="253"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our towers, including factors driving such demand, and the potential benefits that may be derived therefrom, (4) availability and adequacy of cash flows and liquidity for future discretionary investments, (5) debt maturities, (6) income taxes, (7) the potential impact of novel coronavirus (COVID-19) pandemic, (8) the potential effects of the restatement of our previously issued consolidated financial statements, including the Historical Adjustments related thereto, and (9) expectations regarding our remediation efforts related to a material weakness in our internal control over financial reporting.</w:t>
      </w:r>
    </w:p>
    <w:p>
      <w:pPr>
        <w:spacing w:after="0" w:line="1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"Part II—Item 1A. Risk Factors"</w:t>
      </w:r>
      <w:r>
        <w:rPr>
          <w:rFonts w:ascii="Arial" w:cs="Arial" w:eastAsia="Arial" w:hAnsi="Arial"/>
          <w:sz w:val="18"/>
          <w:szCs w:val="18"/>
          <w:color w:val="auto"/>
        </w:rPr>
        <w:t xml:space="preserve"> herein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2019 ("2019 Form 10-K") and other factors. Should one or more of these risks or uncertainties materialize, or should underlying assumptions prove incorrect, actual results may vary materially from those expected.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used herein, the term "including," and any variation thereof, means "including without limitation." The use of the word "or" herein is not exclusive. Unless this Form 10-Q indicates otherwise or the context otherwise requires, the terms, "we," "our," or "us" as used in this Form 10-Q refer to</w:t>
      </w:r>
    </w:p>
    <w:p>
      <w:pPr>
        <w:jc w:val="both"/>
        <w:ind w:firstLine="8"/>
        <w:spacing w:after="0" w:line="255" w:lineRule="auto"/>
        <w:tabs>
          <w:tab w:leader="none" w:pos="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Holdings GS V LLC ("CCL") and its consolidated wholly owned subsidiaries (collectively, "Company"). The Company is a wholly owned subsidiary of Global Signal Operating Partnership, L.P. ("GSOP"), which is an indirect subsidiary of CCIC. Capitalized terms used but not defined in this Form 10-Q have the same meaning given to them in the 2019 Form 10-K.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previously disclosed in the Explanatory Note of the 2019 Form 10-K, we restated our audited consolidated financial statements for the years ended December 31, 2018 and 2017, and quarterly unaudited financial information for the quarterly and year-to-date periods in the year ended December 31, 2018 and first three quarters for the year ended December 31, 2019. Accordingly the condensed consolidated financial statements as of and for the quarterly period ended March 31, 2019 included in this Form 10-Q have been restated to reflect the Historical Adjustments described in the 2019 Form 10-K. See also note 2 to our condensed consolidated financial statements for further information on the impact of the Historical Adjustments on the condensed consolidated financial statements as of and for the quarterly period ended March 31,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jc w:val="center"/>
              <w:ind w:left="1233"/>
              <w:spacing w:after="0"/>
              <w:rPr>
                <w:sz w:val="20"/>
                <w:szCs w:val="20"/>
                <w:color w:val="auto"/>
              </w:rPr>
            </w:pPr>
            <w:r>
              <w:rPr>
                <w:rFonts w:ascii="Arial" w:cs="Arial" w:eastAsia="Arial" w:hAnsi="Arial"/>
                <w:sz w:val="18"/>
                <w:szCs w:val="18"/>
                <w:b w:val="1"/>
                <w:bCs w:val="1"/>
                <w:color w:val="auto"/>
              </w:rPr>
              <w:t>CC HOLDINGS GS V LLC</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0" w:type="dxa"/>
            <w:vAlign w:val="bottom"/>
          </w:tcPr>
          <w:p>
            <w:pPr>
              <w:jc w:val="center"/>
              <w:ind w:left="123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0" w:type="dxa"/>
            <w:vAlign w:val="bottom"/>
          </w:tcPr>
          <w:p>
            <w:pPr>
              <w:jc w:val="center"/>
              <w:ind w:left="1233"/>
              <w:spacing w:after="0"/>
              <w:rPr>
                <w:sz w:val="20"/>
                <w:szCs w:val="20"/>
                <w:color w:val="auto"/>
              </w:rPr>
            </w:pPr>
            <w:r>
              <w:rPr>
                <w:rFonts w:ascii="Arial" w:cs="Arial" w:eastAsia="Arial" w:hAnsi="Arial"/>
                <w:sz w:val="18"/>
                <w:szCs w:val="18"/>
                <w:b w:val="1"/>
                <w:bCs w:val="1"/>
                <w:color w:val="auto"/>
                <w:w w:val="89"/>
              </w:rPr>
              <w:t>(In thousands of dollars)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6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2019</w:t>
            </w:r>
          </w:p>
        </w:tc>
      </w:tr>
      <w:tr>
        <w:trPr>
          <w:trHeight w:val="236"/>
        </w:trPr>
        <w:tc>
          <w:tcPr>
            <w:tcW w:w="20" w:type="dxa"/>
            <w:vAlign w:val="bottom"/>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7400" w:type="dxa"/>
            <w:vAlign w:val="bottom"/>
            <w:tcBorders>
              <w:top w:val="single" w:sz="8" w:color="CCEEFF"/>
              <w:bottom w:val="single" w:sz="8" w:color="CCEEFF"/>
            </w:tcBorders>
            <w:shd w:val="clear" w:color="auto" w:fill="CCEEFF"/>
          </w:tcPr>
          <w:p>
            <w:pPr>
              <w:jc w:val="center"/>
              <w:ind w:right="1153"/>
              <w:spacing w:after="0"/>
              <w:rPr>
                <w:sz w:val="20"/>
                <w:szCs w:val="20"/>
                <w:color w:val="auto"/>
              </w:rPr>
            </w:pPr>
            <w:r>
              <w:rPr>
                <w:rFonts w:ascii="Arial" w:cs="Arial" w:eastAsia="Arial" w:hAnsi="Arial"/>
                <w:sz w:val="16"/>
                <w:szCs w:val="16"/>
                <w:b w:val="1"/>
                <w:bCs w:val="1"/>
                <w:color w:val="auto"/>
                <w:w w:val="93"/>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20,407</w:t>
            </w:r>
          </w:p>
        </w:tc>
      </w:tr>
      <w:tr>
        <w:trPr>
          <w:trHeight w:val="237"/>
        </w:trPr>
        <w:tc>
          <w:tcPr>
            <w:tcW w:w="20" w:type="dxa"/>
            <w:vAlign w:val="bottom"/>
          </w:tcPr>
          <w:p>
            <w:pPr>
              <w:spacing w:after="0"/>
              <w:rPr>
                <w:sz w:val="20"/>
                <w:szCs w:val="20"/>
                <w:color w:val="auto"/>
              </w:rPr>
            </w:pPr>
          </w:p>
        </w:tc>
        <w:tc>
          <w:tcPr>
            <w:tcW w:w="864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3,620</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29,643</w:t>
            </w:r>
          </w:p>
        </w:tc>
      </w:tr>
      <w:tr>
        <w:trPr>
          <w:trHeight w:val="237"/>
        </w:trPr>
        <w:tc>
          <w:tcPr>
            <w:tcW w:w="20" w:type="dxa"/>
            <w:vAlign w:val="bottom"/>
          </w:tcPr>
          <w:p>
            <w:pPr>
              <w:spacing w:after="0"/>
              <w:rPr>
                <w:sz w:val="20"/>
                <w:szCs w:val="20"/>
                <w:color w:val="auto"/>
              </w:rPr>
            </w:pPr>
          </w:p>
        </w:tc>
        <w:tc>
          <w:tcPr>
            <w:tcW w:w="864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32,168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13,278</w:t>
            </w:r>
          </w:p>
        </w:tc>
      </w:tr>
      <w:tr>
        <w:trPr>
          <w:trHeight w:val="33"/>
        </w:trPr>
        <w:tc>
          <w:tcPr>
            <w:tcW w:w="20" w:type="dxa"/>
            <w:vAlign w:val="bottom"/>
          </w:tcPr>
          <w:p>
            <w:pPr>
              <w:spacing w:after="0"/>
              <w:rPr>
                <w:sz w:val="2"/>
                <w:szCs w:val="2"/>
                <w:color w:val="auto"/>
              </w:rPr>
            </w:pPr>
          </w:p>
        </w:tc>
        <w:tc>
          <w:tcPr>
            <w:tcW w:w="86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86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66,948</w:t>
            </w:r>
          </w:p>
        </w:tc>
      </w:tr>
      <w:tr>
        <w:trPr>
          <w:trHeight w:val="237"/>
        </w:trPr>
        <w:tc>
          <w:tcPr>
            <w:tcW w:w="8660" w:type="dxa"/>
            <w:vAlign w:val="bottom"/>
            <w:gridSpan w:val="3"/>
          </w:tcPr>
          <w:p>
            <w:pPr>
              <w:ind w:left="20"/>
              <w:spacing w:after="0"/>
              <w:rPr>
                <w:sz w:val="20"/>
                <w:szCs w:val="20"/>
                <w:color w:val="auto"/>
              </w:rPr>
            </w:pPr>
            <w:r>
              <w:rPr>
                <w:rFonts w:ascii="Arial" w:cs="Arial" w:eastAsia="Arial" w:hAnsi="Arial"/>
                <w:sz w:val="16"/>
                <w:szCs w:val="16"/>
                <w:color w:val="auto"/>
              </w:rPr>
              <w:t>Deferred site rental receivables</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354,834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354,075</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$1,118,425 and $1,095,355,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1,010,367</w:t>
            </w:r>
          </w:p>
        </w:tc>
      </w:tr>
      <w:tr>
        <w:trPr>
          <w:trHeight w:val="237"/>
        </w:trPr>
        <w:tc>
          <w:tcPr>
            <w:tcW w:w="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1,149,952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1,150,476</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7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r>
      <w:tr>
        <w:trPr>
          <w:trHeight w:val="237"/>
        </w:trPr>
        <w:tc>
          <w:tcPr>
            <w:tcW w:w="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650,535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678,956</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prepaid rent and other assets, net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r>
      <w:tr>
        <w:trPr>
          <w:trHeight w:val="283"/>
        </w:trPr>
        <w:tc>
          <w:tcPr>
            <w:tcW w:w="20" w:type="dxa"/>
            <w:vAlign w:val="bottom"/>
          </w:tcPr>
          <w:p>
            <w:pPr>
              <w:spacing w:after="0"/>
              <w:rPr>
                <w:sz w:val="24"/>
                <w:szCs w:val="24"/>
                <w:color w:val="auto"/>
              </w:rPr>
            </w:pPr>
          </w:p>
        </w:tc>
        <w:tc>
          <w:tcPr>
            <w:tcW w:w="864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4,575,812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4,601,457</w:t>
            </w:r>
          </w:p>
        </w:tc>
      </w:tr>
      <w:tr>
        <w:trPr>
          <w:trHeight w:val="284"/>
        </w:trPr>
        <w:tc>
          <w:tcPr>
            <w:tcW w:w="2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0" w:type="dxa"/>
            <w:vAlign w:val="bottom"/>
          </w:tcPr>
          <w:p>
            <w:pPr>
              <w:jc w:val="center"/>
              <w:ind w:right="1153"/>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Current liabilities:</w:t>
            </w:r>
          </w:p>
        </w:tc>
        <w:tc>
          <w:tcPr>
            <w:tcW w:w="7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4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2,652</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8,126</w:t>
            </w:r>
          </w:p>
        </w:tc>
      </w:tr>
      <w:tr>
        <w:trPr>
          <w:trHeight w:val="270"/>
        </w:trPr>
        <w:tc>
          <w:tcPr>
            <w:tcW w:w="20" w:type="dxa"/>
            <w:vAlign w:val="bottom"/>
          </w:tcPr>
          <w:p>
            <w:pPr>
              <w:spacing w:after="0"/>
              <w:rPr>
                <w:sz w:val="23"/>
                <w:szCs w:val="23"/>
                <w:color w:val="auto"/>
              </w:rPr>
            </w:pPr>
          </w:p>
        </w:tc>
        <w:tc>
          <w:tcPr>
            <w:tcW w:w="8640" w:type="dxa"/>
            <w:vAlign w:val="bottom"/>
            <w:gridSpan w:val="2"/>
          </w:tcPr>
          <w:p>
            <w:pPr>
              <w:ind w:left="2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1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84,465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70,217</w:t>
            </w: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6,146</w:t>
            </w:r>
          </w:p>
        </w:tc>
      </w:tr>
      <w:tr>
        <w:trPr>
          <w:trHeight w:val="237"/>
        </w:trPr>
        <w:tc>
          <w:tcPr>
            <w:tcW w:w="20" w:type="dxa"/>
            <w:vAlign w:val="bottom"/>
          </w:tcPr>
          <w:p>
            <w:pPr>
              <w:spacing w:after="0"/>
              <w:rPr>
                <w:sz w:val="20"/>
                <w:szCs w:val="20"/>
                <w:color w:val="auto"/>
              </w:rPr>
            </w:pPr>
          </w:p>
        </w:tc>
        <w:tc>
          <w:tcPr>
            <w:tcW w:w="8640" w:type="dxa"/>
            <w:vAlign w:val="bottom"/>
            <w:gridSpan w:val="2"/>
          </w:tcPr>
          <w:p>
            <w:pPr>
              <w:ind w:left="280"/>
              <w:spacing w:after="0"/>
              <w:rPr>
                <w:sz w:val="20"/>
                <w:szCs w:val="20"/>
                <w:color w:val="auto"/>
              </w:rPr>
            </w:pPr>
            <w:r>
              <w:rPr>
                <w:rFonts w:ascii="Arial" w:cs="Arial" w:eastAsia="Arial" w:hAnsi="Arial"/>
                <w:sz w:val="16"/>
                <w:szCs w:val="16"/>
                <w:color w:val="auto"/>
              </w:rPr>
              <w:t>Current portion of operating lease liabilities—third parties</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37,194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37,164</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liabilities—related parties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20,417</w:t>
            </w:r>
          </w:p>
        </w:tc>
      </w:tr>
      <w:tr>
        <w:trPr>
          <w:trHeight w:val="217"/>
        </w:trPr>
        <w:tc>
          <w:tcPr>
            <w:tcW w:w="20" w:type="dxa"/>
            <w:vAlign w:val="bottom"/>
          </w:tcPr>
          <w:p>
            <w:pPr>
              <w:spacing w:after="0"/>
              <w:rPr>
                <w:sz w:val="18"/>
                <w:szCs w:val="18"/>
                <w:color w:val="auto"/>
              </w:rPr>
            </w:pPr>
          </w:p>
        </w:tc>
        <w:tc>
          <w:tcPr>
            <w:tcW w:w="8640" w:type="dxa"/>
            <w:vAlign w:val="bottom"/>
            <w:gridSpan w:val="2"/>
          </w:tcPr>
          <w:p>
            <w:pPr>
              <w:ind w:left="60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171,981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144,722</w:t>
            </w: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7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995,431</w:t>
            </w:r>
          </w:p>
        </w:tc>
      </w:tr>
      <w:tr>
        <w:trPr>
          <w:trHeight w:val="237"/>
        </w:trPr>
        <w:tc>
          <w:tcPr>
            <w:tcW w:w="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liabilities—third parties</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839,003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845,960</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liabilities—related parties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314,920</w:t>
            </w:r>
          </w:p>
        </w:tc>
      </w:tr>
      <w:tr>
        <w:trPr>
          <w:trHeight w:val="270"/>
        </w:trPr>
        <w:tc>
          <w:tcPr>
            <w:tcW w:w="20" w:type="dxa"/>
            <w:vAlign w:val="bottom"/>
          </w:tcPr>
          <w:p>
            <w:pPr>
              <w:spacing w:after="0"/>
              <w:rPr>
                <w:sz w:val="23"/>
                <w:szCs w:val="23"/>
                <w:color w:val="auto"/>
              </w:rPr>
            </w:pPr>
          </w:p>
        </w:tc>
        <w:tc>
          <w:tcPr>
            <w:tcW w:w="8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197,092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203,470</w:t>
            </w:r>
          </w:p>
        </w:tc>
      </w:tr>
      <w:tr>
        <w:trPr>
          <w:trHeight w:val="250"/>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2,525,697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2,504,503</w:t>
            </w:r>
          </w:p>
        </w:tc>
      </w:tr>
      <w:tr>
        <w:trPr>
          <w:trHeight w:val="217"/>
        </w:trPr>
        <w:tc>
          <w:tcPr>
            <w:tcW w:w="20" w:type="dxa"/>
            <w:vAlign w:val="bottom"/>
          </w:tcPr>
          <w:p>
            <w:pPr>
              <w:spacing w:after="0"/>
              <w:rPr>
                <w:sz w:val="18"/>
                <w:szCs w:val="18"/>
                <w:color w:val="auto"/>
              </w:rPr>
            </w:pP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8)</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Member's equity:</w:t>
            </w:r>
          </w:p>
        </w:tc>
        <w:tc>
          <w:tcPr>
            <w:tcW w:w="7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640" w:type="dxa"/>
            <w:vAlign w:val="bottom"/>
            <w:gridSpan w:val="2"/>
          </w:tcPr>
          <w:p>
            <w:pPr>
              <w:ind w:left="280"/>
              <w:spacing w:after="0"/>
              <w:rPr>
                <w:sz w:val="20"/>
                <w:szCs w:val="20"/>
                <w:color w:val="auto"/>
              </w:rPr>
            </w:pPr>
            <w:r>
              <w:rPr>
                <w:rFonts w:ascii="Arial" w:cs="Arial" w:eastAsia="Arial" w:hAnsi="Arial"/>
                <w:sz w:val="16"/>
                <w:szCs w:val="16"/>
                <w:color w:val="auto"/>
              </w:rPr>
              <w:t>Member's equity</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2,050,115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2,096,954</w:t>
            </w:r>
          </w:p>
        </w:tc>
      </w:tr>
      <w:tr>
        <w:trPr>
          <w:trHeight w:val="33"/>
        </w:trPr>
        <w:tc>
          <w:tcPr>
            <w:tcW w:w="2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tcPr>
          <w:p>
            <w:pPr>
              <w:spacing w:after="0"/>
              <w:rPr>
                <w:sz w:val="18"/>
                <w:szCs w:val="18"/>
                <w:color w:val="auto"/>
              </w:rPr>
            </w:pPr>
          </w:p>
        </w:tc>
        <w:tc>
          <w:tcPr>
            <w:tcW w:w="8640" w:type="dxa"/>
            <w:vAlign w:val="bottom"/>
            <w:gridSpan w:val="2"/>
          </w:tcPr>
          <w:p>
            <w:pPr>
              <w:ind w:left="600"/>
              <w:spacing w:after="0"/>
              <w:rPr>
                <w:sz w:val="20"/>
                <w:szCs w:val="20"/>
                <w:color w:val="auto"/>
              </w:rPr>
            </w:pPr>
            <w:r>
              <w:rPr>
                <w:rFonts w:ascii="Arial" w:cs="Arial" w:eastAsia="Arial" w:hAnsi="Arial"/>
                <w:sz w:val="16"/>
                <w:szCs w:val="16"/>
                <w:color w:val="auto"/>
              </w:rPr>
              <w:t>Total member's equity</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2,050,115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2,096,954</w:t>
            </w:r>
          </w:p>
        </w:tc>
      </w:tr>
      <w:tr>
        <w:trPr>
          <w:trHeight w:val="33"/>
        </w:trPr>
        <w:tc>
          <w:tcPr>
            <w:tcW w:w="20" w:type="dxa"/>
            <w:vAlign w:val="bottom"/>
          </w:tcPr>
          <w:p>
            <w:pPr>
              <w:spacing w:after="0"/>
              <w:rPr>
                <w:sz w:val="2"/>
                <w:szCs w:val="2"/>
                <w:color w:val="auto"/>
              </w:rPr>
            </w:pPr>
          </w:p>
        </w:tc>
        <w:tc>
          <w:tcPr>
            <w:tcW w:w="86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4,575,812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4,601,457</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tower installation and modification transactions described in note 5 that result in permanent improvements to the Company's towers. The Company receives no cash from, and is not party to, such transactions.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71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71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2019</w:t>
            </w:r>
          </w:p>
        </w:tc>
      </w:tr>
      <w:tr>
        <w:trPr>
          <w:trHeight w:val="264"/>
        </w:trPr>
        <w:tc>
          <w:tcPr>
            <w:tcW w:w="84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7"/>
              </w:rPr>
              <w:t>(As Restated)</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172,389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167,322</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14,052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12,171</w:t>
            </w:r>
          </w:p>
        </w:tc>
      </w:tr>
      <w:tr>
        <w:trPr>
          <w:trHeight w:val="217"/>
        </w:trPr>
        <w:tc>
          <w:tcPr>
            <w:tcW w:w="8440" w:type="dxa"/>
            <w:vAlign w:val="bottom"/>
          </w:tcPr>
          <w:p>
            <w:pPr>
              <w:ind w:left="600"/>
              <w:spacing w:after="0"/>
              <w:rPr>
                <w:sz w:val="20"/>
                <w:szCs w:val="20"/>
                <w:color w:val="auto"/>
              </w:rPr>
            </w:pPr>
            <w:r>
              <w:rPr>
                <w:rFonts w:ascii="Arial" w:cs="Arial" w:eastAsia="Arial" w:hAnsi="Arial"/>
                <w:sz w:val="16"/>
                <w:szCs w:val="16"/>
                <w:color w:val="auto"/>
              </w:rPr>
              <w:t>Total site rental revenues</w:t>
            </w:r>
          </w:p>
        </w:tc>
        <w:tc>
          <w:tcPr>
            <w:tcW w:w="28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186,441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179,493</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Ground rent expenses—related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Management fee—related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Asset write-down charges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 and amortization of deferred financing costs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154940</wp:posOffset>
            </wp:positionV>
            <wp:extent cx="91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37,827</w:t>
            </w: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37,282</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11,281</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10,609</w:t>
            </w:r>
          </w:p>
        </w:tc>
      </w:tr>
      <w:tr>
        <w:trPr>
          <w:trHeight w:val="3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49,108</w:t>
            </w:r>
          </w:p>
        </w:tc>
        <w:tc>
          <w:tcPr>
            <w:tcW w:w="1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47,891</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12,722</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12,124</w:t>
            </w:r>
          </w:p>
        </w:tc>
      </w:tr>
    </w:tbl>
    <w:p>
      <w:pPr>
        <w:spacing w:after="0" w:line="64" w:lineRule="exact"/>
        <w:rPr>
          <w:sz w:val="20"/>
          <w:szCs w:val="20"/>
          <w:color w:val="auto"/>
        </w:rPr>
      </w:pPr>
    </w:p>
    <w:p>
      <w:pPr>
        <w:ind w:left="2440" w:hanging="1436"/>
        <w:spacing w:after="0"/>
        <w:tabs>
          <w:tab w:leader="none" w:pos="2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190</w:t>
      </w:r>
    </w:p>
    <w:p>
      <w:pPr>
        <w:spacing w:after="0" w:line="8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52,346</w:t>
      </w:r>
      <w:r>
        <w:rPr>
          <w:rFonts w:ascii="Arial" w:cs="Arial" w:eastAsia="Arial" w:hAnsi="Arial"/>
          <w:sz w:val="15"/>
          <w:szCs w:val="15"/>
          <w:color w:val="auto"/>
        </w:rPr>
        <w:t>51,580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114,600</w:t>
            </w: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111,785</w:t>
            </w:r>
          </w:p>
        </w:tc>
      </w:tr>
      <w:tr>
        <w:trPr>
          <w:trHeight w:val="3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71,841</w:t>
            </w:r>
          </w:p>
        </w:tc>
        <w:tc>
          <w:tcPr>
            <w:tcW w:w="1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67,708</w:t>
            </w:r>
          </w:p>
        </w:tc>
      </w:tr>
      <w:tr>
        <w:trPr>
          <w:trHeight w:val="270"/>
        </w:trPr>
        <w:tc>
          <w:tcPr>
            <w:tcW w:w="1360" w:type="dxa"/>
            <w:vAlign w:val="bottom"/>
          </w:tcPr>
          <w:p>
            <w:pPr>
              <w:jc w:val="right"/>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(9,969)</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61,887</w:t>
            </w:r>
          </w:p>
        </w:tc>
        <w:tc>
          <w:tcPr>
            <w:tcW w:w="1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57,736</w:t>
            </w:r>
          </w:p>
        </w:tc>
      </w:tr>
    </w:tbl>
    <w:p>
      <w:pPr>
        <w:spacing w:after="0" w:line="64" w:lineRule="exact"/>
        <w:rPr>
          <w:sz w:val="20"/>
          <w:szCs w:val="20"/>
          <w:color w:val="auto"/>
        </w:rPr>
      </w:pPr>
    </w:p>
    <w:p>
      <w:pPr>
        <w:ind w:left="2480" w:hanging="1529"/>
        <w:spacing w:after="0"/>
        <w:tabs>
          <w:tab w:leader="none" w:pos="2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(98)</w:t>
      </w:r>
    </w:p>
    <w:p>
      <w:pPr>
        <w:spacing w:after="0" w:line="86" w:lineRule="exact"/>
        <w:rPr>
          <w:sz w:val="20"/>
          <w:szCs w:val="20"/>
          <w:color w:val="auto"/>
        </w:rPr>
      </w:pPr>
    </w:p>
    <w:p>
      <w:pPr>
        <w:ind w:left="40"/>
        <w:spacing w:after="0"/>
        <w:tabs>
          <w:tab w:leader="none" w:pos="780" w:val="left"/>
          <w:tab w:leader="none" w:pos="1480" w:val="left"/>
          <w:tab w:leader="none" w:pos="2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61,781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57,638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1774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553" w:right="339" w:bottom="1440" w:gutter="0" w:footer="0" w:header="0"/>
          <w:type w:val="continuous"/>
        </w:sectPr>
      </w:pPr>
    </w:p>
    <w:p>
      <w:pPr>
        <w:spacing w:after="0" w:line="39" w:lineRule="exact"/>
        <w:rPr>
          <w:sz w:val="20"/>
          <w:szCs w:val="20"/>
          <w:color w:val="auto"/>
        </w:rPr>
      </w:pPr>
    </w:p>
    <w:p>
      <w:pPr>
        <w:ind w:left="340" w:right="20" w:hanging="332"/>
        <w:spacing w:after="0" w:line="25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5 that result in permanent improvements to the Company's towers. The Company receives no cash from, and is not party to, such transactions.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63"/>
        </w:trPr>
        <w:tc>
          <w:tcPr>
            <w:tcW w:w="84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(As Restated)</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21"/>
                <w:szCs w:val="21"/>
                <w:b w:val="1"/>
                <w:bCs w:val="1"/>
                <w:color w:val="auto"/>
                <w:vertAlign w:val="superscript"/>
              </w:rPr>
              <w:t>(a)</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61,781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57,638</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52,346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51,580</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720"/>
              <w:spacing w:after="0"/>
              <w:rPr>
                <w:sz w:val="20"/>
                <w:szCs w:val="20"/>
                <w:color w:val="auto"/>
              </w:rPr>
            </w:pPr>
            <w:r>
              <w:rPr>
                <w:rFonts w:ascii="Arial" w:cs="Arial" w:eastAsia="Arial" w:hAnsi="Arial"/>
                <w:sz w:val="16"/>
                <w:szCs w:val="16"/>
                <w:color w:val="auto"/>
              </w:rPr>
              <w:t>Increase (decrease) in accrued interest</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9,622</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8440" w:type="dxa"/>
            <w:vAlign w:val="bottom"/>
          </w:tcPr>
          <w:p>
            <w:pPr>
              <w:ind w:left="720"/>
              <w:spacing w:after="0"/>
              <w:rPr>
                <w:sz w:val="20"/>
                <w:szCs w:val="20"/>
                <w:color w:val="auto"/>
              </w:rPr>
            </w:pPr>
            <w:r>
              <w:rPr>
                <w:rFonts w:ascii="Arial" w:cs="Arial" w:eastAsia="Arial" w:hAnsi="Arial"/>
                <w:sz w:val="16"/>
                <w:szCs w:val="16"/>
                <w:color w:val="auto"/>
              </w:rPr>
              <w:t>Increase (decrease) in other liabilities</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11,187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5,968</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1,516</w:t>
            </w:r>
          </w:p>
        </w:tc>
      </w:tr>
      <w:tr>
        <w:trPr>
          <w:trHeight w:val="237"/>
        </w:trPr>
        <w:tc>
          <w:tcPr>
            <w:tcW w:w="8440" w:type="dxa"/>
            <w:vAlign w:val="bottom"/>
          </w:tcPr>
          <w:p>
            <w:pPr>
              <w:ind w:left="720"/>
              <w:spacing w:after="0"/>
              <w:rPr>
                <w:sz w:val="20"/>
                <w:szCs w:val="20"/>
                <w:color w:val="auto"/>
              </w:rPr>
            </w:pPr>
            <w:r>
              <w:rPr>
                <w:rFonts w:ascii="Arial" w:cs="Arial" w:eastAsia="Arial" w:hAnsi="Arial"/>
                <w:sz w:val="16"/>
                <w:szCs w:val="16"/>
                <w:color w:val="auto"/>
              </w:rPr>
              <w:t>Decrease (increase) in other assets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(3,675)</w:t>
            </w:r>
          </w:p>
        </w:tc>
      </w:tr>
      <w:tr>
        <w:trPr>
          <w:trHeight w:val="33"/>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123,153</w:t>
            </w:r>
          </w:p>
        </w:tc>
      </w:tr>
      <w:tr>
        <w:trPr>
          <w:trHeight w:val="231"/>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(18,678)</w:t>
            </w:r>
          </w:p>
        </w:tc>
      </w:tr>
      <w:tr>
        <w:trPr>
          <w:trHeight w:val="217"/>
        </w:trPr>
        <w:tc>
          <w:tcPr>
            <w:tcW w:w="844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(18,678)</w:t>
            </w:r>
          </w:p>
        </w:tc>
      </w:tr>
      <w:tr>
        <w:trPr>
          <w:trHeight w:val="33"/>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(105,472)</w:t>
            </w:r>
          </w:p>
        </w:tc>
      </w:tr>
      <w:tr>
        <w:trPr>
          <w:trHeight w:val="33"/>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(105,472)</w:t>
            </w:r>
          </w:p>
        </w:tc>
      </w:tr>
      <w:tr>
        <w:trPr>
          <w:trHeight w:val="217"/>
        </w:trPr>
        <w:tc>
          <w:tcPr>
            <w:tcW w:w="844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w:t>
            </w: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r>
      <w:tr>
        <w:trPr>
          <w:trHeight w:val="243"/>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28,967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17,710</w:t>
            </w: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5.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5. The Company receives no cash from, and is not party to, such transactions.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Member's Equity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2,096,954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2,096,954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(108,620)</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61,781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61,781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Balance,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2,050,115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2,050,115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2019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2,219,198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 (as restated)</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(47,834)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(105,472)</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(as restated)</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57,638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57,638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Balance, March 31, 2019 (as restated)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2,171,364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2,171,364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5. The Company receives no cash from, and is not party to, the tower installation and modification transactions described in note 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8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2019, and related notes thereto, included in the 2019 Form 10-K filed by the Company with the SEC.</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"sites") that are geographically dispersed across the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the Company has no employees.</w:t>
      </w:r>
    </w:p>
    <w:p>
      <w:pPr>
        <w:spacing w:after="0" w:line="13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Approximately 68% of the Company's sites are leased or subleased or operated and managed for an initial period of 32 years (through May 2037) under master leases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March 31, 2020, the condensed consolidated results of operations for the three months ended March 31, 2020 and 2019 and the condensed consolidated cash flows for the three months ended March 31, 2020 and 2019.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could differ from those estimates.</w:t>
      </w:r>
    </w:p>
    <w:p>
      <w:pPr>
        <w:spacing w:after="0" w:line="126"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Previously Issued Condensed Consolidated Financial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tables below summarize the impact of the Restatement Adjustments that were related to the timing of revenue recognition on CCIC's tower installation services. Specifically, CCIC determined that its historical practice of recognizing the full transaction price as services revenues upon completion of an installation was not acceptable under GAAP. Instead, a portion of the transaction price for CCIC's tower installation services, specifically the amounts associated with permanent improvements recorded as fixed assets, represent a lease component and should be recognized by CCIC as site rental revenues on a ratable basis over the associated estimated lease term.</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CCIC, through its wholly owned subsidiary, offers certain installation and other construction-related services to tenants on the towers owned by CCIC's subsidiaries (including to tenants on the Company's towers). That business is separate from the operations of the Company, and the Company (1) is not party to such transactions and (2) does not receive any cash associated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such transactions. However, when CCIC is engaged by, and performs an installation or other activity for, a tenant that is locating or located on the Company's towers, and such transaction results in (1) enhancing a tower in connection with a new tenant installing equipment on the tower for the first time or as part of subsequent equipment augmentations or (2) modifying the structure of a tower to accommodate the additional tenant, the Company records any permanent improvement that is made on its tower site as a fixed asset. Historically, in connection with recording such permanent improvements as fixed assets on its financial statements, the Company would also record a corresponding amount as a capital contribution from CCIC.</w:t>
      </w:r>
    </w:p>
    <w:p>
      <w:pPr>
        <w:spacing w:after="0" w:line="1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determined that, despite the Company not receiving any cash, an amount equal to the lease component as a result of such installation and other construction-related services should be recorded on the consolidated financial statements as deferred revenue, and then amortized as revenues on a ratable basis over the length of the tenants’ associated estimated lease term.</w:t>
      </w:r>
    </w:p>
    <w:p>
      <w:pPr>
        <w:spacing w:after="0" w:line="13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to the determination discussed above, the Company has also determined that errors existed related to its accounting for obligations to perform asset retirement activities pursuant to its ground lease and easement agreements. Specifically, the Company should not have recorded asset retirement obligations for its Sprint Sites, as the associated estimated retirement would occur beyond the period for which the Company has a contract term to these sites. The correction of the errors related to the Company's accounting for obligations to perform asset retirement activities resulted in (1) a decrease to both "Property and equipment, net" and "Member's equity" of $4.4 million on the Company's consolidated balance sheet as of March 31, 2020, and (2) a decrease to "Depreciation, amortization, and accretion" on the Company's consolidated statement of operations of $0.7 million for the three months ended March 31, 2020.</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Restatement Adjustments in the tables below reflect the impact of (1) allocating an amount equal to the lease component as a result of such installation and other construction-related services on the consolidated financial statements as deferred revenue, and then amortizing those amounts as amortization of tower installations and modifications on a ratable basis over the length of the tenants’ associated estimated lease term and (2) correcting errors related to the Company's accounting for obligations to perform asset retirement activities.</w:t>
      </w:r>
    </w:p>
    <w:p>
      <w:pPr>
        <w:spacing w:after="0" w:line="117" w:lineRule="exact"/>
        <w:rPr>
          <w:sz w:val="20"/>
          <w:szCs w:val="20"/>
          <w:color w:val="auto"/>
        </w:rPr>
      </w:pPr>
    </w:p>
    <w:p>
      <w:pPr>
        <w:jc w:val="both"/>
        <w:ind w:firstLine="391"/>
        <w:spacing w:after="0" w:line="311" w:lineRule="auto"/>
        <w:rPr>
          <w:sz w:val="20"/>
          <w:szCs w:val="20"/>
          <w:color w:val="auto"/>
        </w:rPr>
      </w:pPr>
      <w:r>
        <w:rPr>
          <w:rFonts w:ascii="Arial" w:cs="Arial" w:eastAsia="Arial" w:hAnsi="Arial"/>
          <w:sz w:val="16"/>
          <w:szCs w:val="16"/>
          <w:color w:val="auto"/>
        </w:rPr>
        <w:t>In addition, the Company has also made other adjustments to the financial statements referenced above to correct errors that were not material to its condensed consolidated financial statements. Such immaterial adjustments are related to a revision in the presentation of certain tower installation activities from a gross basis to a net basis, including the associated removal of certain amounts historically categorized as capital expenditures.</w:t>
      </w:r>
    </w:p>
    <w:p>
      <w:pPr>
        <w:spacing w:after="0" w:line="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the restatement of the condensed consolidated financial statements, certain historical information in the notes to the condensed consolidated financial statements have been restated to reflect the impact of the Historical Adjustments.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Consolidated Balance Sheet</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March 31, 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4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1,012,769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1,005,579</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4,618,698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4,611,508</w:t>
            </w:r>
          </w:p>
        </w:tc>
        <w:tc>
          <w:tcPr>
            <w:tcW w:w="0" w:type="dxa"/>
            <w:vAlign w:val="bottom"/>
          </w:tcPr>
          <w:p>
            <w:pPr>
              <w:spacing w:after="0"/>
              <w:rPr>
                <w:sz w:val="1"/>
                <w:szCs w:val="1"/>
                <w:color w:val="auto"/>
              </w:rPr>
            </w:pPr>
          </w:p>
        </w:tc>
      </w:tr>
      <w:tr>
        <w:trPr>
          <w:trHeight w:val="224"/>
        </w:trPr>
        <w:tc>
          <w:tcPr>
            <w:tcW w:w="5500" w:type="dxa"/>
            <w:vAlign w:val="bottom"/>
          </w:tcPr>
          <w:p>
            <w:pPr>
              <w:ind w:left="17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49,334</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61,770</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49,334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147,262</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34,342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158,784</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193,126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208,118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2,440,144</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2,386,672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(212,554)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2,171,364</w:t>
            </w:r>
          </w:p>
        </w:tc>
        <w:tc>
          <w:tcPr>
            <w:tcW w:w="0" w:type="dxa"/>
            <w:vAlign w:val="bottom"/>
          </w:tcPr>
          <w:p>
            <w:pPr>
              <w:spacing w:after="0"/>
              <w:rPr>
                <w:sz w:val="1"/>
                <w:szCs w:val="1"/>
                <w:color w:val="auto"/>
              </w:rPr>
            </w:pPr>
          </w:p>
        </w:tc>
      </w:tr>
      <w:tr>
        <w:trPr>
          <w:trHeight w:val="223"/>
        </w:trPr>
        <w:tc>
          <w:tcPr>
            <w:tcW w:w="5500" w:type="dxa"/>
            <w:vAlign w:val="bottom"/>
          </w:tcPr>
          <w:p>
            <w:pPr>
              <w:ind w:left="70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2,386,672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(212,554)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2,171,364</w:t>
            </w:r>
          </w:p>
        </w:tc>
        <w:tc>
          <w:tcPr>
            <w:tcW w:w="0" w:type="dxa"/>
            <w:vAlign w:val="bottom"/>
          </w:tcPr>
          <w:p>
            <w:pPr>
              <w:spacing w:after="0"/>
              <w:rPr>
                <w:sz w:val="1"/>
                <w:szCs w:val="1"/>
                <w:color w:val="auto"/>
              </w:rPr>
            </w:pPr>
          </w:p>
        </w:tc>
      </w:tr>
      <w:tr>
        <w:trPr>
          <w:trHeight w:val="47"/>
        </w:trPr>
        <w:tc>
          <w:tcPr>
            <w:tcW w:w="5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4,618,698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4,611,508</w:t>
            </w:r>
          </w:p>
        </w:tc>
        <w:tc>
          <w:tcPr>
            <w:tcW w:w="0" w:type="dxa"/>
            <w:vAlign w:val="bottom"/>
          </w:tcPr>
          <w:p>
            <w:pPr>
              <w:spacing w:after="0"/>
              <w:rPr>
                <w:sz w:val="1"/>
                <w:szCs w:val="1"/>
                <w:color w:val="auto"/>
              </w:rPr>
            </w:pPr>
          </w:p>
        </w:tc>
      </w:tr>
      <w:tr>
        <w:trPr>
          <w:trHeight w:val="47"/>
        </w:trPr>
        <w:tc>
          <w:tcPr>
            <w:tcW w:w="55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tower installation and modification transactions described in note 5 that result in permanent improvements to the Company's towers. The Company receives no cash from, and is not party to, such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Consolidated Statement of Operations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167,322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167,322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12,171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12,171</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167,322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12,171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179,493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51,580</w:t>
            </w:r>
          </w:p>
        </w:tc>
        <w:tc>
          <w:tcPr>
            <w:tcW w:w="0" w:type="dxa"/>
            <w:vAlign w:val="bottom"/>
          </w:tcPr>
          <w:p>
            <w:pPr>
              <w:spacing w:after="0"/>
              <w:rPr>
                <w:sz w:val="1"/>
                <w:szCs w:val="1"/>
                <w:color w:val="auto"/>
              </w:rPr>
            </w:pPr>
          </w:p>
        </w:tc>
      </w:tr>
      <w:tr>
        <w:trPr>
          <w:trHeight w:val="237"/>
        </w:trPr>
        <w:tc>
          <w:tcPr>
            <w:tcW w:w="550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112,567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111,785</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67,708</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44,783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57,736</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57,638</w:t>
            </w:r>
          </w:p>
        </w:tc>
        <w:tc>
          <w:tcPr>
            <w:tcW w:w="0" w:type="dxa"/>
            <w:vAlign w:val="bottom"/>
          </w:tcPr>
          <w:p>
            <w:pPr>
              <w:spacing w:after="0"/>
              <w:rPr>
                <w:sz w:val="1"/>
                <w:szCs w:val="1"/>
                <w:color w:val="auto"/>
              </w:rPr>
            </w:pPr>
          </w:p>
        </w:tc>
      </w:tr>
      <w:tr>
        <w:trPr>
          <w:trHeight w:val="33"/>
        </w:trPr>
        <w:tc>
          <w:tcPr>
            <w:tcW w:w="5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right="2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5 that result in permanent improvements to the Company's towers. The Company receives no cash from, and is not party to, such transactions.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Consolidated Statement of Cash Flows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2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44,685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12,907</w:t>
            </w:r>
          </w:p>
        </w:tc>
        <w:tc>
          <w:tcPr>
            <w:tcW w:w="100" w:type="dxa"/>
            <w:vAlign w:val="bottom"/>
          </w:tcPr>
          <w:p>
            <w:pPr>
              <w:spacing w:after="0"/>
              <w:rPr>
                <w:sz w:val="20"/>
                <w:szCs w:val="20"/>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57,638</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Adjustments to reconcile net income (loss) to net cash provided by operating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right"/>
              <w:ind w:right="2279"/>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52,362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51,580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jc w:val="right"/>
              <w:ind w:right="2279"/>
              <w:spacing w:after="0"/>
              <w:rPr>
                <w:sz w:val="20"/>
                <w:szCs w:val="20"/>
                <w:color w:val="auto"/>
              </w:rPr>
            </w:pPr>
            <w:r>
              <w:rPr>
                <w:rFonts w:ascii="Arial" w:cs="Arial" w:eastAsia="Arial" w:hAnsi="Arial"/>
                <w:sz w:val="16"/>
                <w:szCs w:val="16"/>
                <w:color w:val="auto"/>
              </w:rPr>
              <w:t>Increase (decrease) in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5,968</w:t>
            </w:r>
          </w:p>
        </w:tc>
        <w:tc>
          <w:tcPr>
            <w:tcW w:w="0" w:type="dxa"/>
            <w:vAlign w:val="bottom"/>
          </w:tcPr>
          <w:p>
            <w:pPr>
              <w:spacing w:after="0"/>
              <w:rPr>
                <w:sz w:val="1"/>
                <w:szCs w:val="1"/>
                <w:color w:val="auto"/>
              </w:rPr>
            </w:pPr>
          </w:p>
        </w:tc>
      </w:tr>
      <w:tr>
        <w:trPr>
          <w:trHeight w:val="237"/>
        </w:trPr>
        <w:tc>
          <w:tcPr>
            <w:tcW w:w="550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108,752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14,401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123,153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8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(b)</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(18,678)</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(18,678)</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(105,472)</w:t>
            </w:r>
          </w:p>
        </w:tc>
        <w:tc>
          <w:tcPr>
            <w:tcW w:w="0" w:type="dxa"/>
            <w:vAlign w:val="bottom"/>
          </w:tcPr>
          <w:p>
            <w:pPr>
              <w:spacing w:after="0"/>
              <w:rPr>
                <w:sz w:val="1"/>
                <w:szCs w:val="1"/>
                <w:color w:val="auto"/>
              </w:rPr>
            </w:pPr>
          </w:p>
        </w:tc>
      </w:tr>
      <w:tr>
        <w:trPr>
          <w:trHeight w:val="237"/>
        </w:trPr>
        <w:tc>
          <w:tcPr>
            <w:tcW w:w="550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(91,004)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(105,472)</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17,710</w:t>
            </w:r>
          </w:p>
        </w:tc>
        <w:tc>
          <w:tcPr>
            <w:tcW w:w="0" w:type="dxa"/>
            <w:vAlign w:val="bottom"/>
          </w:tcPr>
          <w:p>
            <w:pPr>
              <w:spacing w:after="0"/>
              <w:rPr>
                <w:sz w:val="1"/>
                <w:szCs w:val="1"/>
                <w:color w:val="auto"/>
              </w:rPr>
            </w:pPr>
          </w:p>
        </w:tc>
      </w:tr>
      <w:tr>
        <w:trPr>
          <w:trHeight w:val="33"/>
        </w:trPr>
        <w:tc>
          <w:tcPr>
            <w:tcW w:w="5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5.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5"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5. The Company receives no cash from, and is not party to, such transactions.</w:t>
      </w:r>
    </w:p>
    <w:p>
      <w:pPr>
        <w:spacing w:after="0" w:line="132" w:lineRule="exact"/>
        <w:rPr>
          <w:sz w:val="20"/>
          <w:szCs w:val="20"/>
          <w:color w:val="auto"/>
        </w:rPr>
      </w:pPr>
    </w:p>
    <w:p>
      <w:pPr>
        <w:jc w:val="both"/>
        <w:ind w:left="420" w:right="7440" w:hanging="412"/>
        <w:spacing w:after="0" w:line="576" w:lineRule="auto"/>
        <w:tabs>
          <w:tab w:leader="none" w:pos="4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Recently Adopted Accounting Pronouncements</w:t>
      </w:r>
    </w:p>
    <w:p>
      <w:pPr>
        <w:spacing w:after="0" w:line="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No accounting pronouncements adopted during the three months ended March 31, 2020 had a material impact on the Company's condensed consolidated financial statements.</w:t>
      </w:r>
    </w:p>
    <w:p>
      <w:pPr>
        <w:sectPr>
          <w:pgSz w:w="11900" w:h="16838" w:orient="portrait"/>
          <w:cols w:equalWidth="0" w:num="1">
            <w:col w:w="11240"/>
          </w:cols>
          <w:pgMar w:left="320" w:top="13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3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112"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outstanding balance of the 3.849% Secured Notes due April 2023 as of March 31, 2020 and December 31, 2019 was $996 million and $995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86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9,623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9,623</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346</w:t>
            </w: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9,969</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w:t>
      </w:r>
    </w:p>
    <w:p>
      <w:pPr>
        <w:spacing w:after="0" w:line="1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on the Company's condensed consolidated balance sheet and recognizes it as "Amortization of tower installations and modifications" on the Company's condensed consolidated statement of operations over the associated estimated lease term. The portions of the transaction price which do not represent a lease component are not reflected in the Company's operating results.</w:t>
      </w:r>
    </w:p>
    <w:p>
      <w:pPr>
        <w:spacing w:after="0" w:line="1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part of CCIC's strategy to obtain long-term control of the land interests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March 31, 2020, more than 30% of the Company's towers were located on land which was controlled by an affiliate. Also, the Company receives site rental revenues from affiliates for land owned by the Company on which affiliates have towers.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2020 and 2019, the Company recorded equity distributions of $108.6 million and$105.5 million, respectively, reflecting distributions to its member. Cash on-hand above the amount that is required by the Management Agreement has been, and is expected to continue to be, distributed to the Company's parent company. As of March 31, 2020 and 2019,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4"/>
          <w:szCs w:val="14"/>
          <w:color w:val="auto"/>
        </w:rPr>
        <w:t>—</w:t>
      </w:r>
      <w:r>
        <w:rPr>
          <w:rFonts w:ascii="Arial" w:cs="Arial" w:eastAsia="Arial" w:hAnsi="Arial"/>
          <w:sz w:val="18"/>
          <w:szCs w:val="18"/>
          <w:color w:val="auto"/>
        </w:rPr>
        <w:t>related parties" and "Operating lease liabilities</w:t>
      </w:r>
      <w:r>
        <w:rPr>
          <w:rFonts w:ascii="Arial" w:cs="Arial" w:eastAsia="Arial" w:hAnsi="Arial"/>
          <w:sz w:val="14"/>
          <w:szCs w:val="14"/>
          <w:color w:val="auto"/>
        </w:rPr>
        <w:t>—</w:t>
      </w:r>
      <w:r>
        <w:rPr>
          <w:rFonts w:ascii="Arial" w:cs="Arial" w:eastAsia="Arial" w:hAnsi="Arial"/>
          <w:sz w:val="18"/>
          <w:szCs w:val="18"/>
          <w:color w:val="auto"/>
        </w:rPr>
        <w:t>related parties," the Company had no material related party assets or liabilities on its condensed consolidated balance sheet.</w:t>
      </w:r>
    </w:p>
    <w:p>
      <w:pPr>
        <w:spacing w:after="0" w:line="127"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distributed to its stockholders. For U.S. federal income tax purposes, the Company's assets and operations are included in the CCIC REIT.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months ended March 31, 2020 and 2019, the Company's effective tax rate differed from the federal statutory rate predominately due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CCIC's REIT status, including the dividends paid deduction and (2) state taxes.</w:t>
      </w:r>
    </w:p>
    <w:p>
      <w:pPr>
        <w:spacing w:after="0" w:line="153"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right="20" w:firstLine="405"/>
        <w:spacing w:after="0" w:line="275"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2019, in the Company's valuation techniques used to measure fair values. The estimated fair values of the Company's financial instruments, along with the carrying amounts of the related assets and liabilities,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Level in Fair</w:t>
            </w: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3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4"/>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28,967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28,967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20,407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20,407</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995,777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1,004,500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995,431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1,046,200</w:t>
            </w:r>
          </w:p>
        </w:tc>
      </w:tr>
    </w:tbl>
    <w:p>
      <w:pPr>
        <w:spacing w:after="0" w:line="39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condensed consolidated financial position or results of operations. In addition, see note 1 for a discussion of CCIC's option to purchase approximately 68% of the Company's towers at the end of their respective lease terms. CCIC has no obligation to exercise the purchase option.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8220" w:type="dxa"/>
            <w:vAlign w:val="bottom"/>
          </w:tcPr>
          <w:p>
            <w:pPr>
              <w:ind w:left="200"/>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9"/>
        </w:trPr>
        <w:tc>
          <w:tcPr>
            <w:tcW w:w="2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80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220" w:type="dxa"/>
            <w:vAlign w:val="bottom"/>
            <w:tcBorders>
              <w:bottom w:val="single" w:sz="8" w:color="CCEEFF"/>
            </w:tcBorders>
          </w:tcPr>
          <w:p>
            <w:pPr>
              <w:spacing w:after="0"/>
              <w:rPr>
                <w:sz w:val="22"/>
                <w:szCs w:val="22"/>
                <w:color w:val="auto"/>
              </w:rPr>
            </w:pPr>
          </w:p>
        </w:tc>
        <w:tc>
          <w:tcPr>
            <w:tcW w:w="82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220" w:type="dxa"/>
            <w:vAlign w:val="bottom"/>
          </w:tcPr>
          <w:p>
            <w:pPr>
              <w:spacing w:after="0"/>
              <w:rPr>
                <w:sz w:val="23"/>
                <w:szCs w:val="23"/>
                <w:color w:val="auto"/>
              </w:rPr>
            </w:pPr>
          </w:p>
        </w:tc>
        <w:tc>
          <w:tcPr>
            <w:tcW w:w="8220" w:type="dxa"/>
            <w:vAlign w:val="bottom"/>
          </w:tcPr>
          <w:p>
            <w:pPr>
              <w:ind w:left="60"/>
              <w:spacing w:after="0"/>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w:t>
            </w:r>
          </w:p>
        </w:tc>
        <w:tc>
          <w:tcPr>
            <w:tcW w:w="78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26,402</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25,827</w:t>
            </w: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11"/>
        </w:trPr>
        <w:tc>
          <w:tcPr>
            <w:tcW w:w="22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w:t>
            </w:r>
          </w:p>
        </w:tc>
        <w:tc>
          <w:tcPr>
            <w:tcW w:w="78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11,756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59690</wp:posOffset>
            </wp:positionV>
            <wp:extent cx="91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8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cash payments related to contingent payment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5" w:right="33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our consolidated financial statements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our 2019 Form 10-K. As discussed in the "</w:t>
      </w:r>
      <w:r>
        <w:rPr>
          <w:rFonts w:ascii="Arial" w:cs="Arial" w:eastAsia="Arial" w:hAnsi="Arial"/>
          <w:sz w:val="18"/>
          <w:szCs w:val="18"/>
          <w:i w:val="1"/>
          <w:iCs w:val="1"/>
          <w:color w:val="auto"/>
        </w:rPr>
        <w:t>Explanatory Note</w:t>
      </w:r>
      <w:r>
        <w:rPr>
          <w:rFonts w:ascii="Arial" w:cs="Arial" w:eastAsia="Arial" w:hAnsi="Arial"/>
          <w:sz w:val="18"/>
          <w:szCs w:val="18"/>
          <w:color w:val="auto"/>
        </w:rPr>
        <w:t>" to this Form 10-Q and in further detail in our 2019 Form 10-K, amounts reflected for the first quarter of 2019 have been restated to reflect the impact of the Historical Adjustments.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Throughout this Item 2 and this Form 10-Q, site rental revenues include both revenues from tenant contracts and amortization of tower installations and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own, lease and manage sites that are geographically dispersed throughout the United States. The vast majority of our site rental revenues is of a recurring nature and is subject to long-term contracts with our tenants.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three months ended March 31, 2020:</w:t>
      </w:r>
    </w:p>
    <w:p>
      <w:pPr>
        <w:spacing w:after="0" w:line="23" w:lineRule="exact"/>
        <w:rPr>
          <w:sz w:val="20"/>
          <w:szCs w:val="20"/>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and (7) the availability of additional spectrum.</w:t>
      </w:r>
    </w:p>
    <w:p>
      <w:pPr>
        <w:spacing w:after="0" w:line="1" w:lineRule="exact"/>
        <w:rPr>
          <w:rFonts w:ascii="Arial" w:cs="Arial" w:eastAsia="Arial" w:hAnsi="Arial"/>
          <w:sz w:val="18"/>
          <w:szCs w:val="18"/>
          <w:color w:val="auto"/>
        </w:rPr>
      </w:pPr>
    </w:p>
    <w:p>
      <w:pPr>
        <w:ind w:left="1220" w:hanging="402"/>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Tenant additions on our existing sites are achieved at a low incremental operating cost, delivering high incremental returns.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sites, such as towers or other structures, and have no employees.</w:t>
      </w:r>
    </w:p>
    <w:p>
      <w:pPr>
        <w:ind w:left="1220" w:hanging="402"/>
        <w:spacing w:after="0" w:line="281" w:lineRule="auto"/>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Weighted-average remaining term of approximately six years, exclusive of renewals exercisable at the tenants' option, currently representing approximately $4.3 billion of expected future cash inflows.</w:t>
      </w: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Approximately 90% of our site rental revenues were derived from Sprint, AT&amp;T, T-Mobile and Verizon Wireless.</w:t>
      </w:r>
    </w:p>
    <w:p>
      <w:pPr>
        <w:spacing w:after="0" w:line="9" w:lineRule="exact"/>
        <w:rPr>
          <w:rFonts w:ascii="Arial" w:cs="Arial" w:eastAsia="Arial" w:hAnsi="Arial"/>
          <w:sz w:val="18"/>
          <w:szCs w:val="18"/>
          <w:color w:val="auto"/>
        </w:rPr>
      </w:pPr>
    </w:p>
    <w:p>
      <w:pPr>
        <w:ind w:left="1880" w:hanging="414"/>
        <w:spacing w:after="0" w:line="250" w:lineRule="auto"/>
        <w:tabs>
          <w:tab w:leader="none" w:pos="18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On April 1, 2020, T-Mobile and Sprint announced the completion of their previously disclosed merger. For additional information,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2019 Form 10-K.</w:t>
      </w: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Majority of land interests under our towers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including through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37" w:right="339" w:bottom="1440" w:gutter="0" w:footer="0" w:header="0"/>
        </w:sectPr>
      </w:pPr>
    </w:p>
    <w:bookmarkStart w:id="13" w:name="page14"/>
    <w:bookmarkEnd w:id="13"/>
    <w:p>
      <w:pPr>
        <w:ind w:left="1220" w:hanging="402"/>
        <w:spacing w:after="0" w:line="258"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4 to our condensed consolidated financial statements.</w:t>
      </w: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$133.6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global outbreak of the novel coronavirus (COVID-19) was declared a pandemic by the World Health Organization and a national emergency by the U.S. government in March 2020 and has adversely affected the United States. In response, both the public and private sectors have introduced certain policies and initiatives in an effort to reduce the transmission of COVID-19 ("Initiatives"), such as the imposition of travel restrictions; mandates from federal, state and local authorities to close non-essential businesses and avoid large gatherings of people; quarantine or "shelter-in-place;" and the promotion of social distancing and the adoption of work-from-home and online learning by companies and institutions. In addition, the continued spread of COVID-19 and the resulting Initiatives have led to a significant economic downturn, global supply chain disruptions and volatility in the global capital markets.</w:t>
      </w:r>
    </w:p>
    <w:p>
      <w:pPr>
        <w:spacing w:after="0" w:line="14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In accordance with the U.S. Department of Homeland Security guidance issued in March 2020 designating telecommunications infrastructure and networks as critical infrastructure, we have continued our operations to ensure viability of communications networks, which are essential to public health and safety. We do not believe that COVID-19 had a material impact on our financial position, results of operations and cash flows in the first quarter of 2020. We currently anticipate that we will be able to maintain sufficient liquidity as we manage through the current environment. See also </w:t>
      </w:r>
      <w:r>
        <w:rPr>
          <w:rFonts w:ascii="Arial" w:cs="Arial" w:eastAsia="Arial" w:hAnsi="Arial"/>
          <w:sz w:val="17"/>
          <w:szCs w:val="17"/>
          <w:i w:val="1"/>
          <w:iCs w:val="1"/>
          <w:color w:val="auto"/>
        </w:rPr>
        <w:t>"Item 2. MD&amp;A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—Liquidity and Capital Resources—Liquidity Position"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Guarantor Subsidiaries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March 2020, the SEC adopted amendments to reduce and simplify the financial disclosure requirements for guarantors and issuers of guaranteed registered securities, and affiliates of such issuers whose securities are collateralized. The amendments will be effective January 4, 2021, but voluntary compliance with the amendments in advance of January 4, 2021 is permitted.</w:t>
      </w:r>
    </w:p>
    <w:p>
      <w:pPr>
        <w:spacing w:after="0" w:line="13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Summary financial information of such subsidiaries that, in certain circumstances, may be required by the amendments described above is not provided in this Form 10-Q because the assets, liabilities and results of operations of the combined guarantors of the 3.849% Secured Notes and CCL affiliates whose securities are pledged as collateral to secure the 3.849% Secured Notes are not materially different than the corresponding amounts presented in CCL's consolidated financial statements. Below is a description of certain material terms of the guarantees of the 3.849% Secured Notes and the pledge of the equity interests of the Guarantors (as defined below) that secures the 3.849% Secured Notes.</w:t>
      </w:r>
    </w:p>
    <w:p>
      <w:pPr>
        <w:spacing w:after="0" w:line="12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 Guarantors could also be subject to restrictions on dividends under applicable local law in the jurisdictions in which the Guarantors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 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discussion of our results of operations should be read in conjunction with our condensed consolidated financial statements and our</w:t>
      </w:r>
    </w:p>
    <w:p>
      <w:pPr>
        <w:spacing w:after="0" w:line="46" w:lineRule="exact"/>
        <w:rPr>
          <w:sz w:val="20"/>
          <w:szCs w:val="20"/>
          <w:color w:val="auto"/>
        </w:rPr>
      </w:pPr>
    </w:p>
    <w:p>
      <w:pPr>
        <w:ind w:right="3720"/>
        <w:spacing w:after="0" w:line="323" w:lineRule="auto"/>
        <w:rPr>
          <w:sz w:val="20"/>
          <w:szCs w:val="20"/>
          <w:color w:val="auto"/>
        </w:rPr>
      </w:pPr>
      <w:r>
        <w:rPr>
          <w:rFonts w:ascii="Arial" w:cs="Arial" w:eastAsia="Arial" w:hAnsi="Arial"/>
          <w:sz w:val="16"/>
          <w:szCs w:val="16"/>
          <w:color w:val="auto"/>
        </w:rPr>
        <w:t xml:space="preserve">2019 Form 10-K. Amounts for three months ended March 31, 2019, and any discussion relating to those amounts, give effect to the impact of the Historical Adjustments as described in the </w:t>
      </w:r>
      <w:r>
        <w:rPr>
          <w:rFonts w:ascii="Arial" w:cs="Arial" w:eastAsia="Arial" w:hAnsi="Arial"/>
          <w:sz w:val="16"/>
          <w:szCs w:val="16"/>
          <w:i w:val="1"/>
          <w:iCs w:val="1"/>
          <w:color w:val="auto"/>
        </w:rPr>
        <w:t>"Explanatory Note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herein and note 3 to our 2019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03"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color w:val="auto"/>
        </w:rPr>
        <w:t>Highlights of our results of operations for the three months ended March 31, 2020 and 2019 are depicted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30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60" w:type="dxa"/>
            <w:vAlign w:val="bottom"/>
          </w:tcPr>
          <w:p>
            <w:pPr>
              <w:spacing w:after="0"/>
              <w:rPr>
                <w:sz w:val="15"/>
                <w:szCs w:val="15"/>
                <w:color w:val="auto"/>
              </w:rPr>
            </w:pP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87"/>
        </w:trPr>
        <w:tc>
          <w:tcPr>
            <w:tcW w:w="63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80"/>
              <w:spacing w:after="0"/>
              <w:rPr>
                <w:sz w:val="20"/>
                <w:szCs w:val="20"/>
                <w:color w:val="auto"/>
              </w:rPr>
            </w:pPr>
            <w:r>
              <w:rPr>
                <w:rFonts w:ascii="Arial" w:cs="Arial" w:eastAsia="Arial" w:hAnsi="Arial"/>
                <w:sz w:val="16"/>
                <w:szCs w:val="16"/>
                <w:color w:val="auto"/>
              </w:rPr>
              <w:t>Revenues from tenant contracts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172,389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167,322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14,052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12,171</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6300" w:type="dxa"/>
            <w:vAlign w:val="bottom"/>
          </w:tcPr>
          <w:p>
            <w:pPr>
              <w:ind w:left="500"/>
              <w:spacing w:after="0"/>
              <w:rPr>
                <w:sz w:val="20"/>
                <w:szCs w:val="20"/>
                <w:color w:val="auto"/>
              </w:rPr>
            </w:pPr>
            <w:r>
              <w:rPr>
                <w:rFonts w:ascii="Arial" w:cs="Arial" w:eastAsia="Arial" w:hAnsi="Arial"/>
                <w:sz w:val="16"/>
                <w:szCs w:val="16"/>
                <w:color w:val="auto"/>
              </w:rPr>
              <w:t>Total site rental revenues</w:t>
            </w:r>
          </w:p>
        </w:tc>
        <w:tc>
          <w:tcPr>
            <w:tcW w:w="3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186,441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179,493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37,827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37,282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Ground rent expenses—related parties</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10,609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49,108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47,891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12,722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12,124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7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52,346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51,580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111,785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3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71,841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67,708</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7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57,736</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57,638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3" w:lineRule="exact"/>
        <w:rPr>
          <w:sz w:val="20"/>
          <w:szCs w:val="20"/>
          <w:color w:val="auto"/>
        </w:rPr>
      </w:pPr>
    </w:p>
    <w:p>
      <w:pPr>
        <w:ind w:left="34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5 to our condensed consolidated financial statements that result in permanent improvements to our towers. We receive no cash from, and are not party to, such transactions..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Quarter 2020 and 2019</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Site rental revenues for the three months ended March 31, 2020 increased by $6.9 million, or 4%, from the same period in the prior year.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Operating income for the three months ended March 31, 2020 increased by $4.1 million, or 6%, from the same period in the prior year. The increase in operating income was primarily due to the aforementioned increase in site rental revenues, partially offset by an increase in the cost of operations from the three months ended March 31, 2019.</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March 31, 2020 remained unchanged from the same period in the prior year.</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income for the three months ended March 31, 2020 was $61.8 million, compared to net income of $57.6 million for the three months ended March 31, 2019. The increase was primarily due to the aforementioned increase in site rental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core business generates revenues under long-term tenant contracts (See</w:t>
      </w:r>
      <w:r>
        <w:rPr>
          <w:rFonts w:ascii="Arial" w:cs="Arial" w:eastAsia="Arial" w:hAnsi="Arial"/>
          <w:sz w:val="18"/>
          <w:szCs w:val="18"/>
          <w:i w:val="1"/>
          <w:iCs w:val="1"/>
          <w:color w:val="auto"/>
        </w:rPr>
        <w:t xml:space="preserve"> "Item 2. MD&amp;A—General Overview"</w:t>
      </w:r>
      <w:r>
        <w:rPr>
          <w:rFonts w:ascii="Arial" w:cs="Arial" w:eastAsia="Arial" w:hAnsi="Arial"/>
          <w:sz w:val="18"/>
          <w:szCs w:val="18"/>
          <w:color w:val="auto"/>
        </w:rPr>
        <w:t>), from the largest U.S.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that we believe drives value for our member.</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March 31, 2020:</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March 31, 2020</w:t>
            </w:r>
          </w:p>
        </w:tc>
      </w:tr>
      <w:tr>
        <w:trPr>
          <w:trHeight w:val="236"/>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28,967</w:t>
            </w:r>
          </w:p>
        </w:tc>
      </w:tr>
      <w:tr>
        <w:trPr>
          <w:trHeight w:val="223"/>
        </w:trPr>
        <w:tc>
          <w:tcPr>
            <w:tcW w:w="8980" w:type="dxa"/>
            <w:vAlign w:val="bottom"/>
          </w:tcPr>
          <w:p>
            <w:pPr>
              <w:ind w:left="20"/>
              <w:spacing w:after="0"/>
              <w:rPr>
                <w:sz w:val="20"/>
                <w:szCs w:val="20"/>
                <w:color w:val="auto"/>
              </w:rPr>
            </w:pPr>
            <w:r>
              <w:rPr>
                <w:rFonts w:ascii="Arial" w:cs="Arial" w:eastAsia="Arial" w:hAnsi="Arial"/>
                <w:sz w:val="16"/>
                <w:szCs w:val="16"/>
                <w:color w:val="auto"/>
              </w:rPr>
              <w:t>Debt</w:t>
            </w:r>
          </w:p>
        </w:tc>
        <w:tc>
          <w:tcPr>
            <w:tcW w:w="380" w:type="dxa"/>
            <w:vAlign w:val="bottom"/>
          </w:tcPr>
          <w:p>
            <w:pPr>
              <w:spacing w:after="0"/>
              <w:rPr>
                <w:sz w:val="19"/>
                <w:szCs w:val="19"/>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995,777</w:t>
            </w:r>
          </w:p>
        </w:tc>
      </w:tr>
      <w:tr>
        <w:trPr>
          <w:trHeight w:val="33"/>
        </w:trPr>
        <w:tc>
          <w:tcPr>
            <w:tcW w:w="8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2,050,115</w:t>
            </w:r>
          </w:p>
        </w:tc>
      </w:tr>
      <w:tr>
        <w:trPr>
          <w:trHeight w:val="33"/>
        </w:trPr>
        <w:tc>
          <w:tcPr>
            <w:tcW w:w="8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98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69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133,622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123,153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10,469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(108,620)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(105,472)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9,557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net cash provided by operating activities for the first three months of 2020 of $10.5 million, or 9%, from the first three months of 2019, was primarily due to growth in cash revenues, including cash escalations that are subject to straight-line accounting, and a net increase from changes in working capital. Changes in working capital contribute to variability in net cash provided by operating activities, largely due to the timing of advanced payments by us and advanced receipts from tenants.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firstLine="405"/>
        <w:spacing w:after="0" w:line="316" w:lineRule="auto"/>
        <w:rPr>
          <w:sz w:val="20"/>
          <w:szCs w:val="20"/>
          <w:color w:val="auto"/>
        </w:rPr>
      </w:pPr>
      <w:r>
        <w:rPr>
          <w:rFonts w:ascii="Arial" w:cs="Arial" w:eastAsia="Arial" w:hAnsi="Arial"/>
          <w:sz w:val="16"/>
          <w:szCs w:val="16"/>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spacing w:after="0" w:line="2" w:lineRule="exact"/>
        <w:rPr>
          <w:sz w:val="20"/>
          <w:szCs w:val="20"/>
          <w:color w:val="auto"/>
        </w:rPr>
      </w:pPr>
    </w:p>
    <w:p>
      <w:pPr>
        <w:jc w:val="both"/>
        <w:ind w:left="1140" w:hanging="241"/>
        <w:spacing w:after="0" w:line="270"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under our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18" w:lineRule="exact"/>
        <w:rPr>
          <w:rFonts w:ascii="Arial" w:cs="Arial" w:eastAsia="Arial" w:hAnsi="Arial"/>
          <w:sz w:val="17"/>
          <w:szCs w:val="17"/>
          <w:color w:val="auto"/>
        </w:rPr>
      </w:pPr>
    </w:p>
    <w:p>
      <w:pPr>
        <w:ind w:left="1140" w:right="20" w:hanging="241"/>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three months ended March 31, 2020 and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98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69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Discretionary</w:t>
            </w:r>
          </w:p>
        </w:tc>
        <w:tc>
          <w:tcPr>
            <w:tcW w:w="26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260" w:type="dxa"/>
            <w:vAlign w:val="bottom"/>
          </w:tcPr>
          <w:p>
            <w:pPr>
              <w:spacing w:after="0"/>
              <w:rPr>
                <w:sz w:val="20"/>
                <w:szCs w:val="20"/>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16,442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net cash flows used for financing activities during the three months ended March 31, 2020 and 2019 were impacted by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See our 2019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2020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2019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3 in our 2019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due to the material weakness in the Company's internal control over financial reporting</w:t>
      </w:r>
    </w:p>
    <w:p>
      <w:pPr>
        <w:spacing w:after="0" w:line="2"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described below, the Company's disclosure controls and procedures were not effective in alerting them in a timely manner to material information relating to the Company required to be included in the Company's periodic reports under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previously disclosed in the Company's 2019 Form 10-K, management concluded that a material weakness existed in the Company's internal control over financial reporting, as it did not effectively design and maintain controls related to the accounting for tower installation and modification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has created a plan of remediation to strengthen its internal control over financial reporting. The remediation efforts include (1) revising its accounting policies to appropriately identify and account for lease components and the related calculation of deferred revenue, and (2) making improvements to existing processes and controls related to the determination of the accuracy of capital expenditures made for permanent improvements associated with tower installation services. Management is implementing training with respect to the new processes and evaluating the need for additional resources.</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Management believes that the measures described above will remediate the identified material weakness and strengthen the Company’s internal control over financial reporting. Management has begun to take these actions to remediate the material weakness and may take additional measures to strengthen its internal control environment.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1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the disclosure in note 8 to our condensed consolidated financial statements, which disclosure is hereby incorporated herein by reference.</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The following risk factor is provided to update the risk factors previously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2019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COVID-19 and related risks could materially affect our financial position, results of operations and cash flows.</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The global spread of COVID-19 has created significant uncertainty and economic disruption. We have modified, and might further modify, our business practices as a result of the COVID-19 pandemic, the economic and social ramifications of the disease, and the societal and governmental responses in the communities in which we operate. See </w:t>
      </w:r>
      <w:r>
        <w:rPr>
          <w:rFonts w:ascii="Arial" w:cs="Arial" w:eastAsia="Arial" w:hAnsi="Arial"/>
          <w:sz w:val="17"/>
          <w:szCs w:val="17"/>
          <w:i w:val="1"/>
          <w:iCs w:val="1"/>
          <w:color w:val="auto"/>
        </w:rPr>
        <w:t>"Item 2. MD&amp;A—General Overview—Coronavirus (COVID-19)"</w:t>
      </w:r>
      <w:r>
        <w:rPr>
          <w:rFonts w:ascii="Arial" w:cs="Arial" w:eastAsia="Arial" w:hAnsi="Arial"/>
          <w:sz w:val="17"/>
          <w:szCs w:val="17"/>
          <w:color w:val="auto"/>
        </w:rPr>
        <w:t xml:space="preserve"> for further information. The extent to which the COVID-19 pandemic will affect our financial position, results of operations and cash flows is difficult to predict with certainty and depends on numerous evolving factors, including: the duration and scope of the pandemic; government, social, business and other actions that have been and will be taken in response to the pandemic; and the effect of the pandemic on short- and long-term general economic conditions. Among other things, COVID-19 and the Initiatives could (1) adversely affect the ability of our suppliers, vendors, and the Manager to provide products and services to us; (2) result in decreased demand for our sites; and (3) make it more difficult for us and the Manager to serve our tenants, including as a result of delays or suspensions in the issuance of permits or other authorizations needed to conduct our business. The potential effects of COVID-19 could also heighten the risks disclosed in many of our risk factors that are included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 in our 2019 Form 10-K. Due to the speed with which the situation is developing and factors beyond our knowledge or control, including the duration and severity of COVID-19, as well as third-party actions taken to contain its spread and mitigate its public health effects, at this time we cannot estimate or predict with certainty the impact of COVID-19, the Initiatives, or the measures we take in response thereto on our financial position, results of operations and cash flows, particularly over the near to medium term, but the impact could be material.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5"/>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560" w:type="dxa"/>
            <w:vAlign w:val="bottom"/>
            <w:gridSpan w:val="3"/>
          </w:tcPr>
          <w:p>
            <w:pPr>
              <w:ind w:left="2600"/>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180" w:type="dxa"/>
            <w:vAlign w:val="bottom"/>
            <w:gridSpan w:val="3"/>
          </w:tcPr>
          <w:p>
            <w:pPr>
              <w:ind w:left="700"/>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10140" w:type="dxa"/>
            <w:vAlign w:val="bottom"/>
            <w:gridSpan w:val="5"/>
          </w:tcPr>
          <w:p>
            <w:pPr>
              <w:ind w:left="70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Certificate of Formation, as amended, of CC Holdings GS V LLC</w:t>
              </w:r>
            </w:hyperlink>
          </w:p>
        </w:tc>
      </w:tr>
      <w:tr>
        <w:trPr>
          <w:trHeight w:val="391"/>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10140" w:type="dxa"/>
            <w:vAlign w:val="bottom"/>
            <w:gridSpan w:val="5"/>
          </w:tcPr>
          <w:p>
            <w:pPr>
              <w:ind w:left="70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Second Amended and Restated Limited Liability Company Agreement of CC Holdings GS V LLC</w:t>
              </w:r>
            </w:hyperlink>
          </w:p>
        </w:tc>
      </w:tr>
      <w:tr>
        <w:trPr>
          <w:trHeight w:val="39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500" w:type="dxa"/>
            <w:vAlign w:val="bottom"/>
          </w:tcPr>
          <w:p>
            <w:pPr>
              <w:ind w:left="80"/>
              <w:spacing w:after="0"/>
              <w:rPr>
                <w:sz w:val="20"/>
                <w:szCs w:val="20"/>
                <w:color w:val="auto"/>
              </w:rPr>
            </w:pPr>
            <w:r>
              <w:rPr>
                <w:rFonts w:ascii="Arial" w:cs="Arial" w:eastAsia="Arial" w:hAnsi="Arial"/>
                <w:sz w:val="18"/>
                <w:szCs w:val="18"/>
                <w:color w:val="auto"/>
              </w:rPr>
              <w:t>22</w:t>
            </w:r>
          </w:p>
        </w:tc>
        <w:tc>
          <w:tcPr>
            <w:tcW w:w="10140" w:type="dxa"/>
            <w:vAlign w:val="bottom"/>
            <w:gridSpan w:val="5"/>
          </w:tcPr>
          <w:p>
            <w:pPr>
              <w:ind w:left="70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List of Subsidiaries</w:t>
              </w:r>
            </w:hyperlink>
          </w:p>
        </w:tc>
      </w:tr>
      <w:tr>
        <w:trPr>
          <w:trHeight w:val="391"/>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10140" w:type="dxa"/>
            <w:vAlign w:val="bottom"/>
            <w:gridSpan w:val="5"/>
          </w:tcPr>
          <w:p>
            <w:pPr>
              <w:ind w:left="70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Certification of Chief Executive Officer pursuant to Section 302 of Sarbanes-Oxley Act of 2002</w:t>
              </w:r>
            </w:hyperlink>
          </w:p>
        </w:tc>
      </w:tr>
      <w:tr>
        <w:trPr>
          <w:trHeight w:val="39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10140" w:type="dxa"/>
            <w:vAlign w:val="bottom"/>
            <w:gridSpan w:val="5"/>
          </w:tcPr>
          <w:p>
            <w:pPr>
              <w:ind w:left="7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Certification of Chief Financial Officer pursuant to Section 302 of Sarbanes-Oxley Act of 2002</w:t>
              </w:r>
            </w:hyperlink>
          </w:p>
        </w:tc>
      </w:tr>
      <w:tr>
        <w:trPr>
          <w:trHeight w:val="391"/>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10140" w:type="dxa"/>
            <w:vAlign w:val="bottom"/>
            <w:gridSpan w:val="5"/>
          </w:tcPr>
          <w:p>
            <w:pPr>
              <w:ind w:left="700"/>
              <w:spacing w:after="0"/>
              <w:rPr>
                <w:rFonts w:ascii="Arial" w:cs="Arial" w:eastAsia="Arial" w:hAnsi="Arial"/>
                <w:sz w:val="18"/>
                <w:szCs w:val="18"/>
                <w:u w:val="single" w:color="auto"/>
                <w:color w:val="0000FF"/>
                <w:w w:val="97"/>
              </w:rPr>
            </w:pPr>
            <w:hyperlink w:anchor="page24">
              <w:r>
                <w:rPr>
                  <w:rFonts w:ascii="Arial" w:cs="Arial" w:eastAsia="Arial" w:hAnsi="Arial"/>
                  <w:sz w:val="18"/>
                  <w:szCs w:val="18"/>
                  <w:u w:val="single" w:color="auto"/>
                  <w:color w:val="0000FF"/>
                  <w:w w:val="97"/>
                </w:rPr>
                <w:t>Certification of Chief Executive Officer and Chief Financial Officer pursuant to Section 906 of Sarbanes-Oxley Act of 2002</w:t>
              </w:r>
            </w:hyperlink>
          </w:p>
        </w:tc>
      </w:tr>
      <w:tr>
        <w:trPr>
          <w:trHeight w:val="360"/>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101</w:t>
            </w:r>
          </w:p>
        </w:tc>
        <w:tc>
          <w:tcPr>
            <w:tcW w:w="10140" w:type="dxa"/>
            <w:vAlign w:val="bottom"/>
            <w:gridSpan w:val="5"/>
          </w:tcPr>
          <w:p>
            <w:pPr>
              <w:ind w:left="700"/>
              <w:spacing w:after="0"/>
              <w:rPr>
                <w:sz w:val="20"/>
                <w:szCs w:val="20"/>
                <w:color w:val="auto"/>
              </w:rPr>
            </w:pPr>
            <w:r>
              <w:rPr>
                <w:rFonts w:ascii="Arial" w:cs="Arial" w:eastAsia="Arial" w:hAnsi="Arial"/>
                <w:sz w:val="17"/>
                <w:szCs w:val="17"/>
                <w:color w:val="auto"/>
                <w:w w:val="92"/>
              </w:rPr>
              <w:t>The following financial statements from CC Holdings GS V LLC's Quarterly Report on Form 10-Q for the quarter ended March 30, 2020,</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40" w:type="dxa"/>
            <w:vAlign w:val="bottom"/>
            <w:gridSpan w:val="5"/>
          </w:tcPr>
          <w:p>
            <w:pPr>
              <w:ind w:left="700"/>
              <w:spacing w:after="0"/>
              <w:rPr>
                <w:sz w:val="20"/>
                <w:szCs w:val="20"/>
                <w:color w:val="auto"/>
              </w:rPr>
            </w:pPr>
            <w:r>
              <w:rPr>
                <w:rFonts w:ascii="Arial" w:cs="Arial" w:eastAsia="Arial" w:hAnsi="Arial"/>
                <w:sz w:val="17"/>
                <w:szCs w:val="17"/>
                <w:color w:val="auto"/>
              </w:rPr>
              <w:t>formatted in Inline XBRL: (i) Condensed Consolidated Balance Sheet, (ii) Condensed Consolidated Statement of Operations,</w:t>
            </w:r>
          </w:p>
        </w:tc>
      </w:tr>
    </w:tbl>
    <w:p>
      <w:pPr>
        <w:ind w:left="1620" w:right="280" w:hanging="6"/>
        <w:spacing w:after="0" w:line="257" w:lineRule="auto"/>
        <w:tabs>
          <w:tab w:leader="none" w:pos="1919"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Condensed Consolidated Statement of Cash Flows, (iv) Condensed Consolidated Statement of Changes of Member's Equity, and (v) Notes to Condensed Consolidated Financial Statements, tagged as blocks of text and including detailed tags</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   104</w:t>
            </w:r>
          </w:p>
        </w:tc>
        <w:tc>
          <w:tcPr>
            <w:tcW w:w="9880" w:type="dxa"/>
            <w:vAlign w:val="bottom"/>
          </w:tcPr>
          <w:p>
            <w:pPr>
              <w:ind w:left="440"/>
              <w:spacing w:after="0"/>
              <w:rPr>
                <w:sz w:val="20"/>
                <w:szCs w:val="20"/>
                <w:color w:val="auto"/>
              </w:rPr>
            </w:pPr>
            <w:r>
              <w:rPr>
                <w:rFonts w:ascii="Arial" w:cs="Arial" w:eastAsia="Arial" w:hAnsi="Arial"/>
                <w:sz w:val="17"/>
                <w:szCs w:val="17"/>
                <w:color w:val="auto"/>
                <w:w w:val="92"/>
              </w:rPr>
              <w:t>The cover page from CC Holdings GS V LLC's Quarterly Report on Form 10-Q for the quarter ended March 30, 2020, formatted in Inline</w:t>
            </w:r>
          </w:p>
        </w:tc>
      </w:tr>
      <w:tr>
        <w:trPr>
          <w:trHeight w:val="216"/>
        </w:trPr>
        <w:tc>
          <w:tcPr>
            <w:tcW w:w="980" w:type="dxa"/>
            <w:vAlign w:val="bottom"/>
          </w:tcPr>
          <w:p>
            <w:pPr>
              <w:spacing w:after="0"/>
              <w:rPr>
                <w:sz w:val="18"/>
                <w:szCs w:val="18"/>
                <w:color w:val="auto"/>
              </w:rPr>
            </w:pPr>
          </w:p>
        </w:tc>
        <w:tc>
          <w:tcPr>
            <w:tcW w:w="9880" w:type="dxa"/>
            <w:vAlign w:val="bottom"/>
          </w:tcPr>
          <w:p>
            <w:pPr>
              <w:ind w:left="440"/>
              <w:spacing w:after="0"/>
              <w:rPr>
                <w:sz w:val="20"/>
                <w:szCs w:val="20"/>
                <w:color w:val="auto"/>
              </w:rPr>
            </w:pPr>
            <w:r>
              <w:rPr>
                <w:rFonts w:ascii="Arial" w:cs="Arial" w:eastAsia="Arial" w:hAnsi="Arial"/>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105410</wp:posOffset>
            </wp:positionV>
            <wp:extent cx="91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54"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Form S-4 (Registration No. 333-187970) on April 17, 2013.</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Annual Report on Form 10-K for the year ended December 31, 2019.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99"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140"/>
        <w:spacing w:after="0"/>
        <w:tabs>
          <w:tab w:leader="none" w:pos="5800" w:val="left"/>
          <w:tab w:leader="none" w:pos="730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2503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8"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140"/>
        <w:spacing w:after="0"/>
        <w:tabs>
          <w:tab w:leader="none" w:pos="5800" w:val="left"/>
          <w:tab w:leader="none" w:pos="74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25031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8"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(Principal Accounting Officer)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00" w:hanging="644"/>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20" w:hanging="644"/>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0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4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34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2931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320" w:top="55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00" w:hanging="644"/>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20" w:hanging="644"/>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0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4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34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2143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20"/>
          </w:cols>
          <w:pgMar w:left="320" w:top="55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March 31, 2020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March 31, 2020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6347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May 6, 2020</w:t>
      </w:r>
    </w:p>
    <w:p>
      <w:pPr>
        <w:spacing w:after="0" w:line="33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634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May 6,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3"/>
    </w:lvl>
  </w:abstractNum>
  <w:abstractNum w:abstractNumId="1">
    <w:nsid w:val="519B500D"/>
    <w:multiLevelType w:val="hybridMultilevel"/>
    <w:lvl w:ilvl="0">
      <w:lvlJc w:val="left"/>
      <w:lvlText w:val="%1"/>
      <w:numFmt w:val="upperLetter"/>
      <w:start w:val="29"/>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decimal"/>
      <w:start w:val="424"/>
    </w:lvl>
  </w:abstractNum>
  <w:abstractNum w:abstractNumId="4">
    <w:nsid w:val="7C83E458"/>
    <w:multiLevelType w:val="hybridMultilevel"/>
    <w:lvl w:ilvl="0">
      <w:lvlJc w:val="left"/>
      <w:lvlText w:val="(%1)"/>
      <w:numFmt w:val="decimal"/>
      <w:start w:val="106"/>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decimal"/>
      <w:start w:val="3"/>
    </w:lvl>
  </w:abstractNum>
  <w:abstractNum w:abstractNumId="14">
    <w:nsid w:val="75A2A8D4"/>
    <w:multiLevelType w:val="hybridMultilevel"/>
    <w:lvl w:ilvl="0">
      <w:lvlJc w:val="left"/>
      <w:lvlText w:val="%1."/>
      <w:numFmt w:val="decimal"/>
      <w:start w:val="4"/>
    </w:lvl>
  </w:abstractNum>
  <w:abstractNum w:abstractNumId="15">
    <w:nsid w:val="8EDBDAB"/>
    <w:multiLevelType w:val="hybridMultilevel"/>
    <w:lvl w:ilvl="0">
      <w:lvlJc w:val="left"/>
      <w:lvlText w:val="%1."/>
      <w:numFmt w:val="decimal"/>
      <w:start w:val="5"/>
    </w:lvl>
  </w:abstractNum>
  <w:abstractNum w:abstractNumId="16">
    <w:nsid w:val="79838CB2"/>
    <w:multiLevelType w:val="hybridMultilevel"/>
    <w:lvl w:ilvl="0">
      <w:lvlJc w:val="left"/>
      <w:lvlText w:val="%1."/>
      <w:numFmt w:val="decimal"/>
      <w:start w:val="6"/>
    </w:lvl>
  </w:abstractNum>
  <w:abstractNum w:abstractNumId="17">
    <w:nsid w:val="4353D0CD"/>
    <w:multiLevelType w:val="hybridMultilevel"/>
    <w:lvl w:ilvl="0">
      <w:lvlJc w:val="left"/>
      <w:lvlText w:val="%1."/>
      <w:numFmt w:val="decimal"/>
      <w:start w:val="7"/>
    </w:lvl>
  </w:abstractNum>
  <w:abstractNum w:abstractNumId="18">
    <w:nsid w:val="B03E0C6"/>
    <w:multiLevelType w:val="hybridMultilevel"/>
    <w:lvl w:ilvl="0">
      <w:lvlJc w:val="left"/>
      <w:lvlText w:val="%1."/>
      <w:numFmt w:val="decimal"/>
      <w:start w:val="8"/>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Roman"/>
      <w:start w:val="3"/>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26" Type="http://schemas.openxmlformats.org/officeDocument/2006/relationships/hyperlink" Target="http://www.sec.gov/Archives/edgar/data/1574211/000119312513158983/d519395dex31.htm" TargetMode="External"/><Relationship Id="rId27" Type="http://schemas.openxmlformats.org/officeDocument/2006/relationships/hyperlink" Target="http://www.sec.gov/Archives/edgar/data/1574211/000119312513158983/d519395dex32.htm" TargetMode="External"/><Relationship Id="rId28" Type="http://schemas.openxmlformats.org/officeDocument/2006/relationships/hyperlink" Target="https://www.sec.gov/Archives/edgar/data/1574291/000157429120000008/gsvexhibit22123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2020-05-06T15:29:45Z</dcterms:created>
  <dcterms:modified xsi:type="dcterms:W3CDTF">2020-05-06T15:29:45Z</dcterms:modified>
</cp:coreProperties>
</file>