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8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1" w:lineRule="exact"/>
        <w:rPr>
          <w:sz w:val="24"/>
          <w:szCs w:val="24"/>
          <w:color w:val="auto"/>
        </w:rPr>
      </w:pPr>
    </w:p>
    <w:p>
      <w:pPr>
        <w:ind w:left="1620" w:hanging="595"/>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1620" w:hanging="595"/>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9"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57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7"/>
        </w:trPr>
        <w:tc>
          <w:tcPr>
            <w:tcW w:w="6880" w:type="dxa"/>
            <w:vAlign w:val="bottom"/>
            <w:gridSpan w:val="4"/>
          </w:tcPr>
          <w:p>
            <w:pPr>
              <w:jc w:val="center"/>
              <w:ind w:left="3443"/>
              <w:spacing w:after="0"/>
              <w:rPr>
                <w:sz w:val="20"/>
                <w:szCs w:val="20"/>
                <w:color w:val="auto"/>
              </w:rPr>
            </w:pPr>
            <w:r>
              <w:rPr>
                <w:rFonts w:ascii="Times New Roman" w:cs="Times New Roman" w:eastAsia="Times New Roman" w:hAnsi="Times New Roman"/>
                <w:sz w:val="18"/>
                <w:szCs w:val="18"/>
                <w:b w:val="1"/>
                <w:bCs w:val="1"/>
                <w:color w:val="auto"/>
                <w:w w:val="99"/>
              </w:rPr>
              <w:t>Commission File Number 333-187970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0"/>
        </w:trPr>
        <w:tc>
          <w:tcPr>
            <w:tcW w:w="62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71"/>
        </w:trPr>
        <w:tc>
          <w:tcPr>
            <w:tcW w:w="7300" w:type="dxa"/>
            <w:vAlign w:val="bottom"/>
            <w:gridSpan w:val="6"/>
          </w:tcPr>
          <w:p>
            <w:pPr>
              <w:jc w:val="center"/>
              <w:ind w:left="3023"/>
              <w:spacing w:after="0"/>
              <w:rPr>
                <w:sz w:val="20"/>
                <w:szCs w:val="20"/>
                <w:color w:val="auto"/>
              </w:rPr>
            </w:pPr>
            <w:r>
              <w:rPr>
                <w:rFonts w:ascii="Times New Roman" w:cs="Times New Roman" w:eastAsia="Times New Roman" w:hAnsi="Times New Roman"/>
                <w:sz w:val="32"/>
                <w:szCs w:val="32"/>
                <w:b w:val="1"/>
                <w:bCs w:val="1"/>
                <w:color w:val="auto"/>
              </w:rPr>
              <w:t>CC HOLDINGS GS V LLC</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7300" w:type="dxa"/>
            <w:vAlign w:val="bottom"/>
            <w:gridSpan w:val="6"/>
          </w:tcPr>
          <w:p>
            <w:pPr>
              <w:jc w:val="center"/>
              <w:ind w:left="304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40"/>
        </w:trPr>
        <w:tc>
          <w:tcPr>
            <w:tcW w:w="62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26"/>
        </w:trPr>
        <w:tc>
          <w:tcPr>
            <w:tcW w:w="6260" w:type="dxa"/>
            <w:vAlign w:val="bottom"/>
            <w:gridSpan w:val="2"/>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20-4300339</w:t>
            </w:r>
          </w:p>
        </w:tc>
      </w:tr>
      <w:tr>
        <w:trPr>
          <w:trHeight w:val="128"/>
        </w:trPr>
        <w:tc>
          <w:tcPr>
            <w:tcW w:w="6260" w:type="dxa"/>
            <w:vAlign w:val="bottom"/>
            <w:gridSpan w:val="2"/>
          </w:tcPr>
          <w:p>
            <w:pPr>
              <w:jc w:val="center"/>
              <w:ind w:right="17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left="233"/>
              <w:spacing w:after="0" w:line="128"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6260" w:type="dxa"/>
            <w:vAlign w:val="bottom"/>
            <w:gridSpan w:val="2"/>
          </w:tcPr>
          <w:p>
            <w:pPr>
              <w:jc w:val="center"/>
              <w:ind w:right="1720"/>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408"/>
        </w:trPr>
        <w:tc>
          <w:tcPr>
            <w:tcW w:w="7680" w:type="dxa"/>
            <w:vAlign w:val="bottom"/>
            <w:gridSpan w:val="7"/>
          </w:tcPr>
          <w:p>
            <w:pPr>
              <w:jc w:val="center"/>
              <w:ind w:left="2643"/>
              <w:spacing w:after="0"/>
              <w:rPr>
                <w:sz w:val="20"/>
                <w:szCs w:val="20"/>
                <w:color w:val="auto"/>
              </w:rPr>
            </w:pPr>
            <w:r>
              <w:rPr>
                <w:rFonts w:ascii="Times New Roman" w:cs="Times New Roman" w:eastAsia="Times New Roman" w:hAnsi="Times New Roman"/>
                <w:sz w:val="18"/>
                <w:szCs w:val="18"/>
                <w:b w:val="1"/>
                <w:bCs w:val="1"/>
                <w:color w:val="auto"/>
                <w:w w:val="99"/>
              </w:rPr>
              <w:t>1220 Augusta Drive, Suite 600, Houston, Texas 77057-2261</w:t>
            </w:r>
          </w:p>
        </w:tc>
        <w:tc>
          <w:tcPr>
            <w:tcW w:w="920" w:type="dxa"/>
            <w:vAlign w:val="bottom"/>
          </w:tcPr>
          <w:p>
            <w:pPr>
              <w:spacing w:after="0"/>
              <w:rPr>
                <w:sz w:val="24"/>
                <w:szCs w:val="24"/>
                <w:color w:val="auto"/>
              </w:rPr>
            </w:pPr>
          </w:p>
        </w:tc>
      </w:tr>
      <w:tr>
        <w:trPr>
          <w:trHeight w:val="166"/>
        </w:trPr>
        <w:tc>
          <w:tcPr>
            <w:tcW w:w="6880" w:type="dxa"/>
            <w:vAlign w:val="bottom"/>
            <w:gridSpan w:val="4"/>
          </w:tcPr>
          <w:p>
            <w:pPr>
              <w:jc w:val="center"/>
              <w:ind w:left="346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14"/>
        </w:trPr>
        <w:tc>
          <w:tcPr>
            <w:tcW w:w="5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(713) 570-3000</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6880" w:type="dxa"/>
            <w:vAlign w:val="bottom"/>
            <w:gridSpan w:val="4"/>
          </w:tcPr>
          <w:p>
            <w:pPr>
              <w:jc w:val="center"/>
              <w:ind w:left="3403"/>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83"/>
        </w:trPr>
        <w:tc>
          <w:tcPr>
            <w:tcW w:w="7300" w:type="dxa"/>
            <w:vAlign w:val="bottom"/>
            <w:gridSpan w:val="6"/>
          </w:tcPr>
          <w:p>
            <w:pPr>
              <w:jc w:val="center"/>
              <w:ind w:left="304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300" w:type="dxa"/>
            <w:vAlign w:val="bottom"/>
            <w:gridSpan w:val="6"/>
          </w:tcPr>
          <w:p>
            <w:pPr>
              <w:jc w:val="center"/>
              <w:ind w:left="302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4"/>
        </w:trPr>
        <w:tc>
          <w:tcPr>
            <w:tcW w:w="6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______________________________________</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Yes</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w:t>
            </w:r>
          </w:p>
        </w:tc>
        <w:tc>
          <w:tcPr>
            <w:tcW w:w="920" w:type="dxa"/>
            <w:vAlign w:val="bottom"/>
          </w:tcPr>
          <w:p>
            <w:pPr>
              <w:spacing w:after="0"/>
              <w:rPr>
                <w:sz w:val="20"/>
                <w:szCs w:val="20"/>
                <w:color w:val="auto"/>
              </w:rPr>
            </w:pPr>
            <w:r>
              <w:rPr>
                <w:rFonts w:ascii="Arial" w:cs="Arial" w:eastAsia="Arial" w:hAnsi="Arial"/>
                <w:sz w:val="14"/>
                <w:szCs w:val="14"/>
                <w:color w:val="auto"/>
              </w:rPr>
              <w:t>x</w:t>
            </w:r>
          </w:p>
        </w:tc>
      </w:tr>
      <w:tr>
        <w:trPr>
          <w:trHeight w:val="230"/>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380" w:type="dxa"/>
            <w:vAlign w:val="bottom"/>
          </w:tcPr>
          <w:p>
            <w:pPr>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No</w:t>
            </w:r>
          </w:p>
        </w:tc>
        <w:tc>
          <w:tcPr>
            <w:tcW w:w="920" w:type="dxa"/>
            <w:vAlign w:val="bottom"/>
          </w:tcPr>
          <w:p>
            <w:pPr>
              <w:spacing w:after="0"/>
              <w:rPr>
                <w:sz w:val="19"/>
                <w:szCs w:val="19"/>
                <w:color w:val="auto"/>
              </w:rPr>
            </w:pPr>
          </w:p>
        </w:tc>
      </w:tr>
    </w:tbl>
    <w:p>
      <w:pPr>
        <w:spacing w:after="0" w:line="53" w:lineRule="exact"/>
        <w:rPr>
          <w:sz w:val="24"/>
          <w:szCs w:val="24"/>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w:t>
      </w:r>
    </w:p>
    <w:p>
      <w:pPr>
        <w:spacing w:after="0" w:line="8" w:lineRule="exact"/>
        <w:rPr>
          <w:sz w:val="24"/>
          <w:szCs w:val="24"/>
          <w:color w:val="auto"/>
        </w:rPr>
      </w:pPr>
    </w:p>
    <w:p>
      <w:pPr>
        <w:jc w:val="both"/>
        <w:ind w:firstLine="405"/>
        <w:spacing w:after="0" w:line="263" w:lineRule="auto"/>
        <w:rPr>
          <w:sz w:val="20"/>
          <w:szCs w:val="20"/>
          <w:color w:val="auto"/>
        </w:rPr>
      </w:pPr>
      <w:r>
        <w:rPr>
          <w:rFonts w:ascii="Times New Roman" w:cs="Times New Roman" w:eastAsia="Times New Roman" w:hAnsi="Times New Roman"/>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26" w:lineRule="exact"/>
        <w:rPr>
          <w:sz w:val="24"/>
          <w:szCs w:val="24"/>
          <w:color w:val="auto"/>
        </w:rPr>
      </w:pPr>
    </w:p>
    <w:p>
      <w:pPr>
        <w:jc w:val="both"/>
        <w:ind w:firstLine="405"/>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w:t>
      </w:r>
    </w:p>
    <w:p>
      <w:pPr>
        <w:spacing w:after="0" w:line="23" w:lineRule="exact"/>
        <w:rPr>
          <w:sz w:val="24"/>
          <w:szCs w:val="24"/>
          <w:color w:val="auto"/>
        </w:rPr>
      </w:pPr>
    </w:p>
    <w:p>
      <w:pPr>
        <w:jc w:val="both"/>
        <w:ind w:firstLine="405"/>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a "large accelerated filer," "accelerated filer," "smaller reporting company," and "emerging growth company" in rule 12b-2 of the Exchange Act.</w:t>
      </w:r>
    </w:p>
    <w:p>
      <w:pPr>
        <w:spacing w:after="0" w:line="3" w:lineRule="exact"/>
        <w:rPr>
          <w:sz w:val="24"/>
          <w:szCs w:val="24"/>
          <w:color w:val="auto"/>
        </w:rPr>
      </w:pPr>
    </w:p>
    <w:p>
      <w:pPr>
        <w:ind w:left="420"/>
        <w:spacing w:after="0" w:line="162" w:lineRule="exact"/>
        <w:tabs>
          <w:tab w:leader="none" w:pos="2060" w:val="left"/>
          <w:tab w:leader="none" w:pos="3360" w:val="left"/>
          <w:tab w:leader="none" w:pos="67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91" w:lineRule="exact"/>
        <w:rPr>
          <w:sz w:val="24"/>
          <w:szCs w:val="24"/>
          <w:color w:val="auto"/>
        </w:rPr>
      </w:pPr>
    </w:p>
    <w:p>
      <w:pPr>
        <w:ind w:right="160" w:firstLine="405"/>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7" w:lineRule="exact"/>
        <w:rPr>
          <w:sz w:val="24"/>
          <w:szCs w:val="24"/>
          <w:color w:val="auto"/>
        </w:rPr>
      </w:pPr>
    </w:p>
    <w:p>
      <w:pPr>
        <w:ind w:firstLine="405"/>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420" w:right="306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As of December 31, 2020, the only member of the registrant is a wholly owned indirect subsidiary of Crown Castle International Corp.</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NONE.</w:t>
      </w:r>
    </w:p>
    <w:p>
      <w:pPr>
        <w:spacing w:after="0" w:line="57"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4"/>
          <w:szCs w:val="14"/>
          <w:color w:val="auto"/>
        </w:rPr>
        <w:t>The registrant is a wholly owned indirect subsidiary of Crown Castle International Corp. and meets the conditions set forth in General Instructions (I)(1)(a) and (b) for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CC HOLDINGS GS V LLC</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0"/>
            <w:vMerge w:val="restart"/>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gridSpan w:val="10"/>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1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580" w:type="dxa"/>
            <w:vAlign w:val="bottom"/>
            <w:tcBorders>
              <w:top w:val="single" w:sz="8" w:color="auto"/>
            </w:tcBorders>
            <w:gridSpan w:val="2"/>
          </w:tcPr>
          <w:p>
            <w:pPr>
              <w:spacing w:after="0"/>
              <w:rPr>
                <w:sz w:val="18"/>
                <w:szCs w:val="18"/>
                <w:color w:val="auto"/>
              </w:rPr>
            </w:pPr>
          </w:p>
        </w:tc>
        <w:tc>
          <w:tcPr>
            <w:tcW w:w="4180" w:type="dxa"/>
            <w:vAlign w:val="bottom"/>
            <w:gridSpan w:val="7"/>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7"/>
              </w:rPr>
              <w:t>Risk Factors</w:t>
            </w:r>
          </w:p>
        </w:tc>
        <w:tc>
          <w:tcPr>
            <w:tcW w:w="8020" w:type="dxa"/>
            <w:vAlign w:val="bottom"/>
            <w:gridSpan w:val="20"/>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w w:val="98"/>
              </w:rPr>
              <w:t>Unresolved Staff Comments</w:t>
            </w:r>
          </w:p>
        </w:tc>
        <w:tc>
          <w:tcPr>
            <w:tcW w:w="6880" w:type="dxa"/>
            <w:vAlign w:val="bottom"/>
            <w:gridSpan w:val="16"/>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5"/>
              </w:rPr>
              <w:t>Properties</w:t>
            </w:r>
          </w:p>
        </w:tc>
        <w:tc>
          <w:tcPr>
            <w:tcW w:w="8200" w:type="dxa"/>
            <w:vAlign w:val="bottom"/>
            <w:gridSpan w:val="21"/>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414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13</w:t>
              </w:r>
            </w:hyperlink>
          </w:p>
        </w:tc>
        <w:tc>
          <w:tcPr>
            <w:tcW w:w="0" w:type="dxa"/>
            <w:vAlign w:val="bottom"/>
          </w:tcPr>
          <w:p>
            <w:pPr>
              <w:spacing w:after="0"/>
              <w:rPr>
                <w:sz w:val="1"/>
                <w:szCs w:val="1"/>
                <w:color w:val="auto"/>
              </w:rPr>
            </w:pPr>
          </w:p>
        </w:tc>
      </w:tr>
      <w:tr>
        <w:trPr>
          <w:trHeight w:val="245"/>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auto"/>
            </w:tcBorders>
            <w:gridSpan w:val="22"/>
          </w:tcPr>
          <w:p>
            <w:pPr>
              <w:ind w:left="20"/>
              <w:spacing w:after="0"/>
              <w:rPr>
                <w:rFonts w:ascii="Times New Roman" w:cs="Times New Roman" w:eastAsia="Times New Roman" w:hAnsi="Times New Roman"/>
                <w:sz w:val="18"/>
                <w:szCs w:val="18"/>
                <w:u w:val="single" w:color="auto"/>
                <w:color w:val="auto"/>
              </w:rPr>
            </w:pPr>
            <w:hyperlink w:anchor="page13">
              <w:r>
                <w:rPr>
                  <w:rFonts w:ascii="Times New Roman" w:cs="Times New Roman" w:eastAsia="Times New Roman" w:hAnsi="Times New Roman"/>
                  <w:sz w:val="18"/>
                  <w:szCs w:val="18"/>
                  <w:u w:val="single" w:color="auto"/>
                  <w:color w:val="auto"/>
                </w:rPr>
                <w:t>Selected Financial Data</w:t>
              </w:r>
            </w:hyperlink>
          </w:p>
        </w:tc>
        <w:tc>
          <w:tcPr>
            <w:tcW w:w="880" w:type="dxa"/>
            <w:vAlign w:val="bottom"/>
          </w:tcPr>
          <w:p>
            <w:pPr>
              <w:spacing w:after="0"/>
              <w:rPr>
                <w:sz w:val="21"/>
                <w:szCs w:val="21"/>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13</w:t>
              </w:r>
            </w:hyperlink>
          </w:p>
        </w:tc>
        <w:tc>
          <w:tcPr>
            <w:tcW w:w="0" w:type="dxa"/>
            <w:vAlign w:val="bottom"/>
          </w:tcPr>
          <w:p>
            <w:pPr>
              <w:spacing w:after="0"/>
              <w:rPr>
                <w:sz w:val="1"/>
                <w:szCs w:val="1"/>
                <w:color w:val="auto"/>
              </w:rPr>
            </w:pPr>
          </w:p>
        </w:tc>
      </w:tr>
      <w:tr>
        <w:trPr>
          <w:trHeight w:val="194"/>
        </w:trPr>
        <w:tc>
          <w:tcPr>
            <w:tcW w:w="1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8940" w:type="dxa"/>
            <w:vAlign w:val="bottom"/>
            <w:gridSpan w:val="23"/>
          </w:tcPr>
          <w:p>
            <w:pPr>
              <w:ind w:left="20"/>
              <w:spacing w:after="0" w:line="194"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line="194" w:lineRule="exact"/>
              <w:rPr>
                <w:rFonts w:ascii="Times New Roman" w:cs="Times New Roman" w:eastAsia="Times New Roman" w:hAnsi="Times New Roman"/>
                <w:sz w:val="18"/>
                <w:szCs w:val="18"/>
                <w:u w:val="single" w:color="auto"/>
                <w:color w:val="0000FF"/>
              </w:rPr>
            </w:pPr>
            <w:hyperlink w:anchor="page13">
              <w:r>
                <w:rPr>
                  <w:rFonts w:ascii="Times New Roman" w:cs="Times New Roman" w:eastAsia="Times New Roman" w:hAnsi="Times New Roman"/>
                  <w:sz w:val="18"/>
                  <w:szCs w:val="18"/>
                  <w:u w:val="single" w:color="auto"/>
                  <w:color w:val="0000FF"/>
                </w:rPr>
                <w:t>13</w:t>
              </w:r>
            </w:hyperlink>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auto"/>
            </w:tcBorders>
            <w:gridSpan w:val="20"/>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500" w:type="dxa"/>
            <w:vAlign w:val="bottom"/>
            <w:gridSpan w:val="3"/>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22</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auto"/>
              <w:bottom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auto"/>
            </w:tcBorders>
            <w:gridSpan w:val="5"/>
          </w:tcPr>
          <w:p>
            <w:pPr>
              <w:spacing w:after="0"/>
              <w:rPr>
                <w:sz w:val="18"/>
                <w:szCs w:val="18"/>
                <w:color w:val="auto"/>
              </w:rPr>
            </w:pPr>
          </w:p>
        </w:tc>
        <w:tc>
          <w:tcPr>
            <w:tcW w:w="4580" w:type="dxa"/>
            <w:vAlign w:val="bottom"/>
            <w:gridSpan w:val="8"/>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23</w:t>
              </w:r>
            </w:hyperlink>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auto"/>
            </w:tcBorders>
            <w:gridSpan w:val="21"/>
          </w:tcPr>
          <w:p>
            <w:pPr>
              <w:ind w:left="20"/>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420" w:type="dxa"/>
            <w:vAlign w:val="bottom"/>
            <w:gridSpan w:val="2"/>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41</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w w:val="98"/>
              </w:rPr>
              <w:t>Controls and Procedures</w:t>
            </w:r>
          </w:p>
        </w:tc>
        <w:tc>
          <w:tcPr>
            <w:tcW w:w="7160" w:type="dxa"/>
            <w:vAlign w:val="bottom"/>
            <w:gridSpan w:val="17"/>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41</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10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9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43</w:t>
              </w:r>
            </w:hyperlink>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11"/>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1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700" w:type="dxa"/>
            <w:vAlign w:val="bottom"/>
            <w:tcBorders>
              <w:top w:val="single" w:sz="8" w:color="auto"/>
            </w:tcBorders>
            <w:gridSpan w:val="6"/>
          </w:tcPr>
          <w:p>
            <w:pPr>
              <w:spacing w:after="0"/>
              <w:rPr>
                <w:sz w:val="18"/>
                <w:szCs w:val="18"/>
                <w:color w:val="auto"/>
              </w:rPr>
            </w:pPr>
          </w:p>
        </w:tc>
        <w:tc>
          <w:tcPr>
            <w:tcW w:w="4120" w:type="dxa"/>
            <w:vAlign w:val="bottom"/>
            <w:gridSpan w:val="5"/>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44</w:t>
              </w:r>
            </w:hyperlink>
          </w:p>
        </w:tc>
        <w:tc>
          <w:tcPr>
            <w:tcW w:w="0" w:type="dxa"/>
            <w:vAlign w:val="bottom"/>
          </w:tcPr>
          <w:p>
            <w:pPr>
              <w:spacing w:after="0"/>
              <w:rPr>
                <w:sz w:val="1"/>
                <w:szCs w:val="1"/>
                <w:color w:val="auto"/>
              </w:rPr>
            </w:pPr>
          </w:p>
        </w:tc>
      </w:tr>
      <w:tr>
        <w:trPr>
          <w:trHeight w:val="209"/>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Form 10-K Summary</w:t>
            </w:r>
          </w:p>
        </w:tc>
        <w:tc>
          <w:tcPr>
            <w:tcW w:w="6040" w:type="dxa"/>
            <w:vAlign w:val="bottom"/>
            <w:gridSpan w:val="14"/>
          </w:tcPr>
          <w:p>
            <w:pPr>
              <w:spacing w:after="0"/>
              <w:rPr>
                <w:sz w:val="18"/>
                <w:szCs w:val="18"/>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45</w:t>
              </w:r>
            </w:hyperlink>
          </w:p>
        </w:tc>
        <w:tc>
          <w:tcPr>
            <w:tcW w:w="0" w:type="dxa"/>
            <w:vAlign w:val="bottom"/>
          </w:tcPr>
          <w:p>
            <w:pPr>
              <w:spacing w:after="0"/>
              <w:rPr>
                <w:sz w:val="1"/>
                <w:szCs w:val="1"/>
                <w:color w:val="auto"/>
              </w:rPr>
            </w:pPr>
          </w:p>
        </w:tc>
      </w:tr>
      <w:tr>
        <w:trPr>
          <w:trHeight w:val="48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Cautionary Language Regarding Forward-Looking Statements</w:t>
      </w:r>
    </w:p>
    <w:p>
      <w:pPr>
        <w:spacing w:after="0" w:line="31"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 xml:space="preserve">This Annual Report on Form 10-K for the year ended December 31, 2020 ("2020 Form 10-K") contains forward-looking statements that are based on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Such statements include plans, projections and estimates contained in </w:t>
      </w:r>
      <w:r>
        <w:rPr>
          <w:rFonts w:ascii="Times New Roman" w:cs="Times New Roman" w:eastAsia="Times New Roman" w:hAnsi="Times New Roman"/>
          <w:sz w:val="18"/>
          <w:szCs w:val="18"/>
          <w:i w:val="1"/>
          <w:iCs w:val="1"/>
          <w:color w:val="auto"/>
        </w:rPr>
        <w:t>"Item 1. Business," "Item 3. Legal Proceedings,"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("MD&amp;A"), and</w:t>
      </w:r>
      <w:r>
        <w:rPr>
          <w:rFonts w:ascii="Times New Roman" w:cs="Times New Roman" w:eastAsia="Times New Roman" w:hAnsi="Times New Roman"/>
          <w:sz w:val="18"/>
          <w:szCs w:val="18"/>
          <w:i w:val="1"/>
          <w:iCs w:val="1"/>
          <w:color w:val="auto"/>
        </w:rPr>
        <w:t xml:space="preserve"> "Item 7A. Quantitative and Qualitative Disclosures About Market Risk" </w:t>
      </w:r>
      <w:r>
        <w:rPr>
          <w:rFonts w:ascii="Times New Roman" w:cs="Times New Roman" w:eastAsia="Times New Roman" w:hAnsi="Times New Roman"/>
          <w:sz w:val="18"/>
          <w:szCs w:val="18"/>
          <w:color w:val="auto"/>
        </w:rPr>
        <w:t>herein. Such forward-looking statements include (1) anticipated growth in the wireless industry and demand for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including factors driving such demand, (2) demand for our towers, including factors driving such demand, and the potential benefits that may be derived therefrom, (3) the strength of the U.S. market for communications infrastructure, (4) availability and adequacy of cash flows and liquidity for, or plans regarding, future discretionary investments, including capital expenditures limitations created as a result of being a wholly owned indirect subsidiary of Crown Castle International Corp. ("CCIC" or "Crown Castle") and reliance on strategic decisions made by CCIC management that enable such discretionary investments, (5) potential benefits of our discretionary investments, (6) expected benefits of future potential spectrum auctions, (7) competitive factors affecting our business, (8) value which may be derived from our allocation of cash generated from our business, (9) debt maturities,</w:t>
      </w:r>
    </w:p>
    <w:p>
      <w:pPr>
        <w:spacing w:after="0" w:line="11" w:lineRule="exact"/>
        <w:rPr>
          <w:sz w:val="20"/>
          <w:szCs w:val="20"/>
          <w:color w:val="auto"/>
        </w:rPr>
      </w:pPr>
    </w:p>
    <w:p>
      <w:pPr>
        <w:jc w:val="both"/>
        <w:ind w:firstLine="8"/>
        <w:spacing w:after="0" w:line="237" w:lineRule="auto"/>
        <w:tabs>
          <w:tab w:leader="none" w:pos="3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sustaining capital expenditures, (11) CCIC's ability to remain qualified as a real estate investment trust ("REIT") and the advantages, benefits or impact of, or opportunities created by the inclusion of our assets and operations in CCIC's REIT, (12) impact of tenant consolidation or ownership changes, including the impact of the merger of T-Mobile and Sprint, (13) the potential effects of the restatement of our previously issued consolidated financial statements, (14) the potential impact of novel coronavirus (COVID-19) pandemic and (15) the potential impact of unforeseen events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Such forward-looking statements should, therefore, be considered in light of various risks, uncertainties and assumptions, including prevailing market conditions, risk factors described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herein and other factors. Should one or more of these risks or uncertainties materialize, or should underlying assumptions prove incorrect, actual results may vary materially from those expected.</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used herein, the term "including," and any variation thereof, means "including without limitation." The use of the word "or" herein is not exclusive. Unless this 2020 Form 10-K indicates otherwise or the context otherwise requires, the terms, "we," "our," or "us" as used in this 2020 Form 10-K refer to CC Holdings GS V LLC ("CCL") and its consolidated wholly owned subsidiaries (collectively, "Company"). The Company is a wholly owned subsidiary of Global Signal Operating Partnership, L.P. ("GSOP"), which is an indirect subsidiary of CCIC.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an indirect, wholly owned subsidiary of CCIC, which is one of the largest owners and operators in the United States ("U.S.") of shared communications infrastructure, including (1) towers and other structures, such as rooftops (collectively, "towers"), and (2) fiber primarily supporting small cell networks ("small cells") and fiber solutions. As of December 31, 2020, CCIC and its subsidiaries collectively owned, leased or managed approximately (1) 40,000 towers and (2) 80,000 route miles of fiber in the U.S., including Puerto Rico.</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core business is providing access, including space or capacity, to certain communications infrastructure sites ("sites") via long-term contracts in various forms, including lease, license and sublease agreements (collectively, "tenant contracts"). Our existing customers on our sites are referred to herein as "tenants." We seek to increase our site rental revenues through tenant additions or modifications of existing tenant installations (collectively, "tenant additions") on our sites, which we expect to result in significant incremental cash flows due to our low incremental operating costs. Our operating costs generally tend to escalate at approximately the rate of inflation and are not typically influenced by tenant additions.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certain information concerning our business and organizational structure:</w:t>
      </w:r>
    </w:p>
    <w:p>
      <w:pPr>
        <w:spacing w:after="0" w:line="27" w:lineRule="exact"/>
        <w:rPr>
          <w:sz w:val="20"/>
          <w:szCs w:val="20"/>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lease and manage approximately 7,600 sites.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63% and 78% of our sites are located in the 50 and 100 largest basic trading areas ("BTAs"), respectively.</w:t>
      </w:r>
    </w:p>
    <w:p>
      <w:pPr>
        <w:spacing w:after="0" w:line="9" w:lineRule="exact"/>
        <w:rPr>
          <w:rFonts w:ascii="Times New Roman" w:cs="Times New Roman" w:eastAsia="Times New Roman" w:hAnsi="Times New Roman"/>
          <w:sz w:val="18"/>
          <w:szCs w:val="18"/>
          <w:color w:val="auto"/>
        </w:rPr>
      </w:pPr>
    </w:p>
    <w:p>
      <w:pPr>
        <w:jc w:val="both"/>
        <w:ind w:left="820" w:hanging="407"/>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68% of our sites are leased or subleased or operated and managed ("T-Mobile Sites") pursuant to 32-year master leases (expiring in May 2037) ("T-Mobile Master Leases") or other agreements with subsidiaries of T-Mobile which were assumed by T-Mobile following its merger with Sprint, completed April 1, 2020.</w:t>
      </w:r>
    </w:p>
    <w:p>
      <w:pPr>
        <w:spacing w:after="0" w:line="1" w:lineRule="exact"/>
        <w:rPr>
          <w:rFonts w:ascii="Times New Roman" w:cs="Times New Roman" w:eastAsia="Times New Roman" w:hAnsi="Times New Roman"/>
          <w:sz w:val="18"/>
          <w:szCs w:val="18"/>
          <w:color w:val="auto"/>
        </w:rPr>
      </w:pPr>
    </w:p>
    <w:p>
      <w:pPr>
        <w:ind w:left="820" w:right="20" w:hanging="407"/>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 for land interests relating to our towers have an average total remaining life of approximately 26 years (including all renewal terms exercisable at our option), weighted based on site rental revenues.</w:t>
      </w:r>
    </w:p>
    <w:p>
      <w:pPr>
        <w:ind w:left="820" w:hanging="407"/>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are organized specifically to own, lease and manage certain communications infrastructure, such as sites or other structures, and have no employees.</w:t>
      </w:r>
    </w:p>
    <w:p>
      <w:pPr>
        <w:jc w:val="both"/>
        <w:ind w:left="820" w:hanging="407"/>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the sites, are performed by Crown Castle USA Inc. ("CCUSA"), an affiliate of CCIC, under a management agreement ("Management Agreement"). The management fee under the Management Agreement is equal to 7.5% of our "Operating Revenues," as defined in the Management Agreement.</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our assets and operations are included in CCIC's REIT.</w:t>
      </w:r>
    </w:p>
    <w:p>
      <w:pPr>
        <w:spacing w:after="0" w:line="9" w:lineRule="exact"/>
        <w:rPr>
          <w:rFonts w:ascii="Times New Roman" w:cs="Times New Roman" w:eastAsia="Times New Roman" w:hAnsi="Times New Roman"/>
          <w:sz w:val="18"/>
          <w:szCs w:val="18"/>
          <w:color w:val="auto"/>
        </w:rPr>
      </w:pPr>
    </w:p>
    <w:p>
      <w:pPr>
        <w:jc w:val="both"/>
        <w:ind w:left="1220" w:hanging="402"/>
        <w:spacing w:after="0" w:line="251" w:lineRule="auto"/>
        <w:tabs>
          <w:tab w:leader="none" w:pos="123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Cuts and Jobs Act, which was signed into law in 2017 ("Tax Reform Act"), made substantial changes to the Internal Revenue Code of 1986, as amended ("Code"). Among the many changes impacting corporations are a significant reduction in the corporate income tax rate, the repeal of the corporate alternative minimum tax for years beginning in 2018 and limitations on the deductibility of interest expense. In addition, under the Tax Reform Act, qualified REIT dividends (within the meaning of Section 199A(e)(3) of the Code) constitute a part of a non-corporate taxpayer's "qualified business income amount" and thus CCIC's non-corporate U.S. stockholders may be eligible to take a qualified business income deduction in an amount equal to 20% of such dividends received from CCIC. Without further legislative action, the 20% deduction applicable to qualified REIT dividends will expire on January 1, 2026. The Tax Reform Act has not had a material impact on the Company.</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information concerning our tenants and tenant contracts is as follows:</w:t>
      </w:r>
    </w:p>
    <w:p>
      <w:pPr>
        <w:spacing w:after="0" w:line="27" w:lineRule="exact"/>
        <w:rPr>
          <w:sz w:val="20"/>
          <w:szCs w:val="20"/>
          <w:color w:val="auto"/>
        </w:rPr>
      </w:pPr>
    </w:p>
    <w:p>
      <w:pPr>
        <w:jc w:val="both"/>
        <w:ind w:left="820" w:hanging="407"/>
        <w:spacing w:after="0" w:line="250"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tenants are T-Mobile (which merged with Sprint in April 2020), AT&amp;T and Verizon Wireless, which collectively accounted for 89% of our 2020 consolidated site rental revenues (which includes revenues previously derived from Sprint). See note 11 to our consolidated financial statements for further information regarding our largest tenants.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vast majority of our site rental revenues are of a recurring nature and are derived from long-term tenant contracts.</w:t>
      </w:r>
    </w:p>
    <w:p>
      <w:pPr>
        <w:spacing w:after="0" w:line="9" w:lineRule="exact"/>
        <w:rPr>
          <w:rFonts w:ascii="Times New Roman" w:cs="Times New Roman" w:eastAsia="Times New Roman" w:hAnsi="Times New Roman"/>
          <w:sz w:val="18"/>
          <w:szCs w:val="18"/>
          <w:color w:val="auto"/>
        </w:rPr>
      </w:pPr>
    </w:p>
    <w:p>
      <w:pPr>
        <w:jc w:val="both"/>
        <w:ind w:left="820" w:hanging="407"/>
        <w:spacing w:after="0" w:line="250"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site rental revenues typically result from long-term tenant contracts with (1) initial terms of five to 15 years, (2) multiple renewal periods of five to ten years each, exercisable at the option of the tenant, (3) limited termination rights for our tenants and (4) monthly rental payments with contractual escalations of the rental price.</w:t>
      </w:r>
    </w:p>
    <w:p>
      <w:pPr>
        <w:spacing w:after="0" w:line="1" w:lineRule="exact"/>
        <w:rPr>
          <w:rFonts w:ascii="Times New Roman" w:cs="Times New Roman" w:eastAsia="Times New Roman" w:hAnsi="Times New Roman"/>
          <w:sz w:val="18"/>
          <w:szCs w:val="18"/>
          <w:color w:val="auto"/>
        </w:rPr>
      </w:pPr>
    </w:p>
    <w:p>
      <w:pPr>
        <w:ind w:left="820" w:hanging="407"/>
        <w:spacing w:after="0" w:line="260"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renewals exercisable at the tenants' option, our tenant contracts have a weighted-average remaining life of approximately five years and represent $4.1 billion of expected future cash inflows.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7. MD&amp;A—General Overview"</w:t>
      </w:r>
      <w:r>
        <w:rPr>
          <w:rFonts w:ascii="Times New Roman" w:cs="Times New Roman" w:eastAsia="Times New Roman" w:hAnsi="Times New Roman"/>
          <w:sz w:val="18"/>
          <w:szCs w:val="18"/>
          <w:color w:val="auto"/>
        </w:rPr>
        <w:t xml:space="preserve"> for a further discussion of our business fundamentals.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CCIC maintains a website at www.crowncastle.com. Our annual reports on Form 10-K, quarterly reports on Form 10-Q, current reports on Form 8-K (and any amendments to those reports filed or furnished pursuant to Section 13(a) or 15(d) of the Securities Exchange Act of 1934, as amended) ("Exchange Act") and other information about us are made available, free of charge, through the investor relations section of CCIC's website at http://investor.crowncastle.com or at the SEC's website at http://www.sec.gov as soon as reasonably practicable after we electronically file such material with, or furnish it to, the SEC.</w:t>
      </w:r>
    </w:p>
    <w:p>
      <w:pPr>
        <w:spacing w:after="0" w:line="1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ind w:left="40" w:firstLine="405"/>
        <w:spacing w:after="0" w:line="282"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as well as the other information contained in this document when evaluating our business.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71" w:lineRule="exact"/>
        <w:rPr>
          <w:sz w:val="20"/>
          <w:szCs w:val="20"/>
          <w:color w:val="auto"/>
        </w:rPr>
      </w:pPr>
    </w:p>
    <w:p>
      <w:pPr>
        <w:jc w:val="both"/>
        <w:ind w:lef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demand for our sites, driven primarily by demand for wireless data, and we may be adversely affected by any slowdown in such demand. Additionally, a reduction in the amount or change in the mix of network investment by our tenants may materially and adversely affect our business (including reducing demand for our sites).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Tenant demand for our sites depends on the demand for wireless data. Additionally, the willingness of our tenants to utilize our sites, or renew or extend existing tenant contracts on our sites, is affected by numerous factors, including:</w:t>
      </w: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capacity of our sites or associated land interests;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our sites;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of our tenants, including their profitability and availability or cost of capital;</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our tenants to maintain or increase their network investment or changes in their capital allocation strategy;</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spectrum for commercial use;</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network sharing, roaming, joint development, or resale agreements by our tenants;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by and among our tenants;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success of, our tenants' business models;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initiatives, including local or state restrictions on the proliferation of communications infrastructure;</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constructing sites;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competition;</w:t>
      </w:r>
    </w:p>
    <w:p>
      <w:pPr>
        <w:spacing w:after="0" w:line="9" w:lineRule="exact"/>
        <w:rPr>
          <w:rFonts w:ascii="Times New Roman" w:cs="Times New Roman" w:eastAsia="Times New Roman" w:hAnsi="Times New Roman"/>
          <w:sz w:val="18"/>
          <w:szCs w:val="18"/>
          <w:color w:val="auto"/>
        </w:rPr>
      </w:pPr>
    </w:p>
    <w:p>
      <w:pPr>
        <w:jc w:val="both"/>
        <w:ind w:left="820" w:hanging="407"/>
        <w:spacing w:after="0" w:line="250"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including those (1) affecting the number or type of communications infrastructure needed to provide wireless data to a given geographic area or which may otherwise serve as a substitute or alternative to our sites or (2) resulting in the obsolescence or decommissioning of certain existing wireless networks; and</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satisfy our tenants' service requirements.</w:t>
      </w:r>
    </w:p>
    <w:p>
      <w:pPr>
        <w:spacing w:after="0" w:line="15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 slowdown in demand for wireless data or our sites may negatively impact our growth or otherwise have a material adverse effect on us. If our tenants or potential tenants are unable to raise adequate capital to fund their business plans, as a result of disruptions in the financial and credit markets or otherwise, they may reduce their spending, which could adversely affect our anticipated growth or the demand for our sites.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amount, timing and mix of our tenants' network investment is variable and can be significantly impacted by the various matters described in these risk factors. Changes in tenant network investment typically impact the demand for our sites. As a result, changes in tenant plans such as delays in the implementation of new systems, new and emerging technologies (including small cells), or plans to expand coverage or capacity may reduce demand for our sites. Furthermore, the wireless industry could experience a slowdown or slowing growth rates as a result of numerous factors, including a reduction in consumer demand for wireless data or general economic conditions. There can be no assurances that weakness or uncertainty in the economic environment will not adversely impact the wireless industry, which may materially and adversely affect our business, including by reducing demand for our sites. In addition, a slowdown may increase competition for site rental tenants. Such an industry slowdown or a reduction in tenant network investment may materially and adversely affect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 w:name="page6"/>
    <w:bookmarkEnd w:id="5"/>
    <w:p>
      <w:pPr>
        <w:ind w:left="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revenues is derived from a small number of tenants, and the loss, consolidation, or financial instability of any of such tenants may materially decrease revenues or reduce demand for our sites.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 ended December 31, 2020, our site rental revenues by tenant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120015</wp:posOffset>
            </wp:positionV>
            <wp:extent cx="4911725" cy="2057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172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previously derived from Sprint. On April 1, 2020, T-Mobile and Sprint announced the completion of their previously disclosed merger.</w:t>
      </w:r>
    </w:p>
    <w:p>
      <w:pPr>
        <w:spacing w:after="0" w:line="1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three largest tenants are T-Mobile (which merged with Sprint in April 2020), AT&amp;T and Verizon Wireless. The loss of any one of our largest tenants as a result of consolidation, merger, bankruptcy, insolvency, network sharing, roaming, joint development, resale agreements by our tenants, or otherwise may result in (1) a material decrease in our revenues, (2) uncollectible account receivables, (3) an impairment of our deferred site rental receivables, site assets, or intangible assets, or (4) other adverse effects to our business. We cannot guarantee that tenant contracts with our largest tenants will not be terminated or that these tenants will renew their tenant contracts with us. In addition to our three largest tenants, we also derive a portion of our revenues and anticipated future growth from new entrants offering or contemplating offering wireless services. Such tenants may be smaller or have less financial resources than our three largest tenants, may have business models which may not be successful, or may require additional capital.</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Consolidation among our tenants will likely result in duplicate or overlapping parts of networks, for example, where they are co-residents on a tower, which may result in the termination, non-renewal or re-negotiation of tenant contracts and negatively impact revenues from our sites. Due to the long-term nature of our tenant contracts, we generally expect that the impact of our site rental revenues from any termination of our tenant contracts as a result of such potential consolidation would be spread over multiple years. Such consolidation (or potential consolidation) may result in a reduction or slowdown in such tenants' network investment in the aggregate because their expansion plans may be similar.</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1, 2020, T-Mobile and Sprint announced the completion of their previously disclosed merger. Such merger may result in a decrease or delay in demand for our sites as a result of the anticipated integration of the T-Mobile and Sprint networks and related duplicate or overlapping parts of their networks.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Tenant consolidation, including the merger between T-Mobile and Sprint, could decrease the demand for our sites, which in turn may result in a reduction in our revenues or cash flows and may trigger a review for impairment of certain long-lived assets.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and note 11 to our consolidated financial statements for further information regarding our largest tenants.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competition in our industry, we may find it more difficult to negotiate favorable rates on our new or renewing tenant contracts.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growth is dependent on our entering into new tenant contracts (including amendments to tenant contracts upon modification of an existing tower installation), as well as renewing or renegotiating tenant contracts when existing tenant contracts terminate. Competition in our industry may make it more difficult for us to attract new tenants, maintain or increase our gross margins or maintain or increase our market share. We face competition for site rental tenants and associated contractual rates from various sources, including (1) other independent communications infrastructure owners or operators,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including those that own, operate, or manage towers, rooftops, broadcast or transmission towers, utility poles, fiber or small cells, or (2) new alternative deployment methods for communications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technologies may reduce demand for our sites or negatively impact our revenues.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Improvements in the efficiency, architecture and design of communication networks may reduce the demand for our sites. For example, new technologies that may promote network sharing, joint development, backhaul and fronthaul efficiency, or resale agreements by our tenants, such as signal combining technologies or network virtualization, may reduce the need for our sites. In addition, other technologies, such as WiFi, Distributed Antenna Systems ("DAS"), other small cells, blimps, satellite (such as low earth orbiting) and mesh transmission systems may, in the future, serve as substitutes for or alternatives to leasing on sites that might otherwise be anticipated or expected had such technologies not existed. In addition, new technologies that enhance the range, efficiency and capacity of communication equipment could reduce demand for our sites. Any significant reduction in demand for our sites resulting from the new technologies may negatively impact our revenues or otherwise have a material adverse effect on us.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retain rights to our sites, including the rights to land under our towers, our business may be adversely affected.</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property interests and other rights to our sites, including the land under our towers (other than the T-Mobile Sites), are derived from leasehold, sub-leasehold interests, fee interests and easements, as well as permits granted by governmental entities. A loss of these interests for any reason, including losses arising from the bankruptcies of a significant number of our lessors, from the default by a significant number of our lessors under their mortgage financings or from a legal challenge to our interest in the real property, may interfere with our ability to conduct our business or generate revenues. If a material number of the grantors of these rights elect not to renew their terms, our ability to conduct business or generate revenues could be adversely affected. Further, we may not be able to renew ground leases on commercially viable terms.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ability to retain rights to the land on which our towers are located depends on our ability to purchase such land, by acquiring fee interests and perpetual easements, or renegotiate or extend the terms of the agreements relating to such land. In some cases, other subsidiaries of CCIC have acquired certain third party land under certain of our towers as a result of negotiated transactions, and we have entered into leases with such affiliates. Approximately 15% of our sites for the year ended December 31, 2020 are under our control for less than 10 years. If we are unable to retain rights to the property on which our towers are located, our business may be adversely affected.</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2020, approximately 68% of our sites were T-Mobile Sites. CCIC, through its subsidiaries (including us), has the option to purchase, in 2037, all (but not less than all) of the leased and subleased T-Mobile Sites (as well as other T-Mobile sites leased or subleased by other subsidiaries of CCIC) from T-Mobile for approximately $2.3 billion; CCIC has no obligation to exercise the purchase option. CCIC may not have the required available capital to exercise the purchase option at the time this option is exercisable. Even if CCIC does have available capital, it may choose not to exercise its purchase option for business or other reasons. In the event that CCIC does not exercise the purchase option, or is otherwise unable to acquire an interest that would allow us to continue to operate these towers after the applicable period, we will lose the cash flows derived from such towers, which may have a material adverse effect on our business. In the event that CCIC decides to exercise the purchase option, the benefits of the acquisition of the sites may not exceed the costs, which could adversely affect our business.</w:t>
      </w:r>
    </w:p>
    <w:p>
      <w:pPr>
        <w:spacing w:after="0" w:line="134"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on our subsidiaries' part to cause the performance of their obligations as landlords under tenant contracts could lead to abatement of rent or termination of tenant contracts.</w:t>
      </w:r>
    </w:p>
    <w:p>
      <w:pPr>
        <w:spacing w:after="0" w:line="10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vast majority of our tenant contracts are not net contracts. Accordingly, each of our subsidiaries that acts as a landlord is responsible for ensuring the maintenance and repair of its sites and for other obligations and liabilities associated with its sites, such as the payment of real estate taxes related to the tower and ground lease rents, the maintenance of insurance or environmental compliance and remediation. The failure of such subsidiary to cause the performance of their obligations as landlords under a tenant contract could entitle the related lessee to an abatement of rent or, in some circumstances, could result in a termination of the tenant contract. Because our subsidiaries nor we have any employees, as further discussed herein, the Manager (as defined below) is responsible for carrying out the landlord's responsibilities under the tenant contracts. An unscheduled reduction or cessation of payments due under a tenant contract may result in a reduction of the amounts available to make payments on the 3.849% Secured Notes.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Bankruptcy proceedings involving either our subsidiaries or their lessors under the ground leases could adversely affect our ability to enforce our subsidiaries' rights under the ground leases or to remain in possession of the leased property.</w:t>
      </w:r>
    </w:p>
    <w:p>
      <w:pPr>
        <w:spacing w:after="0" w:line="10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Upon the bankruptcy of a lessor or a lessee under a ground lease, the debtor entity generally has the right to assume or reject the ground lease. Pursuant to Section 365(h) of the United States Bankruptcy Code ("Bankruptcy Code"), a ground lessee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(i.e., a subsidiary) whose ground lease is rejected by a debtor ground lessor has the right to remain in possession of its leased premises under the rent reserved in the contract for the term of the ground lease, including any renewals, but is not entitled to enforce the obligation of the ground lessor to provide any services required under the ground lease. In the event of concurrent bankruptcy proceedings involving the ground lessor and the ground lessee, the ground lease could be terminated.</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Similarly, upon the bankruptcy of one of our subsidiaries or a third-party owner of a managed site, the debtor entity would have the right to assume or reject any related site management agreement. Because the arrangements under which we derive revenue from the managed sites would not likely constitute contracts of real property for purposes of Section 365(h) of the Bankruptcy Code, the applicable subsidiary may not have the right to remain in possession of the premises or otherwise retain the benefit of the site management agreement if the site management agreement is rejected by a debtor third-party owner.</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of certain T-Mobile subsidiaries, which are sublessors to one of our subsidiaries, could result in such subsidiary's sublease interests being rejected by the bankruptcy court.</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of the towers leased from T-Mobile are located on land leased from third parties under ground leases. One of our subsidiaries, Global Signal Acquisitions II LLC ("Global Signal Acquisitions II"), subleases these sites from bankruptcy remote T-Mobile subsidiaries. If one of these T-Mobile subsidiaries should become a debtor in a bankruptcy proceeding and is permitted to reject the underlying ground lease, Global Signal Acquisitions II could lose its interest in the applicable sites. If Global Signal Acquisitions II were to lose its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9"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our covenants in the T-Mobile Master Leases, including our obligation to timely pay ground lease rent, could result in an event of default under the applicable T-Mobile Master Leases, which would adversely impact our business.</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Subject to certain cure, arbitration, or other provisions, in the event of an uncured default under a T-Mobile Master Lease, T-Mobile may terminate the T-Mobile Master Lease as to the applicable sites. If we default under the T-Mobile Master Leases with respect to more than 20% of the T-Mobile Sites within any rolling five-year period, T-Mobile will have the right to terminate the T-Mobile Master Leases with respect to all T-Mobile Sites. If T-Mobile terminates T-Mobile Master Leases with respect to all of or a significant number of sites, we would lose all of our interests in those sites (which collectively represent approximately 68% of our sites as of December 31, 2020) and our ability to make payments on the 3.849% Secured Notes would therefore be significantly impaired.</w:t>
      </w:r>
    </w:p>
    <w:p>
      <w:pPr>
        <w:spacing w:after="0" w:line="129" w:lineRule="exact"/>
        <w:rPr>
          <w:sz w:val="20"/>
          <w:szCs w:val="20"/>
          <w:color w:val="auto"/>
        </w:rPr>
      </w:pPr>
    </w:p>
    <w:p>
      <w:pPr>
        <w:jc w:val="both"/>
        <w:ind w:lef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employees of our own and hence are dependent on the Manager for the conduct of our operations. Any failure of the Manager to continue to perform in its role as manager of the sites could have a material adverse impact on our business. Additionally, we could be negatively impacted by other unforeseen events, such as natural disasters, that could adversely affect our operations, business and reputation.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Management Agreement among CCL, certain of its direct and indirect subsidiaries and CCUSA, all of our sites are managed by CCUSA ("Manager"). The Manager continues to be responsible for causing maintenance to be carried out in a timely fashion, carrying out the landlord's responsibilities under the tenant contracts, and marketing the site spaces. Management errors may adversely affect the revenue generated by the sites. In addition, the Manager's performance continues to depend to a significant degree upon the continued contributions of key management, engineering, sales and marketing, tenant support, legal, or finance personnel, some of whom may be difficult to replace. The Manager does not have employment agreements with any of its employees, and no assurance can be given that the services of such personnel will continue to be available to the Manager. Furthermore, the Manager does not maintain key man life insurance policies on its executives that would adequately compensate it for any loss of services of such executives. The loss of the services of one or more of these executives could have a material adverse effect on the Manager's ability to manage our operations.</w:t>
      </w:r>
    </w:p>
    <w:p>
      <w:pPr>
        <w:spacing w:after="0" w:line="13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management of the sites requires special skills and particularized knowledge. If the Management Agreement is terminated or the Manager is for any reason unable to continue to manage the sites on our behalf, there may be substantial delays in engaging a replacement manager with the requisite skills and experience to manage the sites. There can be no assurance that a qualified replacement manager can be located or engaged in a timely fashion or on economical terms. If an insolvency proceeding were commenced with respect to the Manager, the Manager as debtor or its bankruptcy trustee might have the power to prevent us from replacing it with a new manager for the sites.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Additionally, we could be negatively impacted by other unforeseen events, such as extreme weather events or natural disasters (including as a result of any potential effects of climate change), or acts of vandalism. There is increasing concern that global climate change is occurring and could result in increased frequency of certain types of natural disasters and extreme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weather events. We cannot predict with certainly the rate at which climate change is occurring or the potential direct of indirect impact of climate change on our business. Any such unforeseen events could, among other things, damage or delay deployment of our communication infrastructure assets, interrupt or delay service to our tenants, or disrupt business operations of the Manager. Any such events could result in legal claims or penalties, disruption in our operations, damage to our reputation, negative market perception, or costly response measures, which could adversely affect our business.</w:t>
      </w:r>
    </w:p>
    <w:p>
      <w:pPr>
        <w:spacing w:after="0" w:line="122"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Manager may experience conflicts of interest in the management of the sites and in the management of sites of affiliates carried out pursuant to other management agreements.</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addition to managing our operations, the Manager is currently party to, and may in the future enter into, separate management agreements with its other affiliates that own, lease, and manage towers or other wireless communications sites. These other affiliates may be engaged in the construction, acquisition, or leasing of wireless communications sites in proximity to our sites. As a result, the Manager may engage in business activities that are in competition with our business in respect of the sites, and the Manager may experience conflicts of interest in the management of our sites and such other sites. Pursuant to the Management Agreement, the Manager continues to be prohibited from soliciting lessees to transfer tenant contracts from sites owned, leased, or managed by us to sites owned, leased or managed by our affiliates. However, there can be no assurance that the persons that control us, the Manager, or those other affiliates will allocate their management efforts in such a way as to maximize the returns with respect to our sites, as opposed to maximizing the returns with respect to other sites. The expansion and development of the Manager's business through acquisitions, increased product offerings or other strategic growth opportunities may cause disruptions in our business, which may have an adverse effect on our business operations or financial results. As a result, the Manager and we may experience conflicts of interest in the management of the land sites. Pursuant to the Management Agreement, the Manager has agreed to manage the sites in the same manner as if the lessees thereunder were not affiliates.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we may, subject to certain restrictions on affiliate transactions in the Secured Notes Indenture, enter into arms-length transactions with our affiliates to acquire land under our sites. There can be no assurance that the persons that control us will allocate potential opportunities in such a way as to maximize the returns with respect to our sites, as opposed to maximizing the returns for our affiliates.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New wireless technologies may not deploy or be adopted by tenants as rapidly or in the manner projected.</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can be no assurances that new wireless services or technologies, which may drive demand for our sites, will be introduced or deployed as rapidly or in the manner projected by the wireless carriers. In addition, demand or tenant adoption rates for such new technologies may be lower or slower than anticipated for numerous reasons. As a result, growth opportunities or demand for our sites arising from such technologies may not be realized at the times or to the extent anticipated.</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radio frequency emissions from wireless handsets or equipment on our sites are demonstrated to cause negative health effects, potential future claims could adversely affect our operations, costs, or revenues.</w:t>
      </w:r>
    </w:p>
    <w:p>
      <w:pPr>
        <w:spacing w:after="0" w:line="10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Public perception of possible health risks associated with cellular or other wireless connectivity services and wireless technologies (such as 5G) may slow or diminish the growth of wireless companies and deployment of new wireless technology, which may in turn slow or diminish our growth. In particular, negative public perception of, and regulations regarding, these perceived health risks may slow or diminish the market acceptance of wireless services and technologies.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and related risks could materially affect our financial position, results of operations and cash flows.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global outbreak of the novel coronavirus (COVID-19) was declared a pandemic by the World Health Organization and a national emergency by the U.S. government in March 2020 and has adversely affected the U.S. In response, both the public and private sectors have introduced certain policies and initiatives in an effort to reduce the transmission of COVID-19 ("Initiatives"), such as the imposition of travel restrictions; mandates from federal, state and local authorities to close non-essential businesses and avoid large gatherings of people; quarantine or "shelter-in-place;" and the promotion of social distancing and the adoption of work-from-home and online learning by companies and institutions. In addition, the continued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spread of COVID-19 and the resulting Initiatives have led to a significant economic downturn, global supply chain disruptions and volatility in the global capital markets.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modified, and might further modify, our business practices as a result of the COVID-19 pandemic, the economic and social ramifications of the disease, and the societal and governmental responses in the communities in which we operate. We do not believe that COVID-19 had a material impact on our financial position, results of operations and cash flows for the year ended December 31, 2020. The extent to which the COVID-19 pandemic will affect our financial position, results of operations and cash flows is difficult to predict with certainty and depends on numerous evolving factors, including: the duration, scope and severity of the pandemic; government, social, business and other actions that have been and will be taken in response to the pandemic; the roll-out of the COVID-19 vaccine and its effectiveness in curbing the spread of the virus; and the effect of the pandemic on short- and long-term general economic conditions. Among other things, COVID-19 and the Initiatives could (1) adversely affect the ability of our suppliers, vendors, and the Manager to provide products and services to us; (2) result in decreased demand for our sites; and (3) make it more difficult for us and the Manager to serve our tenants, including as a result of delays or suspensions in the issuance of permits or other authorizations needed to conduct our business. Due to factors beyond our knowledge or control, including the duration and severity of COVID-19, as well as third-party actions taken to contain its spread and mitigate its public health effects, at this time we cannot estimate or predict with certainty the impact of COVID-19, the Initiatives, or the measures we take in response thereto on our financial position, results of operations and cash flows, particularly over the near to medium term, but the impact could be material. See "</w:t>
      </w:r>
      <w:r>
        <w:rPr>
          <w:rFonts w:ascii="Times New Roman" w:cs="Times New Roman" w:eastAsia="Times New Roman" w:hAnsi="Times New Roman"/>
          <w:sz w:val="18"/>
          <w:szCs w:val="18"/>
          <w:i w:val="1"/>
          <w:iCs w:val="1"/>
          <w:color w:val="auto"/>
        </w:rPr>
        <w:t>Item 7. MD&amp;A—General Overview—Coronavirus (COVID-19)</w:t>
      </w:r>
      <w:r>
        <w:rPr>
          <w:rFonts w:ascii="Times New Roman" w:cs="Times New Roman" w:eastAsia="Times New Roman" w:hAnsi="Times New Roman"/>
          <w:sz w:val="18"/>
          <w:szCs w:val="18"/>
          <w:color w:val="auto"/>
        </w:rPr>
        <w:t>" for further information.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Debt</w:t>
      </w:r>
    </w:p>
    <w:p>
      <w:pPr>
        <w:spacing w:after="0" w:line="171"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repay the principal under our 2012 Secured Notes on or prior to the relevant maturity date will be subject to a number of factors outside of our control.</w:t>
      </w:r>
    </w:p>
    <w:p>
      <w:pPr>
        <w:spacing w:after="0" w:line="10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indenture ("Secured Notes Indenture") governing our $1.0 billion aggregate principal amount of 3.849% secured notes due 2023 ("3.849% Secured Notes") and our previously outstanding $500 million aggregate principal amount of 2.381% secured notes due 2017 ("2.381% Secured Notes") (collectively, the "2012 Secured Notes"), requires us to repay the principal under the 3.849% Secured Notes by their maturity date in April 2023. We currently expect to distribute a substantial portion of our cash flow to our member as dividends. Therefore, our ability to repay the principal under the 3.849% Secured Notes on or prior to their maturity date depends upon our ability either to refinance the indebtedness under the 3.849% Secured Notes or to sell our interests in the sites for an amount that is sufficient to repay the 3.849% Secured Notes in full with interest. Our ability to achieve either of these goals will be affected by a number of factors, including the availability of credit for wireless communications sites, the fair market value of the sites, our equity in the sites, our financial condition, the operating history of the sites, tax laws, or general economic conditions. In addition, neither the trustee for the 3.849% Secured Notes nor any of its respective affiliates or any other person is obligated to provide the funds to refinance the 3.849% Secured Notes.</w:t>
      </w:r>
    </w:p>
    <w:p>
      <w:pPr>
        <w:spacing w:after="0" w:line="130"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CCL is a holding company, and therefore its ability to repay its indebtedness is dependent on cash flow generated by its subsidiaries and their ability to make distributions to CCL.</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CCL is a holding company with no operations or material assets other than the direct or indirect equity interests it holds in its subsidiaries. As a result, its ability to pay principal and interest on its indebtedness is dependent on the generation of cash flow by its subsidiaries and their ability to make such cash available to CCL by dividend, debt repayment, or otherwise. The earnings and cash flow generated by CCL's subsidiaries will depend on their financial and operating performance, which will be affected by general economic, industry, financial, competitive, operating, legislative, regulatory, or other factors beyond our control. Any payments of dividends, distributions, loans, or advances to CCL by its subsidiaries could also be subject to restrictions on dividends under applicable local law in the jurisdictions in which such subsidiaries operate.</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event that CCL does not receive distributions from its subsidiaries, or to the extent that the earnings from, or other available assets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insufficient, CCL may be unable to make payments on its indebtedness. Furthermore, Crown Castle GS III Corp., the co-issuer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3.849% Secured Notes, has no assets, conducts no operations, and has no independent ability to service the interest and principal obligations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3.849% Secured Notes.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b w:val="1"/>
          <w:bCs w:val="1"/>
          <w:color w:val="auto"/>
        </w:rPr>
        <w:t>Risks Relating to Corporate Compliance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previously issued financial statements, the errors that resulted in such restatement, the material weakness that was previously identified in our internal control over financial reporting and the determination that our internal control over financial reporting and disclosure controls and procedures were not effective, could result in loss of investor confidence, litigation or governmental proceedings or investigations, any of which could cause the market value of our debt securities to decline or impact our ability to access the capital markets.</w:t>
      </w:r>
    </w:p>
    <w:p>
      <w:pPr>
        <w:spacing w:after="0" w:line="12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discussed in the "Explanatory Note" and note 2 to our consolidated financial statements, in connection with the filing of its Annual Report on Form 10-K for the year ended December 31, 2019, CCIC corrected certain historical errors related to the timing of revenue recognition for its tower installation services. As a result, we have determined that, despite us not receiving any cash, an amount equal to the lease component as a result of installation and other construction-related services performed by CCIC on our behalf should be recorded on our consolidated financial statements as deferred revenue, and then amortized as revenues on a ratable basis over the length of the tenants’ associated estimated lease term. In addition to this determination, we have also determined that errors existed related to our accounting for obligations to perform asset retirement activities pursuant to our ground lease and easement agreements. Due to these determinations, we concluded that our previously issued consolidated financial statements for fiscal years ended December 31, 2017 and 2018, and each of our unaudited condensed consolidated financial statements and related disclosures for the quarterly and year-to-date periods during such years and for the first three quarters of fiscal year 2019, should be restated. Although the Company has restated these financial statements and the previously identified material weakness in the Company's internal control over financial reporting has been remediated, as a result of these errors and restatement, we were and continue to be subject to additional risks and uncertainties, including litigation and loss of investor confidence. We may become subject to litigation or governmental proceedings or investigations that could result in additional unanticipated legal costs regardless of the outcome of the litigation. Additionally, if we are not successful in any such litigation, we may be required to pay substantial damages or settlement costs.</w:t>
      </w:r>
    </w:p>
    <w:p>
      <w:pPr>
        <w:spacing w:after="0" w:line="139"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0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variety of federal, state, local, and foreign laws and regulations apply to our business. Failure to comply with applicable requirements may lead to civil or criminal penalties, require us to assume indemnification obligations or breach contractual provisions. We cannot guarantee that existing or future laws or regulations, including federal, state and local tax laws, will not adversely affect our business (including CCIC's REIT status), increase delays or result in additional costs. We also may incur additional costs as a result of liabilities under applicable laws and regulations, such as those governing environmental and safety matters. These factors may have a material adverse effect on us.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Relating to Our REIT Status</w:t>
      </w:r>
    </w:p>
    <w:p>
      <w:pPr>
        <w:spacing w:after="0" w:line="171"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CCIC’s failure to remain qualified to be taxed as a REIT would result in its inability to deduct dividends to stockholders when computing its taxable income, which could reduce our available cash or subject us to income taxes.</w:t>
      </w:r>
    </w:p>
    <w:p>
      <w:pPr>
        <w:spacing w:after="0" w:line="10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CCIC operates as a REIT for federal income tax purposes. As a REIT, CCIC is generally entitled to a deduction for dividends that it pays and therefore is not subject to U.S. federal corporate income tax on its taxable income that is distributed to its stockholders. As a REIT, CCIC may still be subject to certain federal, state, local, and foreign taxes on its income and assets, including alternative minimum taxes, taxes on any undistributed income, and state, local, or foreign income, franchise, property, and transfer taxes. We are an indirect subsidiary of CCIC and, for U.S. federal income tax purposes, our assets and operations are part of the CCIC REIT. Furthermore, as a result of the deduction for dividends paid, some or all of CCIC's net operating loss carryforwards ("NOLs") related to its REIT status may expire without utilization.</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While CCIC intends to operate so that it remains qualified as a REIT, given the highly complex nature of the rules governing REITs, the importance of ongoing factual determinations, the possibility of future changes in circumstances, and the potential impact of future changes to laws and regulations impacting REITs, no assurance can be given by CCIC or us that CCIC will qualify as a REIT for any particular year.</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do not expect the Tax Reform Act to significantly affect us, although we cannot predict with certainty how such legislation will affect CCIC and us in the future. In addition, the present U.S. federal tax treatment of REITs is subject to change, possibly with retroactive effect, by legislative, judicial or administrative action at any time, and any such change might adversely affect CCIC's REIT status or benefits. We cannot predict the impact, if any, that such changes, if enacted, might have on our business. However, it is possible that such changes could adversely affect our business or inclusion of our assets and operations in CCIC's REIT.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 w:name="page12"/>
    <w:bookmarkEnd w:id="11"/>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in any taxable year, CCIC fails to qualify for taxation as a REIT and it is not entitled to relief under the Code, then we will be subject to federal and state income tax, including for applicable years beginning before January 1, 2018, any applicable alternative minimum tax, on our taxable income at regular corporate rates.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REIT, CCIC needs to continually satisfy tests concerning, among other things, the sources of its income, the nature and diversification of its assets, the amounts it dividends to its stockholders, and the ownership of its capital stock in order to maintain REIT status. Compliance with these tests requires CCIC to refrain from certain activities and may hinder its ability to make certain attractive investments, including the purchase of non-qualifying assets, the expansion of non-real estate activities, and investments in the businesses to be conducted by its taxable REIT subsidiaries ("TRSs"), and to that extent limit its opportunities and its flexibility to change its business strategy. Furthermore, acquisition opportunities in domestic or international markets may be adversely affected if CCIC needs or requires the target company to comply with some REIT requirements prior to completing any such acquisition. In addition, as a REIT, CCIC may face investor pressures not to pursue growth opportunities that are not immediately accretive.</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own, lease and manage approximately 7,600 sites geographically dispersed throughout the U.S. Towers are vertical, metal structures generally ranging in height from 50 to 300 feet. Our tenants' equipment may be placed on towers, building rooftops and other structures. Our towers are located on tracts of land that support the towers, equipment shelters and, where applicable, guy-wires to stabilize the tower.</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following for further information regarding our sites:</w:t>
      </w:r>
    </w:p>
    <w:p>
      <w:pPr>
        <w:spacing w:after="0" w:line="31" w:lineRule="exact"/>
        <w:rPr>
          <w:sz w:val="20"/>
          <w:szCs w:val="20"/>
          <w:color w:val="auto"/>
        </w:rPr>
      </w:pPr>
    </w:p>
    <w:p>
      <w:pPr>
        <w:ind w:left="820" w:hanging="407"/>
        <w:spacing w:after="0"/>
        <w:tabs>
          <w:tab w:leader="none" w:pos="820" w:val="left"/>
        </w:tabs>
        <w:numPr>
          <w:ilvl w:val="0"/>
          <w:numId w:val="8"/>
        </w:numPr>
        <w:rPr>
          <w:rFonts w:ascii="Arial" w:cs="Arial" w:eastAsia="Arial" w:hAnsi="Arial"/>
          <w:sz w:val="22"/>
          <w:szCs w:val="22"/>
          <w:i w:val="1"/>
          <w:iCs w:val="1"/>
          <w:color w:val="auto"/>
        </w:rPr>
      </w:pPr>
      <w:r>
        <w:rPr>
          <w:rFonts w:ascii="Times New Roman" w:cs="Times New Roman" w:eastAsia="Times New Roman" w:hAnsi="Times New Roman"/>
          <w:sz w:val="18"/>
          <w:szCs w:val="18"/>
          <w:i w:val="1"/>
          <w:iCs w:val="1"/>
          <w:color w:val="auto"/>
        </w:rPr>
        <w:t xml:space="preserve">"Item 1. Business—Overview" </w:t>
      </w:r>
      <w:r>
        <w:rPr>
          <w:rFonts w:ascii="Times New Roman" w:cs="Times New Roman" w:eastAsia="Times New Roman" w:hAnsi="Times New Roman"/>
          <w:sz w:val="18"/>
          <w:szCs w:val="18"/>
          <w:color w:val="auto"/>
        </w:rPr>
        <w:t>for information regarding our site portfolio.</w:t>
      </w:r>
    </w:p>
    <w:p>
      <w:pPr>
        <w:spacing w:after="0" w:line="14" w:lineRule="exact"/>
        <w:rPr>
          <w:rFonts w:ascii="Arial" w:cs="Arial" w:eastAsia="Arial" w:hAnsi="Arial"/>
          <w:sz w:val="22"/>
          <w:szCs w:val="22"/>
          <w:i w:val="1"/>
          <w:iCs w:val="1"/>
          <w:color w:val="auto"/>
        </w:rPr>
      </w:pPr>
    </w:p>
    <w:p>
      <w:pPr>
        <w:ind w:left="820" w:hanging="407"/>
        <w:spacing w:after="0" w:line="230" w:lineRule="auto"/>
        <w:tabs>
          <w:tab w:leader="none" w:pos="82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"Item 7. MD&amp;A—Liquidity and Capital Resources—Material Cash Requirements" </w:t>
      </w:r>
      <w:r>
        <w:rPr>
          <w:rFonts w:ascii="Times New Roman" w:cs="Times New Roman" w:eastAsia="Times New Roman" w:hAnsi="Times New Roman"/>
          <w:sz w:val="18"/>
          <w:szCs w:val="18"/>
          <w:color w:val="auto"/>
        </w:rPr>
        <w:t>for information regarding our lease obligations.</w:t>
      </w:r>
    </w:p>
    <w:p>
      <w:pPr>
        <w:spacing w:after="0" w:line="14" w:lineRule="exact"/>
        <w:rPr>
          <w:rFonts w:ascii="Arial" w:cs="Arial" w:eastAsia="Arial" w:hAnsi="Arial"/>
          <w:sz w:val="22"/>
          <w:szCs w:val="22"/>
          <w:color w:val="auto"/>
        </w:rPr>
      </w:pPr>
    </w:p>
    <w:p>
      <w:pPr>
        <w:ind w:left="820" w:hanging="407"/>
        <w:spacing w:after="0" w:line="230" w:lineRule="auto"/>
        <w:tabs>
          <w:tab w:leader="none" w:pos="82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"Schedule III - Schedule of Real Estate and Accumulated Depreciation" </w:t>
      </w:r>
      <w:r>
        <w:rPr>
          <w:rFonts w:ascii="Times New Roman" w:cs="Times New Roman" w:eastAsia="Times New Roman" w:hAnsi="Times New Roman"/>
          <w:sz w:val="18"/>
          <w:szCs w:val="18"/>
          <w:color w:val="auto"/>
        </w:rPr>
        <w:t>for further information on our productive properties.</w:t>
      </w:r>
    </w:p>
    <w:p>
      <w:pPr>
        <w:spacing w:after="0" w:line="14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Approximately 68% of our sites are leased or subleased or operated and managed pursuant to the T-Mobile Master Leases or other agreements with T-Mobile. CCIC, through its subsidiaries (including the Company), has the option in 2037 to purchase all (but not less than all) of the T-Mobile Sites. CCIC has no obligation exercise the option. See note 1 to our consolidated financials statements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for a further discussion.</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2020, the average number of tenants (defined as a unique license and any related amendments thereto) per site is approximately </w:t>
      </w:r>
      <w:r>
        <w:rPr>
          <w:rFonts w:ascii="Times New Roman" w:cs="Times New Roman" w:eastAsia="Times New Roman" w:hAnsi="Times New Roman"/>
          <w:sz w:val="18"/>
          <w:szCs w:val="18"/>
          <w:color w:val="231F20"/>
        </w:rPr>
        <w:t>2.5</w:t>
      </w:r>
      <w:r>
        <w:rPr>
          <w:rFonts w:ascii="Times New Roman" w:cs="Times New Roman" w:eastAsia="Times New Roman" w:hAnsi="Times New Roman"/>
          <w:sz w:val="18"/>
          <w:szCs w:val="18"/>
          <w:color w:val="000000"/>
        </w:rPr>
        <w:t>. Substantially all of our sites can accommodate additional tenancy either as currently constructed or with appropriate modifications to the structure.</w:t>
      </w:r>
    </w:p>
    <w:p>
      <w:pPr>
        <w:spacing w:after="0" w:line="10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or condemnation. While the outcome of these matters cannot be predicted with certainty, management does not expect any pending matters to have a material adverse effect on us.</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equity is not publicly traded. Our only member is GSOP, a wholly owned indirect subsidiary of CCIC. During 2020 and 2019, we recorded a net equity distribution from GSOP of amounts due to our affiliates of $406.0 million and $358.9 million, respectively. See notes 5 and 6 to our consolidated financial statements.</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Throughout this Item 7 and this 2020 Form 10-K, site rental revenues include both revenues from tenant contracts and amortization of tower installations and modifications.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We own, lease and manage approximately 7,600 sites located across the United States.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for additional information regarding our sites and tenant contracts.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Highlights of Business Fundamentals</w:t>
      </w:r>
    </w:p>
    <w:p>
      <w:pPr>
        <w:spacing w:after="0" w:line="173" w:lineRule="exact"/>
        <w:rPr>
          <w:sz w:val="20"/>
          <w:szCs w:val="20"/>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resulting from the increasing demand for wireless data</w:t>
      </w:r>
    </w:p>
    <w:p>
      <w:pPr>
        <w:spacing w:after="0" w:line="27" w:lineRule="exact"/>
        <w:rPr>
          <w:rFonts w:ascii="Times New Roman" w:cs="Times New Roman" w:eastAsia="Times New Roman" w:hAnsi="Times New Roman"/>
          <w:sz w:val="18"/>
          <w:szCs w:val="18"/>
          <w:color w:val="auto"/>
        </w:rPr>
      </w:pPr>
    </w:p>
    <w:p>
      <w:pPr>
        <w:ind w:left="1220" w:hanging="402"/>
        <w:spacing w:after="0" w:line="250" w:lineRule="auto"/>
        <w:tabs>
          <w:tab w:leader="none" w:pos="12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existing and potential new tenant demand for our sites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(7) the availability of additional spectrum and (8) increased government initiatives to support connectivity throughout the U.S.</w:t>
      </w:r>
    </w:p>
    <w:p>
      <w:pPr>
        <w:spacing w:after="0" w:line="2"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additions on our existing sites are achieved at a low incremental operating cost, delivering high incremental returns.</w:t>
      </w:r>
    </w:p>
    <w:p>
      <w:pPr>
        <w:spacing w:after="0" w:line="9" w:lineRule="exact"/>
        <w:rPr>
          <w:rFonts w:ascii="Times New Roman" w:cs="Times New Roman" w:eastAsia="Times New Roman" w:hAnsi="Times New Roman"/>
          <w:sz w:val="18"/>
          <w:szCs w:val="18"/>
          <w:color w:val="auto"/>
        </w:rPr>
      </w:pPr>
    </w:p>
    <w:p>
      <w:pPr>
        <w:ind w:left="1620" w:hanging="397"/>
        <w:spacing w:after="0" w:line="250" w:lineRule="auto"/>
        <w:tabs>
          <w:tab w:leader="none" w:pos="161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structure</w:t>
      </w:r>
    </w:p>
    <w:p>
      <w:pPr>
        <w:spacing w:after="0" w:line="31" w:lineRule="exact"/>
        <w:rPr>
          <w:rFonts w:ascii="Times New Roman" w:cs="Times New Roman" w:eastAsia="Times New Roman" w:hAnsi="Times New Roman"/>
          <w:sz w:val="18"/>
          <w:szCs w:val="18"/>
          <w:color w:val="auto"/>
        </w:rPr>
      </w:pPr>
    </w:p>
    <w:p>
      <w:pPr>
        <w:ind w:left="1220" w:hanging="402"/>
        <w:spacing w:after="0" w:line="234" w:lineRule="auto"/>
        <w:tabs>
          <w:tab w:leader="none" w:pos="1216"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For U.S. federal income tax purposes, CCIC operates as a REIT and, as its indirect subsidiary, our assets and operations are included in the CCIC REIT.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notes 2 and 8 to our consolidated financial statements.</w:t>
      </w:r>
    </w:p>
    <w:p>
      <w:pPr>
        <w:spacing w:after="0" w:line="1" w:lineRule="exact"/>
        <w:rPr>
          <w:rFonts w:ascii="Arial" w:cs="Arial" w:eastAsia="Arial" w:hAnsi="Arial"/>
          <w:sz w:val="22"/>
          <w:szCs w:val="22"/>
          <w:color w:val="auto"/>
        </w:rPr>
      </w:pPr>
    </w:p>
    <w:p>
      <w:pPr>
        <w:ind w:left="1220" w:hanging="402"/>
        <w:spacing w:after="0" w:line="250" w:lineRule="auto"/>
        <w:tabs>
          <w:tab w:leader="none" w:pos="121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50" w:lineRule="auto"/>
        <w:tabs>
          <w:tab w:leader="none" w:pos="12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rental revenues under long-term tenant contracts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remaining term of approximately five years, exclusive of renewals exercisable at the tenants' option, currently representing approximately $4.1 billion of expected future cash inflows.</w:t>
      </w: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our revenues from large wireless carriers</w:t>
      </w:r>
    </w:p>
    <w:p>
      <w:pPr>
        <w:spacing w:after="0" w:line="31" w:lineRule="exact"/>
        <w:rPr>
          <w:rFonts w:ascii="Times New Roman" w:cs="Times New Roman" w:eastAsia="Times New Roman" w:hAnsi="Times New Roman"/>
          <w:sz w:val="18"/>
          <w:szCs w:val="18"/>
          <w:color w:val="auto"/>
        </w:rPr>
      </w:pPr>
    </w:p>
    <w:p>
      <w:pPr>
        <w:jc w:val="both"/>
        <w:ind w:left="1220" w:hanging="402"/>
        <w:spacing w:after="0" w:line="239" w:lineRule="auto"/>
        <w:tabs>
          <w:tab w:leader="none" w:pos="1229"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Approximately 89% of our site rental revenues were derived from T-Mobile (which includes revenues previously derived from Sprint), AT&amp;T and Verizon Wireless.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note 11 to our consolidated financial statements for a further discussion of our largest customers.</w:t>
      </w:r>
    </w:p>
    <w:p>
      <w:pPr>
        <w:spacing w:after="0" w:line="2" w:lineRule="exact"/>
        <w:rPr>
          <w:rFonts w:ascii="Arial" w:cs="Arial" w:eastAsia="Arial" w:hAnsi="Arial"/>
          <w:sz w:val="22"/>
          <w:szCs w:val="22"/>
          <w:color w:val="auto"/>
        </w:rPr>
      </w:pPr>
    </w:p>
    <w:p>
      <w:pPr>
        <w:ind w:left="1220" w:hanging="402"/>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tenants per site was approximately 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land under our towers under long-term control</w:t>
      </w:r>
    </w:p>
    <w:p>
      <w:pPr>
        <w:spacing w:after="0" w:line="27" w:lineRule="exact"/>
        <w:rPr>
          <w:rFonts w:ascii="Times New Roman" w:cs="Times New Roman" w:eastAsia="Times New Roman" w:hAnsi="Times New Roman"/>
          <w:sz w:val="18"/>
          <w:szCs w:val="18"/>
          <w:color w:val="auto"/>
        </w:rPr>
      </w:pPr>
    </w:p>
    <w:p>
      <w:pPr>
        <w:ind w:left="1220" w:hanging="402"/>
        <w:spacing w:after="0" w:line="250" w:lineRule="auto"/>
        <w:tabs>
          <w:tab w:leader="none" w:pos="121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80% and more than 50% of our sites are under our control for greater than 10 and 20 years, respectively. The aforementioned percentages include towers located on land that is owned, including through fee interests and perpetual easements.</w:t>
      </w:r>
    </w:p>
    <w:p>
      <w:pPr>
        <w:jc w:val="both"/>
        <w:ind w:left="1220" w:hanging="402"/>
        <w:spacing w:after="0" w:line="250" w:lineRule="auto"/>
        <w:tabs>
          <w:tab w:leader="none" w:pos="121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fixed tower operating costs</w:t>
      </w:r>
    </w:p>
    <w:p>
      <w:pPr>
        <w:spacing w:after="0" w:line="9" w:lineRule="exact"/>
        <w:rPr>
          <w:rFonts w:ascii="Times New Roman" w:cs="Times New Roman" w:eastAsia="Times New Roman" w:hAnsi="Times New Roman"/>
          <w:sz w:val="18"/>
          <w:szCs w:val="18"/>
          <w:color w:val="auto"/>
        </w:rPr>
      </w:pPr>
    </w:p>
    <w:p>
      <w:pPr>
        <w:ind w:left="1220" w:hanging="402"/>
        <w:spacing w:after="0" w:line="250" w:lineRule="auto"/>
        <w:tabs>
          <w:tab w:leader="none" w:pos="12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sustaining capital expenditure requirements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represented less than 1% of site rental revenues.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debt with no short-term maturities</w:t>
      </w:r>
    </w:p>
    <w:p>
      <w:pPr>
        <w:spacing w:after="0" w:line="9"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consists of $1.0 billion aggregate principal amount of 3.849% Secured Notes. See note 5 to our consolidated financial statements.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cash flows from operations</w:t>
      </w:r>
    </w:p>
    <w:p>
      <w:pPr>
        <w:spacing w:after="0" w:line="12" w:lineRule="exact"/>
        <w:rPr>
          <w:rFonts w:ascii="Times New Roman" w:cs="Times New Roman" w:eastAsia="Times New Roman" w:hAnsi="Times New Roman"/>
          <w:sz w:val="18"/>
          <w:szCs w:val="18"/>
          <w:color w:val="auto"/>
        </w:rPr>
      </w:pPr>
    </w:p>
    <w:p>
      <w:pPr>
        <w:ind w:left="1220" w:hanging="402"/>
        <w:spacing w:after="0"/>
        <w:tabs>
          <w:tab w:leader="none" w:pos="1220" w:val="left"/>
        </w:tabs>
        <w:numPr>
          <w:ilvl w:val="1"/>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Net cash provided by operating activities was $443.4 million. See </w:t>
      </w:r>
      <w:r>
        <w:rPr>
          <w:rFonts w:ascii="Times New Roman" w:cs="Times New Roman" w:eastAsia="Times New Roman" w:hAnsi="Times New Roman"/>
          <w:sz w:val="18"/>
          <w:szCs w:val="18"/>
          <w:i w:val="1"/>
          <w:iCs w:val="1"/>
          <w:color w:val="auto"/>
        </w:rPr>
        <w:t>"Item 7. MD&amp;A—Liquidity and Capital Resources."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Coronavirus (COVID-19)</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during the year ended December 31, 2020. We currently anticipate that we will be able to maintain sufficient liquidity as we manage through the current environment. See also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MD&amp;A—Liquidity and Capital Resources—Liquidity Position.</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S-X Considerations</w:t>
      </w:r>
    </w:p>
    <w:p>
      <w:pPr>
        <w:spacing w:after="0" w:line="175"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Summary financial information of certain of CCL’s wholly owned subsidiaries whose securities are pledged as collateral for our 3.849% Secured Notes is not provided in this Form 10-K because the assets, liabilities and results of operations of the combined guarantors of the 3.849% Secured Notes and CCL affiliates whose securities are so pledged are not materially different than the corresponding amounts presented in CCL's consolidated financial statements. Below is a description of certain material terms of the guarantees of the 3.849% Secured Notes and the pledge of the equity interests of the Guarantors (as defined below) that secures the 3.849% Secured Notes.</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operations. Therefore, the Co-Issuer has no independent ability to service the interest and principal obligations under the 3.849% Secured Notes.</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2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 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Notes Documents is qualified in its entirety by the terms of the Secured Notes Indenture and the Pledge Agreement, which are incorporated by reference as Exhibit 4.1 and Exhibit 4.2, respectively, to this 2020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for 2020 compared to 2019 should be read in conjunction with </w:t>
      </w:r>
      <w:r>
        <w:rPr>
          <w:rFonts w:ascii="Times New Roman" w:cs="Times New Roman" w:eastAsia="Times New Roman" w:hAnsi="Times New Roman"/>
          <w:sz w:val="18"/>
          <w:szCs w:val="18"/>
          <w:i w:val="1"/>
          <w:iCs w:val="1"/>
          <w:color w:val="auto"/>
        </w:rPr>
        <w:t>"Item 1. Business,"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MD&amp;A—Liquidity and Capital Resources" </w:t>
      </w:r>
      <w:r>
        <w:rPr>
          <w:rFonts w:ascii="Times New Roman" w:cs="Times New Roman" w:eastAsia="Times New Roman" w:hAnsi="Times New Roman"/>
          <w:sz w:val="18"/>
          <w:szCs w:val="18"/>
          <w:color w:val="auto"/>
        </w:rPr>
        <w:t>and our consolidated financial statements. For a discussion of our results of operations and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2019 compared to 2018 that is not included in this 2020 Form 10-K, see </w:t>
      </w:r>
      <w:r>
        <w:rPr>
          <w:rFonts w:ascii="Times New Roman" w:cs="Times New Roman" w:eastAsia="Times New Roman" w:hAnsi="Times New Roman"/>
          <w:sz w:val="18"/>
          <w:szCs w:val="18"/>
          <w:i w:val="1"/>
          <w:iCs w:val="1"/>
          <w:color w:val="auto"/>
        </w:rPr>
        <w:t>"Item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our Annual Report on Form 10-K for the year ended December 31, 2019, which was filed with the SEC on April 9, 2020.</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of our results of operations is based on our consolidated financial statements prepared in accordance with GAAP, which requires us to make estimates and judgments that affect the reported amounts. See </w:t>
      </w:r>
      <w:r>
        <w:rPr>
          <w:rFonts w:ascii="Times New Roman" w:cs="Times New Roman" w:eastAsia="Times New Roman" w:hAnsi="Times New Roman"/>
          <w:sz w:val="18"/>
          <w:szCs w:val="18"/>
          <w:i w:val="1"/>
          <w:iCs w:val="1"/>
          <w:color w:val="auto"/>
        </w:rPr>
        <w:t>"Item 7. MD&amp;A—Accounting and Reporting Matters—Critical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and Estimates" </w:t>
      </w:r>
      <w:r>
        <w:rPr>
          <w:rFonts w:ascii="Times New Roman" w:cs="Times New Roman" w:eastAsia="Times New Roman" w:hAnsi="Times New Roman"/>
          <w:sz w:val="18"/>
          <w:szCs w:val="18"/>
          <w:color w:val="auto"/>
        </w:rPr>
        <w:t>herein and note 2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8"/>
          <w:szCs w:val="18"/>
          <w:i w:val="1"/>
          <w:iCs w:val="1"/>
          <w:color w:val="auto"/>
        </w:rPr>
        <w:t>Comparison of Consolidated Results of Operations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comparison of our 2020, 2019 and 2018 consolidated results of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18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60" w:type="dxa"/>
            <w:vAlign w:val="bottom"/>
          </w:tcPr>
          <w:p>
            <w:pPr>
              <w:spacing w:after="0"/>
              <w:rPr>
                <w:sz w:val="16"/>
                <w:szCs w:val="16"/>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 vs. 2018</w:t>
            </w: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19"/>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6"/>
        </w:trPr>
        <w:tc>
          <w:tcPr>
            <w:tcW w:w="5020" w:type="dxa"/>
            <w:vAlign w:val="bottom"/>
            <w:tcBorders>
              <w:bottom w:val="single" w:sz="8" w:color="CCEEFF"/>
            </w:tcBorders>
          </w:tcPr>
          <w:p>
            <w:pPr>
              <w:ind w:left="560"/>
              <w:spacing w:after="0" w:line="216" w:lineRule="exact"/>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43,491</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7"/>
        </w:trPr>
        <w:tc>
          <w:tcPr>
            <w:tcW w:w="5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749,820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702,981</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199"/>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020" w:type="dxa"/>
            <w:vAlign w:val="bottom"/>
          </w:tcPr>
          <w:p>
            <w:pPr>
              <w:ind w:left="560"/>
              <w:spacing w:after="0" w:line="216" w:lineRule="exact"/>
              <w:rPr>
                <w:sz w:val="20"/>
                <w:szCs w:val="20"/>
                <w:color w:val="auto"/>
              </w:rPr>
            </w:pPr>
            <w:r>
              <w:rPr>
                <w:rFonts w:ascii="Times New Roman" w:cs="Times New Roman" w:eastAsia="Times New Roman" w:hAnsi="Times New Roman"/>
                <w:sz w:val="16"/>
                <w:szCs w:val="16"/>
                <w:color w:val="auto"/>
              </w:rPr>
              <w:t>Site rental cost of operations - third parties</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149,748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6"/>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Ground rent expenses - related parties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40,981</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9"/>
        </w:trPr>
        <w:tc>
          <w:tcPr>
            <w:tcW w:w="5020" w:type="dxa"/>
            <w:vAlign w:val="bottom"/>
          </w:tcPr>
          <w:p>
            <w:pPr>
              <w:ind w:left="800"/>
              <w:spacing w:after="0" w:line="210" w:lineRule="exact"/>
              <w:rPr>
                <w:sz w:val="20"/>
                <w:szCs w:val="20"/>
                <w:color w:val="auto"/>
              </w:rPr>
            </w:pPr>
            <w:r>
              <w:rPr>
                <w:rFonts w:ascii="Times New Roman" w:cs="Times New Roman" w:eastAsia="Times New Roman" w:hAnsi="Times New Roman"/>
                <w:sz w:val="16"/>
                <w:szCs w:val="16"/>
                <w:color w:val="auto"/>
              </w:rPr>
              <w:t>Site rental cost of operations - total</w:t>
            </w:r>
            <w:r>
              <w:rPr>
                <w:rFonts w:ascii="Times New Roman" w:cs="Times New Roman" w:eastAsia="Times New Roman" w:hAnsi="Times New Roman"/>
                <w:sz w:val="21"/>
                <w:szCs w:val="21"/>
                <w:color w:val="auto"/>
                <w:vertAlign w:val="superscript"/>
              </w:rPr>
              <w:t>(b)</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 fee - related party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write-down charges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207,396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50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463,709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454,183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447,370</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255,611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215,933</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Percentage is not meaningful.</w:t>
      </w:r>
    </w:p>
    <w:p>
      <w:pPr>
        <w:spacing w:after="0" w:line="1" w:lineRule="exact"/>
        <w:rPr>
          <w:sz w:val="20"/>
          <w:szCs w:val="20"/>
          <w:color w:val="auto"/>
        </w:rPr>
      </w:pPr>
    </w:p>
    <w:p>
      <w:pPr>
        <w:ind w:left="340" w:hanging="332"/>
        <w:spacing w:after="0" w:line="241"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amortization of deferred revenues recorded in connection with the tower installation and modification transactions (described in note 6 to our consolidated financial statements) that result in permanent improvements to our towers. We receive no cash from, and are not party to, such transactions.</w:t>
      </w: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Y</w:t>
      </w:r>
      <w:r>
        <w:rPr>
          <w:rFonts w:ascii="Times New Roman" w:cs="Times New Roman" w:eastAsia="Times New Roman" w:hAnsi="Times New Roman"/>
          <w:sz w:val="18"/>
          <w:szCs w:val="18"/>
          <w:b w:val="1"/>
          <w:bCs w:val="1"/>
          <w:i w:val="1"/>
          <w:iCs w:val="1"/>
          <w:color w:val="000000"/>
        </w:rPr>
        <w:t>ears Ended December 31, 2020 and 2019</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Site rental revenues for 2020 increased by approximately $19.3 million, or 3%, from 2019. Site rental revenues were impacted by the following items, inclusive of straight-line accounting: tenant additions across our entire portfolio, renewals or extensions of tenant contracts, escalations and non-renewals of tenant contracts. Tenant additions were influenced by our tenants' ongoing efforts to improve network quality and capacity. See also </w:t>
      </w:r>
      <w:r>
        <w:rPr>
          <w:rFonts w:ascii="Times New Roman" w:cs="Times New Roman" w:eastAsia="Times New Roman" w:hAnsi="Times New Roman"/>
          <w:sz w:val="18"/>
          <w:szCs w:val="18"/>
          <w:i w:val="1"/>
          <w:iCs w:val="1"/>
          <w:color w:val="auto"/>
        </w:rPr>
        <w:t>"Item 7. MD&amp;A—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Overview."</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income for 2020 increased by approximately $9.8 million, or 4%, from 2019. The increase in operating income was predominately due to the aforementioned increase in site rental revenues, partially offset by an increase in costs of operations and the management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and amortization of deferred financing costs remained unchanged from 2019 to 2020.</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Benefit (provision) for income taxes was a provision of $0.4 million for both 2020 and 2019. The effective tax rates for 2020 and 2019 differ from the federal statutory rate predominately due to CCIC's REIT status (including the dividends paid deduction) and our inclusion therein. See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notes 2 and 8 to our consolidated financial statements.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Net income for 2020 was approximately $246.0 million, compared to net income of approximately $236.7 million for 2019. The increase in net income was predominately due to the aforementioned increase in site rental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core business generates revenues under long-term tenant contracts (see</w:t>
      </w:r>
      <w:r>
        <w:rPr>
          <w:rFonts w:ascii="Times New Roman" w:cs="Times New Roman" w:eastAsia="Times New Roman" w:hAnsi="Times New Roman"/>
          <w:sz w:val="18"/>
          <w:szCs w:val="18"/>
          <w:i w:val="1"/>
          <w:iCs w:val="1"/>
          <w:color w:val="auto"/>
        </w:rPr>
        <w:t xml:space="preserve"> "Item 1. Business—Overview"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xml:space="preserve">Item 7. MD&amp;A—General Overview—Overview") </w:t>
      </w:r>
      <w:r>
        <w:rPr>
          <w:rFonts w:ascii="Times New Roman" w:cs="Times New Roman" w:eastAsia="Times New Roman" w:hAnsi="Times New Roman"/>
          <w:sz w:val="18"/>
          <w:szCs w:val="18"/>
          <w:color w:val="auto"/>
        </w:rPr>
        <w:t>from the largest U.S. wireless carriers. Historically, our net cash provided by operating activities has exceeded our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the foreseeable future, we expect to generate net cash provided by operating activities (exclusive of movements in working capital) that exceeds our capital expenditures. We seek to allocate</w:t>
      </w:r>
    </w:p>
    <w:p>
      <w:pPr>
        <w:sectPr>
          <w:pgSz w:w="11900" w:h="16838" w:orient="portrait"/>
          <w:cols w:equalWidth="0" w:num="1">
            <w:col w:w="11240"/>
          </w:cols>
          <w:pgMar w:left="320" w:top="105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net cash generated from our business in a manner that we believe drives value for our member.</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CCIC operates as a REIT for U.S. federal income tax purposes. For U.S. federal income tax purposes, our assets and operations are included in the CCIC REIT. We expect to continue to pay minimal cash income taxes as a result of CCIC's REIT status and NOLs.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notes 2 and 8 to our consolidated financial statements.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Liquidity Position. </w:t>
      </w:r>
      <w:r>
        <w:rPr>
          <w:rFonts w:ascii="Times New Roman" w:cs="Times New Roman" w:eastAsia="Times New Roman" w:hAnsi="Times New Roman"/>
          <w:sz w:val="18"/>
          <w:szCs w:val="18"/>
          <w:color w:val="auto"/>
        </w:rPr>
        <w:t>The following is a summary of our capitalization and liquidity position as of December 31,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14"/>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17,439</w:t>
            </w:r>
          </w:p>
        </w:tc>
      </w:tr>
      <w:tr>
        <w:trPr>
          <w:trHeight w:val="213"/>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320" w:type="dxa"/>
            <w:vAlign w:val="bottom"/>
          </w:tcPr>
          <w:p>
            <w:pPr>
              <w:spacing w:after="0"/>
              <w:rPr>
                <w:sz w:val="18"/>
                <w:szCs w:val="18"/>
                <w:color w:val="auto"/>
              </w:rPr>
            </w:pPr>
          </w:p>
        </w:tc>
        <w:tc>
          <w:tcPr>
            <w:tcW w:w="1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996,815</w:t>
            </w:r>
          </w:p>
        </w:tc>
      </w:tr>
      <w:tr>
        <w:trPr>
          <w:trHeight w:val="21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1,936,951</w:t>
            </w: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Over the next 12 months:</w:t>
      </w:r>
    </w:p>
    <w:p>
      <w:pPr>
        <w:spacing w:after="0" w:line="27"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net cash provided by operating activities should be sufficient to cover our expected capital expenditures.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scheduled contractual debt maturities.</w:t>
      </w:r>
    </w:p>
    <w:p>
      <w:pPr>
        <w:spacing w:after="0" w:line="1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Long-term Strategy</w:t>
      </w:r>
      <w:r>
        <w:rPr>
          <w:rFonts w:ascii="Times New Roman" w:cs="Times New Roman" w:eastAsia="Times New Roman" w:hAnsi="Times New Roman"/>
          <w:sz w:val="18"/>
          <w:szCs w:val="18"/>
          <w:color w:val="auto"/>
        </w:rPr>
        <w:t>. We may increase our debt in nominal dollars, subject to the provisions of the 2012 Secured Notes outstanding and various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such as the state of the capital markets and CCIC's targeted capital structure, including with respect to leverage ratios. From a cash management perspective, we currently distribute cash on hand above amounts required pursuant to the Management Agreement to our member. If any future event would occur that would leave us with a deficiency in our operating cash flow, while not required, CCIC may contribute cash back to us.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5 to our consolidated financial statements for additional information regarding our debt.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Summary Cash Flows Information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64"/>
        </w:trPr>
        <w:tc>
          <w:tcPr>
            <w:tcW w:w="7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443,432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451,069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426,841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(70,929)</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(362,759)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(367,976)</w:t>
            </w:r>
          </w:p>
        </w:tc>
        <w:tc>
          <w:tcPr>
            <w:tcW w:w="0" w:type="dxa"/>
            <w:vAlign w:val="bottom"/>
          </w:tcPr>
          <w:p>
            <w:pPr>
              <w:spacing w:after="0"/>
              <w:rPr>
                <w:sz w:val="1"/>
                <w:szCs w:val="1"/>
                <w:color w:val="auto"/>
              </w:rPr>
            </w:pP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net cash provided by operating activities for 2020 of $7.6 million, or 2%, from 2019 was primarily due to a net decrease in working capital partially offset by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jc w:val="both"/>
        <w:ind w:left="820" w:right="20" w:hanging="407"/>
        <w:spacing w:after="0" w:line="253"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(which primarily relates to land assets under towers as CCIC seeks to manage its interests in the land beneath its towers), certain technology-related</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7" w:name="page18"/>
    <w:bookmarkEnd w:id="17"/>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w:t>
      </w:r>
    </w:p>
    <w:p>
      <w:pPr>
        <w:spacing w:after="0" w:line="3" w:lineRule="exact"/>
        <w:rPr>
          <w:sz w:val="20"/>
          <w:szCs w:val="20"/>
          <w:color w:val="auto"/>
        </w:rPr>
      </w:pPr>
    </w:p>
    <w:p>
      <w:pPr>
        <w:ind w:left="820" w:right="20" w:hanging="2"/>
        <w:spacing w:after="0" w:line="250" w:lineRule="auto"/>
        <w:tabs>
          <w:tab w:leader="none" w:pos="10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CCIC's availability and cost of capital and (3) CCIC's expected returns on alternative uses of cash, such as payments of dividends and investments.</w:t>
      </w:r>
    </w:p>
    <w:p>
      <w:pPr>
        <w:ind w:left="820" w:hanging="407"/>
        <w:spacing w:after="0" w:line="26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Sustaining capital expenditures consist of maintenance capital expenditures on our sites that enable our tenants' ongoing quiet enjoyment of the site.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our capital expenditures for the last three years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8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Discretionary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63,369</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Sustaining</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expenditures decreased by approximately $46.2 million from 2019 to 2020 predominately due to a slowdown in tower service activity in 2020 compared to 2019.</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net cash flows used for financing activities during the years ended December 31, 2020 and 2019 were impacted by our continued practice of distributing excess cash to our member. See note 6 to our consolidated financial statements.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material cash requirements as of December 31, 2020. These material cash requirements relate primarily to our 3.849% Secured Notes and lease obligations for land interests relating to our towers.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dollars)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9"/>
        </w:trPr>
        <w:tc>
          <w:tcPr>
            <w:tcW w:w="30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Material Cash Requirements</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1,000,000</w:t>
            </w: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payments on debt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96,225</w:t>
            </w:r>
          </w:p>
        </w:tc>
      </w:tr>
      <w:tr>
        <w:trPr>
          <w:trHeight w:val="219"/>
        </w:trPr>
        <w:tc>
          <w:tcPr>
            <w:tcW w:w="3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Lease obligations</w:t>
            </w:r>
            <w:r>
              <w:rPr>
                <w:rFonts w:ascii="Times New Roman" w:cs="Times New Roman" w:eastAsia="Times New Roman" w:hAnsi="Times New Roman"/>
                <w:sz w:val="21"/>
                <w:szCs w:val="21"/>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1,130,872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1,671,188</w:t>
            </w: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material cash requirements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147,229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147,208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1,127,617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106,926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1,130,872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2,767,413</w:t>
            </w:r>
          </w:p>
        </w:tc>
      </w:tr>
      <w:tr>
        <w:trPr>
          <w:trHeight w:val="23"/>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14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6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items are in addition to the obligations disclosed in the above table:</w:t>
      </w:r>
    </w:p>
    <w:p>
      <w:pPr>
        <w:spacing w:after="0" w:line="17"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56"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legal obligation to perform certain asset retirement activities, including requirements upon lease and easement terminations to remove sites or remediate the land on which our towers are located. The material cash requirements disclosed in the above table, as of December 31, 2020, are exclusive of estimated undiscounted future cash outlays for asset retirement obligations of approximately $82.9 million. As of December 31, 2020, the net present value of these asset retirement obligations was approximately $12.5 million. See note 9 to our consolidated financial statements.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contractually obligated to pay or reimburse others for property taxes related to our sites.</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56"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CCIC has the option to purchase approximately 68% of our sites that are leased or subleased or operated and managed under T-Mobile Master Leases at the end of their contract term. CCIC has no obligation to exercise the purchase option. See note 1 to our consolidated financial statements.</w:t>
      </w:r>
    </w:p>
    <w:p>
      <w:pPr>
        <w:ind w:left="660" w:hanging="328"/>
        <w:spacing w:after="0"/>
        <w:tabs>
          <w:tab w:leader="none" w:pos="6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legal obligations for open purchase order commitments obtained in the ordinary course of business that have not yet been fulfilled.</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primarily to lease obligations for the land on which our towers are located and are based on the assumption that payments will be made for certain renewal periods exercisable at our option that are reasonably certain to be exercised and excludes our contingent payments for operating leases (such as payments based on revenues derived from sites located on the leased asset) as such arrangements are excluded from our operating lease liability. See note 10 to our consolidated financial statements for a further discussion of our operating lease obligations.</w:t>
      </w:r>
    </w:p>
    <w:p>
      <w:pPr>
        <w:spacing w:after="0" w:line="2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Debt Restrictions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Secured Notes Indenture does not contain financial maintenance covenants but it does contain restrictive covenants, subject to certain exceptions, related to our ability to incur indebtedness, incur liens, enter into certain mergers or change of control transactions, sell or issue equity interests, and enter into related party transactions. With respect to the restriction regarding the issuance of debt, we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Secured Notes Indenture provided that the Debt to Adjusted Consolidated Cash Flow Ratio (as defined in the Secured Notes Indenture) at the time of incurrence, and after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giving effect to such incurrence, would have been no greater than 3.5 to 1. As of December 31, 2020, our Debt to Adjusted Consolidated Cash Flow Ratio was 2.1 to 1, and, as a result, we are currently not restricted in our ability to incur additional indebtedness. We are not restricted in our ability to distribute cash to affiliates or issue dividends to our member.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Reporting Matters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The critical accounting policies and estimates for 2020 are not intended to be a comprehensive list of our accounting policies and estimates. See note 2 to our consolidated financial statements for a summary of our significant accounting policies.</w:t>
      </w:r>
    </w:p>
    <w:p>
      <w:pPr>
        <w:spacing w:after="0" w:line="11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Accounting - Lessee. </w:t>
      </w:r>
      <w:r>
        <w:rPr>
          <w:rFonts w:ascii="Times New Roman" w:cs="Times New Roman" w:eastAsia="Times New Roman" w:hAnsi="Times New Roman"/>
          <w:sz w:val="18"/>
          <w:szCs w:val="18"/>
          <w:color w:val="auto"/>
        </w:rPr>
        <w:t>Our lessee arrangements primarily consist of ground leases for land under our towers. Ground leases for land are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site and are generally for an initial term of five to 10 years and are renewable (and cancelable after a notice period) at our option. We also enter into term easements and ground leases in which we prepay the entire term. The majority of our lease agreements have certain termination rights that provide for cancellation after a notice period and multiple renewal options exercisable at our option. We include certain renewal option periods in the lease term when we determine that the options are reasonably certain to be exercised.</w:t>
      </w:r>
    </w:p>
    <w:p>
      <w:pPr>
        <w:spacing w:after="0" w:line="11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Operating lease expense is recognized on a ratable basis, regardless of whether the payment terms require us to make payments annually, quarterly, monthly, or for the entire term in advance. Certain of our ground lease agreements contain fixed escalation clauses (such as fixed dollar or fixed percentage increases) or inflation-based escalation clauses (such as those tied to the change in consumer price index ("CPI")). If the payment terms include fixed escalator provisions, the effect of such increases is recognized on a straight-line basis. We calculate the straight-line expense over the contract's estimated lease term, including any renewal option periods that we deem reasonably certain to be exercised.</w:t>
      </w:r>
    </w:p>
    <w:p>
      <w:pPr>
        <w:spacing w:after="0" w:line="1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of our operating leases. ROU assets represent our right to use an underlying asset for the estimated lease term, and lease liabilities represent the present value of our future lease payments. In assessing our leases and determining our lease liability at lease commencement or upon modification, we are not able to readily determine the rate implicit for our lessee arrangements and thus use CCIC's incremental borrowing rate on a collateralized basis to determine the present value of our lease payments. Our ROU assets are measured as the balance of the lease liability plus any prepaid or accrued lease payments and any unamortized initial direct costs.</w:t>
      </w:r>
    </w:p>
    <w:p>
      <w:pPr>
        <w:spacing w:after="0" w:line="1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review the carrying value of our ROU assets for impairment, similar to our other long-lived assets, whenever events or changes in circumstances indicate that the carrying amounts may not be recoverable. We could record impairments in the future if there are changes in (1) long-term market conditions, (2) expected future operating results or (3) the utility of the assets that negatively impact the fair value of our ROU assets.</w:t>
      </w:r>
    </w:p>
    <w:p>
      <w:pPr>
        <w:spacing w:after="0" w:line="10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revenue consists of site rental revenues, which includes both revenue from tenant contracts and amortization of tower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installations and modifications. Site rental revenues are recognized on a ratable basis over the fixed, non-cancelable term of the relevant tenant contract generally ranging from five to 15 years, regardless of whether the payments from the tenant are received in equal monthly amounts during the life of a tenant contract. Certain of our tenant contracts contain (1) fixed escalation clauses (such as fixed-dollar or fixed-percentage increases) or inflation-based escalation clauses (such as those tied to CPI), (2) multiple renewal periods exercisable at the tenant's option, and (3) only limited termination rights at the applicable tenant's option through the current term. If the payment terms call for fixed escalations, upfront payments, or rent-free periods, the revenue is recognized on a straight-line basis over the fixed, non-cancelable term of the tenant contract.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included in "Deferred site rental receivables." Amounts billed or received prior to being earned, are deferred and reflected in "Deferred revenues" and "Other long-term liabilities."</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our revenue from tenant contracts, amounts under the tower installation services and modifications agreements described in note 6 that represent a lease component to the Company are recognized as amortization of tower installations and modifications on a ratable basis over the length of the associated estimated lease term. We are not parties to such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9" w:name="page20"/>
    <w:bookmarkEnd w:id="19"/>
    <w:p>
      <w:pPr>
        <w:spacing w:after="0" w:line="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 — Valuation. </w:t>
      </w:r>
      <w:r>
        <w:rPr>
          <w:rFonts w:ascii="Times New Roman" w:cs="Times New Roman" w:eastAsia="Times New Roman" w:hAnsi="Times New Roman"/>
          <w:sz w:val="18"/>
          <w:szCs w:val="18"/>
          <w:color w:val="auto"/>
        </w:rPr>
        <w:t>As of December 31, 2020, our largest assets were our intangible assets, including goodwill and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 contracts and tenant relationships (approximately $1.3 billion and $563 million in net book value, respectively, resulting predominately from the merger of Global Signal Inc. with and into a subsidiary of CCIC in 2007), followed by our $952 million in net book value of property and equipment, which predominately consists of sites. Nearly all of our identifiable intangibles relate to the site rental contracts and tenant relationships intangible assets. See notes 2 and 4 to our consolidated financial statements for further information regarding the nature and composition of the site rental contracts and tenant relationships intangible assets.</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The fair value of the vast majority of our assets and liabilities is determined by using either:</w:t>
      </w:r>
    </w:p>
    <w:p>
      <w:pPr>
        <w:spacing w:after="0" w:line="122" w:lineRule="exact"/>
        <w:rPr>
          <w:sz w:val="20"/>
          <w:szCs w:val="20"/>
          <w:color w:val="auto"/>
        </w:rPr>
      </w:pPr>
    </w:p>
    <w:p>
      <w:pPr>
        <w:ind w:left="800" w:hanging="387"/>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replacement costs (for tangible fixed assets such as sites), or</w:t>
      </w:r>
    </w:p>
    <w:p>
      <w:pPr>
        <w:spacing w:after="0" w:line="27" w:lineRule="exact"/>
        <w:rPr>
          <w:rFonts w:ascii="Times New Roman" w:cs="Times New Roman" w:eastAsia="Times New Roman" w:hAnsi="Times New Roman"/>
          <w:sz w:val="18"/>
          <w:szCs w:val="18"/>
          <w:color w:val="auto"/>
        </w:rPr>
      </w:pPr>
    </w:p>
    <w:p>
      <w:pPr>
        <w:ind w:left="820" w:hanging="407"/>
        <w:spacing w:after="0" w:line="260"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cash flow valuation methods (for estimating identifiable intangibles such as site rental contracts and tenant relationships or operating lease right-of-use assets and lease liabilities acquired).</w:t>
      </w:r>
    </w:p>
    <w:p>
      <w:pPr>
        <w:spacing w:after="0" w:line="1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length and amount of cash flows including estimates regarding tenant renewals and cancellations. The most important estimates for measurement of operating lease ROU assets and lease liabilities acquired are (1) present value of our future lease payments, including whether renewals or extensions should be measured, and (2) favorability or unfavorability to the current market terms.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the fair value of obligations to perform certain asset retirement activities, including requirements, pursuant to our ground contracts or easements, to remove sites or remediate the land upon which certain of our sites reside. In determining the fair value of these asset retirement obligations, we must make several subjective and highly judgmental estimates such as those related to: (1) timing of cash flows, (2) future costs, (3) discount rates and (4) the probability of enforcement to remove the towers or remediate the land. See note 2 to our consolidated financial statements.</w:t>
      </w:r>
    </w:p>
    <w:p>
      <w:pPr>
        <w:spacing w:after="0" w:line="124"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Accounting for Long-Lived Assets — Useful Lives. </w:t>
      </w:r>
      <w:r>
        <w:rPr>
          <w:rFonts w:ascii="Times New Roman" w:cs="Times New Roman" w:eastAsia="Times New Roman" w:hAnsi="Times New Roman"/>
          <w:sz w:val="17"/>
          <w:szCs w:val="17"/>
          <w:color w:val="auto"/>
        </w:rPr>
        <w:t>We are required to make subjective assessments as to the useful lives of our tangible and intangible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sites, which is depreciated with an estimated useful life equal to the shorter of (1) 20 years or (2) the term of the lease (including optional renewals) for the land under our towers.</w:t>
      </w:r>
    </w:p>
    <w:p>
      <w:pPr>
        <w:spacing w:after="0" w:line="11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tenant relationships intangible assets is limited by the maximum depreciable life of the site (20 years), as a result of the interdependency of the sites and site rental contracts and tenant relationships. In contrast, the site rental contracts and tenant relationships are estimated to provide economic benefits for several decades because of the low rate of tenant cancellations and high rate of renewals experienced to date. Thus, while site rental contracts and tenant relationships are valued based upon the fair value of the site rental contracts and tenant relationships which includes assumptions regarding both (1) tenants' exercise of optional renewals contained in the acquired leases and</w:t>
      </w:r>
    </w:p>
    <w:p>
      <w:pPr>
        <w:spacing w:after="0" w:line="1" w:lineRule="exact"/>
        <w:rPr>
          <w:sz w:val="20"/>
          <w:szCs w:val="20"/>
          <w:color w:val="auto"/>
        </w:rPr>
      </w:pPr>
    </w:p>
    <w:p>
      <w:pPr>
        <w:ind w:firstLine="8"/>
        <w:spacing w:after="0" w:line="260" w:lineRule="auto"/>
        <w:tabs>
          <w:tab w:leader="none" w:pos="2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the acquired leases past the contractual term including exercisable options, the site rental contracts are amortized over a period not to exceed 20 years as a result of the useful life being limited by the depreciable life of the sites.</w:t>
      </w:r>
    </w:p>
    <w:p>
      <w:pPr>
        <w:spacing w:after="0" w:line="12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for Long-Lived Assets — Impairment Evaluation. </w:t>
      </w:r>
      <w:r>
        <w:rPr>
          <w:rFonts w:ascii="Times New Roman" w:cs="Times New Roman" w:eastAsia="Times New Roman" w:hAnsi="Times New Roman"/>
          <w:sz w:val="18"/>
          <w:szCs w:val="18"/>
          <w:color w:val="auto"/>
        </w:rPr>
        <w:t>We review the carrying values of property and equipment, intangible assets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tenant relationships: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left="800" w:hanging="387"/>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pool site rental contracts and tenant relationships intangible assets and property and equipment into portfolio groups; and</w:t>
      </w:r>
    </w:p>
    <w:p>
      <w:pPr>
        <w:spacing w:after="0" w:line="27" w:lineRule="exact"/>
        <w:rPr>
          <w:rFonts w:ascii="Times New Roman" w:cs="Times New Roman" w:eastAsia="Times New Roman" w:hAnsi="Times New Roman"/>
          <w:sz w:val="18"/>
          <w:szCs w:val="18"/>
          <w:color w:val="auto"/>
        </w:rPr>
      </w:pPr>
    </w:p>
    <w:p>
      <w:pPr>
        <w:ind w:left="820" w:hanging="407"/>
        <w:spacing w:after="0" w:line="260" w:lineRule="auto"/>
        <w:tabs>
          <w:tab w:leader="none" w:pos="8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separately pool site rental contracts and tenant relationships by significant tenant or by tenant grouping for individually insignificant tenants, as appropriate.</w:t>
      </w:r>
    </w:p>
    <w:p>
      <w:pPr>
        <w:spacing w:after="0" w:line="1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first pool site rental contracts and tenant relationships intangible assets and property and equipment into portfolio groups for purposes of determining the unit of account for impairment testing, because we view sites as portfolios and sites in a given portfolio and its related tenant contracts are not largely independent of the other sites in the portfolio. We re-evaluate the appropriateness of the pooled groups at least annually. This use of grouping is based in part on (1) our limitations regarding disposal of sites, (2) the interdependencies of site portfolios and (3) the manner in which sites are traded in the marketplace. The vast majority of our site rental contracts and tenant relationships intangible assets and property and equipment are pooled into the U.S. owned site group. Secondly, and separately, we pool site rental contracts and tenant relationships by significant tenant or by tenant grouping for individually insignificant tenants, as appropriate, for purposes of determining the unit of account for impairment testing because we associate the value ascribed to site rental contracts and tenant relationships intangible assets to the underlying contracts and related tenant relationships acquired.</w:t>
      </w:r>
    </w:p>
    <w:p>
      <w:pPr>
        <w:spacing w:after="0" w:line="13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sites or (2) our tenant relationships. For example, consideration would be given to events that impact (1) the structural integrity and longevity of our sites or (2) our ability to derive benefit from our existing tenant relationships, including events such as tenant's bankruptcy or insolvency or loss of a significant tenant. During 2020, there were no events or circumstances that caused us to review the carrying value of our intangible assets or property and equipment due in part to our assets performing consistently with or better than our expectations.</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sites and (2) estimates regarding tenant cancellations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3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Approximately 4% of our total towers currently have no tenants. We continue to pay operating expenses on these towers in anticipation of obtaining tenants on these towers in the future, primarily because of the demographics and continuing increase in demand for data in the areas around these individual towers. We estimate, based on current visibility, potential tenants on approximately half of these towers. To the extent we do not believe there are long-term prospects of obtaining tenants on an individual asset and all other possible avenues for recovering the carrying value have been exhausted, including sale of the asset, we appropriately reduce the carrying value of such assets to fair value.</w:t>
      </w:r>
    </w:p>
    <w:p>
      <w:pPr>
        <w:spacing w:after="0" w:line="1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Goodwill — Impairment Evaluation. </w:t>
      </w:r>
      <w:r>
        <w:rPr>
          <w:rFonts w:ascii="Times New Roman" w:cs="Times New Roman" w:eastAsia="Times New Roman" w:hAnsi="Times New Roman"/>
          <w:sz w:val="18"/>
          <w:szCs w:val="18"/>
          <w:color w:val="auto"/>
        </w:rPr>
        <w:t>We test goodwill for impairment on an annual basis, regardless of whether adverse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we conclude that it is "more likely than not" that the fair value of a reporting unit is less than its carrying amount, we would be required to perform a quantitative step-one goodwill impairment test. If the carrying amount of a reporting unit is greater than its fair value, an impairment loss shall be recognized in an amount equal to such excess, limited to the total amount of goodwill allocated to the reporting unit. We have one reporting unit for goodwill impairment testing. We performed our most recent annual goodwill impairment test as of October 1, 2020, which resulted in no impairments.</w:t>
      </w:r>
    </w:p>
    <w:p>
      <w:pPr>
        <w:spacing w:after="0" w:line="13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a discussion of the recently adopted accounting pronouncement related to goodwill impairment evaluation.</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See note 2 to our consolidated financial statements.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See note 2 to our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primary exposures to market risks are related to changes in interest rates, including as a result of refinancing our existing debt or issuing incremental debt, which may adversely affect our results of operations and financial position. We seek to manage exposure to changes in interest rates where economically prudent to do so by utilizing fixed rate debt. Currently, all of our debt is fixed rate. See </w:t>
      </w:r>
      <w:r>
        <w:rPr>
          <w:rFonts w:ascii="Times New Roman" w:cs="Times New Roman" w:eastAsia="Times New Roman" w:hAnsi="Times New Roman"/>
          <w:sz w:val="18"/>
          <w:szCs w:val="18"/>
          <w:i w:val="1"/>
          <w:iCs w:val="1"/>
          <w:color w:val="auto"/>
        </w:rPr>
        <w:t>"Item 7. MD&amp;A—Material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w:t>
      </w:r>
      <w:r>
        <w:rPr>
          <w:rFonts w:ascii="Times New Roman" w:cs="Times New Roman" w:eastAsia="Times New Roman" w:hAnsi="Times New Roman"/>
          <w:sz w:val="18"/>
          <w:szCs w:val="18"/>
          <w:color w:val="auto"/>
        </w:rPr>
        <w:t>and note 5 to our consolidated financial statements for a discussion of our debt maturity.</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2020, we have no interest rate swaps hedging any refinancings. We typically do not hedge our exposure to interest rates on potential future borrowings of incremental debt for a substantial period prior to issuance. See </w:t>
      </w:r>
      <w:r>
        <w:rPr>
          <w:rFonts w:ascii="Times New Roman" w:cs="Times New Roman" w:eastAsia="Times New Roman" w:hAnsi="Times New Roman"/>
          <w:sz w:val="18"/>
          <w:szCs w:val="18"/>
          <w:i w:val="1"/>
          <w:iCs w:val="1"/>
          <w:color w:val="auto"/>
        </w:rPr>
        <w:t>"Item 7. MD&amp;A—Liquidity and Capital Resources"</w:t>
      </w:r>
      <w:r>
        <w:rPr>
          <w:rFonts w:ascii="Times New Roman" w:cs="Times New Roman" w:eastAsia="Times New Roman" w:hAnsi="Times New Roman"/>
          <w:sz w:val="18"/>
          <w:szCs w:val="18"/>
          <w:color w:val="auto"/>
        </w:rPr>
        <w:t xml:space="preserve"> regarding our liquidity strategy.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left="1631"/>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5"/>
        </w:trPr>
        <w:tc>
          <w:tcPr>
            <w:tcW w:w="886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040" w:type="dxa"/>
            <w:vAlign w:val="bottom"/>
          </w:tcPr>
          <w:p>
            <w:pPr>
              <w:jc w:val="center"/>
              <w:ind w:left="1651"/>
              <w:spacing w:after="0" w:line="195" w:lineRule="exact"/>
              <w:rPr>
                <w:rFonts w:ascii="Times New Roman" w:cs="Times New Roman" w:eastAsia="Times New Roman" w:hAnsi="Times New Roman"/>
                <w:sz w:val="18"/>
                <w:szCs w:val="18"/>
                <w:u w:val="single" w:color="auto"/>
                <w:color w:val="0000FF"/>
                <w:w w:val="99"/>
              </w:rPr>
            </w:pPr>
            <w:hyperlink w:anchor="page23">
              <w:r>
                <w:rPr>
                  <w:rFonts w:ascii="Times New Roman" w:cs="Times New Roman" w:eastAsia="Times New Roman" w:hAnsi="Times New Roman"/>
                  <w:sz w:val="18"/>
                  <w:szCs w:val="18"/>
                  <w:u w:val="single" w:color="auto"/>
                  <w:color w:val="0000FF"/>
                  <w:w w:val="99"/>
                </w:rPr>
                <w:t>24</w:t>
              </w:r>
            </w:hyperlink>
          </w:p>
        </w:tc>
      </w:tr>
      <w:tr>
        <w:trPr>
          <w:trHeight w:val="20"/>
        </w:trPr>
        <w:tc>
          <w:tcPr>
            <w:tcW w:w="3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Balance Sheet as of December 31, 2020 and 2019</w:t>
            </w: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25">
              <w:r>
                <w:rPr>
                  <w:rFonts w:ascii="Times New Roman" w:cs="Times New Roman" w:eastAsia="Times New Roman" w:hAnsi="Times New Roman"/>
                  <w:sz w:val="18"/>
                  <w:szCs w:val="18"/>
                  <w:u w:val="single" w:color="auto"/>
                  <w:color w:val="0000FF"/>
                  <w:w w:val="99"/>
                </w:rPr>
                <w:t>26</w:t>
              </w:r>
            </w:hyperlink>
          </w:p>
        </w:tc>
      </w:tr>
      <w:tr>
        <w:trPr>
          <w:trHeight w:val="20"/>
        </w:trPr>
        <w:tc>
          <w:tcPr>
            <w:tcW w:w="3160" w:type="dxa"/>
            <w:vAlign w:val="bottom"/>
            <w:shd w:val="clear" w:color="auto" w:fill="000000"/>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7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Consolidated Statement of Operations for each of the three years in the period ended December 31, 2020</w:t>
            </w:r>
          </w:p>
        </w:tc>
        <w:tc>
          <w:tcPr>
            <w:tcW w:w="1300" w:type="dxa"/>
            <w:vAlign w:val="bottom"/>
            <w:gridSpan w:val="3"/>
          </w:tcPr>
          <w:p>
            <w:pPr>
              <w:spacing w:after="0"/>
              <w:rPr>
                <w:sz w:val="18"/>
                <w:szCs w:val="18"/>
                <w:color w:val="auto"/>
              </w:rPr>
            </w:pP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26">
              <w:r>
                <w:rPr>
                  <w:rFonts w:ascii="Times New Roman" w:cs="Times New Roman" w:eastAsia="Times New Roman" w:hAnsi="Times New Roman"/>
                  <w:sz w:val="18"/>
                  <w:szCs w:val="18"/>
                  <w:u w:val="single" w:color="auto"/>
                  <w:color w:val="0000FF"/>
                  <w:w w:val="99"/>
                </w:rPr>
                <w:t>27</w:t>
              </w:r>
            </w:hyperlink>
          </w:p>
        </w:tc>
      </w:tr>
      <w:tr>
        <w:trPr>
          <w:trHeight w:val="210"/>
        </w:trPr>
        <w:tc>
          <w:tcPr>
            <w:tcW w:w="7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Consolidated Statement of Cash Flows for each of the three years in the period ended December 31, 2020</w:t>
            </w:r>
          </w:p>
        </w:tc>
        <w:tc>
          <w:tcPr>
            <w:tcW w:w="1240" w:type="dxa"/>
            <w:vAlign w:val="bottom"/>
            <w:gridSpan w:val="2"/>
          </w:tcPr>
          <w:p>
            <w:pPr>
              <w:spacing w:after="0"/>
              <w:rPr>
                <w:sz w:val="18"/>
                <w:szCs w:val="18"/>
                <w:color w:val="auto"/>
              </w:rPr>
            </w:pP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27">
              <w:r>
                <w:rPr>
                  <w:rFonts w:ascii="Times New Roman" w:cs="Times New Roman" w:eastAsia="Times New Roman" w:hAnsi="Times New Roman"/>
                  <w:sz w:val="18"/>
                  <w:szCs w:val="18"/>
                  <w:u w:val="single" w:color="auto"/>
                  <w:color w:val="0000FF"/>
                  <w:w w:val="99"/>
                </w:rPr>
                <w:t>28</w:t>
              </w:r>
            </w:hyperlink>
          </w:p>
        </w:tc>
      </w:tr>
      <w:tr>
        <w:trPr>
          <w:trHeight w:val="209"/>
        </w:trPr>
        <w:tc>
          <w:tcPr>
            <w:tcW w:w="88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Consolidated Statement of Changes in Member's Equity for each of the three years in the period ended December 31, 2020</w:t>
            </w: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28">
              <w:r>
                <w:rPr>
                  <w:rFonts w:ascii="Times New Roman" w:cs="Times New Roman" w:eastAsia="Times New Roman" w:hAnsi="Times New Roman"/>
                  <w:sz w:val="18"/>
                  <w:szCs w:val="18"/>
                  <w:u w:val="single" w:color="auto"/>
                  <w:color w:val="0000FF"/>
                  <w:w w:val="99"/>
                </w:rPr>
                <w:t>29</w:t>
              </w:r>
            </w:hyperlink>
          </w:p>
        </w:tc>
      </w:tr>
      <w:tr>
        <w:trPr>
          <w:trHeight w:val="2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5700" w:type="dxa"/>
            <w:vAlign w:val="bottom"/>
            <w:gridSpan w:val="6"/>
          </w:tcPr>
          <w:p>
            <w:pPr>
              <w:spacing w:after="0"/>
              <w:rPr>
                <w:sz w:val="18"/>
                <w:szCs w:val="18"/>
                <w:color w:val="auto"/>
              </w:rPr>
            </w:pP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29">
              <w:r>
                <w:rPr>
                  <w:rFonts w:ascii="Times New Roman" w:cs="Times New Roman" w:eastAsia="Times New Roman" w:hAnsi="Times New Roman"/>
                  <w:sz w:val="18"/>
                  <w:szCs w:val="18"/>
                  <w:u w:val="single" w:color="auto"/>
                  <w:color w:val="0000FF"/>
                  <w:w w:val="99"/>
                </w:rPr>
                <w:t>30</w:t>
              </w:r>
            </w:hyperlink>
          </w:p>
        </w:tc>
      </w:tr>
      <w:tr>
        <w:trPr>
          <w:trHeight w:val="210"/>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 for the years ended December 31, 2020, 2019 and 2018</w:t>
            </w: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45">
              <w:r>
                <w:rPr>
                  <w:rFonts w:ascii="Times New Roman" w:cs="Times New Roman" w:eastAsia="Times New Roman" w:hAnsi="Times New Roman"/>
                  <w:sz w:val="18"/>
                  <w:szCs w:val="18"/>
                  <w:u w:val="single" w:color="auto"/>
                  <w:color w:val="0000FF"/>
                  <w:w w:val="99"/>
                </w:rPr>
                <w:t>46</w:t>
              </w:r>
            </w:hyperlink>
          </w:p>
        </w:tc>
      </w:tr>
      <w:tr>
        <w:trPr>
          <w:trHeight w:val="20"/>
        </w:trPr>
        <w:tc>
          <w:tcPr>
            <w:tcW w:w="7560" w:type="dxa"/>
            <w:vAlign w:val="bottom"/>
            <w:gridSpan w:val="4"/>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III - Schedule of Real Estate and Accumulated Depreciation for the years ended December 31, 2020 and 2019</w:t>
            </w:r>
          </w:p>
        </w:tc>
        <w:tc>
          <w:tcPr>
            <w:tcW w:w="2040" w:type="dxa"/>
            <w:vAlign w:val="bottom"/>
          </w:tcPr>
          <w:p>
            <w:pPr>
              <w:jc w:val="center"/>
              <w:ind w:left="1651"/>
              <w:spacing w:after="0"/>
              <w:rPr>
                <w:rFonts w:ascii="Times New Roman" w:cs="Times New Roman" w:eastAsia="Times New Roman" w:hAnsi="Times New Roman"/>
                <w:sz w:val="18"/>
                <w:szCs w:val="18"/>
                <w:u w:val="single" w:color="auto"/>
                <w:color w:val="0000FF"/>
                <w:w w:val="99"/>
              </w:rPr>
            </w:pPr>
            <w:hyperlink w:anchor="page46">
              <w:r>
                <w:rPr>
                  <w:rFonts w:ascii="Times New Roman" w:cs="Times New Roman" w:eastAsia="Times New Roman" w:hAnsi="Times New Roman"/>
                  <w:sz w:val="18"/>
                  <w:szCs w:val="18"/>
                  <w:u w:val="single" w:color="auto"/>
                  <w:color w:val="0000FF"/>
                  <w:w w:val="99"/>
                </w:rPr>
                <w:t>47</w:t>
              </w:r>
            </w:hyperlink>
          </w:p>
        </w:tc>
      </w:tr>
      <w:tr>
        <w:trPr>
          <w:trHeight w:val="20"/>
        </w:trPr>
        <w:tc>
          <w:tcPr>
            <w:tcW w:w="3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049" w:right="659" w:bottom="1440" w:gutter="0" w:footer="0" w:header="0"/>
        </w:sectPr>
      </w:pPr>
    </w:p>
    <w:bookmarkStart w:id="23" w:name="page24"/>
    <w:bookmarkEnd w:id="23"/>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Member of CC Holdings GS V LLC </w:t>
      </w:r>
      <w:r>
        <w:rPr>
          <w:rFonts w:ascii="Times New Roman" w:cs="Times New Roman" w:eastAsia="Times New Roman" w:hAnsi="Times New Roman"/>
          <w:sz w:val="18"/>
          <w:szCs w:val="18"/>
          <w:b w:val="1"/>
          <w:bCs w:val="1"/>
          <w:i w:val="1"/>
          <w:iCs w:val="1"/>
          <w:color w:val="auto"/>
        </w:rPr>
        <w:t>Opinion on the Financial Statements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CC Holdings GS V LLC and its subsidiaries (the “Company”) as of December 31, 2020 and 2019, and the related consolidated statements of operations, of changes in member’s equity and of cash flows for each of the three years in the period ended December 31, 2020, including the related notes and financial statement schedules listed in the accompanying index appearing under Item 15(a)(2)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on January 1,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described in Notes 1, 2 and 6 to the consolidated financial statements, the Company recognized $750 million in site rental revenues, of which $691 million related to revenues from tenant contracts and $59 million related to amortization of tower installations and modifications, for the year ended December 31, 2020. The Company is a wholly owned subsidiary of Crown Castle International Corp. (“CCIC”). The Company’s core business is providing access, including space or capacity, to its sites via long-term contracts in various forms, including lease, license and sublease agreements. Site rental revenues from the Company's tenant contracts are recognized on a straight-line, ratable basis over the fixed, noncancelable term of the relevant tenant contract. In addition, CCIC may offer certain installation and modification services to tenants on the Company’s towers. Amounts under CCIC tower installation services and modifications agreements that represent a lease component to the Company are recognized as amortization of tower installations and modifications on a ratable basis over the length of the associated estimated lease term.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the significant auditor subjectivity and effort in performing procedures and evaluating the audit evidence obtained related to customer agreements.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These procedures also included, among others, (i) testing the completeness and accuracy of management’s identification of the contractual terms by examining customer agreements on a test basis, and (ii) testing the appropriateness of the timing and amount of revenue recognized based on contractual terms and estimated lease term for selected agreements.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rPr>
          <w:sz w:val="20"/>
          <w:szCs w:val="20"/>
          <w:color w:val="auto"/>
        </w:rPr>
      </w:pPr>
      <w:r>
        <w:rPr>
          <w:rFonts w:ascii="Times New Roman" w:cs="Times New Roman" w:eastAsia="Times New Roman" w:hAnsi="Times New Roman"/>
          <w:sz w:val="18"/>
          <w:szCs w:val="18"/>
          <w:color w:val="auto"/>
        </w:rPr>
        <w:t>February 22,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1" w:lineRule="exact"/>
        <w:rPr>
          <w:sz w:val="20"/>
          <w:szCs w:val="20"/>
          <w:color w:val="auto"/>
        </w:rPr>
      </w:pPr>
    </w:p>
    <w:tbl>
      <w:tblPr>
        <w:tblLayout w:type="fixed"/>
        <w:tblInd w:w="32"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8"/>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r>
      <w:tr>
        <w:trPr>
          <w:trHeight w:val="206"/>
        </w:trPr>
        <w:tc>
          <w:tcPr>
            <w:tcW w:w="810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17,439</w:t>
            </w:r>
          </w:p>
        </w:tc>
        <w:tc>
          <w:tcPr>
            <w:tcW w:w="120" w:type="dxa"/>
            <w:vAlign w:val="bottom"/>
          </w:tcPr>
          <w:p>
            <w:pPr>
              <w:spacing w:after="0"/>
              <w:rPr>
                <w:sz w:val="18"/>
                <w:szCs w:val="18"/>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$1,697 and $1,631, respectively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29,643</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300" w:type="dxa"/>
            <w:vAlign w:val="bottom"/>
            <w:tcBorders>
              <w:bottom w:val="single" w:sz="8" w:color="CCEEFF"/>
            </w:tcBorders>
          </w:tcPr>
          <w:p>
            <w:pPr>
              <w:spacing w:after="0"/>
              <w:rPr>
                <w:sz w:val="18"/>
                <w:szCs w:val="18"/>
                <w:color w:val="auto"/>
              </w:rPr>
            </w:pPr>
          </w:p>
        </w:tc>
      </w:tr>
      <w:tr>
        <w:trPr>
          <w:trHeight w:val="212"/>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66,948</w:t>
            </w:r>
          </w:p>
        </w:tc>
        <w:tc>
          <w:tcPr>
            <w:tcW w:w="300" w:type="dxa"/>
            <w:vAlign w:val="bottom"/>
            <w:shd w:val="clear" w:color="auto" w:fill="CCEEFF"/>
          </w:tcPr>
          <w:p>
            <w:pPr>
              <w:spacing w:after="0"/>
              <w:rPr>
                <w:sz w:val="18"/>
                <w:szCs w:val="18"/>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site rental receivables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354,075</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951,870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1,010,367</w:t>
            </w: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1,150,476</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1,338,730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1,338,730</w:t>
            </w: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676,398</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prepaid rent and other assets,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300" w:type="dxa"/>
            <w:vAlign w:val="bottom"/>
            <w:tcBorders>
              <w:bottom w:val="single" w:sz="8" w:color="CCEEFF"/>
            </w:tcBorders>
          </w:tcPr>
          <w:p>
            <w:pPr>
              <w:spacing w:after="0"/>
              <w:rPr>
                <w:sz w:val="18"/>
                <w:szCs w:val="18"/>
                <w:color w:val="auto"/>
              </w:rPr>
            </w:pPr>
          </w:p>
        </w:tc>
      </w:tr>
      <w:tr>
        <w:trPr>
          <w:trHeight w:val="253"/>
        </w:trPr>
        <w:tc>
          <w:tcPr>
            <w:tcW w:w="81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4,443,032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4,601,457</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128"/>
        </w:trPr>
        <w:tc>
          <w:tcPr>
            <w:tcW w:w="8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r>
      <w:tr>
        <w:trPr>
          <w:trHeight w:val="214"/>
        </w:trPr>
        <w:tc>
          <w:tcPr>
            <w:tcW w:w="8100" w:type="dxa"/>
            <w:vAlign w:val="bottom"/>
          </w:tcPr>
          <w:p>
            <w:pPr>
              <w:ind w:left="30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Pr>
          <w:p>
            <w:pPr>
              <w:spacing w:after="0"/>
              <w:rPr>
                <w:sz w:val="18"/>
                <w:szCs w:val="18"/>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300" w:type="dxa"/>
            <w:vAlign w:val="bottom"/>
            <w:shd w:val="clear" w:color="auto" w:fill="CCEEFF"/>
          </w:tcPr>
          <w:p>
            <w:pPr>
              <w:spacing w:after="0"/>
              <w:rPr>
                <w:sz w:val="19"/>
                <w:szCs w:val="19"/>
                <w:color w:val="auto"/>
              </w:rPr>
            </w:pPr>
          </w:p>
        </w:tc>
      </w:tr>
      <w:tr>
        <w:trPr>
          <w:trHeight w:val="216"/>
        </w:trPr>
        <w:tc>
          <w:tcPr>
            <w:tcW w:w="81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Deferred revenues</w:t>
            </w:r>
            <w:r>
              <w:rPr>
                <w:rFonts w:ascii="Times New Roman" w:cs="Times New Roman" w:eastAsia="Times New Roman" w:hAnsi="Times New Roman"/>
                <w:sz w:val="21"/>
                <w:szCs w:val="21"/>
                <w:color w:val="auto"/>
                <w:vertAlign w:val="superscript"/>
              </w:rPr>
              <w:t>(b)</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70,217</w:t>
            </w:r>
          </w:p>
        </w:tc>
        <w:tc>
          <w:tcPr>
            <w:tcW w:w="30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300" w:type="dxa"/>
            <w:vAlign w:val="bottom"/>
            <w:shd w:val="clear" w:color="auto" w:fill="CCEEFF"/>
          </w:tcPr>
          <w:p>
            <w:pPr>
              <w:spacing w:after="0"/>
              <w:rPr>
                <w:sz w:val="18"/>
                <w:szCs w:val="18"/>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 - third parties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37,164</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 - related parties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20,417</w:t>
            </w:r>
          </w:p>
        </w:tc>
        <w:tc>
          <w:tcPr>
            <w:tcW w:w="300" w:type="dxa"/>
            <w:vAlign w:val="bottom"/>
            <w:shd w:val="clear" w:color="auto" w:fill="CCEEFF"/>
          </w:tcPr>
          <w:p>
            <w:pPr>
              <w:spacing w:after="0"/>
              <w:rPr>
                <w:sz w:val="19"/>
                <w:szCs w:val="19"/>
                <w:color w:val="auto"/>
              </w:rPr>
            </w:pPr>
          </w:p>
        </w:tc>
      </w:tr>
      <w:tr>
        <w:trPr>
          <w:trHeight w:val="207"/>
        </w:trPr>
        <w:tc>
          <w:tcPr>
            <w:tcW w:w="81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152,211</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144,722</w:t>
            </w:r>
          </w:p>
        </w:tc>
        <w:tc>
          <w:tcPr>
            <w:tcW w:w="300" w:type="dxa"/>
            <w:vAlign w:val="bottom"/>
          </w:tcPr>
          <w:p>
            <w:pPr>
              <w:spacing w:after="0"/>
              <w:rPr>
                <w:sz w:val="17"/>
                <w:szCs w:val="17"/>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996,815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995,431</w:t>
            </w: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third parties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850,272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845,960</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related parties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322,817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314,920</w:t>
            </w:r>
          </w:p>
        </w:tc>
        <w:tc>
          <w:tcPr>
            <w:tcW w:w="300" w:type="dxa"/>
            <w:vAlign w:val="bottom"/>
            <w:shd w:val="clear" w:color="auto" w:fill="CCEEFF"/>
          </w:tcPr>
          <w:p>
            <w:pPr>
              <w:spacing w:after="0"/>
              <w:rPr>
                <w:sz w:val="19"/>
                <w:szCs w:val="19"/>
                <w:color w:val="auto"/>
              </w:rPr>
            </w:pPr>
          </w:p>
        </w:tc>
      </w:tr>
      <w:tr>
        <w:trPr>
          <w:trHeight w:val="216"/>
        </w:trPr>
        <w:tc>
          <w:tcPr>
            <w:tcW w:w="81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(b)</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183,966</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203,470</w:t>
            </w:r>
          </w:p>
        </w:tc>
        <w:tc>
          <w:tcPr>
            <w:tcW w:w="300" w:type="dxa"/>
            <w:vAlign w:val="bottom"/>
            <w:tcBorders>
              <w:bottom w:val="single" w:sz="8" w:color="CCEEFF"/>
            </w:tcBorders>
          </w:tcPr>
          <w:p>
            <w:pPr>
              <w:spacing w:after="0"/>
              <w:rPr>
                <w:sz w:val="18"/>
                <w:szCs w:val="18"/>
                <w:color w:val="auto"/>
              </w:rPr>
            </w:pPr>
          </w:p>
        </w:tc>
      </w:tr>
      <w:tr>
        <w:trPr>
          <w:trHeight w:val="210"/>
        </w:trPr>
        <w:tc>
          <w:tcPr>
            <w:tcW w:w="8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2,506,081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2,504,503</w:t>
            </w:r>
          </w:p>
        </w:tc>
        <w:tc>
          <w:tcPr>
            <w:tcW w:w="300" w:type="dxa"/>
            <w:vAlign w:val="bottom"/>
            <w:shd w:val="clear" w:color="auto" w:fill="CCEEFF"/>
          </w:tcPr>
          <w:p>
            <w:pPr>
              <w:spacing w:after="0"/>
              <w:rPr>
                <w:sz w:val="18"/>
                <w:szCs w:val="18"/>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Member's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Member's equity</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1,936,951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2,096,954</w:t>
            </w:r>
          </w:p>
        </w:tc>
        <w:tc>
          <w:tcPr>
            <w:tcW w:w="30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earnings (deficit)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r>
      <w:tr>
        <w:trPr>
          <w:trHeight w:val="207"/>
        </w:trPr>
        <w:tc>
          <w:tcPr>
            <w:tcW w:w="81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member's equity</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1,936,951</w:t>
            </w:r>
          </w:p>
        </w:tc>
        <w:tc>
          <w:tcPr>
            <w:tcW w:w="12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2,096,954</w:t>
            </w:r>
          </w:p>
        </w:tc>
        <w:tc>
          <w:tcPr>
            <w:tcW w:w="300" w:type="dxa"/>
            <w:vAlign w:val="bottom"/>
            <w:tcBorders>
              <w:bottom w:val="single" w:sz="8" w:color="CCEEFF"/>
            </w:tcBorders>
          </w:tcPr>
          <w:p>
            <w:pPr>
              <w:spacing w:after="0"/>
              <w:rPr>
                <w:sz w:val="17"/>
                <w:szCs w:val="17"/>
                <w:color w:val="auto"/>
              </w:rPr>
            </w:pPr>
          </w:p>
        </w:tc>
      </w:tr>
      <w:tr>
        <w:trPr>
          <w:trHeight w:val="237"/>
        </w:trPr>
        <w:tc>
          <w:tcPr>
            <w:tcW w:w="81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4,443,032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4,601,457</w:t>
            </w:r>
          </w:p>
        </w:tc>
        <w:tc>
          <w:tcPr>
            <w:tcW w:w="300" w:type="dxa"/>
            <w:vAlign w:val="bottom"/>
            <w:tcBorders>
              <w:bottom w:val="single" w:sz="8" w:color="CCEEFF"/>
            </w:tcBorders>
            <w:shd w:val="clear" w:color="auto" w:fill="CCEEFF"/>
          </w:tcPr>
          <w:p>
            <w:pPr>
              <w:spacing w:after="0"/>
              <w:rPr>
                <w:sz w:val="20"/>
                <w:szCs w:val="20"/>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91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54" w:lineRule="exact"/>
        <w:rPr>
          <w:sz w:val="20"/>
          <w:szCs w:val="20"/>
          <w:color w:val="auto"/>
        </w:rPr>
      </w:pPr>
    </w:p>
    <w:p>
      <w:pPr>
        <w:ind w:left="332" w:right="20" w:hanging="332"/>
        <w:spacing w:after="0" w:line="253" w:lineRule="auto"/>
        <w:tabs>
          <w:tab w:leader="none" w:pos="32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correction of certain immaterial prior period misclassifications of the reported balances in "Prepaid expenses" and "Deferred site rental receivables and other current assets" on the consolidated balance sheet as of December 31, 2019.</w:t>
      </w:r>
    </w:p>
    <w:p>
      <w:pPr>
        <w:ind w:left="332" w:hanging="332"/>
        <w:spacing w:after="0" w:line="258" w:lineRule="auto"/>
        <w:tabs>
          <w:tab w:leader="none" w:pos="3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recording of deferred revenues in connection with the tower installation and modification transactions described in note 6 that result in permanent improvements to the Company's towers. The Company receives no cash from, and is not party to, such transactions.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87" w:right="339" w:bottom="1440" w:gutter="0" w:footer="0" w:header="0"/>
        </w:sectPr>
      </w:pPr>
    </w:p>
    <w:bookmarkStart w:id="26" w:name="page27"/>
    <w:bookmarkEnd w:id="26"/>
    <w:p>
      <w:pPr>
        <w:ind w:left="3560" w:right="3560" w:firstLine="989"/>
        <w:spacing w:after="0" w:line="278" w:lineRule="auto"/>
        <w:tabs>
          <w:tab w:leader="none" w:pos="4846"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HOLDINGS GS V LLC CONSOLIDATED STATEMENT OF OPERATIONS</w:t>
      </w:r>
    </w:p>
    <w:p>
      <w:pPr>
        <w:spacing w:after="0" w:line="1" w:lineRule="exact"/>
        <w:rPr>
          <w:rFonts w:ascii="Times New Roman" w:cs="Times New Roman" w:eastAsia="Times New Roman" w:hAnsi="Times New Roman"/>
          <w:sz w:val="17"/>
          <w:szCs w:val="17"/>
          <w:b w:val="1"/>
          <w:bCs w:val="1"/>
          <w:color w:val="auto"/>
        </w:rPr>
      </w:pPr>
    </w:p>
    <w:p>
      <w:pPr>
        <w:ind w:left="46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of dollars)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Revenues from tenant contracts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691,365</w:t>
            </w:r>
          </w:p>
        </w:tc>
        <w:tc>
          <w:tcPr>
            <w:tcW w:w="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659,490</w:t>
            </w:r>
          </w:p>
        </w:tc>
      </w:tr>
      <w:tr>
        <w:trPr>
          <w:trHeight w:val="219"/>
        </w:trPr>
        <w:tc>
          <w:tcPr>
            <w:tcW w:w="67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Amortization of tower installations and modifications</w:t>
            </w:r>
            <w:r>
              <w:rPr>
                <w:rFonts w:ascii="Times New Roman" w:cs="Times New Roman" w:eastAsia="Times New Roman" w:hAnsi="Times New Roman"/>
                <w:sz w:val="21"/>
                <w:szCs w:val="21"/>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w:t>
            </w:r>
          </w:p>
        </w:tc>
      </w:tr>
      <w:tr>
        <w:trPr>
          <w:trHeight w:val="207"/>
        </w:trPr>
        <w:tc>
          <w:tcPr>
            <w:tcW w:w="6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site rental revenues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702,981</w:t>
            </w:r>
          </w:p>
        </w:tc>
      </w:tr>
      <w:tr>
        <w:trPr>
          <w:trHeight w:val="219"/>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Site rental costs of operations—third parties</w:t>
            </w:r>
            <w:r>
              <w:rPr>
                <w:rFonts w:ascii="Times New Roman" w:cs="Times New Roman" w:eastAsia="Times New Roman" w:hAnsi="Times New Roman"/>
                <w:sz w:val="21"/>
                <w:szCs w:val="21"/>
                <w:color w:val="auto"/>
                <w:vertAlign w:val="superscript"/>
              </w:rPr>
              <w:t>(b)</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149,748</w:t>
            </w:r>
          </w:p>
        </w:tc>
      </w:tr>
      <w:tr>
        <w:trPr>
          <w:trHeight w:val="21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Ground rent expenses—related parties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43,281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40,981</w:t>
            </w:r>
          </w:p>
        </w:tc>
      </w:tr>
      <w:tr>
        <w:trPr>
          <w:trHeight w:val="212"/>
        </w:trPr>
        <w:tc>
          <w:tcPr>
            <w:tcW w:w="670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Site rental costs of operations—total</w:t>
            </w:r>
            <w:r>
              <w:rPr>
                <w:rFonts w:ascii="Times New Roman" w:cs="Times New Roman" w:eastAsia="Times New Roman" w:hAnsi="Times New Roman"/>
                <w:sz w:val="21"/>
                <w:szCs w:val="21"/>
                <w:color w:val="auto"/>
                <w:vertAlign w:val="superscript"/>
              </w:rPr>
              <w:t>(b)</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190,729</w:t>
            </w:r>
          </w:p>
        </w:tc>
      </w:tr>
      <w:tr>
        <w:trPr>
          <w:trHeight w:val="213"/>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Management fee—related party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48,520</w:t>
            </w:r>
          </w:p>
        </w:tc>
      </w:tr>
      <w:tr>
        <w:trPr>
          <w:trHeight w:val="21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 write-down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210,333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207,396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207,528</w:t>
            </w:r>
          </w:p>
        </w:tc>
      </w:tr>
      <w:tr>
        <w:trPr>
          <w:trHeight w:val="212"/>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463,709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454,183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447,370</w:t>
            </w:r>
          </w:p>
        </w:tc>
      </w:tr>
      <w:tr>
        <w:trPr>
          <w:trHeight w:val="20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255,611</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215,933</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3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91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54" w:lineRule="exact"/>
        <w:rPr>
          <w:sz w:val="20"/>
          <w:szCs w:val="20"/>
          <w:color w:val="auto"/>
        </w:rPr>
      </w:pPr>
    </w:p>
    <w:p>
      <w:pPr>
        <w:ind w:left="340" w:hanging="332"/>
        <w:spacing w:after="0" w:line="253" w:lineRule="auto"/>
        <w:tabs>
          <w:tab w:leader="none" w:pos="33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amortization of deferred revenues recorded in connection with the tower installation and modification transactions (described in note 6) that result in permanent improvements to the Company's towers. The Company receives no cash from, and is not party to, such transactions</w:t>
      </w: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ind w:left="3560" w:right="3560" w:firstLine="989"/>
        <w:spacing w:after="0" w:line="278" w:lineRule="auto"/>
        <w:tabs>
          <w:tab w:leader="none" w:pos="4855"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HOLDINGS GS V LLC CONSOLIDATED STATEMENT OF CASH FLOWS</w:t>
      </w:r>
    </w:p>
    <w:p>
      <w:pPr>
        <w:spacing w:after="0" w:line="1" w:lineRule="exact"/>
        <w:rPr>
          <w:rFonts w:ascii="Times New Roman" w:cs="Times New Roman" w:eastAsia="Times New Roman" w:hAnsi="Times New Roman"/>
          <w:sz w:val="17"/>
          <w:szCs w:val="17"/>
          <w:b w:val="1"/>
          <w:bCs w:val="1"/>
          <w:color w:val="auto"/>
        </w:rPr>
      </w:pPr>
    </w:p>
    <w:p>
      <w:pPr>
        <w:ind w:left="46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of dollars)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188"/>
        </w:trPr>
        <w:tc>
          <w:tcPr>
            <w:tcW w:w="7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2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Cash flows from operating activities</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215,517</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207,528</w:t>
            </w:r>
          </w:p>
        </w:tc>
      </w:tr>
      <w:tr>
        <w:trPr>
          <w:trHeight w:val="219"/>
        </w:trPr>
        <w:tc>
          <w:tcPr>
            <w:tcW w:w="7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13"/>
        </w:trPr>
        <w:tc>
          <w:tcPr>
            <w:tcW w:w="7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Asset write-down charges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7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2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Increase (decrease) in accounts payable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7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w:t>
            </w:r>
          </w:p>
        </w:tc>
      </w:tr>
      <w:tr>
        <w:trPr>
          <w:trHeight w:val="213"/>
        </w:trPr>
        <w:tc>
          <w:tcPr>
            <w:tcW w:w="72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219"/>
        </w:trPr>
        <w:tc>
          <w:tcPr>
            <w:tcW w:w="7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w:t>
            </w:r>
          </w:p>
        </w:tc>
      </w:tr>
      <w:tr>
        <w:trPr>
          <w:trHeight w:val="207"/>
        </w:trPr>
        <w:tc>
          <w:tcPr>
            <w:tcW w:w="72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443,432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426,841</w:t>
            </w:r>
          </w:p>
        </w:tc>
      </w:tr>
      <w:tr>
        <w:trPr>
          <w:trHeight w:val="19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726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Capital expenditures</w:t>
            </w:r>
            <w:r>
              <w:rPr>
                <w:rFonts w:ascii="Times New Roman" w:cs="Times New Roman" w:eastAsia="Times New Roman" w:hAnsi="Times New Roman"/>
                <w:sz w:val="21"/>
                <w:szCs w:val="21"/>
                <w:color w:val="auto"/>
                <w:vertAlign w:val="superscript"/>
              </w:rPr>
              <w:t>(b)</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(70,929)</w:t>
            </w:r>
          </w:p>
        </w:tc>
      </w:tr>
      <w:tr>
        <w:trPr>
          <w:trHeight w:val="209"/>
        </w:trPr>
        <w:tc>
          <w:tcPr>
            <w:tcW w:w="7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(86,610)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(70,929)</w:t>
            </w: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member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(405,956)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(367,976)</w:t>
            </w:r>
          </w:p>
        </w:tc>
      </w:tr>
      <w:tr>
        <w:trPr>
          <w:trHeight w:val="207"/>
        </w:trPr>
        <w:tc>
          <w:tcPr>
            <w:tcW w:w="72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(405,956)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(367,976)</w:t>
            </w:r>
          </w:p>
        </w:tc>
      </w:tr>
      <w:tr>
        <w:trPr>
          <w:trHeight w:val="212"/>
        </w:trPr>
        <w:tc>
          <w:tcPr>
            <w:tcW w:w="7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(12,064)</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30,771</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49" w:lineRule="auto"/>
        <w:tabs>
          <w:tab w:leader="none" w:pos="3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receives no cash from, and is not party to, the tower installation and modification transactions described in note 6. Such transactions, however, are reflected on the cash flow statement for GAAP purposes as if an amount equal to the lease component for such transactions had been received by the Company, and as such, the amounts have been recorded as deferred revenues.</w:t>
      </w:r>
    </w:p>
    <w:p>
      <w:pPr>
        <w:ind w:left="340" w:hanging="332"/>
        <w:spacing w:after="0" w:line="258"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permanent improvements recorded in connection with the tower installation and modification transactions described in note 6. The Company receives no cash from, and is not party to, such transactions.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MEMBER'S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2,371,657</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Distributions to member (note 6)</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(367,976)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215,517</w:t>
            </w:r>
          </w:p>
        </w:tc>
        <w:tc>
          <w:tcPr>
            <w:tcW w:w="0" w:type="dxa"/>
            <w:vAlign w:val="bottom"/>
          </w:tcPr>
          <w:p>
            <w:pPr>
              <w:spacing w:after="0"/>
              <w:rPr>
                <w:sz w:val="1"/>
                <w:szCs w:val="1"/>
                <w:color w:val="auto"/>
              </w:rPr>
            </w:pP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2,219,198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2,219,198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contribution from parent (note 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Distributions to member (note 6)</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(362,759)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236,677</w:t>
            </w: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December 31, 2019</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2,096,954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2,096,954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ind w:left="220"/>
              <w:spacing w:after="0" w:line="210" w:lineRule="exact"/>
              <w:rPr>
                <w:sz w:val="20"/>
                <w:szCs w:val="20"/>
                <w:color w:val="auto"/>
              </w:rPr>
            </w:pPr>
            <w:r>
              <w:rPr>
                <w:rFonts w:ascii="Times New Roman" w:cs="Times New Roman" w:eastAsia="Times New Roman" w:hAnsi="Times New Roman"/>
                <w:sz w:val="16"/>
                <w:szCs w:val="16"/>
                <w:color w:val="auto"/>
              </w:rPr>
              <w:t>Distributions to member (note 6)</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(405,956)</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245,953</w:t>
            </w:r>
          </w:p>
        </w:tc>
        <w:tc>
          <w:tcPr>
            <w:tcW w:w="0" w:type="dxa"/>
            <w:vAlign w:val="bottom"/>
          </w:tcPr>
          <w:p>
            <w:pPr>
              <w:spacing w:after="0"/>
              <w:rPr>
                <w:sz w:val="1"/>
                <w:szCs w:val="1"/>
                <w:color w:val="auto"/>
              </w:rPr>
            </w:pPr>
          </w:p>
        </w:tc>
      </w:tr>
      <w:tr>
        <w:trPr>
          <w:trHeight w:val="237"/>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1,936,951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0"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receives no cash from, and is not party to, the tower installation and modification transactions described in note 6.</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CC Holdings GS V LLC ("CCL") and its consolidated wholly owned subsidiaries (collectively, "Company"). The Company is a wholly owned subsidiary of Global Signal Operating Partnership, L.P. ("GSOP"), which is an indirect subsidiary of Crown Castle International Corp., a Delaware corporation ("CCIC"). CCL is a Delaware limited liability company ("LLC") that is a holding company and an issuer of the Company's debt. All significant intercompany balances and transactions have been eliminated in consolidation. As used herein, the term "including," and any variation thereof means "including without limitation." The use of the word "or" herein is not exclusive.</w:t>
      </w:r>
    </w:p>
    <w:p>
      <w:pPr>
        <w:spacing w:after="0" w:line="1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is organized specifically to own, lease and manage approximately 7,600 towers and other structures, such as rooftops, geographically dispersed throughout the U.S. (collectively, "towers"), and to a lesser extent, interests in land under third party and related party towers in various forms ("land interests") (collectively, "sites") that are geographically dispersed across the United States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defined in note 5), as the Company has no employees.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Approximately 68% of the Company's sites are leased or subleased or operated and managed for an initial period of 32 years (through May 2037) under master leases or other agreements with T-Mobile (which T-Mobile assumed in connection with its merger with Sprint)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CCIC operates as a real estate investment trust ("REIT"), and as its indirect subsidiary, the Company's assets and operations are included in the CCIC REIT. See notes 2 and 8.</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18"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rFonts w:ascii="Times New Roman" w:cs="Times New Roman" w:eastAsia="Times New Roman" w:hAnsi="Times New Roman"/>
          <w:sz w:val="18"/>
          <w:szCs w:val="18"/>
          <w:b w:val="1"/>
          <w:bCs w:val="1"/>
          <w:color w:val="auto"/>
        </w:rPr>
      </w:pPr>
    </w:p>
    <w:p>
      <w:pPr>
        <w:ind w:left="420" w:right="1680"/>
        <w:spacing w:after="0" w:line="43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discussion of the Company's significant accounting policies in effect for the year ended December 31, 2020. </w:t>
      </w:r>
      <w:r>
        <w:rPr>
          <w:rFonts w:ascii="Times New Roman" w:cs="Times New Roman" w:eastAsia="Times New Roman" w:hAnsi="Times New Roman"/>
          <w:sz w:val="18"/>
          <w:szCs w:val="18"/>
          <w:i w:val="1"/>
          <w:iCs w:val="1"/>
          <w:color w:val="auto"/>
        </w:rPr>
        <w:t>Receivables Allowance</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costs of operations," and deductions from the allowance are recorded when specific accounts receivable are written off as uncollectible.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Effective January 1, 2019, the Company adopted new guidance on the recognition, measurement, presentation and disclosure of leases (commonly referred to as "ASC 842" or the "new lease standard") using a modified retrospective approach as of the effective date without adjusting the comparative periods.</w:t>
      </w:r>
    </w:p>
    <w:p>
      <w:pPr>
        <w:spacing w:after="0" w:line="12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 evaluates whether a contract meets the definition of a lease whenever a contract grants a party the right to control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identified asset for a period of time in exchange for consideration. To the extent the identified asset is able to be shared among multiple parties, the Company has determined that one party does not have control of the identified asset and the contract is not considered a lease.</w:t>
      </w:r>
    </w:p>
    <w:p>
      <w:pPr>
        <w:spacing w:after="0" w:line="11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The Company's lessee arrangements primarily consist of ground leases for land under towers. Ground leases for land are specific to each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contain an initial term of five to 10 years and are renewable (and cancellable after a notice period) at the Company's option. The Company also enters into term easements and ground leases in which it prepays the entire term.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majority of the Company's lease agreements have certain termination rights that provide for cancellation after a notice period and multiple renewal options exercisable at the Company's option. The Company includes renewal option periods in its calculation of the estimated lease term when it determines the options are reasonably certain to be exercised. When such renewal options are deemed to be reasonably certain, the estimated lease term determined under ASC 842 will be greater than the non-cancelable term of the contractual arrangement. Although certain renewal periods are included in the estimated lease term, the Company would have the ability to terminate or elect to not renew a particular lease if business conditions warrant such a decision.</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classifies its lessee arrangements at inception as either operating leases or finance leases. A lease is classified as a finance lease if at least one of the following criteria is met: (1) 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 or (5) the underlying asset is of such a specialized nature that it is expected to have no alternative use to the lessor at the end of the lease term. A lease is classified as an operating lease if none of the five criteria described above for finance lease classification is met.</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Right-of-use ("ROU") assets associated with operating leases are included in "Operating lease right-of-use assets" on the Company's consolidated balance sheet. Current and long-term portions of lease liabilities related to operating leases are included in "Current portion of operating lease liabilities— third parties," "Current portion of operating lease liabilities—related parties," "Operating lease liabilities-third parties" and "Operating lease liabilities-related parties" on the Company's balance sheet. ROU assets represent the Company's right to use an underlying asset for the estimated lease term and lease liabilities represent the Company's present value of its future lease payments. In assessing its leases and determining its lease liability at lease commencement or upon modification, the Company is not able to readily determine the rate implicit for its lessee arrangements, and thus uses its incremental borrowing rate on a collateralized basis to determine the present value of the lease payments. The Company's ROU assets are measured as the balance of the lease liability plus any prepaid or accrued lease payments and any unamortized initial direct costs.</w:t>
      </w:r>
    </w:p>
    <w:p>
      <w:pPr>
        <w:spacing w:after="0" w:line="13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Operating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consumer price index ("CPI")). If the payment terms include fixed escalator provisions, the effect of such increases is recognized on a straight-line basis. The Company calculates the straight-line expense over the tenant contract's estimated lease term, including any renewal option periods that the Company deems reasonably certain to be exercised.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 agreements may also contain provisions for a contingent payment based on (1) the revenues derived from the sites located on the leased asset,</w:t>
      </w:r>
    </w:p>
    <w:p>
      <w:pPr>
        <w:spacing w:after="0" w:line="27" w:lineRule="exact"/>
        <w:rPr>
          <w:sz w:val="20"/>
          <w:szCs w:val="20"/>
          <w:color w:val="auto"/>
        </w:rPr>
      </w:pPr>
    </w:p>
    <w:p>
      <w:pPr>
        <w:jc w:val="both"/>
        <w:ind w:firstLine="8"/>
        <w:spacing w:after="0" w:line="255" w:lineRule="auto"/>
        <w:tabs>
          <w:tab w:leader="none" w:pos="2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CPI or (3) the usage of the leased asset. The Company's contingent payments are considered variable lease payments and are (1) not included in the initial measurement of the ROU asset or lease liability due to the uncertainty of the payment amount and (2) recorded as expense in the period such contingencies are resolved.</w:t>
      </w:r>
    </w:p>
    <w:p>
      <w:pPr>
        <w:spacing w:after="0" w:line="13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ROU assets associated with finance leases are included in "Property and equipment, net" on the Company's consolidated balance sheet. If applicable, the Company measures the lease liability for finance leases using the effective interest method. The initial lease liability is increased to reflect interest on the liability and decreased to reflect payments made during the period. Interest on the lease liability is determined each period during the lease term as the amount that results in a constant periodic discount rate on the remaining balance of the liability. The Company measures ROU assets for finance leases on a ratable basis over the applicable lease term.</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reviews the carrying value of its ROU assets for impairment, similar to its other long-lived assets, whenever events or changes in circumstances indicate that the carrying amounts may not be recoverable. The Company could record impairments in the future if there are changes in (1) long-term market conditions, (2) expected future operating results or (3) the utility of the assets that negatively impact the fair value of its ROU assets.</w:t>
      </w:r>
    </w:p>
    <w:p>
      <w:pPr>
        <w:spacing w:after="0" w:line="12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The Company's lessor arrangements primarily include tenant contracts for dedicated space on its shared sites. The Company classifies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at inception as operating, direct financing or sales-type leases. A lease is classified as a sales-type lease if at least one of the following criteria is met:</w:t>
      </w:r>
    </w:p>
    <w:p>
      <w:pPr>
        <w:jc w:val="both"/>
        <w:ind w:right="20" w:firstLine="8"/>
        <w:spacing w:after="0" w:line="255" w:lineRule="auto"/>
        <w:tabs>
          <w:tab w:leader="none" w:pos="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underlying asset to the lessee, (2) the lease grants the lessee an option to purchase the underlying asset that the lessee is reasonably certain to exercise, (3) the lease term is for a major part of the remaining economic life of the underlying asset, (4) the present value of the sum of the lease payments equals or exceeds substantially all of the fair value of the underlying assets, or (5) the underlying asset is of such 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specialized nature that it is expected to have no alternative use to the lessor at the end of the lease term. Furthermore, when none of the above criteria is met, a lease is classified as a direct financing lease if both of the following criteria are met: (1) the present value of the of the sum of the lease payments and any residual value guaranteed by the lessee that is not already reflected in the lease payments equals or exceeds the fair value of the underlying asset and</w:t>
      </w:r>
    </w:p>
    <w:p>
      <w:pPr>
        <w:spacing w:after="0" w:line="1" w:lineRule="exact"/>
        <w:rPr>
          <w:sz w:val="20"/>
          <w:szCs w:val="20"/>
          <w:color w:val="auto"/>
        </w:rPr>
      </w:pPr>
    </w:p>
    <w:p>
      <w:pPr>
        <w:jc w:val="both"/>
        <w:ind w:firstLine="8"/>
        <w:spacing w:after="0" w:line="255" w:lineRule="auto"/>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lessor will collect the lease payments plus any amount necessary to satisfy a residual value guarantee. A lease is classified as an operating lease if it does not qualify as a sales-type or direct financing lease. Currently, the Company classifies all of its lessor arrangements as operating leases.</w:t>
      </w:r>
    </w:p>
    <w:p>
      <w:pPr>
        <w:spacing w:after="0" w:line="13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Site rental revenues from the Company’s lessor arrangements are recognized on a straight-line, ratable basis over the fixed, non-cancelable term of the relevant tenant contract, regardless of whether the payments from the tenant are received in equal monthly amounts during the life of a tenant contract. Certain of the Company's tenant contracts contain fixed escalation clauses (such as fixed-dollar or fixed-percentage increases) or inflation-based escalation clauses (such as those tied to the change in CPI). If the payment terms call for fixed escalations, upfront payments, or rent-free periods, the rental revenue is recognized on a straight-line basis over the fixed, non-cancelable term of the agreement. When calculating straight-line site rental revenues, the Company considers all fixed elements of tenant contractual escalation provisions.</w:t>
      </w:r>
    </w:p>
    <w:p>
      <w:pPr>
        <w:spacing w:after="0" w:line="1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Company's revenue from tenant contracts, amounts under CCIC tower installation services and modifications agreements that represent a lease component to the Company are recognized as amortization of tower installations and modifications on a ratable basis over the length of the associated estimated lease term.</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Property and equipment includes land owned in fee and perpetual easements for land, which have no definite life. Depreciation is computed utilizing the straight-line method at rates based upon the estimated useful lives of the various classes of assets. Depreciation of sites is generally computed with a useful life equal to the shorter of 20 years or the term of the underlying ground lease (including optional renewal periods). Additions and permanent improvements to the Company's sites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Abandonments and write-offs of property and equipment are recorded to "Asset write-down charges" on the Company's consolidated statement of operations and were $0.4 million, $1.1 million and $0.3 million for the years ended December 31, 2020, 2019 and 2018,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Pursuant to its ground lease and easement agreements, the Company records obligations to perform asset retirement activities, including requirements to remove sites or remediate the land on which the Company's towers are located. With respect to the T-Mobile Sites, the Company does not have retirement obligations to the extent such retirement would occur beyond the period for which it has a contract term. Asset retirement obligations are included in "Other long-term liabilities" on the Company's consolidated balance sheet. The liability accretes as a result of the passage of time and the related accretion expense is included in "Depreciation, amortization and accretion" on the Company's consolidated statement of operations. The associated asset retirement costs are capitalized as an additional carrying amount of the related long-lived asset and depreciated over the useful life of such asset.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the Company concludes that it is "more likely than not" that the fair value of a reporting unit is less than its carrying amount, it is necessary to perform a quantitative step-one goodwill impairment test. The step-one goodwill impairment test compares the estimated fair value of the reporting unit and the carrying value of the reporting unit. If the carrying amount of a reporting unit is greater than its fair value, an impairment loss shall be recognized in an amount equal to such excess, limited to the total amount of goodwill allocated to the reporting unit. The Company has one reporting unit for goodwill impairment testing. The Company performed its most recent annual goodwill impairment test as of October 1, 2020, which resulted in no impairments. See "</w:t>
      </w:r>
      <w:r>
        <w:rPr>
          <w:rFonts w:ascii="Times New Roman" w:cs="Times New Roman" w:eastAsia="Times New Roman" w:hAnsi="Times New Roman"/>
          <w:sz w:val="18"/>
          <w:szCs w:val="18"/>
          <w:i w:val="1"/>
          <w:iCs w:val="1"/>
          <w:color w:val="auto"/>
        </w:rPr>
        <w:t>Recently Adopted Accounting Pronouncements</w:t>
      </w:r>
      <w:r>
        <w:rPr>
          <w:rFonts w:ascii="Times New Roman" w:cs="Times New Roman" w:eastAsia="Times New Roman" w:hAnsi="Times New Roman"/>
          <w:sz w:val="18"/>
          <w:szCs w:val="18"/>
          <w:color w:val="auto"/>
        </w:rPr>
        <w:t>" for a discussion of the recently adopted new guidance related to goodwill impairment evaluation.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Intangible assets are included in "Site rental contracts and tenant relationships, net" and "Other intangible assets, net" on the Company's consolidated balance sheet and predominately consist of the estimated fair value of site rental contracts and tenant relationships recorded in conjunction with acquisitions. The site rental contracts and tenant relationships intangible assets are comprised of (1) the current term of the existing leases, (2) the high rate of tenant retention, and (3) any associated relationships that are expected to generate value following the expiration of all renewal periods under existing leases.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useful lives of intangible assets are estimated based on the period over which the intangible asset is expected to benefit the Company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tenant relationships intangible asset is limited by the maximum depreciable life of the tower (20 years), as a result of the interdependency of the tower and site rental leases. In contrast, the site rental contracts and tenant relationships are estimated to provide economic benefits for several decades because of the low rate of tenant cancellations and high rate of tenant retention experienced to date. Thus, while site rental leases and tenant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tenant relationships are amortized over a period not to exceed 20 years.</w:t>
      </w:r>
    </w:p>
    <w:p>
      <w:pPr>
        <w:spacing w:after="0" w:line="13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tenant relationships intangible assets. First, the Company pools the site rental contracts and tenant relationships with the related tower assets into portfolio groups for purposes of determining the unit of account for impairment testing. Second and separately, the Company evaluates the site rental contracts and tenant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Third-party costs incurred to obtain financing are deferred and are included as a direct deduction from the carrying amount of the related debt liability in "Debt" on the Company's consolidated balance sheet.</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Site rental revenues from the Company's tenant contracts are recognized on a straight-line, ratable basis over the fixed, non-cancelable term of the relevant tenant contract, which generally ranges from five to 15 years, regardless of whether the payments from the tenant are received in equal monthly amounts during the life of the tenant contract. The Company's contracts contain (1) fixed escalation clauses (such as fixed dollar or 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escalations, upfront payments, or rent-free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Company's revenue from tenant contracts, amounts under the tower installation services and modifications agreements described in note 6 that represent a lease component to the Company are recognized as "Amortization of tower installations and modifications" on the Company's consolidated statement of operations on a ratable basis over the length of the associated estimated lease term. The Company and its subsidiaries are not parties to such transactions.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Costs of Operations</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More than three-fourths of the Company's site rental costs of operations expenses consist of ground lease expenses, and the remainder includes repairs and maintenance expenses, utilities, property taxes and insurance. The Company's current liability related to accrued property taxes is included in "Other accrued liabilities" on the Company's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was $5.0 million and $4.7 million as of December 31, 2020 and 2019, respectively. Generally, the Company's ground leases for land are specific to each site and are for an initial term of five years and are renewable for pre-determined periods. The Company also enters into term easement and ground leases in which it prepays the entire term in advance.</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Ground lease expenses are recognized on a ratable basis, regardless of whether the payment terms require the Company to make payments annually, quarterly, monthly, or for the entire term in advance. Certain of the Company's ground lease agreements contain fixed escalation clauses (such as fixed dollar or fixed percentage increases) or inflation-based escalation clauses (such as those tied to the change in CPI). If the payment terms include fixed escalator provisions, the effect of such increases is recognized on a straight-line basis. The Company's liability related to straight-line expense is included in "Operating lease right-of-use assets" on the Company's consolidated balance sheet. The Company's assets related to prepaid agreements is included in "Prepaid expenses" and "Operating lease right-of-use assets" on the Company's consolidated balance sheet. See also "Lease Accounting-Lessee".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Management Fee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charged a management fee by CCUSA, a wholly owned indirect subsidiary of CCIC, relating to management services, which include those functions reasonably necessary to maintain, market, operate, manage and administer the sites. The management fee is equal to 7.5% of the Company's revenues, excluding (1) the revenues from tenant contracts that are related to the accounting for leases with fixed escalators (as required by the applicable accounting standard), and (2) amortization of tower installations and modifications. See note 6.</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CCIC operates as a REIT for U.S. federal income tax purposes. The Company is an indirect subsidiary of CCIC and for U.S. federal income taxes purposes the Company's assets and operations are part of the CCIC REIT. As a REIT, CCIC is generally entitled to a deduction for dividends that it pays and therefore is not subject to U.S. federal corporate income tax on its net taxable income that is currently distributed to its stockholders. CCIC also may be subject to certain federal, state, local and foreign taxes on its income and assets, including (1) taxes on any undistributed income, (2) taxes related to the CCIC's taxable REIT subsidiaries, (3) franchise taxes, (4) property taxes and (5) transfer taxes. In addition, CCIC could under certain circumstances be required to pay an excise or penalty tax, which could be significant in amount, in order to utilize one or more relief provisions under the Internal Revenue Code of 1986, as amended to maintain qualification for taxation as a REIT.</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reports penalties and tax-related interest expense as a component of the benefit (provision) for income taxes. As of December 21, 2020, 2019, and 2018, the Company has not recorded any material penalties related to its income tax positions.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Values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There were no changes since December 31, 2019 in the Company's valuation techniques used to measure fair values. See note 7 for a further discussion of fair values.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Reporting Segments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operating segment.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Company adopted the guidance as of January 1, 2020 and noted that there was not a material impact to its consolidated financial statements.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No new accounting pronouncements issued but not yet adopted are expected to have a material impact on the Company's consolidated financial statements.</w:t>
      </w:r>
    </w:p>
    <w:p>
      <w:pPr>
        <w:spacing w:after="0" w:line="104"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 classes of property and equipment are summarized in the table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6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r>
      <w:tr>
        <w:trPr>
          <w:trHeight w:val="183"/>
        </w:trPr>
        <w:tc>
          <w:tcPr>
            <w:tcW w:w="646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80" w:type="dxa"/>
            <w:vAlign w:val="bottom"/>
          </w:tcPr>
          <w:p>
            <w:pPr>
              <w:spacing w:after="0"/>
              <w:rPr>
                <w:sz w:val="15"/>
                <w:szCs w:val="15"/>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4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Land</w:t>
            </w:r>
            <w:r>
              <w:rPr>
                <w:rFonts w:ascii="Times New Roman" w:cs="Times New Roman" w:eastAsia="Times New Roman" w:hAnsi="Times New Roman"/>
                <w:sz w:val="21"/>
                <w:szCs w:val="21"/>
                <w:color w:val="auto"/>
                <w:vertAlign w:val="superscript"/>
              </w:rPr>
              <w:t>(a)</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76,685</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76,610</w:t>
            </w:r>
          </w:p>
        </w:tc>
      </w:tr>
      <w:tr>
        <w:trPr>
          <w:trHeight w:val="213"/>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Towers</w:t>
            </w:r>
          </w:p>
        </w:tc>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1-20 years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1,992,394</w:t>
            </w:r>
          </w:p>
        </w:tc>
      </w:tr>
      <w:tr>
        <w:trPr>
          <w:trHeight w:val="21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36,718</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2,141,925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2,105,722</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(1,190,055)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(1,095,355)</w:t>
            </w: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951,870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1,010,367</w:t>
            </w:r>
          </w:p>
        </w:tc>
      </w:tr>
      <w:tr>
        <w:trPr>
          <w:trHeight w:val="20"/>
        </w:trPr>
        <w:tc>
          <w:tcPr>
            <w:tcW w:w="6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land owned through fee interests and perpetual easements.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was $95.6 million for the year ended December 31, 2020 and $93.0 million for both years ended December 31, 2019 and 2018.</w:t>
      </w:r>
    </w:p>
    <w:p>
      <w:pPr>
        <w:spacing w:after="0" w:line="167"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7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Company's intangible assets.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24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40" w:type="dxa"/>
            <w:vAlign w:val="bottom"/>
            <w:gridSpan w:val="3"/>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contracts and tenant relationships</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2,102,864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(1,540,041)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2,102,864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676,398</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12,336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2,115,200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(1,549,926)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(1,436,244)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678,956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related to intangible assets is classified as follows on the Company's consolidated statement of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Years Ended December 31,</w:t>
            </w:r>
          </w:p>
        </w:tc>
        <w:tc>
          <w:tcPr>
            <w:tcW w:w="1160" w:type="dxa"/>
            <w:vAlign w:val="bottom"/>
            <w:tcBorders>
              <w:bottom w:val="single" w:sz="8" w:color="auto"/>
            </w:tcBorders>
          </w:tcPr>
          <w:p>
            <w:pPr>
              <w:spacing w:after="0"/>
              <w:rPr>
                <w:sz w:val="16"/>
                <w:szCs w:val="16"/>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113,682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113,682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113,655</w:t>
            </w:r>
          </w:p>
        </w:tc>
      </w:tr>
      <w:tr>
        <w:trPr>
          <w:trHeight w:val="216"/>
        </w:trPr>
        <w:tc>
          <w:tcPr>
            <w:tcW w:w="6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Site rental costs of operations</w:t>
            </w:r>
            <w:r>
              <w:rPr>
                <w:rFonts w:ascii="Times New Roman" w:cs="Times New Roman" w:eastAsia="Times New Roman" w:hAnsi="Times New Roman"/>
                <w:sz w:val="21"/>
                <w:szCs w:val="21"/>
                <w:color w:val="auto"/>
                <w:vertAlign w:val="superscript"/>
              </w:rPr>
              <w:t>(a)</w:t>
            </w: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32"/>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92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113,682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00" w:lineRule="exact"/>
        <w:rPr>
          <w:sz w:val="20"/>
          <w:szCs w:val="20"/>
          <w:color w:val="auto"/>
        </w:rPr>
      </w:pPr>
    </w:p>
    <w:p>
      <w:pPr>
        <w:jc w:val="both"/>
        <w:ind w:left="660" w:hanging="328"/>
        <w:spacing w:after="0" w:line="256" w:lineRule="auto"/>
        <w:tabs>
          <w:tab w:leader="none" w:pos="6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of intangible assets classified as "Site rental costs of operations" on the Company's consolidated statement of operations for the year ended December 31, 2018 represented amortization of below-market leases. Effective January 1, 2019, the Company adopted new guidance on the recognition, measurement, presentation and disclosure of leases and these below-market leases were de-recognized and reclassified from "Other intangible assets, net" to the "Operating lease right-of-use assets" on the Company's consolidated balance sheet.</w:t>
      </w:r>
    </w:p>
    <w:p>
      <w:pPr>
        <w:spacing w:after="0" w:line="2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the Company recorded $1.7 million as a decrease to "Site rental costs of operations" for the amortization of above-market leases for land under the Company's towers. Effective January 1, 2019, these above-market leases were de-recognized and reclassified from "Other long-term liabilities" into the "Operating lease right-of-use assets" on the Company's consolidated balance sheet.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annual amortization expense related to intangible assets for the years ending December 31, 2021 to 2025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3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annual amortization</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113,682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113,682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70,295</w:t>
            </w:r>
          </w:p>
        </w:tc>
      </w:tr>
    </w:tbl>
    <w:p>
      <w:pPr>
        <w:spacing w:after="0" w:line="234"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3"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231F20"/>
        </w:rPr>
        <w:t>2012 Secured Notes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 Mellon Trust Company, N.A., as trustee ("Trustee"). The Issuers and the Guarantors are indirect wholly owned subsidiaries of CCIC. The Company used the net proceeds from the issuance of the 2012 Secured Notes to (1) repurchase and redeem a portion of the then outstanding 7.75% senior secured notes due 2017 ("7.75% Secured Notes") and (2) distribute cash to CCIC to fund the repurchase and redemption of a portion of CCIC's senior notes.</w:t>
      </w:r>
    </w:p>
    <w:p>
      <w:pPr>
        <w:spacing w:after="0" w:line="1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outstanding balance of the 2012 Secured Notes as of December 31, 2020 and December 31, 2019 was $996.8 million and $995.4 million, respectively. The stated interest rate of the 2012 Secured Notes as of </w:t>
      </w:r>
      <w:r>
        <w:rPr>
          <w:rFonts w:ascii="Times New Roman" w:cs="Times New Roman" w:eastAsia="Times New Roman" w:hAnsi="Times New Roman"/>
          <w:sz w:val="18"/>
          <w:szCs w:val="18"/>
          <w:color w:val="231F20"/>
        </w:rPr>
        <w:t>December 31, 2020 was 3.849% per annum.</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3.849% Secured Notes are payable semi-annually in cash in arrears on April 15 and October 15 of each year, beginning on April 15, 2013. CCL, at its option, may redeem the 3.849% Secured Notes in whole or in part at any time by paying 100% of the principal amount of such 3.849% Secured Notes, together with accrued and unpaid interest, if any, plus a "make-whole" premium (as defined in the Indenture).</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3.849% Secured Notes are guaranteed by the direct and indirect wholly owned subsidiaries of CCL, other than the Co-Issuer (collectively, "Guarantors"). The 3.849% Secured Notes will be paid solely from the cash flows generated from operation of the towers held directly or indirectly by CCL and the Guarantors.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Concurrently with the issuance of the 2012 Secured Notes, CCL and certain of its subsidiaries entered into a pledge and security agreement with the Trustee. Pursuant to the terms of such pledge and security agreement, the 3.849% Secured Notes are secured on a first-priority basis by a pledge of the equity interests of the Guarantors.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Indenture limits, among other things, the ability of CCL and its subsidiaries to incur indebtedness, incur liens, enter into certain mergers or certain change of control transactions and enter into related party transactions, in each case subject to a number of exceptions and qualifications set forth in the Indenture.</w:t>
      </w:r>
    </w:p>
    <w:p>
      <w:pPr>
        <w:spacing w:after="0" w:line="12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Management Agreement. </w:t>
      </w:r>
      <w:r>
        <w:rPr>
          <w:rFonts w:ascii="Times New Roman" w:cs="Times New Roman" w:eastAsia="Times New Roman" w:hAnsi="Times New Roman"/>
          <w:sz w:val="18"/>
          <w:szCs w:val="18"/>
          <w:color w:val="auto"/>
        </w:rPr>
        <w:t>On December 24, 2012, CCL and the Guarantors entered into a management agreement ("Management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CCUSA, an indirect wholly owned subsidiary of CCIC ("Manager"). The Management Agreement replaced the previous management agreement that existed among the parties. Pursuant to the Management Agreement, the Manager will continue to perform, on behalf of CCL and the Guarantors, those functions reasonably necessary to maintain, market, operate, manage and administer their respective sites. The Management Agreement requires that the Company maintain cash sufficient to operate the business, including sufficient cash to pay expenses for the following month (including any interest payment due during the next month pursuant to the Indenture).</w:t>
      </w:r>
    </w:p>
    <w:p>
      <w:pPr>
        <w:spacing w:after="0" w:line="12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Restrictions. </w:t>
      </w:r>
      <w:r>
        <w:rPr>
          <w:rFonts w:ascii="Times New Roman" w:cs="Times New Roman" w:eastAsia="Times New Roman" w:hAnsi="Times New Roman"/>
          <w:sz w:val="18"/>
          <w:szCs w:val="18"/>
          <w:color w:val="auto"/>
        </w:rPr>
        <w:t>The Indenture does not contain financial maintenance covenants but it does contain restrictive negative covenants,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the Company may not issue debt other than (1) certain permitted refinancings of the 3.849% Secured Notes, (2) unsecured trade payables in the ordinary course of business and financing of equipment, land or other property up to an aggregate of $100.0 million or (3) unsecured debt or additional notes under the Indenture provided that the Debt to Adjusted Consolidated Cash Flow Ratio (as defined in the Indenture) at the time of incurrence, and after giving effect to such incurrence, would have been no greater than 3.5 to 1. As of December 31, 2020, the Company's Debt to Adjusted Consolidated Cash Flow Ratio is 2.1 to 1, and, as a result, the Company currently has the ability to incur additional indebtedness. For purposes of restrictions related to the Company's Secured Notes Indenture, relevant debt calculations (such as the Debt to Adjusted Consolidated Cash Flow Ratio) are calculated in accordance with GAAP that was in effect as of December 2012, and, as such, exclude the impact of the Company's lease liability recorded as a result of its ASC 842 adoption on January 1, 2019. Further, the Company is not restricted in its ability to distribute cash to affiliates or issue dividends to its member.</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are the scheduled contractual maturities of the total debt of the Company outstanding at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9"/>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Total Debt</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20" w:type="dxa"/>
            <w:vAlign w:val="bottom"/>
          </w:tcPr>
          <w:p>
            <w:pPr>
              <w:spacing w:after="0"/>
              <w:rPr>
                <w:sz w:val="16"/>
                <w:szCs w:val="16"/>
                <w:color w:val="auto"/>
              </w:rPr>
            </w:pPr>
          </w:p>
        </w:tc>
        <w:tc>
          <w:tcPr>
            <w:tcW w:w="9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Scheduled contractual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   1,000,000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996,815</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Deferred Financing Costs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"Interest expense and amortization of deferred financing costs" are as follows: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 obligations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38,490</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discussed in note 5, the Company and the Guarantors entered into a Management Agreement with CCUSA, which replaced a previous management agreement among the same parties. 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fee charged by CCUSA for the years ended December 31, 2020, 2019 and 2018 totaled $51.8 million, $49.8 million and $48.5 million, respectively.</w:t>
      </w:r>
    </w:p>
    <w:p>
      <w:pPr>
        <w:spacing w:after="0" w:line="189"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consolidated balance sheet and recognizes it as "Amortization of tower installations and modifications" on the Company's consolidated statement of operations over the associated estimated lease term. The portions of the transaction price which do not represent a lease component are not reflected in the Company's operating results.</w:t>
      </w:r>
    </w:p>
    <w:p>
      <w:pPr>
        <w:spacing w:after="0" w:line="13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part of CCIC's strategy to obtain long-term control of the land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December 31, 2020, more than 30% of the Company's towers were located on land which was controlled by an affiliate. Rent expense to affiliates totaled $45.9 million, $43.3 million and $41.0 million for the years ended December 31, 2020, 2019 and 2018, respectively. Also, the Company receives site rental revenue from affiliates for land owned by the Company on which affiliates have towers. Rent revenue from affiliates totaled $1.5 million for the year ended December 31, 2020 and $1.0 million for each of the years ended December 31, 2019 and 2018.</w:t>
      </w:r>
    </w:p>
    <w:p>
      <w:pPr>
        <w:spacing w:after="0" w:line="13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recorded an equity distribution of $406.0 million, $362.8 million and $368.0 million, respectively, reflecting distributions to its member. Cash on-hand above the amount that is required by the Management Agreement has been, and is expected to continue to be, distributed to the Company's parent company. As of December 31, 2020 and 2019, other than the amounts of its ROU assets and operating lease liabilities related to land leased from affiliates of the Company reflected in "Operating lease right-of-use assets," "Current portion of operating lease liabilities-related parties" and "Operating lease liabilities-related parties," the Company had no material related party assets or liabilities on its consolidated balance sheet.</w:t>
      </w:r>
    </w:p>
    <w:p>
      <w:pPr>
        <w:spacing w:after="0" w:line="129"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Values</w:t>
      </w:r>
    </w:p>
    <w:p>
      <w:pPr>
        <w:spacing w:after="0" w:line="17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Company's financial instruments, along with the carrying amounts of the related assets (liabilities). See also note 2.</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in Fair</w:t>
            </w: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4"/>
                <w:szCs w:val="4"/>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4"/>
                <w:szCs w:val="4"/>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4"/>
                <w:szCs w:val="4"/>
                <w:color w:val="auto"/>
              </w:rPr>
            </w:pPr>
          </w:p>
        </w:tc>
        <w:tc>
          <w:tcPr>
            <w:tcW w:w="88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17,439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17,439</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20,407</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996,815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1,076,000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1,046,200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each the years ended December 31, 2020, 2019 and 2018, the Company had a provision for income taxes of $0.4 million, which consisted of state taxes in each of such years. The Company's effective tax rate for the years ended December 31, 2020, 2019 and 2018 differed from the federal statutory rate predominately due to CCIC's REIT status, including the dividends paid deduction (see notes 1 and 2) and the aforementioned impacts described above.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2020, there were no unrecognized tax benefits that would impact the effective tax rate, if recognized.</w:t>
      </w:r>
    </w:p>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examinations by various tax authorities in jurisdictions in which it has business operations. At this time, CCIC is not subject to an Internal Revenue Service examination.</w:t>
      </w:r>
    </w:p>
    <w:p>
      <w:pPr>
        <w:spacing w:after="0" w:line="10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regularly assesses the likelihood of additional assessments in each of the tax jurisdictions in which it has business operations. CCIC has no uncertain tax positions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4"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jc w:val="both"/>
        <w:ind w:right="40"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consolidated financial position or results of operations. </w:t>
      </w:r>
      <w:r>
        <w:rPr>
          <w:rFonts w:ascii="Times New Roman" w:cs="Times New Roman" w:eastAsia="Times New Roman" w:hAnsi="Times New Roman"/>
          <w:sz w:val="18"/>
          <w:szCs w:val="18"/>
          <w:color w:val="000000"/>
        </w:rPr>
        <w:t>See note 10 for a discussion of the operating lease commitments. In addition, see note 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a discussion of the CCIC's option to purchase approximately 68% of the Company's towers at the end of their respective lease terms. CCIC has no obligation to exercise the purchase option.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Pursuant to its ground lease and easement agreements, the Company has the obligation to perform certain asset retirement activities, including requirements upon contract termination to remove sites or remediate the land upon which its sites are located. Accretion expense related to liabilities for retirement obligations amounted to $1.0 million, $0.5 million, and $0.8 million for the years ended December 31, 2020, 2019 and 2018, respectively. As of December 31, 2020 and 2019, liabilities for retirement obligations amounted to $12.5 million and $11.4 million, respectively, representing the net present value of the estimated expected future cash outlay. As of December 31, 2020, the estimated undiscounted future cash outlay for asset retirement obligations was approximately $82.9 million. See note 2.</w:t>
      </w:r>
    </w:p>
    <w:p>
      <w:pPr>
        <w:spacing w:after="0" w:line="129"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3"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Lessor Tenant Leases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table is a summary of the rental cash payments owed to the Company by tenants pursuant to tenant contracts in effect as of December 31, 2020. Generally, the Company's leases with its tenants provide for (1) annual escalations, (2) multiple renewal periods at the tenant's option and (3) only limited termination rights at the applicable tenant's option through the current term. As of December 31, 2020, the weighted-average remaining term (calculated by weighting the remaining term for each lease by the related site rental revenue) of tenant leases is approximately five years, exclusive of renewals at the tenant's option. The tenants' rental payments included in the table below are through the current terms and do not assume exercise of tenant renewal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40" w:type="dxa"/>
            <w:vAlign w:val="bottom"/>
          </w:tcPr>
          <w:p>
            <w:pPr>
              <w:spacing w:after="0"/>
              <w:rPr>
                <w:sz w:val="16"/>
                <w:szCs w:val="16"/>
                <w:color w:val="auto"/>
              </w:rPr>
            </w:pPr>
          </w:p>
        </w:tc>
        <w:tc>
          <w:tcPr>
            <w:tcW w:w="8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254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Tenant leases</w:t>
            </w:r>
            <w:r>
              <w:rPr>
                <w:rFonts w:ascii="Times New Roman" w:cs="Times New Roman" w:eastAsia="Times New Roman" w:hAnsi="Times New Roman"/>
                <w:sz w:val="21"/>
                <w:szCs w:val="21"/>
                <w:color w:val="auto"/>
                <w:vertAlign w:val="superscript"/>
              </w:rPr>
              <w:t>(a)</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701,781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691,203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566,683</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1,205,615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4,141,017</w:t>
            </w:r>
          </w:p>
        </w:tc>
        <w:tc>
          <w:tcPr>
            <w:tcW w:w="20" w:type="dxa"/>
            <w:vAlign w:val="bottom"/>
          </w:tcPr>
          <w:p>
            <w:pPr>
              <w:spacing w:after="0"/>
              <w:rPr>
                <w:sz w:val="18"/>
                <w:szCs w:val="18"/>
                <w:color w:val="auto"/>
              </w:rPr>
            </w:pPr>
          </w:p>
        </w:tc>
      </w:tr>
      <w:tr>
        <w:trPr>
          <w:trHeight w:val="230"/>
        </w:trPr>
        <w:tc>
          <w:tcPr>
            <w:tcW w:w="3780" w:type="dxa"/>
            <w:vAlign w:val="bottom"/>
            <w:gridSpan w:val="6"/>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2"/>
        </w:trPr>
        <w:tc>
          <w:tcPr>
            <w:tcW w:w="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9"/>
              </w:rPr>
              <w:t>(a)</w:t>
            </w:r>
          </w:p>
        </w:tc>
        <w:tc>
          <w:tcPr>
            <w:tcW w:w="362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Inclusive of leases with related parties. See note 6.</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5"/>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Lessee Operating Leases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rPr>
              <w:t>The components of the Company's operating lease expense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4"/>
                <w:szCs w:val="14"/>
                <w:b w:val="1"/>
                <w:bCs w:val="1"/>
                <w:color w:val="auto"/>
                <w:w w:val="93"/>
              </w:rPr>
              <w:t>2019</w:t>
            </w:r>
            <w:r>
              <w:rPr>
                <w:rFonts w:ascii="Times New Roman" w:cs="Times New Roman" w:eastAsia="Times New Roman" w:hAnsi="Times New Roman"/>
                <w:sz w:val="18"/>
                <w:szCs w:val="18"/>
                <w:b w:val="1"/>
                <w:bCs w:val="1"/>
                <w:color w:val="auto"/>
                <w:w w:val="93"/>
                <w:vertAlign w:val="superscript"/>
              </w:rPr>
              <w:t>(d)</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25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color w:val="auto"/>
              </w:rPr>
              <w:t>Lease cost</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color w:val="auto"/>
              </w:rPr>
              <w:t>Operating lease expense</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113,234</w:t>
            </w:r>
          </w:p>
        </w:tc>
        <w:tc>
          <w:tcPr>
            <w:tcW w:w="92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111,125</w:t>
            </w:r>
          </w:p>
        </w:tc>
        <w:tc>
          <w:tcPr>
            <w:tcW w:w="2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Variable lease expense</w:t>
            </w:r>
            <w:r>
              <w:rPr>
                <w:rFonts w:ascii="Times New Roman" w:cs="Times New Roman" w:eastAsia="Times New Roman" w:hAnsi="Times New Roman"/>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158,989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156,829</w:t>
            </w:r>
          </w:p>
        </w:tc>
        <w:tc>
          <w:tcPr>
            <w:tcW w:w="20" w:type="dxa"/>
            <w:vAlign w:val="bottom"/>
            <w:tcBorders>
              <w:bottom w:val="single" w:sz="8" w:color="auto"/>
            </w:tcBorders>
          </w:tcPr>
          <w:p>
            <w:pPr>
              <w:spacing w:after="0"/>
              <w:rPr>
                <w:sz w:val="17"/>
                <w:szCs w:val="17"/>
                <w:color w:val="auto"/>
              </w:rPr>
            </w:pPr>
          </w:p>
        </w:tc>
      </w:tr>
      <w:tr>
        <w:trPr>
          <w:trHeight w:val="23"/>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0"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6.</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operating lease expense related to its ROU assets for the twelve months ended December 31, 2020 and 2019.</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3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expense related to contingent payments for operating leases (such as payments based on revenues derived from the sites located on the leased asset) for the twelve months ended December 31, 2020 and 2019. Such contingencies are recognized as expense in the period they are resolved.</w:t>
      </w:r>
    </w:p>
    <w:p>
      <w:pPr>
        <w:jc w:val="both"/>
        <w:ind w:left="340" w:hanging="332"/>
        <w:spacing w:after="0" w:line="249"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year ended December 31, 2019 reflect a revision from the Company's 2019 Annual Report on Form 10-K relating to an immaterial classification error of certain operating lease expenses. In connection with this revision, the Company reclassified $8.7 million from operating lease expense to variable lease expense for the year ended December 31, 2019; total lease expense for the year ended December 31, 2019 remains unchanged.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Lessee Finance Leases</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finance leases are related to the towers subject to prepaid master lease agreements with T-Mobile, which T-Mobile assumed in connection with its merger with Sprint, and are recorded as "Property and equipment, net" on the consolidated balance sheet. See note 1 for further discussion of the Company's prepaid master lease agreements. Finance leases and associated leasehold improvements related to gross property and equipment and accumulated depreciation were $976.9 million and $685.4 million, respectively, as of December 31, 2020. Finance leases and associated leasehold improvements related to gross property and equipment and accumulated depreciation were $978.1 million and $645.6 million, respectively, as of December 31, 2019. For the twelve months ended December 31, 2020 and 2019, the Company recorded $39.8 million and $41.1 million, respectively, to "Depreciation, amortization and accretion" related to finance leases.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Lessee Information</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Company's weighted-average remaining lease term and weighted-average discount rate for operating leases were 15 years and 3.8%,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the Company's maturities of operating lease liabilities as of December 31,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Less: Imputed</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operating</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86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8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86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86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1"/>
                <w:szCs w:val="11"/>
                <w:color w:val="auto"/>
              </w:rPr>
            </w:pPr>
          </w:p>
        </w:tc>
        <w:tc>
          <w:tcPr>
            <w:tcW w:w="106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4"/>
                <w:szCs w:val="14"/>
                <w:b w:val="1"/>
                <w:bCs w:val="1"/>
                <w:color w:val="auto"/>
              </w:rPr>
              <w:t>undiscounted</w:t>
            </w:r>
          </w:p>
        </w:tc>
        <w:tc>
          <w:tcPr>
            <w:tcW w:w="11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280" w:type="dxa"/>
            <w:vAlign w:val="bottom"/>
          </w:tcPr>
          <w:p>
            <w:pPr>
              <w:spacing w:after="0"/>
              <w:rPr>
                <w:sz w:val="16"/>
                <w:szCs w:val="16"/>
                <w:color w:val="auto"/>
              </w:rPr>
            </w:pPr>
          </w:p>
        </w:tc>
        <w:tc>
          <w:tcPr>
            <w:tcW w:w="88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209"/>
        </w:trPr>
        <w:tc>
          <w:tcPr>
            <w:tcW w:w="16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Operating leases</w:t>
            </w:r>
            <w:r>
              <w:rPr>
                <w:rFonts w:ascii="Times New Roman" w:cs="Times New Roman" w:eastAsia="Times New Roman" w:hAnsi="Times New Roman"/>
                <w:sz w:val="21"/>
                <w:szCs w:val="21"/>
                <w:color w:val="auto"/>
                <w:vertAlign w:val="superscript"/>
              </w:rPr>
              <w:t>(a)(b)</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108,739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108,718</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  108,372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107,561</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106,926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1,130,872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1,671,188</w:t>
            </w:r>
          </w:p>
        </w:tc>
        <w:tc>
          <w:tcPr>
            <w:tcW w:w="2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(433,063)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1,238,125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05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ind w:left="340" w:hanging="332"/>
        <w:spacing w:after="0" w:line="253" w:lineRule="auto"/>
        <w:tabs>
          <w:tab w:leader="none" w:pos="3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for operating leases (such as payments based on revenues derived from the sites located on the leased asset) as such arrangements are excluded from the Company's operating lease liability. Such contingencies are recognized as expense in the period they are resolved.</w:t>
      </w: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6.</w:t>
      </w:r>
    </w:p>
    <w:p>
      <w:pPr>
        <w:spacing w:after="0" w:line="1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2.</w:t>
      </w:r>
    </w:p>
    <w:p>
      <w:pPr>
        <w:spacing w:after="0" w:line="12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derives the largest portion of its revenues from tenants in the wireless industry. The Company also has a concentration in its volume of business with T-Mobile, AT&amp;T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or proactive management of past due balances.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percentage of the consolidated revenues for those tenants accounting for more than 10% of the consolidated revenues.</w:t>
      </w:r>
    </w:p>
    <w:p>
      <w:pPr>
        <w:spacing w:after="0" w:line="23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T-Mobile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AT&amp;T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Verizon Wireless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Sprint</w:t>
            </w:r>
          </w:p>
        </w:tc>
        <w:tc>
          <w:tcPr>
            <w:tcW w:w="800" w:type="dxa"/>
            <w:vAlign w:val="bottom"/>
            <w:gridSpan w:val="2"/>
          </w:tcPr>
          <w:p>
            <w:pPr>
              <w:jc w:val="right"/>
              <w:ind w:right="267"/>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35"/>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5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14"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derived from Sprint. T-Mobile and Sprint completed their merger on April 1, 2020.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(Tabular dollars in thousands)</w:t>
      </w:r>
    </w:p>
    <w:p>
      <w:pPr>
        <w:spacing w:after="0" w:line="200" w:lineRule="exact"/>
        <w:rPr>
          <w:sz w:val="20"/>
          <w:szCs w:val="20"/>
          <w:color w:val="auto"/>
        </w:rPr>
      </w:pPr>
    </w:p>
    <w:p>
      <w:pPr>
        <w:spacing w:after="0" w:line="325"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supplemental cash flow information during the years ended December 31, 2020, 2019 and 2018.</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Years Ended December 31,</w:t>
            </w:r>
          </w:p>
        </w:tc>
        <w:tc>
          <w:tcPr>
            <w:tcW w:w="720" w:type="dxa"/>
            <w:vAlign w:val="bottom"/>
            <w:tcBorders>
              <w:bottom w:val="single" w:sz="8" w:color="auto"/>
            </w:tcBorders>
          </w:tcPr>
          <w:p>
            <w:pPr>
              <w:spacing w:after="0"/>
              <w:rPr>
                <w:sz w:val="16"/>
                <w:szCs w:val="16"/>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7780" w:type="dxa"/>
            <w:vAlign w:val="bottom"/>
          </w:tcPr>
          <w:p>
            <w:pPr>
              <w:ind w:left="200"/>
              <w:spacing w:after="0" w:line="216" w:lineRule="exact"/>
              <w:rPr>
                <w:sz w:val="20"/>
                <w:szCs w:val="20"/>
                <w:color w:val="auto"/>
              </w:rPr>
            </w:pPr>
            <w:r>
              <w:rPr>
                <w:rFonts w:ascii="Times New Roman" w:cs="Times New Roman" w:eastAsia="Times New Roman" w:hAnsi="Times New Roman"/>
                <w:sz w:val="16"/>
                <w:szCs w:val="16"/>
                <w:color w:val="auto"/>
              </w:rPr>
              <w:t>Cash payments related to operating lease liabilities</w:t>
            </w:r>
            <w:r>
              <w:rPr>
                <w:rFonts w:ascii="Times New Roman" w:cs="Times New Roman" w:eastAsia="Times New Roman" w:hAnsi="Times New Roman"/>
                <w:sz w:val="21"/>
                <w:szCs w:val="21"/>
                <w:color w:val="auto"/>
                <w:vertAlign w:val="superscript"/>
              </w:rPr>
              <w:t>(a)(b)</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106,877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105,933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38,490</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non-cash operating, investing and financing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780" w:type="dxa"/>
            <w:vAlign w:val="bottom"/>
            <w:shd w:val="clear" w:color="auto" w:fill="CCEEFF"/>
          </w:tcPr>
          <w:p>
            <w:pPr>
              <w:ind w:left="200"/>
              <w:spacing w:after="0" w:line="219" w:lineRule="exact"/>
              <w:rPr>
                <w:sz w:val="20"/>
                <w:szCs w:val="20"/>
                <w:color w:val="auto"/>
              </w:rPr>
            </w:pPr>
            <w:r>
              <w:rPr>
                <w:rFonts w:ascii="Times New Roman" w:cs="Times New Roman" w:eastAsia="Times New Roman" w:hAnsi="Times New Roman"/>
                <w:sz w:val="16"/>
                <w:szCs w:val="16"/>
                <w:color w:val="auto"/>
              </w:rPr>
              <w:t>New ROU assets obtained in exchange for operating lease liabilities</w:t>
            </w:r>
            <w:r>
              <w:rPr>
                <w:rFonts w:ascii="Times New Roman" w:cs="Times New Roman" w:eastAsia="Times New Roman" w:hAnsi="Times New Roman"/>
                <w:sz w:val="21"/>
                <w:szCs w:val="21"/>
                <w:color w:val="auto"/>
                <w:vertAlign w:val="superscript"/>
              </w:rPr>
              <w:t>(b)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accounts payable for purchases of property and equipment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1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Company's contingent payments pursuant to operating leases, which are recorded as expense in the period such contingencies are resolved.</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leases with related parties. See note 6.</w:t>
      </w:r>
    </w:p>
    <w:p>
      <w:pPr>
        <w:spacing w:after="0" w:line="1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as of December 31, 2020,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Securities Exchange Act of 1934, as amended ("Exchange Act")). Based upon their evaluation, the CEO and CFO concluded that as of December 31, 2020, the Company's disclosure controls and procedures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issued by the Committee of Sponsoring Organizations of the Treadway Commission.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The Company's internal control over financial reporting includes those policies and procedures that:</w:t>
      </w:r>
    </w:p>
    <w:p>
      <w:pPr>
        <w:spacing w:after="0" w:line="135" w:lineRule="exact"/>
        <w:rPr>
          <w:sz w:val="20"/>
          <w:szCs w:val="20"/>
          <w:color w:val="auto"/>
        </w:rPr>
      </w:pPr>
    </w:p>
    <w:p>
      <w:pPr>
        <w:ind w:left="820" w:hanging="407"/>
        <w:spacing w:after="0" w:line="261"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jc w:val="both"/>
        <w:ind w:left="820" w:hanging="407"/>
        <w:spacing w:after="0" w:line="250"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 of management and directors of the Company; and</w:t>
      </w:r>
    </w:p>
    <w:p>
      <w:pPr>
        <w:spacing w:after="0" w:line="1" w:lineRule="exact"/>
        <w:rPr>
          <w:rFonts w:ascii="Times New Roman" w:cs="Times New Roman" w:eastAsia="Times New Roman" w:hAnsi="Times New Roman"/>
          <w:sz w:val="18"/>
          <w:szCs w:val="18"/>
          <w:color w:val="auto"/>
        </w:rPr>
      </w:pPr>
    </w:p>
    <w:p>
      <w:pPr>
        <w:ind w:left="820" w:hanging="407"/>
        <w:spacing w:after="0" w:line="260"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December 31, 2020. Based on the Company's assessment, management has concluded that the Company's internal control over financial reporting was effective as of December 31, 2020 to provide reasonable assurance regarding the reliability of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preparation of financial statements for external reporting purposes in accordance with generally accepted accounting principles in the United States of America.</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Form 10-K.</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 Remediation of Previously Disclosed Material Weakness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2019, management concluded that a material weakness existed in the Company's internal control over financial reporting as it did not effectively design and maintain controls related to the accounting for its tower installation services. Management has completed its plan of remediation, which primarily consisted of 1) revising its accounting policies for its tower installation services to identify and account for lease components and the associated deferred revenue, and 2) improvements to existing processes and controls related to the determination of the accuracy of capital expenditures made for permanent improvements associated with tower installation services.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2020, management completed its evaluation and testing of the operating effectiveness of the improved controls and deemed them to be designed and operating effectively. As a result, management concluded that the previously disclosed material weakness has been remediated as of December 31, 2020.</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 Limitations on the Effectiveness of Controls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an indirect wholly owned subsidiary of CCIC, our principal accounting fees and services are subject to CCIC's Audit Committee pre-approval procedures described in its proxy statement. This proxy statement is posted on CCIC's website at http://investor.crowncastle.com). Other than these procedures, the information contained on that website is not incorporated by reference in this 2020 Form 10-K. During 2020, all services provided by the external auditor were pre-approved by CCIC's Audit Committee in accordance with such policies.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Fees for professional services provided by our auditors include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4"/>
        </w:trPr>
        <w:tc>
          <w:tcPr>
            <w:tcW w:w="824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(a)</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143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Audit fees principally includes audit and review of financial statements and subsidiary audits.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310" w:lineRule="exact"/>
        <w:rPr>
          <w:sz w:val="20"/>
          <w:szCs w:val="20"/>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 of financial statements filed as part of this report is submitted as a separate section, the index to which is located on page </w:t>
      </w:r>
      <w:hyperlink w:anchor="page22">
        <w:r>
          <w:rPr>
            <w:rFonts w:ascii="Times New Roman" w:cs="Times New Roman" w:eastAsia="Times New Roman" w:hAnsi="Times New Roman"/>
            <w:sz w:val="18"/>
            <w:szCs w:val="18"/>
            <w:color w:val="auto"/>
          </w:rPr>
          <w:t>23.</w:t>
        </w:r>
      </w:hyperlink>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310" w:lineRule="exact"/>
        <w:rPr>
          <w:sz w:val="20"/>
          <w:szCs w:val="20"/>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II—Valuation and Qualifying Accounts for the years ended December 31, 2020, 2019 and 2018 which is located on page </w:t>
      </w:r>
      <w:hyperlink w:anchor="page45">
        <w:r>
          <w:rPr>
            <w:rFonts w:ascii="Times New Roman" w:cs="Times New Roman" w:eastAsia="Times New Roman" w:hAnsi="Times New Roman"/>
            <w:sz w:val="18"/>
            <w:szCs w:val="18"/>
            <w:color w:val="auto"/>
          </w:rPr>
          <w:t>46.</w:t>
        </w:r>
      </w:hyperlink>
    </w:p>
    <w:p>
      <w:pPr>
        <w:spacing w:after="0" w:line="387" w:lineRule="exact"/>
        <w:rPr>
          <w:sz w:val="20"/>
          <w:szCs w:val="20"/>
          <w:color w:val="auto"/>
        </w:rPr>
      </w:pPr>
    </w:p>
    <w:p>
      <w:pPr>
        <w:ind w:left="440" w:right="20" w:firstLine="405"/>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III—Schedule of Real Estate and Accumulated Depreciation for the years ended December 31, 2020 and 2019, which is located on page </w:t>
      </w:r>
      <w:hyperlink w:anchor="page46">
        <w:r>
          <w:rPr>
            <w:rFonts w:ascii="Times New Roman" w:cs="Times New Roman" w:eastAsia="Times New Roman" w:hAnsi="Times New Roman"/>
            <w:sz w:val="18"/>
            <w:szCs w:val="18"/>
            <w:color w:val="auto"/>
          </w:rPr>
          <w:t>47.</w:t>
        </w:r>
      </w:hyperlink>
    </w:p>
    <w:p>
      <w:pPr>
        <w:spacing w:after="0" w:line="239" w:lineRule="exact"/>
        <w:rPr>
          <w:sz w:val="20"/>
          <w:szCs w:val="20"/>
          <w:color w:val="auto"/>
        </w:rPr>
      </w:pPr>
    </w:p>
    <w:p>
      <w:pPr>
        <w:ind w:left="420" w:firstLine="40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because the required information is contained in the financial statements or notes thereto included in this 2020 Form 10-K.</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1"/>
                <w:szCs w:val="11"/>
                <w:color w:val="auto"/>
              </w:rPr>
            </w:pPr>
          </w:p>
        </w:tc>
        <w:tc>
          <w:tcPr>
            <w:tcW w:w="562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620" w:type="dxa"/>
            <w:vAlign w:val="bottom"/>
            <w:gridSpan w:val="8"/>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580" w:type="dxa"/>
            <w:vAlign w:val="bottom"/>
            <w:tcBorders>
              <w:top w:val="single" w:sz="8" w:color="auto"/>
            </w:tcBorders>
            <w:gridSpan w:val="7"/>
            <w:shd w:val="clear" w:color="auto" w:fill="CCEEFF"/>
          </w:tcPr>
          <w:p>
            <w:pPr>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Amended and Restated Certificate of Formation of CC Holdings GS V LLC</w:t>
              </w:r>
            </w:hyperlink>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333-187970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17, 2013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20" w:type="dxa"/>
            <w:vAlign w:val="bottom"/>
            <w:gridSpan w:val="8"/>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Amended and Restated Limited Liability Company Agreement of</w:t>
              </w:r>
            </w:hyperlink>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333-187970</w:t>
            </w:r>
          </w:p>
        </w:tc>
        <w:tc>
          <w:tcPr>
            <w:tcW w:w="100" w:type="dxa"/>
            <w:vAlign w:val="bottom"/>
          </w:tcPr>
          <w:p>
            <w:pPr>
              <w:spacing w:after="0"/>
              <w:rPr>
                <w:sz w:val="16"/>
                <w:szCs w:val="16"/>
                <w:color w:val="auto"/>
              </w:rPr>
            </w:pP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April 17, 2013</w:t>
            </w:r>
          </w:p>
        </w:tc>
        <w:tc>
          <w:tcPr>
            <w:tcW w:w="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CC Holdings GS V LLC</w:t>
              </w:r>
            </w:hyperlink>
          </w:p>
        </w:tc>
        <w:tc>
          <w:tcPr>
            <w:tcW w:w="60" w:type="dxa"/>
            <w:vAlign w:val="bottom"/>
            <w:gridSpan w:val="2"/>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20" w:type="dxa"/>
            <w:vAlign w:val="bottom"/>
            <w:gridSpan w:val="8"/>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Indenture dated as of December 24, 2012, by and among CC Holdings GS</w:t>
              </w:r>
            </w:hyperlink>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28, 2012</w:t>
            </w:r>
          </w:p>
        </w:tc>
        <w:tc>
          <w:tcPr>
            <w:tcW w:w="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40" w:type="dxa"/>
            <w:vAlign w:val="bottom"/>
            <w:tcBorders>
              <w:top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V LLC, Crown Castle GS III Corp., each of the guarantors party thereto</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and The Bank of New York Mellon Trust Company, N.A., as Trustee,</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4"/>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4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68">
              <w:r>
                <w:rPr>
                  <w:rFonts w:ascii="Times New Roman" w:cs="Times New Roman" w:eastAsia="Times New Roman" w:hAnsi="Times New Roman"/>
                  <w:sz w:val="16"/>
                  <w:szCs w:val="16"/>
                  <w:u w:val="single" w:color="auto"/>
                  <w:color w:val="0000FF"/>
                </w:rPr>
                <w:t>relating to the 2.381% Senior Secured Notes due 2017 and the 3.849%</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4"/>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Senior Secured Notes due 2023</w:t>
              </w:r>
            </w:hyperlink>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20" w:type="dxa"/>
            <w:vAlign w:val="bottom"/>
            <w:gridSpan w:val="8"/>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Pledge and Security Agreement dated as of December 24, 2012, by and</w:t>
              </w:r>
            </w:hyperlink>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333-187970</w:t>
            </w:r>
          </w:p>
        </w:tc>
        <w:tc>
          <w:tcPr>
            <w:tcW w:w="100" w:type="dxa"/>
            <w:vAlign w:val="bottom"/>
          </w:tcPr>
          <w:p>
            <w:pPr>
              <w:spacing w:after="0"/>
              <w:rPr>
                <w:sz w:val="16"/>
                <w:szCs w:val="16"/>
                <w:color w:val="auto"/>
              </w:rPr>
            </w:pP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April 17, 2013</w:t>
            </w:r>
          </w:p>
        </w:tc>
        <w:tc>
          <w:tcPr>
            <w:tcW w:w="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4"/>
          </w:tcPr>
          <w:p>
            <w:pPr>
              <w:spacing w:after="0" w:line="157" w:lineRule="exact"/>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among CC Holdings GS V LLC, Pinnacle Towers LLC, Pinnacle Towers</w:t>
              </w:r>
            </w:hyperlink>
          </w:p>
        </w:tc>
        <w:tc>
          <w:tcPr>
            <w:tcW w:w="100" w:type="dxa"/>
            <w:vAlign w:val="bottom"/>
            <w:gridSpan w:val="4"/>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1120" w:right="4640" w:hanging="1"/>
        <w:spacing w:after="0" w:line="218" w:lineRule="auto"/>
        <w:tabs>
          <w:tab w:leader="none" w:pos="1354" w:val="left"/>
        </w:tabs>
        <w:numPr>
          <w:ilvl w:val="0"/>
          <w:numId w:val="46"/>
        </w:numPr>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LLC, Pinnacle Towers V Inc. and The Bank of New York Mellon Trust</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Company, N.A., as Trustee, relating to the 2.381% Senior Secured Notes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due 2017 and the 3.849% Senior Secured Notes due 2023</w:t>
        </w:r>
      </w:hyperlink>
    </w:p>
    <w:tbl>
      <w:tblPr>
        <w:tblLayout w:type="fixed"/>
        <w:tblInd w:w="0" w:type="dxa"/>
        <w:tblCellMar>
          <w:top w:w="0" w:type="dxa"/>
          <w:left w:w="0" w:type="dxa"/>
          <w:bottom w:w="0" w:type="dxa"/>
          <w:right w:w="0" w:type="dxa"/>
        </w:tblCellMar>
      </w:tblPr>
      <w:tr>
        <w:trPr>
          <w:trHeight w:val="190"/>
        </w:trPr>
        <w:tc>
          <w:tcPr>
            <w:tcW w:w="1120" w:type="dxa"/>
            <w:vAlign w:val="bottom"/>
            <w:shd w:val="clear" w:color="auto" w:fill="CCEEFF"/>
          </w:tcPr>
          <w:p>
            <w:pPr>
              <w:jc w:val="right"/>
              <w:ind w:right="69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5640" w:type="dxa"/>
            <w:vAlign w:val="bottom"/>
            <w:gridSpan w:val="12"/>
            <w:shd w:val="clear" w:color="auto" w:fill="CCEEFF"/>
          </w:tcPr>
          <w:p>
            <w:pPr>
              <w:spacing w:after="0" w:line="190"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Agreement to Contribute, Lease and Sublease, dated as February 14, 2005,</w:t>
              </w:r>
            </w:hyperlink>
          </w:p>
        </w:tc>
        <w:tc>
          <w:tcPr>
            <w:tcW w:w="4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shd w:val="clear" w:color="auto" w:fill="CCEEFF"/>
          </w:tcPr>
          <w:p>
            <w:pPr>
              <w:jc w:val="right"/>
              <w:ind w:right="210"/>
              <w:spacing w:after="0" w:line="190" w:lineRule="exact"/>
              <w:rPr>
                <w:sz w:val="20"/>
                <w:szCs w:val="20"/>
                <w:color w:val="auto"/>
              </w:rPr>
            </w:pPr>
            <w:r>
              <w:rPr>
                <w:rFonts w:ascii="Times New Roman" w:cs="Times New Roman" w:eastAsia="Times New Roman" w:hAnsi="Times New Roman"/>
                <w:sz w:val="18"/>
                <w:szCs w:val="18"/>
                <w:color w:val="auto"/>
              </w:rPr>
              <w:t>001-32168</w:t>
            </w:r>
          </w:p>
        </w:tc>
        <w:tc>
          <w:tcPr>
            <w:tcW w:w="1740" w:type="dxa"/>
            <w:vAlign w:val="bottom"/>
            <w:shd w:val="clear" w:color="auto" w:fill="CCEEFF"/>
          </w:tcPr>
          <w:p>
            <w:pPr>
              <w:ind w:left="280"/>
              <w:spacing w:after="0" w:line="190" w:lineRule="exact"/>
              <w:rPr>
                <w:sz w:val="20"/>
                <w:szCs w:val="20"/>
                <w:color w:val="auto"/>
              </w:rPr>
            </w:pPr>
            <w:r>
              <w:rPr>
                <w:rFonts w:ascii="Times New Roman" w:cs="Times New Roman" w:eastAsia="Times New Roman" w:hAnsi="Times New Roman"/>
                <w:sz w:val="18"/>
                <w:szCs w:val="18"/>
                <w:color w:val="auto"/>
              </w:rPr>
              <w:t>February 17, 2005</w:t>
            </w:r>
          </w:p>
        </w:tc>
        <w:tc>
          <w:tcPr>
            <w:tcW w:w="900" w:type="dxa"/>
            <w:vAlign w:val="bottom"/>
            <w:shd w:val="clear" w:color="auto" w:fill="CCEEFF"/>
          </w:tcPr>
          <w:p>
            <w:pPr>
              <w:jc w:val="right"/>
              <w:ind w:right="35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5600" w:type="dxa"/>
            <w:vAlign w:val="bottom"/>
            <w:tcBorders>
              <w:top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among Sprint Corporation, the Sprint subsidiaries named therein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Global Signal Inc.</w:t>
              </w:r>
            </w:hyperlink>
          </w:p>
        </w:tc>
        <w:tc>
          <w:tcPr>
            <w:tcW w:w="422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7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1120" w:type="dxa"/>
            <w:vAlign w:val="bottom"/>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5640" w:type="dxa"/>
            <w:vAlign w:val="bottom"/>
            <w:gridSpan w:val="12"/>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Master Lease and Sublease, dated as of May 26, 2005, by and among STC</w:t>
              </w:r>
            </w:hyperlink>
          </w:p>
        </w:tc>
        <w:tc>
          <w:tcPr>
            <w:tcW w:w="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001-32168</w:t>
            </w:r>
          </w:p>
        </w:tc>
        <w:tc>
          <w:tcPr>
            <w:tcW w:w="17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May 27, 2005</w:t>
            </w:r>
          </w:p>
        </w:tc>
        <w:tc>
          <w:tcPr>
            <w:tcW w:w="90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r>
      <w:tr>
        <w:trPr>
          <w:trHeight w:val="155"/>
        </w:trPr>
        <w:tc>
          <w:tcPr>
            <w:tcW w:w="11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One LLC, as lessor, Sprint Telephony PCS L.P., as Sprint Collocator,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6"/>
        </w:trPr>
        <w:tc>
          <w:tcPr>
            <w:tcW w:w="1120" w:type="dxa"/>
            <w:vAlign w:val="bottom"/>
          </w:tcPr>
          <w:p>
            <w:pPr>
              <w:spacing w:after="0"/>
              <w:rPr>
                <w:sz w:val="17"/>
                <w:szCs w:val="17"/>
                <w:color w:val="auto"/>
              </w:rPr>
            </w:pPr>
          </w:p>
        </w:tc>
        <w:tc>
          <w:tcPr>
            <w:tcW w:w="5620" w:type="dxa"/>
            <w:vAlign w:val="bottom"/>
            <w:gridSpan w:val="11"/>
          </w:tcPr>
          <w:p>
            <w:pPr>
              <w:spacing w:after="0" w:line="196" w:lineRule="exact"/>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Global Signal Acquisitions II LLC, as lessee, and Global Signal Inc.</w:t>
              </w:r>
            </w:hyperlink>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1120" w:type="dxa"/>
            <w:vAlign w:val="bottom"/>
            <w:shd w:val="clear" w:color="auto" w:fill="CCEEFF"/>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564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Master Lease and Sublease, dated as of May 26, 2005, by and among STC</w:t>
              </w:r>
            </w:hyperlink>
          </w:p>
        </w:tc>
        <w:tc>
          <w:tcPr>
            <w:tcW w:w="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shd w:val="clear" w:color="auto" w:fill="CCEEFF"/>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001-32168</w:t>
            </w:r>
          </w:p>
        </w:tc>
        <w:tc>
          <w:tcPr>
            <w:tcW w:w="17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May 27, 2005</w:t>
            </w:r>
          </w:p>
        </w:tc>
        <w:tc>
          <w:tcPr>
            <w:tcW w:w="90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6"/>
                <w:szCs w:val="16"/>
                <w:color w:val="auto"/>
              </w:rPr>
            </w:pPr>
          </w:p>
        </w:tc>
      </w:tr>
      <w:tr>
        <w:trPr>
          <w:trHeight w:val="155"/>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552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Two LLC, as lessor, SprintCom, Inc., as Sprint Collocator, Global Signal</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7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120" w:type="dxa"/>
            <w:vAlign w:val="bottom"/>
            <w:shd w:val="clear" w:color="auto" w:fill="CCEEFF"/>
          </w:tcPr>
          <w:p>
            <w:pPr>
              <w:spacing w:after="0"/>
              <w:rPr>
                <w:sz w:val="13"/>
                <w:szCs w:val="13"/>
                <w:color w:val="auto"/>
              </w:rPr>
            </w:pPr>
          </w:p>
        </w:tc>
        <w:tc>
          <w:tcPr>
            <w:tcW w:w="5580" w:type="dxa"/>
            <w:vAlign w:val="bottom"/>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Acquisitions II LLC, as lessee, and Global Signal Inc.</w:t>
              </w:r>
            </w:hyperlink>
          </w:p>
        </w:tc>
        <w:tc>
          <w:tcPr>
            <w:tcW w:w="60" w:type="dxa"/>
            <w:vAlign w:val="bottom"/>
            <w:gridSpan w:val="3"/>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1120" w:type="dxa"/>
            <w:vAlign w:val="bottom"/>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5640" w:type="dxa"/>
            <w:vAlign w:val="bottom"/>
            <w:gridSpan w:val="12"/>
          </w:tcPr>
          <w:p>
            <w:pPr>
              <w:spacing w:after="0" w:line="18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Master Lease and Sublease, dated as of May 26, 2005, by and among STC</w:t>
              </w:r>
            </w:hyperlink>
          </w:p>
        </w:tc>
        <w:tc>
          <w:tcPr>
            <w:tcW w:w="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001-32168</w:t>
            </w:r>
          </w:p>
        </w:tc>
        <w:tc>
          <w:tcPr>
            <w:tcW w:w="17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May 27, 2005</w:t>
            </w:r>
          </w:p>
        </w:tc>
        <w:tc>
          <w:tcPr>
            <w:tcW w:w="90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6"/>
                <w:szCs w:val="16"/>
                <w:color w:val="auto"/>
              </w:rPr>
            </w:pPr>
          </w:p>
        </w:tc>
      </w:tr>
      <w:tr>
        <w:trPr>
          <w:trHeight w:val="155"/>
        </w:trPr>
        <w:tc>
          <w:tcPr>
            <w:tcW w:w="1120" w:type="dxa"/>
            <w:vAlign w:val="bottom"/>
          </w:tcPr>
          <w:p>
            <w:pPr>
              <w:spacing w:after="0"/>
              <w:rPr>
                <w:sz w:val="13"/>
                <w:szCs w:val="13"/>
                <w:color w:val="auto"/>
              </w:rPr>
            </w:pPr>
          </w:p>
        </w:tc>
        <w:tc>
          <w:tcPr>
            <w:tcW w:w="55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Three LLC, as lessor, American PCS Communications, LLC, as Sprint</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Collocator, Global Signal Acquisitions II LLC, as lessee, and Global Signal</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5640" w:type="dxa"/>
            <w:vAlign w:val="bottom"/>
            <w:gridSpan w:val="12"/>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w:t>
              </w:r>
            </w:hyperlink>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jc w:val="right"/>
              <w:ind w:right="69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564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Master Lease and Sublease, dated as of May 26, 2005, by and among STC</w:t>
              </w:r>
            </w:hyperlink>
          </w:p>
        </w:tc>
        <w:tc>
          <w:tcPr>
            <w:tcW w:w="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shd w:val="clear" w:color="auto" w:fill="CCEEFF"/>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001-32168</w:t>
            </w:r>
          </w:p>
        </w:tc>
        <w:tc>
          <w:tcPr>
            <w:tcW w:w="17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May 27, 2005</w:t>
            </w:r>
          </w:p>
        </w:tc>
        <w:tc>
          <w:tcPr>
            <w:tcW w:w="90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6"/>
                <w:szCs w:val="16"/>
                <w:color w:val="auto"/>
              </w:rPr>
            </w:pPr>
          </w:p>
        </w:tc>
      </w:tr>
      <w:tr>
        <w:trPr>
          <w:trHeight w:val="155"/>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552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Four LLC, as lessor, PhillieCo, L.P., as Sprint Collocator, Global Signal</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7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176"/>
        </w:trPr>
        <w:tc>
          <w:tcPr>
            <w:tcW w:w="1120" w:type="dxa"/>
            <w:vAlign w:val="bottom"/>
            <w:shd w:val="clear" w:color="auto" w:fill="CCEEFF"/>
          </w:tcPr>
          <w:p>
            <w:pPr>
              <w:spacing w:after="0"/>
              <w:rPr>
                <w:sz w:val="15"/>
                <w:szCs w:val="15"/>
                <w:color w:val="auto"/>
              </w:rPr>
            </w:pPr>
          </w:p>
        </w:tc>
        <w:tc>
          <w:tcPr>
            <w:tcW w:w="5560" w:type="dxa"/>
            <w:vAlign w:val="bottom"/>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Acquisitions II LLC, as lessee, and Global Signal Inc.</w:t>
              </w:r>
            </w:hyperlink>
          </w:p>
        </w:tc>
        <w:tc>
          <w:tcPr>
            <w:tcW w:w="80" w:type="dxa"/>
            <w:vAlign w:val="bottom"/>
            <w:gridSpan w:val="4"/>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850"/>
        </w:trPr>
        <w:tc>
          <w:tcPr>
            <w:tcW w:w="1120" w:type="dxa"/>
            <w:vAlign w:val="bottom"/>
            <w:tcBorders>
              <w:top w:val="single" w:sz="8" w:color="CCEEFF"/>
            </w:tcBorders>
          </w:tcPr>
          <w:p>
            <w:pPr>
              <w:spacing w:after="0"/>
              <w:rPr>
                <w:sz w:val="24"/>
                <w:szCs w:val="24"/>
                <w:color w:val="auto"/>
              </w:rPr>
            </w:pPr>
          </w:p>
        </w:tc>
        <w:tc>
          <w:tcPr>
            <w:tcW w:w="3880" w:type="dxa"/>
            <w:vAlign w:val="bottom"/>
            <w:tcBorders>
              <w:top w:val="single" w:sz="8" w:color="0000FF"/>
            </w:tcBorders>
            <w:gridSpan w:val="3"/>
          </w:tcPr>
          <w:p>
            <w:pPr>
              <w:spacing w:after="0"/>
              <w:rPr>
                <w:sz w:val="24"/>
                <w:szCs w:val="24"/>
                <w:color w:val="auto"/>
              </w:rPr>
            </w:pPr>
          </w:p>
        </w:tc>
        <w:tc>
          <w:tcPr>
            <w:tcW w:w="1600" w:type="dxa"/>
            <w:vAlign w:val="bottom"/>
            <w:tcBorders>
              <w:top w:val="single" w:sz="8" w:color="CCEEFF"/>
            </w:tcBorders>
          </w:tcPr>
          <w:p>
            <w:pPr>
              <w:jc w:val="right"/>
              <w:ind w:right="79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1"/>
                <w:szCs w:val="11"/>
                <w:color w:val="auto"/>
              </w:rPr>
            </w:pPr>
          </w:p>
        </w:tc>
        <w:tc>
          <w:tcPr>
            <w:tcW w:w="56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7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680" w:type="dxa"/>
            <w:vAlign w:val="bottom"/>
            <w:gridSpan w:val="18"/>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3"/>
        </w:trPr>
        <w:tc>
          <w:tcPr>
            <w:tcW w:w="10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60" w:type="dxa"/>
            <w:vAlign w:val="bottom"/>
            <w:tcBorders>
              <w:top w:val="single" w:sz="8" w:color="auto"/>
            </w:tcBorders>
            <w:gridSpan w:val="17"/>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Master Lease and Sublease, dated as of May 26, 2005, by and among STC</w:t>
              </w:r>
            </w:hyperlink>
          </w:p>
        </w:tc>
        <w:tc>
          <w:tcPr>
            <w:tcW w:w="20" w:type="dxa"/>
            <w:vAlign w:val="bottom"/>
          </w:tcPr>
          <w:p>
            <w:pPr>
              <w:spacing w:after="0"/>
              <w:rPr>
                <w:sz w:val="15"/>
                <w:szCs w:val="15"/>
                <w:color w:val="auto"/>
              </w:rPr>
            </w:pPr>
          </w:p>
        </w:tc>
        <w:tc>
          <w:tcPr>
            <w:tcW w:w="5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5"/>
                <w:szCs w:val="15"/>
                <w:color w:val="auto"/>
              </w:rPr>
            </w:pPr>
          </w:p>
        </w:tc>
        <w:tc>
          <w:tcPr>
            <w:tcW w:w="12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tcPr>
          <w:p>
            <w:pPr>
              <w:spacing w:after="0"/>
              <w:rPr>
                <w:sz w:val="15"/>
                <w:szCs w:val="15"/>
                <w:color w:val="auto"/>
              </w:rPr>
            </w:pPr>
          </w:p>
        </w:tc>
        <w:tc>
          <w:tcPr>
            <w:tcW w:w="15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May 27, 2005</w:t>
            </w:r>
          </w:p>
        </w:tc>
        <w:tc>
          <w:tcPr>
            <w:tcW w:w="100" w:type="dxa"/>
            <w:vAlign w:val="bottom"/>
          </w:tcPr>
          <w:p>
            <w:pPr>
              <w:spacing w:after="0"/>
              <w:rPr>
                <w:sz w:val="15"/>
                <w:szCs w:val="15"/>
                <w:color w:val="auto"/>
              </w:rPr>
            </w:pPr>
          </w:p>
        </w:tc>
        <w:tc>
          <w:tcPr>
            <w:tcW w:w="7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Five LLC, as lessor, Sprint Spectrum L.P., as Sprint Collocator, Global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gridSpan w:val="16"/>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Signal Acquisitions II LLC, as lessee, and Global Signal Inc.</w:t>
              </w:r>
            </w:hyperlink>
          </w:p>
        </w:tc>
        <w:tc>
          <w:tcPr>
            <w:tcW w:w="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Master Lease and Sublease, dated as of May 26, 2005, by and among STC</w:t>
              </w:r>
            </w:hyperlink>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001-32168</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May 27, 2005</w:t>
            </w:r>
          </w:p>
        </w:tc>
        <w:tc>
          <w:tcPr>
            <w:tcW w:w="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56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Six Company, Sprint Spectrum L.P., as Sprint Collocator, Global Signal</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0" w:type="dxa"/>
            <w:vAlign w:val="bottom"/>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Acquisitions II LLC, as lessee, and Global Signal Inc.</w:t>
              </w:r>
            </w:hyperlink>
          </w:p>
        </w:tc>
        <w:tc>
          <w:tcPr>
            <w:tcW w:w="20" w:type="dxa"/>
            <w:vAlign w:val="bottom"/>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18"/>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Management Agreement, dated as of December 24, 2012, by and among</w:t>
              </w:r>
            </w:hyperlink>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S-4</w:t>
            </w:r>
          </w:p>
        </w:tc>
        <w:tc>
          <w:tcPr>
            <w:tcW w:w="1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333-187970</w:t>
            </w:r>
          </w:p>
        </w:tc>
        <w:tc>
          <w:tcPr>
            <w:tcW w:w="100" w:type="dxa"/>
            <w:vAlign w:val="bottom"/>
          </w:tcPr>
          <w:p>
            <w:pPr>
              <w:spacing w:after="0"/>
              <w:rPr>
                <w:sz w:val="16"/>
                <w:szCs w:val="16"/>
                <w:color w:val="auto"/>
              </w:rPr>
            </w:pP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April 17, 2013</w:t>
            </w:r>
          </w:p>
        </w:tc>
        <w:tc>
          <w:tcPr>
            <w:tcW w:w="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Crown Castle USA Inc., as Manager, and CC Holdings GS V LLC, Global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Signal Acquisitions LLC, Global Signal Acquisitions II LLC, Pinnacle</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gridSpan w:val="10"/>
          </w:tcPr>
          <w:p>
            <w:pPr>
              <w:spacing w:after="0" w:line="142" w:lineRule="exact"/>
              <w:rPr>
                <w:rFonts w:ascii="Times New Roman" w:cs="Times New Roman" w:eastAsia="Times New Roman" w:hAnsi="Times New Roman"/>
                <w:sz w:val="16"/>
                <w:szCs w:val="16"/>
                <w:u w:val="single" w:color="auto"/>
                <w:color w:val="0000FF"/>
              </w:rPr>
            </w:pPr>
            <w:hyperlink r:id="rId79">
              <w:r>
                <w:rPr>
                  <w:rFonts w:ascii="Times New Roman" w:cs="Times New Roman" w:eastAsia="Times New Roman" w:hAnsi="Times New Roman"/>
                  <w:sz w:val="16"/>
                  <w:szCs w:val="16"/>
                  <w:u w:val="single" w:color="auto"/>
                  <w:color w:val="0000FF"/>
                </w:rPr>
                <w:t>Towers LLC and the direct and indirect subsidiaries of Pinnacle Towers</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18"/>
          </w:tcPr>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LLC, collectively, as Owners</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Registration Rights Agreement, dated as of December 24, 2012, by and</w:t>
              </w:r>
            </w:hyperlink>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001-16441</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28, 2012</w:t>
            </w:r>
          </w:p>
        </w:tc>
        <w:tc>
          <w:tcPr>
            <w:tcW w:w="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among CC Holdings GS V LLC, Crown Castle GS III Corp., each of the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8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guarantors party thereto and Merrill Lynch, Pierce, Fenner &amp; Smith</w:t>
              </w:r>
            </w:hyperlink>
          </w:p>
        </w:tc>
        <w:tc>
          <w:tcPr>
            <w:tcW w:w="140" w:type="dxa"/>
            <w:vAlign w:val="bottom"/>
            <w:tcBorders>
              <w:top w:val="single" w:sz="8" w:color="CCEEFF"/>
              <w:bottom w:val="single" w:sz="8" w:color="0000FF"/>
            </w:tcBorders>
            <w:gridSpan w:val="7"/>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20" w:type="dxa"/>
            <w:vAlign w:val="bottom"/>
            <w:gridSpan w:val="15"/>
            <w:shd w:val="clear" w:color="auto" w:fill="CCEEFF"/>
          </w:tcPr>
          <w:p>
            <w:pPr>
              <w:spacing w:after="0" w:line="142" w:lineRule="exact"/>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Incorporated,  Barclays  Capital  Inc.,  J.P.  Morgan  Securities  LLC  and</w:t>
              </w:r>
            </w:hyperlink>
          </w:p>
        </w:tc>
        <w:tc>
          <w:tcPr>
            <w:tcW w:w="60" w:type="dxa"/>
            <w:vAlign w:val="bottom"/>
            <w:gridSpan w:val="3"/>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80" w:type="dxa"/>
            <w:vAlign w:val="bottom"/>
            <w:gridSpan w:val="18"/>
            <w:shd w:val="clear" w:color="auto" w:fill="CCEEFF"/>
          </w:tcPr>
          <w:p>
            <w:pPr>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Morgan Stanley &amp; Co. LLC, as representatives of the initial purchasers</w:t>
              </w:r>
            </w:hyperlink>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18"/>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List of Subsidiaries</w:t>
              </w:r>
            </w:hyperlink>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of this annual report)</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18"/>
          </w:tcPr>
          <w:p>
            <w:pPr>
              <w:spacing w:after="0" w:line="189"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Certification of Chief Executive Officer pursuant to Section 302 of</w:t>
              </w:r>
            </w:hyperlink>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Sarbanes-Oxley Act of 2002</w:t>
              </w:r>
            </w:hyperlink>
          </w:p>
        </w:tc>
        <w:tc>
          <w:tcPr>
            <w:tcW w:w="80" w:type="dxa"/>
            <w:vAlign w:val="bottom"/>
          </w:tcPr>
          <w:p>
            <w:pPr>
              <w:spacing w:after="0"/>
              <w:rPr>
                <w:sz w:val="13"/>
                <w:szCs w:val="13"/>
                <w:color w:val="auto"/>
              </w:rPr>
            </w:pPr>
          </w:p>
        </w:tc>
        <w:tc>
          <w:tcPr>
            <w:tcW w:w="780" w:type="dxa"/>
            <w:vAlign w:val="bottom"/>
            <w:gridSpan w:val="11"/>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80" w:type="dxa"/>
            <w:vAlign w:val="bottom"/>
            <w:gridSpan w:val="18"/>
            <w:shd w:val="clear" w:color="auto" w:fill="CCEEFF"/>
          </w:tcPr>
          <w:p>
            <w:pPr>
              <w:spacing w:after="0" w:line="189"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Chief Financial Officer pursuant to Section 302 of</w:t>
              </w:r>
            </w:hyperlink>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Sarbanes-Oxley Act of 2002</w:t>
              </w:r>
            </w:hyperlink>
          </w:p>
        </w:tc>
        <w:tc>
          <w:tcPr>
            <w:tcW w:w="270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80" w:type="dxa"/>
            <w:vAlign w:val="bottom"/>
            <w:tcBorders>
              <w:top w:val="single" w:sz="8" w:color="CCEEFF"/>
              <w:bottom w:val="single" w:sz="8" w:color="CCEEFF"/>
            </w:tcBorders>
            <w:gridSpan w:val="11"/>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18"/>
          </w:tcPr>
          <w:p>
            <w:pPr>
              <w:spacing w:after="0" w:line="189"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Certification of Chief Executive Officer and Chief Financial Officer</w:t>
              </w:r>
            </w:hyperlink>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pursuant to Section 906 of Sarbanes-Oxley Act of 2002</w:t>
              </w:r>
            </w:hyperlink>
          </w:p>
        </w:tc>
        <w:tc>
          <w:tcPr>
            <w:tcW w:w="780" w:type="dxa"/>
            <w:vAlign w:val="bottom"/>
            <w:gridSpan w:val="11"/>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statements from CC Holdings GS V LLC's Annual</w:t>
            </w:r>
          </w:p>
        </w:tc>
        <w:tc>
          <w:tcPr>
            <w:tcW w:w="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Report on Form 10-K for the year ended December 31, 2020, formatted in</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 Consolidated Balance Sheet, (ii) Consolidated Statement</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of Operations, (iii) Consolidated Statement of Cash Flows, (iv)</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Consolidated Statement of Equity, and (v) Notes to Consolidated Financial</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The cover page from CC Holdings GS V LLC's Annual Report on Form 10-</w:t>
            </w:r>
          </w:p>
        </w:tc>
        <w:tc>
          <w:tcPr>
            <w:tcW w:w="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K for the year ended December 31, 2020, formatted in Inline XBRL</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143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14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9" w:right="399" w:bottom="1440" w:gutter="0" w:footer="0" w:header="0"/>
        </w:sectPr>
      </w:pPr>
    </w:p>
    <w:bookmarkStart w:id="45" w:name="page46"/>
    <w:bookmarkEnd w:id="45"/>
    <w:p>
      <w:pPr>
        <w:ind w:left="4540"/>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17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20"/>
        </w:trPr>
        <w:tc>
          <w:tcPr>
            <w:tcW w:w="5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Credited to</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Written Off</w:t>
            </w:r>
          </w:p>
        </w:tc>
        <w:tc>
          <w:tcPr>
            <w:tcW w:w="160" w:type="dxa"/>
            <w:vAlign w:val="bottom"/>
          </w:tcPr>
          <w:p>
            <w:pPr>
              <w:spacing w:after="0"/>
              <w:rPr>
                <w:sz w:val="11"/>
                <w:szCs w:val="11"/>
                <w:color w:val="auto"/>
              </w:rPr>
            </w:pPr>
          </w:p>
        </w:tc>
        <w:tc>
          <w:tcPr>
            <w:tcW w:w="96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Allowance for Doubtful Accounts Receivable: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jc w:val="right"/>
              <w:ind w:right="42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jc w:val="right"/>
              <w:ind w:right="425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6" w:name="page47"/>
    <w:bookmarkEnd w:id="46"/>
    <w:p>
      <w:pPr>
        <w:ind w:left="4640"/>
        <w:spacing w:after="0"/>
        <w:rPr>
          <w:sz w:val="20"/>
          <w:szCs w:val="20"/>
          <w:color w:val="auto"/>
        </w:rPr>
      </w:pPr>
      <w:r>
        <w:rPr>
          <w:rFonts w:ascii="Times New Roman" w:cs="Times New Roman" w:eastAsia="Times New Roman" w:hAnsi="Times New Roman"/>
          <w:sz w:val="18"/>
          <w:szCs w:val="18"/>
          <w:b w:val="1"/>
          <w:bCs w:val="1"/>
          <w:color w:val="auto"/>
        </w:rPr>
        <w:t>CC HOLDINGS GS V LLC</w:t>
      </w:r>
    </w:p>
    <w:p>
      <w:pPr>
        <w:spacing w:after="0" w:line="17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SCHEDULE III—SCHEDULE OF REAL ESTATE AND ACCUMULATED DEPRECIATION</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YEARS ENDED DECEMBER 31, 2020 and 2019</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19"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 on Which</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w w:val="97"/>
              </w:rPr>
              <w:t>Cost Capitalized</w:t>
            </w:r>
          </w:p>
        </w:tc>
        <w:tc>
          <w:tcPr>
            <w:tcW w:w="180" w:type="dxa"/>
            <w:vAlign w:val="bottom"/>
          </w:tcPr>
          <w:p>
            <w:pPr>
              <w:spacing w:after="0"/>
              <w:rPr>
                <w:sz w:val="10"/>
                <w:szCs w:val="10"/>
                <w:color w:val="auto"/>
              </w:rPr>
            </w:pPr>
          </w:p>
        </w:tc>
        <w:tc>
          <w:tcPr>
            <w:tcW w:w="11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5"/>
              </w:rPr>
              <w:t>Gross Amount</w:t>
            </w:r>
          </w:p>
        </w:tc>
        <w:tc>
          <w:tcPr>
            <w:tcW w:w="280" w:type="dxa"/>
            <w:vAlign w:val="bottom"/>
          </w:tcPr>
          <w:p>
            <w:pPr>
              <w:spacing w:after="0"/>
              <w:rPr>
                <w:sz w:val="10"/>
                <w:szCs w:val="10"/>
                <w:color w:val="auto"/>
              </w:rPr>
            </w:pPr>
          </w:p>
        </w:tc>
        <w:tc>
          <w:tcPr>
            <w:tcW w:w="110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Depreciation in</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Initial Cost to</w:t>
            </w:r>
          </w:p>
        </w:tc>
        <w:tc>
          <w:tcPr>
            <w:tcW w:w="1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Latest Income</w:t>
            </w:r>
          </w:p>
        </w:tc>
        <w:tc>
          <w:tcPr>
            <w:tcW w:w="0" w:type="dxa"/>
            <w:vAlign w:val="bottom"/>
          </w:tcPr>
          <w:p>
            <w:pPr>
              <w:spacing w:after="0"/>
              <w:rPr>
                <w:sz w:val="1"/>
                <w:szCs w:val="1"/>
                <w:color w:val="auto"/>
              </w:rPr>
            </w:pPr>
          </w:p>
        </w:tc>
      </w:tr>
      <w:tr>
        <w:trPr>
          <w:trHeight w:val="122"/>
        </w:trPr>
        <w:tc>
          <w:tcPr>
            <w:tcW w:w="106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6"/>
              </w:rPr>
              <w:t>Description</w:t>
            </w:r>
          </w:p>
        </w:tc>
        <w:tc>
          <w:tcPr>
            <w:tcW w:w="240" w:type="dxa"/>
            <w:vAlign w:val="bottom"/>
          </w:tcPr>
          <w:p>
            <w:pPr>
              <w:spacing w:after="0"/>
              <w:rPr>
                <w:sz w:val="10"/>
                <w:szCs w:val="10"/>
                <w:color w:val="auto"/>
              </w:rPr>
            </w:pPr>
          </w:p>
        </w:tc>
        <w:tc>
          <w:tcPr>
            <w:tcW w:w="1420" w:type="dxa"/>
            <w:vAlign w:val="bottom"/>
            <w:vMerge w:val="restart"/>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w w:val="98"/>
              </w:rPr>
              <w:t>Encumbrances</w:t>
            </w:r>
          </w:p>
        </w:tc>
        <w:tc>
          <w:tcPr>
            <w:tcW w:w="1080" w:type="dxa"/>
            <w:vAlign w:val="bottom"/>
            <w:vMerge w:val="continue"/>
          </w:tcPr>
          <w:p>
            <w:pPr>
              <w:spacing w:after="0"/>
              <w:rPr>
                <w:sz w:val="10"/>
                <w:szCs w:val="10"/>
                <w:color w:val="auto"/>
              </w:rPr>
            </w:pPr>
          </w:p>
        </w:tc>
        <w:tc>
          <w:tcPr>
            <w:tcW w:w="1160" w:type="dxa"/>
            <w:vAlign w:val="bottom"/>
          </w:tcPr>
          <w:p>
            <w:pPr>
              <w:jc w:val="center"/>
              <w:ind w:left="21"/>
              <w:spacing w:after="0" w:line="122" w:lineRule="exact"/>
              <w:rPr>
                <w:sz w:val="20"/>
                <w:szCs w:val="20"/>
                <w:color w:val="auto"/>
              </w:rPr>
            </w:pPr>
            <w:r>
              <w:rPr>
                <w:rFonts w:ascii="Times New Roman" w:cs="Times New Roman" w:eastAsia="Times New Roman" w:hAnsi="Times New Roman"/>
                <w:sz w:val="13"/>
                <w:szCs w:val="13"/>
                <w:b w:val="1"/>
                <w:bCs w:val="1"/>
                <w:color w:val="auto"/>
                <w:w w:val="96"/>
              </w:rPr>
              <w:t>Subsequent to</w:t>
            </w:r>
          </w:p>
        </w:tc>
        <w:tc>
          <w:tcPr>
            <w:tcW w:w="13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Carried at Close of</w:t>
            </w:r>
          </w:p>
        </w:tc>
        <w:tc>
          <w:tcPr>
            <w:tcW w:w="1380" w:type="dxa"/>
            <w:vAlign w:val="bottom"/>
            <w:gridSpan w:val="2"/>
          </w:tcPr>
          <w:p>
            <w:pPr>
              <w:jc w:val="center"/>
              <w:ind w:left="113"/>
              <w:spacing w:after="0" w:line="122" w:lineRule="exact"/>
              <w:rPr>
                <w:sz w:val="20"/>
                <w:szCs w:val="20"/>
                <w:color w:val="auto"/>
              </w:rPr>
            </w:pPr>
            <w:r>
              <w:rPr>
                <w:rFonts w:ascii="Times New Roman" w:cs="Times New Roman" w:eastAsia="Times New Roman" w:hAnsi="Times New Roman"/>
                <w:sz w:val="13"/>
                <w:szCs w:val="13"/>
                <w:b w:val="1"/>
                <w:bCs w:val="1"/>
                <w:color w:val="auto"/>
                <w:w w:val="97"/>
              </w:rPr>
              <w:t>Depreciation at Close</w:t>
            </w:r>
          </w:p>
        </w:tc>
        <w:tc>
          <w:tcPr>
            <w:tcW w:w="126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Date of Construction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Date Acquired</w:t>
            </w: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Statement is</w:t>
            </w:r>
          </w:p>
        </w:tc>
        <w:tc>
          <w:tcPr>
            <w:tcW w:w="0" w:type="dxa"/>
            <w:vAlign w:val="bottom"/>
          </w:tcPr>
          <w:p>
            <w:pPr>
              <w:spacing w:after="0"/>
              <w:rPr>
                <w:sz w:val="1"/>
                <w:szCs w:val="1"/>
                <w:color w:val="auto"/>
              </w:rPr>
            </w:pPr>
          </w:p>
        </w:tc>
      </w:tr>
      <w:tr>
        <w:trPr>
          <w:trHeight w:val="171"/>
        </w:trPr>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160" w:type="dxa"/>
            <w:vAlign w:val="bottom"/>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80" w:type="dxa"/>
            <w:vAlign w:val="bottom"/>
          </w:tcPr>
          <w:p>
            <w:pPr>
              <w:spacing w:after="0"/>
              <w:rPr>
                <w:sz w:val="14"/>
                <w:szCs w:val="14"/>
                <w:color w:val="auto"/>
              </w:rPr>
            </w:pPr>
          </w:p>
        </w:tc>
        <w:tc>
          <w:tcPr>
            <w:tcW w:w="11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5"/>
              </w:rPr>
              <w:t>Current Period</w:t>
            </w:r>
          </w:p>
        </w:tc>
        <w:tc>
          <w:tcPr>
            <w:tcW w:w="28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of Current Period</w:t>
            </w:r>
          </w:p>
        </w:tc>
        <w:tc>
          <w:tcPr>
            <w:tcW w:w="1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Computed</w:t>
            </w:r>
          </w:p>
        </w:tc>
        <w:tc>
          <w:tcPr>
            <w:tcW w:w="0" w:type="dxa"/>
            <w:vAlign w:val="bottom"/>
          </w:tcPr>
          <w:p>
            <w:pPr>
              <w:spacing w:after="0"/>
              <w:rPr>
                <w:sz w:val="1"/>
                <w:szCs w:val="1"/>
                <w:color w:val="auto"/>
              </w:rPr>
            </w:pPr>
          </w:p>
        </w:tc>
      </w:tr>
      <w:tr>
        <w:trPr>
          <w:trHeight w:val="194"/>
        </w:trPr>
        <w:tc>
          <w:tcPr>
            <w:tcW w:w="1060" w:type="dxa"/>
            <w:vAlign w:val="bottom"/>
            <w:shd w:val="clear" w:color="auto" w:fill="CCEEFF"/>
          </w:tcPr>
          <w:p>
            <w:pPr>
              <w:jc w:val="center"/>
              <w:ind w:left="33"/>
              <w:spacing w:after="0" w:line="194" w:lineRule="exact"/>
              <w:rPr>
                <w:sz w:val="20"/>
                <w:szCs w:val="20"/>
                <w:color w:val="auto"/>
              </w:rPr>
            </w:pPr>
            <w:r>
              <w:rPr>
                <w:rFonts w:ascii="Times New Roman" w:cs="Times New Roman" w:eastAsia="Times New Roman" w:hAnsi="Times New Roman"/>
                <w:sz w:val="14"/>
                <w:szCs w:val="14"/>
                <w:color w:val="auto"/>
                <w:w w:val="97"/>
              </w:rPr>
              <w:t>7,555 sites</w:t>
            </w:r>
            <w:r>
              <w:rPr>
                <w:rFonts w:ascii="Times New Roman" w:cs="Times New Roman" w:eastAsia="Times New Roman" w:hAnsi="Times New Roman"/>
                <w:sz w:val="18"/>
                <w:szCs w:val="18"/>
                <w:color w:val="auto"/>
                <w:w w:val="97"/>
                <w:vertAlign w:val="superscript"/>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xml:space="preserve">996,815   </w:t>
            </w:r>
            <w:r>
              <w:rPr>
                <w:rFonts w:ascii="Times New Roman" w:cs="Times New Roman" w:eastAsia="Times New Roman" w:hAnsi="Times New Roman"/>
                <w:sz w:val="9"/>
                <w:szCs w:val="9"/>
                <w:color w:val="auto"/>
              </w:rPr>
              <w:t>(2)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4"/>
              </w:rPr>
              <w:t>(3)</w:t>
            </w:r>
          </w:p>
        </w:tc>
        <w:tc>
          <w:tcPr>
            <w:tcW w:w="1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9"/>
                <w:szCs w:val="9"/>
                <w:color w:val="auto"/>
                <w:w w:val="94"/>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2,141,925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(1,190,055)</w:t>
            </w:r>
          </w:p>
        </w:tc>
        <w:tc>
          <w:tcPr>
            <w:tcW w:w="12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9"/>
              </w:rPr>
              <w:t>Various</w:t>
            </w:r>
          </w:p>
        </w:tc>
        <w:tc>
          <w:tcPr>
            <w:tcW w:w="10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4"/>
                <w:szCs w:val="14"/>
                <w:color w:val="auto"/>
                <w:w w:val="99"/>
              </w:rPr>
              <w:t>Various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Up to 20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137160</wp:posOffset>
            </wp:positionV>
            <wp:extent cx="91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00" w:lineRule="exact"/>
        <w:rPr>
          <w:sz w:val="20"/>
          <w:szCs w:val="20"/>
          <w:color w:val="auto"/>
        </w:rPr>
      </w:pPr>
    </w:p>
    <w:p>
      <w:pPr>
        <w:ind w:left="420" w:hanging="312"/>
        <w:spacing w:after="0"/>
        <w:tabs>
          <w:tab w:leader="none" w:pos="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site exceeds 5% of the aggregate gross amounts at which the assets were carried at the close of the period set forth in the table above.</w:t>
      </w:r>
    </w:p>
    <w:p>
      <w:pPr>
        <w:spacing w:after="0" w:line="17" w:lineRule="exact"/>
        <w:rPr>
          <w:rFonts w:ascii="Times New Roman" w:cs="Times New Roman" w:eastAsia="Times New Roman" w:hAnsi="Times New Roman"/>
          <w:sz w:val="14"/>
          <w:szCs w:val="14"/>
          <w:color w:val="auto"/>
        </w:rPr>
      </w:pPr>
    </w:p>
    <w:p>
      <w:pPr>
        <w:ind w:left="420" w:hanging="312"/>
        <w:spacing w:after="0"/>
        <w:tabs>
          <w:tab w:leader="none" w:pos="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2020, all of the Company's debt is secured by a pledge of the equity interests in each applicable Guarantor.</w:t>
      </w:r>
    </w:p>
    <w:p>
      <w:pPr>
        <w:spacing w:after="0" w:line="1" w:lineRule="exact"/>
        <w:rPr>
          <w:rFonts w:ascii="Times New Roman" w:cs="Times New Roman" w:eastAsia="Times New Roman" w:hAnsi="Times New Roman"/>
          <w:sz w:val="14"/>
          <w:szCs w:val="14"/>
          <w:color w:val="auto"/>
        </w:rPr>
      </w:pPr>
    </w:p>
    <w:p>
      <w:pPr>
        <w:ind w:left="420" w:hanging="312"/>
        <w:spacing w:after="0"/>
        <w:tabs>
          <w:tab w:leader="none" w:pos="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omitted this information, as it would be impracticable to compile such information on a site-by-site basis.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7"/>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70"/>
              </w:rPr>
              <w:t>oss</w:t>
            </w:r>
          </w:p>
        </w:tc>
        <w:tc>
          <w:tcPr>
            <w:tcW w:w="51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amount at beginning</w:t>
            </w:r>
          </w:p>
        </w:tc>
        <w:tc>
          <w:tcPr>
            <w:tcW w:w="3120" w:type="dxa"/>
            <w:vAlign w:val="bottom"/>
            <w:tcBorders>
              <w:top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2,105,722$</w:t>
            </w: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2,014,936</w:t>
            </w:r>
          </w:p>
        </w:tc>
      </w:tr>
      <w:tr>
        <w:trPr>
          <w:trHeight w:val="189"/>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ditions during period:</w:t>
            </w:r>
          </w:p>
        </w:tc>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Acquisitions through foreclosure</w:t>
            </w:r>
          </w:p>
        </w:tc>
        <w:tc>
          <w:tcPr>
            <w:tcW w:w="3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20" w:type="dxa"/>
            <w:vAlign w:val="bottom"/>
          </w:tcPr>
          <w:p>
            <w:pPr>
              <w:spacing w:after="0"/>
              <w:rPr>
                <w:sz w:val="16"/>
                <w:szCs w:val="16"/>
                <w:color w:val="auto"/>
              </w:rPr>
            </w:pPr>
          </w:p>
        </w:tc>
        <w:tc>
          <w:tcPr>
            <w:tcW w:w="5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acquisitions</w:t>
            </w:r>
          </w:p>
        </w:tc>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Site construction and improvements</w:t>
            </w:r>
          </w:p>
        </w:tc>
        <w:tc>
          <w:tcPr>
            <w:tcW w:w="3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79,039</w:t>
            </w:r>
          </w:p>
        </w:tc>
      </w:tr>
      <w:tr>
        <w:trPr>
          <w:trHeight w:val="189"/>
        </w:trPr>
        <w:tc>
          <w:tcPr>
            <w:tcW w:w="120" w:type="dxa"/>
            <w:vAlign w:val="bottom"/>
          </w:tcPr>
          <w:p>
            <w:pPr>
              <w:spacing w:after="0"/>
              <w:rPr>
                <w:sz w:val="16"/>
                <w:szCs w:val="16"/>
                <w:color w:val="auto"/>
              </w:rPr>
            </w:pPr>
          </w:p>
        </w:tc>
        <w:tc>
          <w:tcPr>
            <w:tcW w:w="5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land interests</w:t>
            </w:r>
          </w:p>
        </w:tc>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3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r>
      <w:tr>
        <w:trPr>
          <w:trHeight w:val="189"/>
        </w:trPr>
        <w:tc>
          <w:tcPr>
            <w:tcW w:w="120" w:type="dxa"/>
            <w:vAlign w:val="bottom"/>
          </w:tcPr>
          <w:p>
            <w:pPr>
              <w:spacing w:after="0"/>
              <w:rPr>
                <w:sz w:val="16"/>
                <w:szCs w:val="16"/>
                <w:color w:val="auto"/>
              </w:rPr>
            </w:pPr>
          </w:p>
        </w:tc>
        <w:tc>
          <w:tcPr>
            <w:tcW w:w="5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w:t>
            </w:r>
          </w:p>
        </w:tc>
      </w:tr>
      <w:tr>
        <w:trPr>
          <w:trHeight w:val="18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8"/>
              </w:rPr>
              <w:t>al</w:t>
            </w:r>
          </w:p>
        </w:tc>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3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94,276</w:t>
            </w:r>
          </w:p>
        </w:tc>
      </w:tr>
      <w:tr>
        <w:trPr>
          <w:trHeight w:val="189"/>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ductions during period:</w:t>
            </w:r>
          </w:p>
        </w:tc>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real estate sold or disposed</w:t>
            </w:r>
          </w:p>
        </w:tc>
        <w:tc>
          <w:tcPr>
            <w:tcW w:w="3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r>
      <w:tr>
        <w:trPr>
          <w:trHeight w:val="189"/>
        </w:trPr>
        <w:tc>
          <w:tcPr>
            <w:tcW w:w="120" w:type="dxa"/>
            <w:vAlign w:val="bottom"/>
          </w:tcPr>
          <w:p>
            <w:pPr>
              <w:spacing w:after="0"/>
              <w:rPr>
                <w:sz w:val="16"/>
                <w:szCs w:val="16"/>
                <w:color w:val="auto"/>
              </w:rPr>
            </w:pPr>
          </w:p>
        </w:tc>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8"/>
              </w:rPr>
              <w:t>al</w:t>
            </w: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3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r>
      <w:tr>
        <w:trPr>
          <w:trHeight w:val="183"/>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lance at end</w:t>
            </w:r>
          </w:p>
        </w:tc>
        <w:tc>
          <w:tcPr>
            <w:tcW w:w="3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2,141,925$</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2,105,722</w:t>
            </w: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54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70"/>
              </w:rPr>
              <w:t>oss</w:t>
            </w:r>
          </w:p>
        </w:tc>
        <w:tc>
          <w:tcPr>
            <w:tcW w:w="5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amount of accumulated depreciation at beginning</w:t>
            </w:r>
          </w:p>
        </w:tc>
        <w:tc>
          <w:tcPr>
            <w:tcW w:w="2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(1,095,355)$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(1,004,485)</w:t>
            </w:r>
          </w:p>
        </w:tc>
      </w:tr>
      <w:tr>
        <w:trPr>
          <w:trHeight w:val="189"/>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ditions during period:</w:t>
            </w:r>
          </w:p>
        </w:tc>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8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(93,049)</w:t>
            </w:r>
          </w:p>
        </w:tc>
      </w:tr>
      <w:tr>
        <w:trPr>
          <w:trHeight w:val="189"/>
        </w:trPr>
        <w:tc>
          <w:tcPr>
            <w:tcW w:w="120" w:type="dxa"/>
            <w:vAlign w:val="bottom"/>
          </w:tcPr>
          <w:p>
            <w:pPr>
              <w:spacing w:after="0"/>
              <w:rPr>
                <w:sz w:val="16"/>
                <w:szCs w:val="16"/>
                <w:color w:val="auto"/>
              </w:rPr>
            </w:pPr>
          </w:p>
        </w:tc>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8"/>
              </w:rPr>
              <w:t>al</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8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(95,710)</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(93,049)</w:t>
            </w:r>
          </w:p>
        </w:tc>
      </w:tr>
      <w:tr>
        <w:trPr>
          <w:trHeight w:val="189"/>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ductions during period:</w:t>
            </w:r>
          </w:p>
        </w:tc>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Amount for assets sold or disposed</w:t>
            </w:r>
          </w:p>
        </w:tc>
        <w:tc>
          <w:tcPr>
            <w:tcW w:w="28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r>
      <w:tr>
        <w:trPr>
          <w:trHeight w:val="189"/>
        </w:trPr>
        <w:tc>
          <w:tcPr>
            <w:tcW w:w="120" w:type="dxa"/>
            <w:vAlign w:val="bottom"/>
          </w:tcPr>
          <w:p>
            <w:pPr>
              <w:spacing w:after="0"/>
              <w:rPr>
                <w:sz w:val="16"/>
                <w:szCs w:val="16"/>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8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98"/>
              </w:rPr>
              <w:t>al</w:t>
            </w:r>
          </w:p>
        </w:tc>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deductions</w:t>
            </w:r>
          </w:p>
        </w:tc>
        <w:tc>
          <w:tcPr>
            <w:tcW w:w="28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r>
      <w:tr>
        <w:trPr>
          <w:trHeight w:val="18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lance at end</w:t>
            </w:r>
          </w:p>
        </w:tc>
        <w:tc>
          <w:tcPr>
            <w:tcW w:w="2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(1,190,055)$</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(1,095,355)</w:t>
            </w:r>
          </w:p>
        </w:tc>
      </w:tr>
      <w:tr>
        <w:trPr>
          <w:trHeight w:val="21"/>
        </w:trPr>
        <w:tc>
          <w:tcPr>
            <w:tcW w:w="1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88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firstLine="405"/>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2020 Form 10-K to be signed on its behalf by the undersigned, thereunto duly authorized, on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February, 2021.</w:t>
      </w:r>
    </w:p>
    <w:p>
      <w:pPr>
        <w:spacing w:after="0" w:line="27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CC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xml:space="preserve"> GS V LLC</w:t>
      </w:r>
    </w:p>
    <w:p>
      <w:pPr>
        <w:spacing w:after="0" w:line="243" w:lineRule="exact"/>
        <w:rPr>
          <w:sz w:val="20"/>
          <w:szCs w:val="20"/>
          <w:color w:val="auto"/>
        </w:rPr>
      </w:pPr>
    </w:p>
    <w:p>
      <w:pPr>
        <w:ind w:left="610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9914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6"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Daniel K. Schlanger</w:t>
      </w:r>
    </w:p>
    <w:p>
      <w:pPr>
        <w:spacing w:after="0" w:line="32"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32"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73" w:lineRule="exact"/>
        <w:rPr>
          <w:sz w:val="20"/>
          <w:szCs w:val="20"/>
          <w:color w:val="auto"/>
        </w:rPr>
      </w:pPr>
    </w:p>
    <w:p>
      <w:pPr>
        <w:ind w:left="610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4"/>
          <w:szCs w:val="14"/>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9"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Robert S. Collins</w:t>
      </w:r>
    </w:p>
    <w:p>
      <w:pPr>
        <w:spacing w:after="0" w:line="32"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Vice President and Controller</w:t>
      </w:r>
    </w:p>
    <w:p>
      <w:pPr>
        <w:spacing w:after="0" w:line="32"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Jay A. Brown and Kenneth J. Simon and each of them, as his true and lawful attorneys-in-fact and agents with full power of substitution and re-substitution for him and in his name, place and stead, in any and all capacities, to sign any and all documents relating to the 2020 Form 10-K, including any and all amendments and supplements thereto, for the year ended December 31, 2020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jc w:val="both"/>
        <w:ind w:firstLine="405"/>
        <w:spacing w:after="0" w:line="29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this 2020 Form 10-K has been signed below by the following persons on behalf of the Registrant and in the capacities indicated below on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February, 2021.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2"/>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5300" w:type="dxa"/>
            <w:vAlign w:val="bottom"/>
            <w:gridSpan w:val="3"/>
          </w:tcPr>
          <w:p>
            <w:pPr>
              <w:ind w:left="36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9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4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AY</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4"/>
                <w:szCs w:val="14"/>
                <w:color w:val="auto"/>
              </w:rPr>
              <w:t>ROWN</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4"/>
        </w:trPr>
        <w:tc>
          <w:tcPr>
            <w:tcW w:w="1500" w:type="dxa"/>
            <w:vAlign w:val="bottom"/>
          </w:tcPr>
          <w:p>
            <w:pPr>
              <w:spacing w:after="0"/>
              <w:rPr>
                <w:sz w:val="18"/>
                <w:szCs w:val="18"/>
                <w:color w:val="auto"/>
              </w:rPr>
            </w:pPr>
          </w:p>
        </w:tc>
        <w:tc>
          <w:tcPr>
            <w:tcW w:w="2860" w:type="dxa"/>
            <w:vAlign w:val="bottom"/>
            <w:gridSpan w:val="3"/>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rPr>
              <w:t>Jay A. Brown</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15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286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K. S</w:t>
            </w:r>
            <w:r>
              <w:rPr>
                <w:rFonts w:ascii="Times New Roman" w:cs="Times New Roman" w:eastAsia="Times New Roman" w:hAnsi="Times New Roman"/>
                <w:sz w:val="14"/>
                <w:szCs w:val="14"/>
                <w:color w:val="auto"/>
              </w:rPr>
              <w:t>CHLANGER</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Director</w:t>
            </w:r>
          </w:p>
        </w:tc>
      </w:tr>
      <w:tr>
        <w:trPr>
          <w:trHeight w:val="214"/>
        </w:trPr>
        <w:tc>
          <w:tcPr>
            <w:tcW w:w="43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Daniel K. Schlanger</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3"/>
        </w:trPr>
        <w:tc>
          <w:tcPr>
            <w:tcW w:w="15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w w:val="93"/>
              </w:rPr>
              <w:t>/s/</w:t>
            </w:r>
          </w:p>
        </w:tc>
        <w:tc>
          <w:tcPr>
            <w:tcW w:w="286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ENNETH</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IMON</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Executive Vice President, General Counsel and Director</w:t>
            </w:r>
          </w:p>
        </w:tc>
      </w:tr>
      <w:tr>
        <w:trPr>
          <w:trHeight w:val="206"/>
        </w:trPr>
        <w:tc>
          <w:tcPr>
            <w:tcW w:w="1500" w:type="dxa"/>
            <w:vAlign w:val="bottom"/>
          </w:tcPr>
          <w:p>
            <w:pPr>
              <w:spacing w:after="0"/>
              <w:rPr>
                <w:sz w:val="17"/>
                <w:szCs w:val="17"/>
                <w:color w:val="auto"/>
              </w:rPr>
            </w:pPr>
          </w:p>
        </w:tc>
        <w:tc>
          <w:tcPr>
            <w:tcW w:w="2860" w:type="dxa"/>
            <w:vAlign w:val="bottom"/>
            <w:gridSpan w:val="3"/>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rPr>
              <w:t>Kenneth J. Simon</w:t>
            </w:r>
          </w:p>
        </w:tc>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82"/>
        </w:trPr>
        <w:tc>
          <w:tcPr>
            <w:tcW w:w="15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86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S. C</w:t>
            </w:r>
            <w:r>
              <w:rPr>
                <w:rFonts w:ascii="Times New Roman" w:cs="Times New Roman" w:eastAsia="Times New Roman" w:hAnsi="Times New Roman"/>
                <w:sz w:val="14"/>
                <w:szCs w:val="14"/>
                <w:color w:val="auto"/>
              </w:rPr>
              <w:t>OLLINS</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14"/>
        </w:trPr>
        <w:tc>
          <w:tcPr>
            <w:tcW w:w="1500" w:type="dxa"/>
            <w:vAlign w:val="bottom"/>
          </w:tcPr>
          <w:p>
            <w:pPr>
              <w:spacing w:after="0"/>
              <w:rPr>
                <w:sz w:val="18"/>
                <w:szCs w:val="18"/>
                <w:color w:val="auto"/>
              </w:rPr>
            </w:pPr>
          </w:p>
        </w:tc>
        <w:tc>
          <w:tcPr>
            <w:tcW w:w="2860" w:type="dxa"/>
            <w:vAlign w:val="bottom"/>
            <w:gridSpan w:val="3"/>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rPr>
              <w:t>Robert S. Collins</w:t>
            </w:r>
          </w:p>
        </w:tc>
        <w:tc>
          <w:tcPr>
            <w:tcW w:w="5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subsidiaries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"2012 Secured Notes"). The 2012 Secured Notes were issued pursuant to an indenture dated as of December 24, 2012 ("Indenture"), by and among the Issuers, the Guarantors (as defined below) and The Bank of New York Mellon Trust Company, N.A., as trustee ("Trustee").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Concurrently with the issuance of the 2012 Secured Notes, CCL and certain of its subsidiaries entered into a pledge and security agreement. Pursuant to the terms of such pledge and security agreement, the 3.849% Secured Notes are secured on a first-priority basis by a pledge of the equity interests of the Guarantors. The Guarantors include the following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Acquisitions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Acquisitions II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Pinnacle Towers LLC</w:t>
      </w:r>
    </w:p>
    <w:p>
      <w:pPr>
        <w:sectPr>
          <w:pgSz w:w="11900" w:h="16838" w:orient="portrait"/>
          <w:cols w:equalWidth="0" w:num="1">
            <w:col w:w="11240"/>
          </w:cols>
          <w:pgMar w:left="320" w:top="11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00" w:hanging="644"/>
        <w:spacing w:after="0" w:line="312" w:lineRule="auto"/>
        <w:tabs>
          <w:tab w:leader="none" w:pos="129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2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9146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Jay A. Brown</w:t>
      </w: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CC Holdings GS V LLC (“registrant”);</w:t>
      </w:r>
    </w:p>
    <w:p>
      <w:pPr>
        <w:spacing w:after="0" w:line="171"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00" w:hanging="644"/>
        <w:spacing w:after="0" w:line="312" w:lineRule="auto"/>
        <w:tabs>
          <w:tab w:leader="none" w:pos="129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2021</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150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Daniel K. Schlanger</w:t>
      </w:r>
    </w:p>
    <w:p>
      <w:pPr>
        <w:ind w:left="6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20"/>
          </w:cols>
          <w:pgMar w:left="320" w:top="88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CC Holdings GS V LLC, a Delaware Corporation (“Company”), for the period ended December 31, 2020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07"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December 31, 2020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591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Jay A. Brown</w:t>
      </w: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February 22, 2021</w:t>
      </w:r>
    </w:p>
    <w:p>
      <w:pPr>
        <w:spacing w:after="0" w:line="23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591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Daniel K. Schlanger</w:t>
      </w:r>
    </w:p>
    <w:p>
      <w:pPr>
        <w:ind w:left="5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February 22,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0"/>
    </w:lvl>
  </w:abstractNum>
  <w:abstractNum w:abstractNumId="3">
    <w:nsid w:val="54E49EB4"/>
    <w:multiLevelType w:val="hybridMultilevel"/>
    <w:lvl w:ilvl="0">
      <w:lvlJc w:val="left"/>
      <w:lvlText w:val="•"/>
      <w:numFmt w:val="bullet"/>
      <w:start w:val="1"/>
    </w:lvl>
    <w:lvl w:ilvl="1">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8138641"/>
    <w:multiLevelType w:val="hybridMultilevel"/>
    <w:lvl w:ilvl="0">
      <w:lvlJc w:val="left"/>
      <w:lvlText w:val="•"/>
      <w:numFmt w:val="bullet"/>
      <w:start w:val="1"/>
    </w:lvl>
    <w:lvl w:ilvl="1">
      <w:lvlJc w:val="left"/>
      <w:lvlText w:val="◦"/>
      <w:numFmt w:val="bullet"/>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2)"/>
      <w:numFmt w:val="decimal"/>
      <w:start w:val="2"/>
    </w:lvl>
  </w:abstractNum>
  <w:abstractNum w:abstractNumId="14">
    <w:nsid w:val="22221A70"/>
    <w:multiLevelType w:val="hybridMultilevel"/>
    <w:lvl w:ilvl="0">
      <w:lvlJc w:val="left"/>
      <w:lvlText w:val="(%1)"/>
      <w:numFmt w:val="lowerLetter"/>
      <w:start w:val="1"/>
    </w:lvl>
    <w:lvl w:ilvl="1">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upperLetter"/>
      <w:start w:val="29"/>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upperLetter"/>
      <w:start w:val="29"/>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2"/>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decimal"/>
      <w:start w:val="3"/>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decimal"/>
      <w:start w:val="4"/>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5"/>
    </w:lvl>
  </w:abstractNum>
  <w:abstractNum w:abstractNumId="34">
    <w:nsid w:val="6A2342EC"/>
    <w:multiLevelType w:val="hybridMultilevel"/>
    <w:lvl w:ilvl="0">
      <w:lvlJc w:val="left"/>
      <w:lvlText w:val="%1."/>
      <w:numFmt w:val="decimal"/>
      <w:start w:val="6"/>
    </w:lvl>
  </w:abstractNum>
  <w:abstractNum w:abstractNumId="35">
    <w:nsid w:val="2A487CB0"/>
    <w:multiLevelType w:val="hybridMultilevel"/>
    <w:lvl w:ilvl="0">
      <w:lvlJc w:val="left"/>
      <w:lvlText w:val="%1."/>
      <w:numFmt w:val="decimal"/>
      <w:start w:val="7"/>
    </w:lvl>
  </w:abstractNum>
  <w:abstractNum w:abstractNumId="36">
    <w:nsid w:val="1D4ED43B"/>
    <w:multiLevelType w:val="hybridMultilevel"/>
    <w:lvl w:ilvl="0">
      <w:lvlJc w:val="left"/>
      <w:lvlText w:val="%1."/>
      <w:numFmt w:val="decimal"/>
      <w:start w:val="8"/>
    </w:lvl>
  </w:abstractNum>
  <w:abstractNum w:abstractNumId="37">
    <w:nsid w:val="725A06FB"/>
    <w:multiLevelType w:val="hybridMultilevel"/>
    <w:lvl w:ilvl="0">
      <w:lvlJc w:val="left"/>
      <w:lvlText w:val="%1."/>
      <w:numFmt w:val="decimal"/>
      <w:start w:val="9"/>
    </w:lvl>
  </w:abstractNum>
  <w:abstractNum w:abstractNumId="38">
    <w:nsid w:val="2CD89A32"/>
    <w:multiLevelType w:val="hybridMultilevel"/>
    <w:lvl w:ilvl="0">
      <w:lvlJc w:val="left"/>
      <w:lvlText w:val="%1."/>
      <w:numFmt w:val="decimal"/>
      <w:start w:val="10"/>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12"/>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upperLetter"/>
      <w:start w:val="6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66" Type="http://schemas.openxmlformats.org/officeDocument/2006/relationships/hyperlink" Target="http://www.sec.gov/Archives/edgar/data/1574211/000119312513158983/d519395dex31.htm" TargetMode="External"/><Relationship Id="rId67" Type="http://schemas.openxmlformats.org/officeDocument/2006/relationships/hyperlink" Target="http://www.sec.gov/Archives/edgar/data/1574211/000119312513158983/d519395dex32.htm" TargetMode="External"/><Relationship Id="rId68" Type="http://schemas.openxmlformats.org/officeDocument/2006/relationships/hyperlink" Target="http://www.sec.gov/Archives/edgar/data/1051470/000095015712000590/ex4-1.htm" TargetMode="External"/><Relationship Id="rId69" Type="http://schemas.openxmlformats.org/officeDocument/2006/relationships/hyperlink" Target="http://www.sec.gov/Archives/edgar/data/1574211/000119312513158983/d519395dex42.htm" TargetMode="External"/><Relationship Id="rId70" Type="http://schemas.openxmlformats.org/officeDocument/2006/relationships/hyperlink" Target="http://www.sec.gov/Archives/edgar/data/1278382/000095013605000880/file002.htm" TargetMode="External"/><Relationship Id="rId71" Type="http://schemas.openxmlformats.org/officeDocument/2006/relationships/hyperlink" Target="http://www.sec.gov/Archives/edgar/data/1278382/000095013605003148/file002.htm" TargetMode="External"/><Relationship Id="rId72" Type="http://schemas.openxmlformats.org/officeDocument/2006/relationships/hyperlink" Target="http://www.sec.gov/Archives/edgar/data/1278382/000095013605003148/file003.htm" TargetMode="External"/><Relationship Id="rId73" Type="http://schemas.openxmlformats.org/officeDocument/2006/relationships/hyperlink" Target="http://www.sec.gov/Archives/edgar/data/1278382/000095013605003148/file004.htm" TargetMode="External"/><Relationship Id="rId74" Type="http://schemas.openxmlformats.org/officeDocument/2006/relationships/hyperlink" Target="http://www.sec.gov/Archives/edgar/data/1278382/000095013605003148/file005.htm" TargetMode="External"/><Relationship Id="rId77" Type="http://schemas.openxmlformats.org/officeDocument/2006/relationships/hyperlink" Target="http://www.sec.gov/Archives/edgar/data/1278382/000095013605003148/file006.htm" TargetMode="External"/><Relationship Id="rId78" Type="http://schemas.openxmlformats.org/officeDocument/2006/relationships/hyperlink" Target="http://www.sec.gov/Archives/edgar/data/1278382/000095013605003148/file007.htm" TargetMode="External"/><Relationship Id="rId79" Type="http://schemas.openxmlformats.org/officeDocument/2006/relationships/hyperlink" Target="http://www.sec.gov/Archives/edgar/data/1574211/000119312513158983/d519395dex108.htm" TargetMode="External"/><Relationship Id="rId80" Type="http://schemas.openxmlformats.org/officeDocument/2006/relationships/hyperlink" Target="http://www.sec.gov/Archives/edgar/data/1051470/00009501571200059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2021-02-22T15:36:50Z</dcterms:created>
  <dcterms:modified xsi:type="dcterms:W3CDTF">2021-02-22T15:36:50Z</dcterms:modified>
</cp:coreProperties>
</file>