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581660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2"/>
          <w:szCs w:val="12"/>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5" w:lineRule="exact"/>
        <w:rPr>
          <w:sz w:val="24"/>
          <w:szCs w:val="24"/>
          <w:color w:val="auto"/>
        </w:rPr>
      </w:pPr>
    </w:p>
    <w:p>
      <w:pPr>
        <w:ind w:left="1500" w:hanging="258"/>
        <w:spacing w:after="0"/>
        <w:tabs>
          <w:tab w:leader="none" w:pos="1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5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2" w:lineRule="exact"/>
        <w:rPr>
          <w:sz w:val="24"/>
          <w:szCs w:val="24"/>
          <w:color w:val="auto"/>
        </w:rPr>
      </w:pPr>
    </w:p>
    <w:p>
      <w:pPr>
        <w:ind w:left="1500" w:hanging="258"/>
        <w:spacing w:after="0"/>
        <w:tabs>
          <w:tab w:leader="none" w:pos="1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234"/>
        </w:trPr>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Commission File Number 001-16441</w:t>
            </w:r>
          </w:p>
        </w:tc>
        <w:tc>
          <w:tcPr>
            <w:tcW w:w="4040" w:type="dxa"/>
            <w:vAlign w:val="bottom"/>
          </w:tcPr>
          <w:p>
            <w:pPr>
              <w:spacing w:after="0"/>
              <w:rPr>
                <w:sz w:val="20"/>
                <w:szCs w:val="20"/>
                <w:color w:val="auto"/>
              </w:rPr>
            </w:pPr>
          </w:p>
        </w:tc>
      </w:tr>
      <w:tr>
        <w:trPr>
          <w:trHeight w:val="183"/>
        </w:trPr>
        <w:tc>
          <w:tcPr>
            <w:tcW w:w="3600" w:type="dxa"/>
            <w:vAlign w:val="bottom"/>
          </w:tcPr>
          <w:p>
            <w:pPr>
              <w:spacing w:after="0"/>
              <w:rPr>
                <w:sz w:val="15"/>
                <w:szCs w:val="15"/>
                <w:color w:val="auto"/>
              </w:rPr>
            </w:pPr>
          </w:p>
        </w:tc>
        <w:tc>
          <w:tcPr>
            <w:tcW w:w="304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841"/>
        </w:trPr>
        <w:tc>
          <w:tcPr>
            <w:tcW w:w="3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CROWN CASTLE INC.</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3600" w:type="dxa"/>
            <w:vAlign w:val="bottom"/>
            <w:gridSpan w:val="9"/>
          </w:tcPr>
          <w:p>
            <w:pPr>
              <w:jc w:val="center"/>
              <w:ind w:left="391"/>
              <w:spacing w:after="0" w:line="160" w:lineRule="exact"/>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4040" w:type="dxa"/>
            <w:vAlign w:val="bottom"/>
          </w:tcPr>
          <w:p>
            <w:pPr>
              <w:spacing w:after="0"/>
              <w:rPr>
                <w:sz w:val="13"/>
                <w:szCs w:val="13"/>
                <w:color w:val="auto"/>
              </w:rPr>
            </w:pPr>
          </w:p>
        </w:tc>
      </w:tr>
      <w:tr>
        <w:trPr>
          <w:trHeight w:val="183"/>
        </w:trPr>
        <w:tc>
          <w:tcPr>
            <w:tcW w:w="3600" w:type="dxa"/>
            <w:vAlign w:val="bottom"/>
          </w:tcPr>
          <w:p>
            <w:pPr>
              <w:spacing w:after="0"/>
              <w:rPr>
                <w:sz w:val="15"/>
                <w:szCs w:val="15"/>
                <w:color w:val="auto"/>
              </w:rPr>
            </w:pPr>
          </w:p>
        </w:tc>
        <w:tc>
          <w:tcPr>
            <w:tcW w:w="304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1"/>
        </w:trPr>
        <w:tc>
          <w:tcPr>
            <w:tcW w:w="3600" w:type="dxa"/>
            <w:vAlign w:val="bottom"/>
          </w:tcPr>
          <w:p>
            <w:pPr>
              <w:jc w:val="center"/>
              <w:ind w:left="1718"/>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jc w:val="center"/>
              <w:ind w:right="1338"/>
              <w:spacing w:after="0"/>
              <w:rPr>
                <w:sz w:val="20"/>
                <w:szCs w:val="20"/>
                <w:color w:val="auto"/>
              </w:rPr>
            </w:pPr>
            <w:r>
              <w:rPr>
                <w:rFonts w:ascii="Times New Roman" w:cs="Times New Roman" w:eastAsia="Times New Roman" w:hAnsi="Times New Roman"/>
                <w:sz w:val="12"/>
                <w:szCs w:val="12"/>
                <w:b w:val="1"/>
                <w:bCs w:val="1"/>
                <w:color w:val="auto"/>
              </w:rPr>
              <w:t>76-0470458</w:t>
            </w:r>
          </w:p>
        </w:tc>
      </w:tr>
      <w:tr>
        <w:trPr>
          <w:trHeight w:val="135"/>
        </w:trPr>
        <w:tc>
          <w:tcPr>
            <w:tcW w:w="3600" w:type="dxa"/>
            <w:vAlign w:val="bottom"/>
          </w:tcPr>
          <w:p>
            <w:pPr>
              <w:jc w:val="center"/>
              <w:ind w:left="1738"/>
              <w:spacing w:after="0" w:line="135"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40" w:type="dxa"/>
            <w:vAlign w:val="bottom"/>
          </w:tcPr>
          <w:p>
            <w:pPr>
              <w:jc w:val="center"/>
              <w:ind w:right="1338"/>
              <w:spacing w:after="0" w:line="135"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1"/>
        </w:trPr>
        <w:tc>
          <w:tcPr>
            <w:tcW w:w="3600" w:type="dxa"/>
            <w:vAlign w:val="bottom"/>
          </w:tcPr>
          <w:p>
            <w:pPr>
              <w:jc w:val="center"/>
              <w:ind w:left="1718"/>
              <w:spacing w:after="0"/>
              <w:rPr>
                <w:sz w:val="20"/>
                <w:szCs w:val="20"/>
                <w:color w:val="auto"/>
              </w:rPr>
            </w:pPr>
            <w:r>
              <w:rPr>
                <w:rFonts w:ascii="Times New Roman" w:cs="Times New Roman" w:eastAsia="Times New Roman" w:hAnsi="Times New Roman"/>
                <w:sz w:val="12"/>
                <w:szCs w:val="12"/>
                <w:b w:val="1"/>
                <w:bCs w:val="1"/>
                <w:color w:val="auto"/>
              </w:rPr>
              <w:t>of incorporation or organization)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Pr>
          <w:p>
            <w:pPr>
              <w:jc w:val="center"/>
              <w:ind w:right="1338"/>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27"/>
        </w:trPr>
        <w:tc>
          <w:tcPr>
            <w:tcW w:w="3600" w:type="dxa"/>
            <w:vAlign w:val="bottom"/>
          </w:tcPr>
          <w:p>
            <w:pPr>
              <w:spacing w:after="0"/>
              <w:rPr>
                <w:sz w:val="24"/>
                <w:szCs w:val="24"/>
                <w:color w:val="auto"/>
              </w:rPr>
            </w:pPr>
          </w:p>
        </w:tc>
        <w:tc>
          <w:tcPr>
            <w:tcW w:w="3600" w:type="dxa"/>
            <w:vAlign w:val="bottom"/>
            <w:gridSpan w:val="9"/>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9"/>
              </w:rPr>
              <w:t>8020 Katy Freeway, Houston, Texas 77024-1908</w:t>
            </w:r>
          </w:p>
        </w:tc>
        <w:tc>
          <w:tcPr>
            <w:tcW w:w="4040" w:type="dxa"/>
            <w:vAlign w:val="bottom"/>
          </w:tcPr>
          <w:p>
            <w:pPr>
              <w:spacing w:after="0"/>
              <w:rPr>
                <w:sz w:val="24"/>
                <w:szCs w:val="24"/>
                <w:color w:val="auto"/>
              </w:rPr>
            </w:pPr>
          </w:p>
        </w:tc>
      </w:tr>
      <w:tr>
        <w:trPr>
          <w:trHeight w:val="158"/>
        </w:trPr>
        <w:tc>
          <w:tcPr>
            <w:tcW w:w="3600" w:type="dxa"/>
            <w:vAlign w:val="bottom"/>
          </w:tcPr>
          <w:p>
            <w:pPr>
              <w:spacing w:after="0"/>
              <w:rPr>
                <w:sz w:val="13"/>
                <w:szCs w:val="13"/>
                <w:color w:val="auto"/>
              </w:rPr>
            </w:pPr>
          </w:p>
        </w:tc>
        <w:tc>
          <w:tcPr>
            <w:tcW w:w="3600" w:type="dxa"/>
            <w:vAlign w:val="bottom"/>
            <w:gridSpan w:val="9"/>
          </w:tcPr>
          <w:p>
            <w:pPr>
              <w:jc w:val="center"/>
              <w:ind w:left="371"/>
              <w:spacing w:after="0" w:line="158" w:lineRule="exact"/>
              <w:rPr>
                <w:sz w:val="20"/>
                <w:szCs w:val="20"/>
                <w:color w:val="auto"/>
              </w:rPr>
            </w:pPr>
            <w:r>
              <w:rPr>
                <w:rFonts w:ascii="Times New Roman" w:cs="Times New Roman" w:eastAsia="Times New Roman" w:hAnsi="Times New Roman"/>
                <w:sz w:val="14"/>
                <w:szCs w:val="14"/>
                <w:b w:val="1"/>
                <w:bCs w:val="1"/>
                <w:color w:val="auto"/>
                <w:w w:val="99"/>
              </w:rPr>
              <w:t>(Address of principal executive offices) (Zip Code)</w:t>
            </w:r>
          </w:p>
        </w:tc>
        <w:tc>
          <w:tcPr>
            <w:tcW w:w="4040" w:type="dxa"/>
            <w:vAlign w:val="bottom"/>
          </w:tcPr>
          <w:p>
            <w:pPr>
              <w:spacing w:after="0"/>
              <w:rPr>
                <w:sz w:val="13"/>
                <w:szCs w:val="13"/>
                <w:color w:val="auto"/>
              </w:rPr>
            </w:pPr>
          </w:p>
        </w:tc>
      </w:tr>
      <w:tr>
        <w:trPr>
          <w:trHeight w:val="171"/>
        </w:trPr>
        <w:tc>
          <w:tcPr>
            <w:tcW w:w="3600" w:type="dxa"/>
            <w:vAlign w:val="bottom"/>
          </w:tcPr>
          <w:p>
            <w:pPr>
              <w:spacing w:after="0"/>
              <w:rPr>
                <w:sz w:val="14"/>
                <w:szCs w:val="14"/>
                <w:color w:val="auto"/>
              </w:rPr>
            </w:pPr>
          </w:p>
        </w:tc>
        <w:tc>
          <w:tcPr>
            <w:tcW w:w="28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(713) 570-3000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85"/>
        </w:trPr>
        <w:tc>
          <w:tcPr>
            <w:tcW w:w="3600" w:type="dxa"/>
            <w:vAlign w:val="bottom"/>
          </w:tcPr>
          <w:p>
            <w:pPr>
              <w:spacing w:after="0"/>
              <w:rPr>
                <w:sz w:val="16"/>
                <w:szCs w:val="16"/>
                <w:color w:val="auto"/>
              </w:rPr>
            </w:pPr>
          </w:p>
        </w:tc>
        <w:tc>
          <w:tcPr>
            <w:tcW w:w="3600" w:type="dxa"/>
            <w:vAlign w:val="bottom"/>
            <w:gridSpan w:val="9"/>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4040" w:type="dxa"/>
            <w:vAlign w:val="bottom"/>
          </w:tcPr>
          <w:p>
            <w:pPr>
              <w:spacing w:after="0"/>
              <w:rPr>
                <w:sz w:val="16"/>
                <w:szCs w:val="16"/>
                <w:color w:val="auto"/>
              </w:rPr>
            </w:pPr>
          </w:p>
        </w:tc>
      </w:tr>
      <w:tr>
        <w:trPr>
          <w:trHeight w:val="195"/>
        </w:trPr>
        <w:tc>
          <w:tcPr>
            <w:tcW w:w="3600" w:type="dxa"/>
            <w:vAlign w:val="bottom"/>
          </w:tcPr>
          <w:p>
            <w:pPr>
              <w:jc w:val="center"/>
              <w:ind w:left="838"/>
              <w:spacing w:after="0"/>
              <w:rPr>
                <w:sz w:val="20"/>
                <w:szCs w:val="20"/>
                <w:color w:val="auto"/>
              </w:rPr>
            </w:pPr>
            <w:r>
              <w:rPr>
                <w:rFonts w:ascii="Times New Roman" w:cs="Times New Roman" w:eastAsia="Times New Roman" w:hAnsi="Times New Roman"/>
                <w:sz w:val="12"/>
                <w:szCs w:val="12"/>
                <w:b w:val="1"/>
                <w:bCs w:val="1"/>
                <w:color w:val="auto"/>
              </w:rPr>
              <w:t>Securities Registered Pursuant to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left="116"/>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tcPr>
          <w:p>
            <w:pPr>
              <w:jc w:val="center"/>
              <w:ind w:right="378"/>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61"/>
        </w:trPr>
        <w:tc>
          <w:tcPr>
            <w:tcW w:w="3600" w:type="dxa"/>
            <w:vAlign w:val="bottom"/>
          </w:tcPr>
          <w:p>
            <w:pPr>
              <w:jc w:val="center"/>
              <w:ind w:left="838"/>
              <w:spacing w:after="0"/>
              <w:rPr>
                <w:sz w:val="20"/>
                <w:szCs w:val="20"/>
                <w:color w:val="auto"/>
              </w:rPr>
            </w:pPr>
            <w:r>
              <w:rPr>
                <w:rFonts w:ascii="Times New Roman" w:cs="Times New Roman" w:eastAsia="Times New Roman" w:hAnsi="Times New Roman"/>
                <w:sz w:val="12"/>
                <w:szCs w:val="12"/>
                <w:b w:val="1"/>
                <w:bCs w:val="1"/>
                <w:color w:val="auto"/>
              </w:rPr>
              <w:t>Section 12(b) of the Act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Pr>
          <w:p>
            <w:pPr>
              <w:jc w:val="center"/>
              <w:ind w:right="398"/>
              <w:spacing w:after="0"/>
              <w:rPr>
                <w:sz w:val="20"/>
                <w:szCs w:val="20"/>
                <w:color w:val="auto"/>
              </w:rPr>
            </w:pPr>
            <w:r>
              <w:rPr>
                <w:rFonts w:ascii="Times New Roman" w:cs="Times New Roman" w:eastAsia="Times New Roman" w:hAnsi="Times New Roman"/>
                <w:sz w:val="12"/>
                <w:szCs w:val="12"/>
                <w:b w:val="1"/>
                <w:bCs w:val="1"/>
                <w:color w:val="auto"/>
              </w:rPr>
              <w:t>on Which Registered</w:t>
            </w:r>
          </w:p>
        </w:tc>
      </w:tr>
      <w:tr>
        <w:trPr>
          <w:trHeight w:val="23"/>
        </w:trPr>
        <w:tc>
          <w:tcPr>
            <w:tcW w:w="3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r>
      <w:tr>
        <w:trPr>
          <w:trHeight w:val="153"/>
        </w:trPr>
        <w:tc>
          <w:tcPr>
            <w:tcW w:w="3600" w:type="dxa"/>
            <w:vAlign w:val="bottom"/>
          </w:tcPr>
          <w:p>
            <w:pPr>
              <w:jc w:val="center"/>
              <w:ind w:left="838"/>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jc w:val="center"/>
              <w:ind w:left="116"/>
              <w:spacing w:after="0"/>
              <w:rPr>
                <w:sz w:val="20"/>
                <w:szCs w:val="20"/>
                <w:color w:val="auto"/>
              </w:rPr>
            </w:pPr>
            <w:r>
              <w:rPr>
                <w:rFonts w:ascii="Times New Roman" w:cs="Times New Roman" w:eastAsia="Times New Roman" w:hAnsi="Times New Roman"/>
                <w:sz w:val="12"/>
                <w:szCs w:val="12"/>
                <w:color w:val="auto"/>
                <w:w w:val="99"/>
              </w:rPr>
              <w:t>CCI</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Pr>
          <w:p>
            <w:pPr>
              <w:jc w:val="center"/>
              <w:ind w:right="398"/>
              <w:spacing w:after="0"/>
              <w:rPr>
                <w:sz w:val="20"/>
                <w:szCs w:val="20"/>
                <w:color w:val="auto"/>
              </w:rPr>
            </w:pPr>
            <w:r>
              <w:rPr>
                <w:rFonts w:ascii="Times New Roman" w:cs="Times New Roman" w:eastAsia="Times New Roman" w:hAnsi="Times New Roman"/>
                <w:sz w:val="12"/>
                <w:szCs w:val="12"/>
                <w:color w:val="auto"/>
              </w:rPr>
              <w:t>New York Stock Exchange</w:t>
            </w:r>
          </w:p>
        </w:tc>
      </w:tr>
      <w:tr>
        <w:trPr>
          <w:trHeight w:val="244"/>
        </w:trPr>
        <w:tc>
          <w:tcPr>
            <w:tcW w:w="3600" w:type="dxa"/>
            <w:vAlign w:val="bottom"/>
          </w:tcPr>
          <w:p>
            <w:pPr>
              <w:spacing w:after="0"/>
              <w:rPr>
                <w:sz w:val="21"/>
                <w:szCs w:val="21"/>
                <w:color w:val="auto"/>
              </w:rPr>
            </w:pPr>
          </w:p>
        </w:tc>
        <w:tc>
          <w:tcPr>
            <w:tcW w:w="7640" w:type="dxa"/>
            <w:vAlign w:val="bottom"/>
            <w:gridSpan w:val="10"/>
          </w:tcPr>
          <w:p>
            <w:pPr>
              <w:jc w:val="center"/>
              <w:ind w:right="3518"/>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12(g) of the Act: NONE.</w:t>
            </w:r>
          </w:p>
        </w:tc>
      </w:tr>
      <w:tr>
        <w:trPr>
          <w:trHeight w:val="159"/>
        </w:trPr>
        <w:tc>
          <w:tcPr>
            <w:tcW w:w="3600" w:type="dxa"/>
            <w:vAlign w:val="bottom"/>
          </w:tcPr>
          <w:p>
            <w:pPr>
              <w:spacing w:after="0"/>
              <w:rPr>
                <w:sz w:val="13"/>
                <w:szCs w:val="13"/>
                <w:color w:val="auto"/>
              </w:rPr>
            </w:pPr>
          </w:p>
        </w:tc>
        <w:tc>
          <w:tcPr>
            <w:tcW w:w="3460" w:type="dxa"/>
            <w:vAlign w:val="bottom"/>
            <w:gridSpan w:val="8"/>
          </w:tcPr>
          <w:p>
            <w:pPr>
              <w:jc w:val="right"/>
              <w:ind w:right="194"/>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14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261"/>
        </w:trPr>
        <w:tc>
          <w:tcPr>
            <w:tcW w:w="6700" w:type="dxa"/>
            <w:vAlign w:val="bottom"/>
            <w:gridSpan w:val="7"/>
          </w:tcPr>
          <w:p>
            <w:pPr>
              <w:ind w:left="40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0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04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4"/>
        </w:trPr>
        <w:tc>
          <w:tcPr>
            <w:tcW w:w="6700" w:type="dxa"/>
            <w:vAlign w:val="bottom"/>
            <w:gridSpan w:val="7"/>
          </w:tcPr>
          <w:p>
            <w:pPr>
              <w:ind w:left="40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40" w:type="dxa"/>
            <w:vAlign w:val="bottom"/>
          </w:tcPr>
          <w:p>
            <w:pPr>
              <w:spacing w:after="0"/>
              <w:rPr>
                <w:sz w:val="19"/>
                <w:szCs w:val="19"/>
                <w:color w:val="auto"/>
              </w:rPr>
            </w:pPr>
          </w:p>
        </w:tc>
        <w:tc>
          <w:tcPr>
            <w:tcW w:w="46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3"/>
                <w:szCs w:val="13"/>
                <w:color w:val="auto"/>
                <w:w w:val="98"/>
              </w:rPr>
              <w:t xml:space="preserve">Yes </w:t>
            </w:r>
            <w:r>
              <w:rPr>
                <w:rFonts w:ascii="MS PGothic" w:cs="MS PGothic" w:eastAsia="MS PGothic" w:hAnsi="MS PGothic"/>
                <w:sz w:val="13"/>
                <w:szCs w:val="13"/>
                <w:color w:val="auto"/>
                <w:w w:val="98"/>
              </w:rPr>
              <w:t>☐</w:t>
            </w:r>
          </w:p>
        </w:tc>
        <w:tc>
          <w:tcPr>
            <w:tcW w:w="404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3303905</wp:posOffset>
            </wp:positionH>
            <wp:positionV relativeFrom="paragraph">
              <wp:posOffset>-2485390</wp:posOffset>
            </wp:positionV>
            <wp:extent cx="534670" cy="292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670" cy="292735"/>
                    </a:xfrm>
                    <a:prstGeom prst="rect">
                      <a:avLst/>
                    </a:prstGeom>
                    <a:noFill/>
                  </pic:spPr>
                </pic:pic>
              </a:graphicData>
            </a:graphic>
          </wp:anchor>
        </w:drawing>
      </w:r>
    </w:p>
    <w:p>
      <w:pPr>
        <w:spacing w:after="0" w:line="12" w:lineRule="exact"/>
        <w:rPr>
          <w:sz w:val="24"/>
          <w:szCs w:val="24"/>
          <w:color w:val="auto"/>
        </w:rPr>
      </w:pPr>
    </w:p>
    <w:p>
      <w:pPr>
        <w:jc w:val="both"/>
        <w:ind w:firstLine="39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jc w:val="both"/>
        <w:ind w:firstLine="39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jc w:val="both"/>
        <w:ind w:firstLine="395"/>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1" w:lineRule="exact"/>
        <w:rPr>
          <w:sz w:val="24"/>
          <w:szCs w:val="24"/>
          <w:color w:val="auto"/>
        </w:rPr>
      </w:pPr>
    </w:p>
    <w:p>
      <w:pPr>
        <w:ind w:left="400"/>
        <w:spacing w:after="0" w:line="150" w:lineRule="exact"/>
        <w:tabs>
          <w:tab w:leader="none" w:pos="1900" w:val="left"/>
          <w:tab w:leader="none" w:pos="310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Non-accelerated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Smaller reporting company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jc w:val="both"/>
        <w:ind w:firstLine="395"/>
        <w:spacing w:after="0" w:line="17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3" w:lineRule="exact"/>
        <w:rPr>
          <w:sz w:val="24"/>
          <w:szCs w:val="24"/>
          <w:color w:val="auto"/>
        </w:rPr>
      </w:pPr>
    </w:p>
    <w:p>
      <w:pPr>
        <w:jc w:val="both"/>
        <w:ind w:firstLine="39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3" w:lineRule="exact"/>
        <w:rPr>
          <w:sz w:val="24"/>
          <w:szCs w:val="24"/>
          <w:color w:val="auto"/>
        </w:rPr>
      </w:pPr>
    </w:p>
    <w:p>
      <w:pPr>
        <w:ind w:right="80" w:firstLine="395"/>
        <w:spacing w:after="0" w:line="175"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6" w:lineRule="exact"/>
        <w:rPr>
          <w:sz w:val="24"/>
          <w:szCs w:val="24"/>
          <w:color w:val="auto"/>
        </w:rPr>
      </w:pPr>
    </w:p>
    <w:p>
      <w:pPr>
        <w:ind w:right="20" w:firstLine="39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2" w:lineRule="exact"/>
        <w:rPr>
          <w:sz w:val="24"/>
          <w:szCs w:val="24"/>
          <w:color w:val="auto"/>
        </w:rPr>
      </w:pPr>
    </w:p>
    <w:p>
      <w:pPr>
        <w:ind w:left="400"/>
        <w:spacing w:after="0" w:line="150" w:lineRule="exact"/>
        <w:tabs>
          <w:tab w:leader="none" w:pos="5940" w:val="left"/>
          <w:tab w:leader="none" w:pos="64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5" w:lineRule="exact"/>
        <w:rPr>
          <w:sz w:val="24"/>
          <w:szCs w:val="24"/>
          <w:color w:val="auto"/>
        </w:rPr>
      </w:pPr>
    </w:p>
    <w:p>
      <w:pPr>
        <w:ind w:firstLine="395"/>
        <w:spacing w:after="0" w:line="28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$42.4 billion as of June 30, 2024, the last business day of the registrant's most recently completed second fiscal quarter, based on the New York Stock Exchange closing price on that day of $97.70 per share.</w:t>
      </w:r>
    </w:p>
    <w:p>
      <w:pPr>
        <w:spacing w:after="0" w:line="3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3"/>
          <w:szCs w:val="13"/>
          <w:b w:val="1"/>
          <w:bCs w:val="1"/>
          <w:color w:val="auto"/>
        </w:rPr>
        <w:t>Applicable Only to Corporate Registrants</w:t>
      </w:r>
    </w:p>
    <w:p>
      <w:pPr>
        <w:spacing w:after="0" w:line="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3"/>
          <w:szCs w:val="13"/>
          <w:color w:val="auto"/>
        </w:rPr>
        <w:t>As of March 12, 2025, there were 435,431,269 shares of common stock outstanding.</w:t>
      </w:r>
    </w:p>
    <w:p>
      <w:pPr>
        <w:spacing w:after="0" w:line="72"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89" w:lineRule="exact"/>
        <w:rPr>
          <w:sz w:val="24"/>
          <w:szCs w:val="24"/>
          <w:color w:val="auto"/>
        </w:rPr>
      </w:pPr>
    </w:p>
    <w:p>
      <w:pPr>
        <w:ind w:firstLine="395"/>
        <w:spacing w:after="0" w:line="288" w:lineRule="auto"/>
        <w:rPr>
          <w:sz w:val="20"/>
          <w:szCs w:val="20"/>
          <w:color w:val="auto"/>
        </w:rPr>
      </w:pPr>
      <w:r>
        <w:rPr>
          <w:rFonts w:ascii="Times New Roman" w:cs="Times New Roman" w:eastAsia="Times New Roman" w:hAnsi="Times New Roman"/>
          <w:sz w:val="13"/>
          <w:szCs w:val="13"/>
          <w:color w:val="auto"/>
        </w:rPr>
        <w:t>The information required to be furnished pursuant to Part III of this Form 10-K will be set forth in, and incorporated by reference from, the registrant's definitive proxy statement for the annual meeting of stockholders ("2025 Proxy Statement"), which will be filed with the Securities and Exchange Commission not later than 120 days after the end of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669925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20" w:type="dxa"/>
            <w:vAlign w:val="bottom"/>
            <w:gridSpan w:val="17"/>
          </w:tcPr>
          <w:p>
            <w:pPr>
              <w:ind w:left="180"/>
              <w:spacing w:after="0"/>
              <w:rPr>
                <w:sz w:val="20"/>
                <w:szCs w:val="20"/>
                <w:color w:val="auto"/>
              </w:rPr>
            </w:pPr>
            <w:r>
              <w:rPr>
                <w:rFonts w:ascii="Times New Roman" w:cs="Times New Roman" w:eastAsia="Times New Roman" w:hAnsi="Times New Roman"/>
                <w:sz w:val="18"/>
                <w:szCs w:val="18"/>
                <w:b w:val="1"/>
                <w:bCs w:val="1"/>
                <w:color w:val="auto"/>
              </w:rPr>
              <w:t>CROWN CASTLE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040" w:type="dxa"/>
            <w:vAlign w:val="bottom"/>
            <w:gridSpan w:val="8"/>
            <w:vMerge w:val="restart"/>
          </w:tcPr>
          <w:p>
            <w:pPr>
              <w:spacing w:after="0"/>
              <w:rPr>
                <w:sz w:val="24"/>
                <w:szCs w:val="24"/>
                <w:color w:val="auto"/>
              </w:rPr>
            </w:pPr>
          </w:p>
        </w:tc>
        <w:tc>
          <w:tcPr>
            <w:tcW w:w="8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4"/>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Borders>
              <w:bottom w:val="single" w:sz="8" w:color="0000FF"/>
            </w:tcBorders>
            <w:gridSpan w:val="2"/>
            <w:vMerge w:val="continue"/>
          </w:tcPr>
          <w:p>
            <w:pPr>
              <w:spacing w:after="0"/>
              <w:rPr>
                <w:sz w:val="14"/>
                <w:szCs w:val="14"/>
                <w:color w:val="auto"/>
              </w:rPr>
            </w:pPr>
          </w:p>
        </w:tc>
        <w:tc>
          <w:tcPr>
            <w:tcW w:w="4040" w:type="dxa"/>
            <w:vAlign w:val="bottom"/>
            <w:gridSpan w:val="8"/>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3"/>
              </w:rPr>
              <w:t>Business</w:t>
            </w:r>
          </w:p>
        </w:tc>
        <w:tc>
          <w:tcPr>
            <w:tcW w:w="8020" w:type="dxa"/>
            <w:vAlign w:val="bottom"/>
            <w:gridSpan w:val="29"/>
          </w:tcPr>
          <w:p>
            <w:pPr>
              <w:spacing w:after="0"/>
              <w:rPr>
                <w:sz w:val="17"/>
                <w:szCs w:val="17"/>
                <w:color w:val="auto"/>
              </w:rPr>
            </w:pP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4"/>
              </w:rPr>
              <w:t>Risk Factors</w:t>
            </w:r>
          </w:p>
        </w:tc>
        <w:tc>
          <w:tcPr>
            <w:tcW w:w="7760" w:type="dxa"/>
            <w:vAlign w:val="bottom"/>
            <w:gridSpan w:val="26"/>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1B.</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1C.</w:t>
            </w:r>
          </w:p>
        </w:tc>
        <w:tc>
          <w:tcPr>
            <w:tcW w:w="980" w:type="dxa"/>
            <w:vAlign w:val="bottom"/>
            <w:tcBorders>
              <w:top w:val="single" w:sz="8" w:color="0000FF"/>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5"/>
              </w:rPr>
              <w:t>Cybersecurity</w:t>
            </w:r>
          </w:p>
        </w:tc>
        <w:tc>
          <w:tcPr>
            <w:tcW w:w="1000" w:type="dxa"/>
            <w:vAlign w:val="bottom"/>
            <w:tcBorders>
              <w:top w:val="single" w:sz="8" w:color="0000FF"/>
            </w:tcBorders>
            <w:gridSpan w:val="6"/>
          </w:tcPr>
          <w:p>
            <w:pPr>
              <w:spacing w:after="0"/>
              <w:rPr>
                <w:sz w:val="17"/>
                <w:szCs w:val="17"/>
                <w:color w:val="auto"/>
              </w:rPr>
            </w:pPr>
          </w:p>
        </w:tc>
        <w:tc>
          <w:tcPr>
            <w:tcW w:w="6660" w:type="dxa"/>
            <w:vAlign w:val="bottom"/>
            <w:gridSpan w:val="19"/>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Properties</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7340" w:type="dxa"/>
            <w:vAlign w:val="bottom"/>
            <w:gridSpan w:val="23"/>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000FF"/>
            </w:tcBorders>
            <w:gridSpan w:val="4"/>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400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7840" w:type="dxa"/>
            <w:vAlign w:val="bottom"/>
            <w:tcBorders>
              <w:top w:val="single" w:sz="8" w:color="0000FF"/>
            </w:tcBorders>
            <w:gridSpan w:val="29"/>
          </w:tcPr>
          <w:p>
            <w:pPr>
              <w:spacing w:after="0" w:line="204"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w:t>
            </w:r>
          </w:p>
        </w:tc>
        <w:tc>
          <w:tcPr>
            <w:tcW w:w="6280" w:type="dxa"/>
            <w:vAlign w:val="bottom"/>
            <w:tcBorders>
              <w:bottom w:val="single" w:sz="8" w:color="0000FF"/>
            </w:tcBorders>
            <w:gridSpan w:val="27"/>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360" w:type="dxa"/>
            <w:vAlign w:val="bottom"/>
            <w:gridSpan w:val="3"/>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7A.</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8.</w:t>
            </w:r>
          </w:p>
        </w:tc>
        <w:tc>
          <w:tcPr>
            <w:tcW w:w="324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6"/>
              </w:rPr>
              <w:t>Financial Statements and Supplementary Data</w:t>
            </w:r>
          </w:p>
        </w:tc>
        <w:tc>
          <w:tcPr>
            <w:tcW w:w="1000" w:type="dxa"/>
            <w:vAlign w:val="bottom"/>
            <w:tcBorders>
              <w:top w:val="single" w:sz="8" w:color="0000FF"/>
            </w:tcBorders>
            <w:gridSpan w:val="7"/>
          </w:tcPr>
          <w:p>
            <w:pPr>
              <w:spacing w:after="0"/>
              <w:rPr>
                <w:sz w:val="17"/>
                <w:szCs w:val="17"/>
                <w:color w:val="auto"/>
              </w:rPr>
            </w:pPr>
          </w:p>
        </w:tc>
        <w:tc>
          <w:tcPr>
            <w:tcW w:w="4400" w:type="dxa"/>
            <w:vAlign w:val="bottom"/>
            <w:gridSpan w:val="9"/>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w:t>
            </w:r>
          </w:p>
        </w:tc>
        <w:tc>
          <w:tcPr>
            <w:tcW w:w="6340" w:type="dxa"/>
            <w:vAlign w:val="bottom"/>
            <w:tcBorders>
              <w:bottom w:val="single" w:sz="8" w:color="0000FF"/>
            </w:tcBorders>
            <w:gridSpan w:val="28"/>
          </w:tcPr>
          <w:p>
            <w:pPr>
              <w:spacing w:after="0" w:line="204" w:lineRule="exact"/>
              <w:rPr>
                <w:sz w:val="20"/>
                <w:szCs w:val="20"/>
                <w:color w:val="auto"/>
              </w:rPr>
            </w:pPr>
            <w:r>
              <w:rPr>
                <w:rFonts w:ascii="Times New Roman" w:cs="Times New Roman" w:eastAsia="Times New Roman" w:hAnsi="Times New Roman"/>
                <w:sz w:val="18"/>
                <w:szCs w:val="18"/>
                <w:color w:val="0000FF"/>
                <w:w w:val="96"/>
              </w:rPr>
              <w:t>Changes in and Disagreements With Accountants on Accounting and Financial Disclosure</w:t>
            </w:r>
          </w:p>
        </w:tc>
        <w:tc>
          <w:tcPr>
            <w:tcW w:w="230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9A.</w:t>
            </w:r>
          </w:p>
        </w:tc>
        <w:tc>
          <w:tcPr>
            <w:tcW w:w="1720" w:type="dxa"/>
            <w:vAlign w:val="bottom"/>
            <w:tcBorders>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6920" w:type="dxa"/>
            <w:vAlign w:val="bottom"/>
            <w:gridSpan w:val="21"/>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9B.</w:t>
            </w:r>
          </w:p>
        </w:tc>
        <w:tc>
          <w:tcPr>
            <w:tcW w:w="1280" w:type="dxa"/>
            <w:vAlign w:val="bottom"/>
            <w:tcBorders>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7360" w:type="dxa"/>
            <w:vAlign w:val="bottom"/>
            <w:gridSpan w:val="24"/>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9C.</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96</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20" w:type="dxa"/>
            <w:vAlign w:val="bottom"/>
            <w:tcBorders>
              <w:top w:val="single" w:sz="8" w:color="0000FF"/>
              <w:bottom w:val="single" w:sz="8" w:color="0000FF"/>
            </w:tcBorders>
            <w:gridSpan w:val="8"/>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80" w:type="dxa"/>
            <w:vAlign w:val="bottom"/>
            <w:tcBorders>
              <w:top w:val="single" w:sz="8" w:color="0000FF"/>
            </w:tcBorders>
          </w:tcPr>
          <w:p>
            <w:pPr>
              <w:spacing w:after="0"/>
              <w:rPr>
                <w:sz w:val="17"/>
                <w:szCs w:val="17"/>
                <w:color w:val="auto"/>
              </w:rPr>
            </w:pPr>
          </w:p>
        </w:tc>
        <w:tc>
          <w:tcPr>
            <w:tcW w:w="38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10.</w:t>
            </w:r>
          </w:p>
        </w:tc>
        <w:tc>
          <w:tcPr>
            <w:tcW w:w="3520" w:type="dxa"/>
            <w:vAlign w:val="bottom"/>
            <w:tcBorders>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18"/>
                <w:szCs w:val="18"/>
                <w:color w:val="0000FF"/>
                <w:w w:val="96"/>
              </w:rPr>
              <w:t>Directors and Executive Officers of the Registrant</w:t>
            </w:r>
          </w:p>
        </w:tc>
        <w:tc>
          <w:tcPr>
            <w:tcW w:w="5120" w:type="dxa"/>
            <w:vAlign w:val="bottom"/>
            <w:gridSpan w:val="14"/>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6"/>
              </w:rPr>
              <w:t>Executive Compensation</w:t>
            </w:r>
          </w:p>
        </w:tc>
        <w:tc>
          <w:tcPr>
            <w:tcW w:w="6880" w:type="dxa"/>
            <w:vAlign w:val="bottom"/>
            <w:gridSpan w:val="20"/>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12.</w:t>
            </w:r>
          </w:p>
        </w:tc>
        <w:tc>
          <w:tcPr>
            <w:tcW w:w="4760" w:type="dxa"/>
            <w:vAlign w:val="bottom"/>
            <w:tcBorders>
              <w:bottom w:val="single" w:sz="8" w:color="0000FF"/>
            </w:tcBorders>
            <w:gridSpan w:val="26"/>
          </w:tcPr>
          <w:p>
            <w:pPr>
              <w:spacing w:after="0" w:line="204"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w:t>
            </w:r>
          </w:p>
        </w:tc>
        <w:tc>
          <w:tcPr>
            <w:tcW w:w="3880" w:type="dxa"/>
            <w:vAlign w:val="bottom"/>
            <w:gridSpan w:val="4"/>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13.</w:t>
            </w:r>
          </w:p>
        </w:tc>
        <w:tc>
          <w:tcPr>
            <w:tcW w:w="3320" w:type="dxa"/>
            <w:vAlign w:val="bottom"/>
            <w:tcBorders>
              <w:bottom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6"/>
              </w:rPr>
              <w:t>Certain Relationships and Related Transactions</w:t>
            </w:r>
          </w:p>
        </w:tc>
        <w:tc>
          <w:tcPr>
            <w:tcW w:w="5320" w:type="dxa"/>
            <w:vAlign w:val="bottom"/>
            <w:gridSpan w:val="15"/>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14.</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80" w:type="dxa"/>
            <w:vAlign w:val="bottom"/>
            <w:gridSpan w:val="13"/>
          </w:tcPr>
          <w:p>
            <w:pPr>
              <w:jc w:val="center"/>
              <w:ind w:right="3980"/>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15.</w:t>
            </w:r>
          </w:p>
        </w:tc>
        <w:tc>
          <w:tcPr>
            <w:tcW w:w="282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Exhibits, Financial Statement Schedules</w:t>
            </w:r>
          </w:p>
        </w:tc>
        <w:tc>
          <w:tcPr>
            <w:tcW w:w="1160" w:type="dxa"/>
            <w:vAlign w:val="bottom"/>
            <w:gridSpan w:val="5"/>
          </w:tcPr>
          <w:p>
            <w:pPr>
              <w:spacing w:after="0"/>
              <w:rPr>
                <w:sz w:val="17"/>
                <w:szCs w:val="17"/>
                <w:color w:val="auto"/>
              </w:rPr>
            </w:pPr>
          </w:p>
        </w:tc>
        <w:tc>
          <w:tcPr>
            <w:tcW w:w="680" w:type="dxa"/>
            <w:vAlign w:val="bottom"/>
            <w:tcBorders>
              <w:top w:val="single" w:sz="8" w:color="0000FF"/>
            </w:tcBorders>
            <w:gridSpan w:val="6"/>
          </w:tcPr>
          <w:p>
            <w:pPr>
              <w:spacing w:after="0"/>
              <w:rPr>
                <w:sz w:val="17"/>
                <w:szCs w:val="17"/>
                <w:color w:val="auto"/>
              </w:rPr>
            </w:pPr>
          </w:p>
        </w:tc>
        <w:tc>
          <w:tcPr>
            <w:tcW w:w="3980" w:type="dxa"/>
            <w:vAlign w:val="bottom"/>
            <w:gridSpan w:val="6"/>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16.</w:t>
            </w:r>
          </w:p>
        </w:tc>
        <w:tc>
          <w:tcPr>
            <w:tcW w:w="864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880" w:type="dxa"/>
            <w:vAlign w:val="bottom"/>
            <w:gridSpan w:val="5"/>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44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16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This Annual Report on Form 10-K ("2024 Form 10-K")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w:t>
      </w:r>
    </w:p>
    <w:p>
      <w:pPr>
        <w:spacing w:after="0" w:line="115"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Examples of forward-looking statements include our full year 2025 outlook and plans, projections, expectations and estimates regarding (1) our strategy, the value of our business model and the demand for our communications infrastructure, (2) the growth potential of the U.S. market for shared communications infrastructure, (3) growth in the communications infrastructure industry, (4) demand for data and factors driving such demand, (5) the duration of our construction projects, (6) tenants' investment in wireless networks, (7) use of high-bandwidth applications, (8) our ability to service our debt and comply with debt covenants, (9) the level of commitment under our debt instruments, (10) our ability to remain qualified as a real estate investment trust ("REIT"), (11) site rental revenues, including the growth thereof, (12) sources and uses of liquidity, (13) impact from the Sprint cancellations (as defined below), (14) drivers of cash flow growth, (15) our competitive advantage, (16) our dividend policy and the timing, amount (including any increase or decrease), payment or tax characterization of our dividends, (17) discretionary and sustaining capital expenditures and expansion of our business, (18) impact of elevated interest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6"/>
          <w:szCs w:val="16"/>
          <w:color w:val="auto"/>
        </w:rPr>
        <w:t>rates, (19) the growth in our business and its driving factors, (20) our ESG (as defined below) goals, including carbon neutrality, (21) non-renewals, (22) restructuring activities and the cost reductions, charges, payments, scope, actions and savings associated therewith, including timing, amounts, and impact, (23) Fiber strategic review, (24) impacts of small cell node cancellations, (25) small cell nodes backlog and deployment, including timing of small cell deployments,</w:t>
      </w:r>
    </w:p>
    <w:p>
      <w:pPr>
        <w:spacing w:after="0" w:line="1" w:lineRule="exact"/>
        <w:rPr>
          <w:sz w:val="20"/>
          <w:szCs w:val="20"/>
          <w:color w:val="auto"/>
        </w:rPr>
      </w:pPr>
    </w:p>
    <w:p>
      <w:pPr>
        <w:jc w:val="both"/>
        <w:ind w:firstLine="5"/>
        <w:spacing w:after="0" w:line="244" w:lineRule="auto"/>
        <w:tabs>
          <w:tab w:leader="none" w:pos="3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 and the impact therefrom, (27) the impacts to our business and results stemming from the changes to our strategy and operating plans as a result of the Fiber operating review, including with respect to Fiber capital investments, revenues and cash flows, (28) the valuation of the Fiber segment in connection with the goodwill impairment charge, (29) the Strategic Fiber Agreement and Strategic Fiber Transaction (each as defined below) and pending sale of our Fiber Business (as defined below), including the timing, completion and scope thereof, the potential impacts on our business and results, and the activities and loss associated therewith, (30) the impacts stemming from changes to our capital allocation framework, including an anticipated decrease of our dividend, and (31) maintenance of an investment grade credit profile. Whether dividends are to be declared and the amount and timing thereof remain subject to the discretion of our board of directors.</w:t>
      </w:r>
    </w:p>
    <w:p>
      <w:pPr>
        <w:spacing w:after="0" w:line="15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5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6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used herein, the term "including," and any variation thereof, means "including without limitation." The use of the word "or" herein is not exclusive. Unless this 2024 Form 10-K indicates otherwise or the context otherwise requires, the terms, "we," "our," "our company," "the company" or "us" as used in this 2024 Form 10-K refer to Crown Castle Inc. and its predecessor (organized in 1995), as applicable, each a Delaware corporation (together, "CCI"), and their subsidiaries. Additionally, unless the context suggests otherwise, references to "U.S." are to the United States of America and Puerto Rico,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own, operate and lease shared communications infrastructure that is geographically dispersed throughout the U.S., including (1) more than 40,000 towers and other structures, such as rooftops (collectively, "towers"), (2) approximately 105,000 small cell nodes either currently generating revenue or under contract and (3) approximately 90,000 route miles of fiber primarily supporting small cells and fiber solutions. We refer to our towers, small cells and fiber assets collectively as "communications infrastructure," and, at times, to our customers on our communications infrastructure as "tenants." Our operating segments consist of (1) Towers and (2) Fiber, which includes both small cells and fiber solutions.</w:t>
      </w:r>
    </w:p>
    <w:p>
      <w:pPr>
        <w:spacing w:after="0" w:line="14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March 13, 2025, management signed a definitive agreement ("Strategic Fiber Agreement") to sell our Fiber segment, together with certain supporting assets and personnel ("Fiber Business"), with Zayo Group Holdings Inc. ("Zayo") acquiring the fiber solutions business and EQT Active Core Infrastructure fund ("EQT") acquiring the small cell business ("Strategic Fiber Transaction"). Under the agreement, we will receive $8.5 billion in aggregate, subject to certain closing adjustments. The Strategic Fiber Transaction is expected to close in the first half of 2026, subject to certain closing conditions and regulatory approvals.</w:t>
      </w:r>
    </w:p>
    <w:p>
      <w:pPr>
        <w:spacing w:after="0" w:line="212" w:lineRule="exact"/>
        <w:rPr>
          <w:sz w:val="20"/>
          <w:szCs w:val="20"/>
          <w:color w:val="auto"/>
        </w:rPr>
      </w:pPr>
    </w:p>
    <w:p>
      <w:pPr>
        <w:jc w:val="both"/>
        <w:ind w:firstLine="395"/>
        <w:spacing w:after="0" w:line="306" w:lineRule="auto"/>
        <w:rPr>
          <w:sz w:val="20"/>
          <w:szCs w:val="20"/>
          <w:color w:val="auto"/>
        </w:rPr>
      </w:pPr>
      <w:r>
        <w:rPr>
          <w:rFonts w:ascii="Times New Roman" w:cs="Times New Roman" w:eastAsia="Times New Roman" w:hAnsi="Times New Roman"/>
          <w:sz w:val="16"/>
          <w:szCs w:val="16"/>
          <w:color w:val="auto"/>
        </w:rPr>
        <w:t>The Fiber Business did not meet the criteria for assets held for sale as of December 31, 2024, and therefore remains presented as a component of continuing operations. As a result, this document, unless otherwise noted, does not contemplate the planned sale of the Fiber Business. Following the announcement of the Strategic Fiber Transaction and beginning with the Company's filing of Form 10-Q for the quarter ended March 31, 2025, the Fiber Business will be presented as a discontinued operation, and its net assets will be classified as held for sale and comparable prior periods will be recast to reflect this change. Upon classification as held for sale, we expect to recognize a loss of between $700 and $800 million, inclusive of estimated transaction fees.</w:t>
      </w:r>
    </w:p>
    <w:p>
      <w:pPr>
        <w:spacing w:after="0" w:line="9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Our core business is providing access, including space or capacity, to our shared communications infrastructure via long-term contracts in various forms, including lease, license, sublease and service agreements (collectively, "tenant contracts"). We seek to increase our site rental revenues by adding more tenants on our shared communications infrastructure, which we expect to result in significant incremental cash flows due to our low incremental operating costs. We operate as a REIT for U.S. federal income tax purposes. See </w:t>
      </w:r>
      <w:r>
        <w:rPr>
          <w:rFonts w:ascii="Times New Roman" w:cs="Times New Roman" w:eastAsia="Times New Roman" w:hAnsi="Times New Roman"/>
          <w:sz w:val="16"/>
          <w:szCs w:val="16"/>
          <w:i w:val="1"/>
          <w:iCs w:val="1"/>
          <w:color w:val="auto"/>
        </w:rPr>
        <w:t>"Item 1. Business—REIT Status"</w:t>
      </w:r>
      <w:r>
        <w:rPr>
          <w:rFonts w:ascii="Times New Roman" w:cs="Times New Roman" w:eastAsia="Times New Roman" w:hAnsi="Times New Roman"/>
          <w:sz w:val="16"/>
          <w:szCs w:val="16"/>
          <w:color w:val="auto"/>
        </w:rPr>
        <w:t xml:space="preserve"> and notes 2 and 9 to our consolidated financial statements.</w:t>
      </w:r>
    </w:p>
    <w:p>
      <w:pPr>
        <w:spacing w:after="0" w:line="11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Over nearly three decades, we have assembled a leading portfolio of towers predominately through acquisitions from large wireless carriers or their predecessors. More recently, we have extended our communications infrastructure presence by investing significantly in our Fiber segment. Through our product offerings of towers and small cells, we seek to provide a comprehensive solution to enable our wireless tenants to expand coverage and capacity for their wireless networks. Furthermore, within our Fiber segment, we seek to generate cash flow growth and stockholder return by deploying our fiber for both small cells' and fiber solutions' tenants.</w:t>
      </w:r>
    </w:p>
    <w:p>
      <w:pPr>
        <w:spacing w:after="0" w:line="13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Approximately 56% and 71% of our towers are located in the 50 and 100 largest U.S. basic trading areas ("BTAs"), respectively. Our towers have a significant presence in each of the top 100 BTAs. We derive approximately 40% of our towers site rental gross margin from towers located on land that we own, including through fee interests and perpetual easements, and we derive approximately 60% of our towers site rental gross margin from towers located on land that we lease, sublease, manage or license. The contracts for the land under our towers have an average total remaining life of approximately 35 years (including all renewal terms exercisable at our option), weighted based on towers site rental gross margin. The majority of our small cells and fiber assets are located in major metropolitan areas, including a presence in most major U.S. markets. The vast majority of our fiber assets are located on public rights-of-way.</w:t>
      </w:r>
    </w:p>
    <w:p>
      <w:pPr>
        <w:spacing w:after="0" w:line="10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largest tenants are T-Mobile, AT&amp;T and Verizon Wireless, which collectively accounted for approximately three-fourths of our 2024 consolidated site rental revenues. See note 14 to our consolidated financial statements for further information regarding our largest tenants. Site rental revenues represented 97% of our 2024 consolidated net revenues, of which 67% and 33% were from our Towers segment and Fiber segment, respectively. Within our Fiber segment, 66% and 34% of our 2024 site rental revenues related to fiber solutions and small cells, respectively. The vast majority of our site rental revenues are of a recurring nature and are derived from long-term tenant contracts. See "</w:t>
      </w:r>
      <w:r>
        <w:rPr>
          <w:rFonts w:ascii="Times New Roman" w:cs="Times New Roman" w:eastAsia="Times New Roman" w:hAnsi="Times New Roman"/>
          <w:sz w:val="18"/>
          <w:szCs w:val="18"/>
          <w:i w:val="1"/>
          <w:iCs w:val="1"/>
          <w:color w:val="auto"/>
        </w:rPr>
        <w:t>Item 1. Business—The Company</w:t>
      </w:r>
      <w:r>
        <w:rPr>
          <w:rFonts w:ascii="Times New Roman" w:cs="Times New Roman" w:eastAsia="Times New Roman" w:hAnsi="Times New Roman"/>
          <w:sz w:val="18"/>
          <w:szCs w:val="18"/>
          <w:color w:val="auto"/>
        </w:rPr>
        <w:t>" for further information. As of December 31, 2024, exclusive of renewals exercisable at the tenants' option, our tenant contracts had a weighted-average remaining life of approximately six years and represented $35.9 billion of expected future cash inflows.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 w:name="page5"/>
    <w:bookmarkEnd w:id="4"/>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part of our effort to provide comprehensive communications infrastructure solutions, as an ancillary business, we also offer certain services primarily relating to our Towers segment, predominately consisting of pre-construction site development services relating to existing or new tenant equipment installations, including: site acquisition, architectural and engineering, or zoning and permitting (collectively, "site development services").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See note 16 to our consolidated financial statements for a discussion of the July 2023 restructuring ("2023 Restructuring Plan"), which included discontinuing tenant equipment installations and subsequent augmentations (collectively, "installation services") as a Towers product offering and (2) the June 2024 restructuring plan ("2024 Restructuring Plan," and together with the 2023 Restructuring Plan, "Restructuring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a leading provider of shared communications infrastructure in the U.S., our strategy is to create long-term stockholder value via a combination of (1) growing cash flows generated from our existing portfolio of communications infrastructure,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per-share results. The key elements of our strategy are to:</w:t>
      </w:r>
    </w:p>
    <w:p>
      <w:pPr>
        <w:spacing w:after="0" w:line="131" w:lineRule="exact"/>
        <w:rPr>
          <w:sz w:val="20"/>
          <w:szCs w:val="20"/>
          <w:color w:val="auto"/>
        </w:rPr>
      </w:pPr>
    </w:p>
    <w:p>
      <w:pPr>
        <w:jc w:val="both"/>
        <w:ind w:left="800" w:hanging="400"/>
        <w:spacing w:after="0" w:line="248" w:lineRule="auto"/>
        <w:tabs>
          <w:tab w:leader="none" w:pos="7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Grow cash flows from our existing communications infrastructure. </w:t>
      </w:r>
      <w:r>
        <w:rPr>
          <w:rFonts w:ascii="Times New Roman" w:cs="Times New Roman" w:eastAsia="Times New Roman" w:hAnsi="Times New Roman"/>
          <w:sz w:val="18"/>
          <w:szCs w:val="18"/>
          <w:color w:val="auto"/>
        </w:rPr>
        <w:t>We are focused on maximizing the recurring site rental cash flows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providing our tenants with long-term access to our shared infrastructure assets,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product offerings of towers and small cells through our shared communications infrastructure model provide a comprehensive, efficient and cost-effective solution for our wireless tenants' growing networks. Additionally, we believe our ability to share our fiber assets across multiple tenants to both deploy small cells and offer fiber solutions allows us to generate cash flows and increase stockholder return.</w:t>
      </w:r>
    </w:p>
    <w:p>
      <w:pPr>
        <w:spacing w:after="0" w:line="134" w:lineRule="exact"/>
        <w:rPr>
          <w:rFonts w:ascii="Times New Roman" w:cs="Times New Roman" w:eastAsia="Times New Roman" w:hAnsi="Times New Roman"/>
          <w:sz w:val="18"/>
          <w:szCs w:val="18"/>
          <w:i w:val="1"/>
          <w:iCs w:val="1"/>
          <w:color w:val="auto"/>
        </w:rPr>
      </w:pPr>
    </w:p>
    <w:p>
      <w:pPr>
        <w:jc w:val="both"/>
        <w:ind w:left="800" w:hanging="400"/>
        <w:spacing w:after="0" w:line="294" w:lineRule="auto"/>
        <w:tabs>
          <w:tab w:leader="none" w:pos="79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Return cash generated by operating activities to common stockholders in the form of dividends</w:t>
      </w:r>
      <w:r>
        <w:rPr>
          <w:rFonts w:ascii="Times New Roman" w:cs="Times New Roman" w:eastAsia="Times New Roman" w:hAnsi="Times New Roman"/>
          <w:sz w:val="16"/>
          <w:szCs w:val="16"/>
          <w:color w:val="auto"/>
        </w:rPr>
        <w:t>. We believe that distributing a meaningful portion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cash generated by operating activities appropriately provides common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common stockholders.</w:t>
      </w:r>
    </w:p>
    <w:p>
      <w:pPr>
        <w:spacing w:after="0" w:line="98" w:lineRule="exact"/>
        <w:rPr>
          <w:rFonts w:ascii="Times New Roman" w:cs="Times New Roman" w:eastAsia="Times New Roman" w:hAnsi="Times New Roman"/>
          <w:sz w:val="16"/>
          <w:szCs w:val="16"/>
          <w:color w:val="auto"/>
        </w:rPr>
      </w:pPr>
    </w:p>
    <w:p>
      <w:pPr>
        <w:jc w:val="both"/>
        <w:ind w:left="800" w:hanging="400"/>
        <w:spacing w:after="0" w:line="250"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capital efficiently to grow cash flows and long-term dividends per share. </w:t>
      </w:r>
      <w:r>
        <w:rPr>
          <w:rFonts w:ascii="Times New Roman" w:cs="Times New Roman" w:eastAsia="Times New Roman" w:hAnsi="Times New Roman"/>
          <w:sz w:val="18"/>
          <w:szCs w:val="18"/>
          <w:color w:val="auto"/>
        </w:rPr>
        <w:t>In addition to adding tenants to existing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we seek to invest our available capital, including the net cash generated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spacing w:after="0" w:line="134"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towers, fiber and small cells;</w:t>
      </w:r>
    </w:p>
    <w:p>
      <w:pPr>
        <w:spacing w:after="0" w:line="21"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towers, fiber and small cells;</w:t>
      </w:r>
    </w:p>
    <w:p>
      <w:pPr>
        <w:spacing w:after="0" w:line="3"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land interests (which primarily relate to land assets under towers);</w:t>
      </w:r>
    </w:p>
    <w:p>
      <w:pPr>
        <w:spacing w:after="0" w:line="3"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and structural enhancements to our existing communications infrastructure;</w:t>
      </w:r>
    </w:p>
    <w:p>
      <w:pPr>
        <w:spacing w:after="0" w:line="3"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our common stock from time to time; and</w:t>
      </w:r>
    </w:p>
    <w:p>
      <w:pPr>
        <w:spacing w:after="0" w:line="3"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repayments or redemptions of our debt.</w:t>
      </w:r>
    </w:p>
    <w:p>
      <w:pPr>
        <w:spacing w:after="0" w:line="1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strategy to create long-term stockholder value is based on our belief that there will be considerable future demand for our communications infrastructure based on the location of our assets and the rapid and continuing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 constructed or acquired communications infrastructure, as described above. Further, we seek to augment the long-term value creation associated with growing our recurring site rental cash flows by offering certain ancillary site development services within our Towers segment.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REIT Status</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operate as a REIT for U.S. federal income tax purposes. As a REIT, we are generally entitled to a deduction for dividends that we pay and, therefore, are not subject to U.S. federal corporate income tax on our net taxable income that is currently distributed to our stockholders. We may be subject to certain federal, state, local and foreign taxes on our income or assets, including (1) taxes on any undistributed income, (2) taxes related to our taxable REIT subsidiaries ("TRSs"), (3) franchise taxes, (4) property taxes and (5) transfer taxes. In addition, we could, under certain circumstances, be required to pay an excise or penalty tax, which could be significant in amount, in order to utilize one or more relief provisions under the Internal Revenue Code of 1986, as amended ("Code"), to maintain qualification for taxation as a REIT. For taxable years beginning before 2026, qualified REIT dividends (within the meaning of Section 199A(e)(3) of the Code) constitute a part of a non-corporate taxpayer's "qualified business income amount" and thus our non-corporate U.S. stockholders may be eligible to take a qualified business income deduction in an amount equal to 20% of such dividends received from us. Without further legislative action, the 20% deduction applicable to qualified REIT dividends will expire on January 1, 2026.</w:t>
      </w:r>
    </w:p>
    <w:p>
      <w:pPr>
        <w:spacing w:after="0" w:line="13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vast majority of our assets and revenues are in the REIT. See notes 2 and 9 to our consolidated financial statements. Additionally, we have included in TRSs certain other assets and operations. Those TRS assets and operations will continue to be subject, as applicable, to federal and state corporate income taxes or to foreign taxes in the jurisdictions in which such assets and operations are located.</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foreign assets and operations (including our tower operations in Puerto Rico) most likely will be subject to foreign income taxes in the jurisdictions in which such assets and operations are located, regardless of whether or not they are included in a TRS.</w:t>
      </w:r>
    </w:p>
    <w:p>
      <w:pPr>
        <w:spacing w:after="0" w:line="1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To remain qualified and be taxed as a REIT, we are generally required to annually distribute to our stockholders at least 90% of our REIT taxable income, after the utilization of our net operating loss carryforwards "NOLs" (determined without regard to the dividends paid deduction and excluding net capital gain) (see notes 2 and 9 to our consolidated financial statements). Our quarterly common stock dividend will delay the utilization of our NOLs and may cause certain of the NOLs to expire without utilization.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risks associated with our REIT status.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Consumer demand for data continues to grow due to increases in data consumption and increased penetration of bandwidth-intensive devices. This increase in data consumption is driven by factors such as growth in (1) mobile entertainment (such as mobile video, mobile applications and social networking),</w:t>
      </w:r>
    </w:p>
    <w:p>
      <w:pPr>
        <w:jc w:val="both"/>
        <w:ind w:firstLine="5"/>
        <w:spacing w:after="0" w:line="245"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internet usage (supporting web browsing and trends in telehealth, remote working, online learning and other remote communications), (3) machine-to-machine applications or the "Internet of Things" (such as connected cars and wearables), and (4) the adoption of other bandwidth-intensive applications (such as cloud services, artificial intelligence and video communications). As a result, consumer wireless devices are trending toward bandwidth-intensive devices, including smartphones, laptops, tablets and other emerging and embedded devices, and U.S. wireless carriers are among the first carriers in the world to offer commercial 5th Generation ("5G") mobile cellular communications services to further support such growth.</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expect the following factors to contribute to potential demand for our communications infrastructure:</w:t>
      </w:r>
    </w:p>
    <w:p>
      <w:pPr>
        <w:spacing w:after="0" w:line="21" w:lineRule="exact"/>
        <w:rPr>
          <w:sz w:val="20"/>
          <w:szCs w:val="20"/>
          <w:color w:val="auto"/>
        </w:rPr>
      </w:pPr>
    </w:p>
    <w:p>
      <w:pPr>
        <w:jc w:val="both"/>
        <w:ind w:left="800" w:hanging="400"/>
        <w:spacing w:after="0" w:line="244"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growing wireless data consumption leading major wireless carriers to upgrade and enhance their networks through the efficient use of both towers and small cells, including in connection with 5G deployments, in an effort to improve network quality and capacity and customer retention or satisfaction;</w:t>
      </w:r>
    </w:p>
    <w:p>
      <w:pPr>
        <w:ind w:left="800" w:hanging="400"/>
        <w:spacing w:after="0" w:line="244"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and future potential spectrum auctioned, licensed or made available by the Federal Communications Commission ("FCC") enabling additional wireless carrier network development;</w:t>
      </w:r>
    </w:p>
    <w:p>
      <w:pPr>
        <w:ind w:left="800" w:hanging="400"/>
        <w:spacing w:after="0" w:line="244"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technologies and new uses for wireless communications may potentially result in new entrants or increased demand in the wireless industry, which may include companies involved in the continued evolution and deployment of the Internet of Things;</w:t>
      </w:r>
    </w:p>
    <w:p>
      <w:pPr>
        <w:ind w:left="800" w:hanging="400"/>
        <w:spacing w:after="0" w:line="244"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adoption of bandwidth-intensive applications, including artificial intelligence, could result in demand for high-capacity, multi-location, fiber-based network solutions; and</w:t>
      </w:r>
    </w:p>
    <w:p>
      <w:pPr>
        <w:ind w:left="800" w:hanging="400"/>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government initiatives to expand broadband infrastructure to support connectivity throughout the 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Virtually all of our operations in both our Towers and Fiber operating segments are located in the U.S. For more information about our operating segments, see </w:t>
      </w:r>
      <w:r>
        <w:rPr>
          <w:rFonts w:ascii="Times New Roman" w:cs="Times New Roman" w:eastAsia="Times New Roman" w:hAnsi="Times New Roman"/>
          <w:sz w:val="18"/>
          <w:szCs w:val="18"/>
          <w:i w:val="1"/>
          <w:iCs w:val="1"/>
          <w:color w:val="auto"/>
        </w:rPr>
        <w:t>"Item 7. MD&amp;A—Results of Operations"</w:t>
      </w:r>
      <w:r>
        <w:rPr>
          <w:rFonts w:ascii="Times New Roman" w:cs="Times New Roman" w:eastAsia="Times New Roman" w:hAnsi="Times New Roman"/>
          <w:sz w:val="18"/>
          <w:szCs w:val="18"/>
          <w:color w:val="auto"/>
        </w:rPr>
        <w:t xml:space="preserve"> and note 14 to our consolidated financial statements. Our core business is providing access, including space or capacity, to our shared communications infrastructure via long-term tenant contracts in the U.S. We believe our communications infrastructure is integral to our tenants' networks and organizations. See </w:t>
      </w:r>
      <w:r>
        <w:rPr>
          <w:rFonts w:ascii="Times New Roman" w:cs="Times New Roman" w:eastAsia="Times New Roman" w:hAnsi="Times New Roman"/>
          <w:sz w:val="18"/>
          <w:szCs w:val="18"/>
          <w:i w:val="1"/>
          <w:iCs w:val="1"/>
          <w:color w:val="auto"/>
        </w:rPr>
        <w:t>"Item 1. Business—Strategy."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6" w:name="page7"/>
    <w:bookmarkEnd w:id="6"/>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Towers Segment. </w:t>
      </w:r>
      <w:r>
        <w:rPr>
          <w:rFonts w:ascii="Times New Roman" w:cs="Times New Roman" w:eastAsia="Times New Roman" w:hAnsi="Times New Roman"/>
          <w:sz w:val="18"/>
          <w:szCs w:val="18"/>
          <w:color w:val="auto"/>
        </w:rPr>
        <w:t>We believe towers are the most efficient and cost-effective solution for providing coverage and capacity for wireless carrier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deployments. We acquired ownership interests or exclusive rights to the majority of our towers directly or indirectly from the largest U.S. wireless carriers (or their predecessors) through transactions consummated since 1999, including towers from (1) AT&amp;T in 2013, (2) T-Mobile in 2012, (3) companies now part of T-Mobile in 2007, (4) companies now part of Verizon Wireless in 1999 and 2000 and (5) companies now part of AT&amp;T in 1999 and 2000.</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generally receive monthly rental payments and, in some cases, upfront payments, from our Towers tenants pursuant to long-term tenant contracts with</w:t>
      </w:r>
    </w:p>
    <w:p>
      <w:pPr>
        <w:spacing w:after="0" w:line="44" w:lineRule="exact"/>
        <w:rPr>
          <w:sz w:val="20"/>
          <w:szCs w:val="20"/>
          <w:color w:val="auto"/>
        </w:rPr>
      </w:pPr>
    </w:p>
    <w:p>
      <w:pPr>
        <w:jc w:val="both"/>
        <w:ind w:firstLine="5"/>
        <w:spacing w:after="0" w:line="246" w:lineRule="auto"/>
        <w:tabs>
          <w:tab w:leader="none" w:pos="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contract terms generally between five to 15 years, (2) multiple renewal periods generally between five to 10 years each, exercisable at the option of the tenant, (3) limited termination rights for our tenants and (4) contractual escalations of the rental price. We strive to negotiate with our existing tenant base for longer contractual terms, which often contain fixed escalation rates.</w:t>
      </w:r>
    </w:p>
    <w:p>
      <w:pPr>
        <w:spacing w:after="0" w:line="13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Our Towers tenant contracts, while amended and re-negotiated over time, have historically led to a long-term relationship with tenants on our towers, resulting in a retention rate generally between 98% and 99% each year. In general, each renewable tenant contract automatically renews at the end of its term unless (1) the tenant provides prior notice of its intent not to renew or (2) the contract is amended or re-negotiated.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regarding higher non-renewals (which we define as the reduction in site rental revenues as a result of tenant churn, terminations and, in limited circumstances, reductions of existing lease rates) expected as a result of the T-Mobile and Sprint network consolidation. See note 3 to our consolidated financial statements for a tabular presentation of the minimum rental payments due to us by tenants pursuant to tenant contracts without consideration of tenant renewal options as of December 31, 2024.</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average monthly rental payment from a new tenant added to towers can vary based on (1) aggregate tenant volume, (2) the location of the tower, or</w:t>
      </w:r>
    </w:p>
    <w:p>
      <w:pPr>
        <w:spacing w:after="0" w:line="44" w:lineRule="exact"/>
        <w:rPr>
          <w:sz w:val="20"/>
          <w:szCs w:val="20"/>
          <w:color w:val="auto"/>
        </w:rPr>
      </w:pPr>
    </w:p>
    <w:p>
      <w:pPr>
        <w:jc w:val="both"/>
        <w:ind w:firstLine="5"/>
        <w:spacing w:after="0" w:line="245"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tower and ground space leased to a tenant, which can be influenced by the quantity, size, and weight of the tenant's antenna installation or related equipment. When possible, we seek to receive rental payment increases in connection with tenant contract amendments, pursuant to which our tenants add antennas or other equipment to our towers or ground space on which they already have equipment pursuant to preexisting tenant contracts. Our Towers tenant contracts and pricing are not influenced by whether or not we perform the site development services.</w:t>
      </w:r>
    </w:p>
    <w:p>
      <w:pPr>
        <w:spacing w:after="0" w:line="13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2024, the average number of tenants (calculated as a unique license together with any related amendments thereto) per tower was approximately 2.4.</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Fiber Segment. </w:t>
      </w:r>
      <w:r>
        <w:rPr>
          <w:rFonts w:ascii="Times New Roman" w:cs="Times New Roman" w:eastAsia="Times New Roman" w:hAnsi="Times New Roman"/>
          <w:sz w:val="18"/>
          <w:szCs w:val="18"/>
          <w:color w:val="auto"/>
        </w:rPr>
        <w:t>Our Fiber segment consists of communications infrastructure offerings of small cells and fiber solutions.</w:t>
      </w:r>
    </w:p>
    <w:p>
      <w:pPr>
        <w:spacing w:after="0" w:line="163" w:lineRule="exact"/>
        <w:rPr>
          <w:sz w:val="20"/>
          <w:szCs w:val="20"/>
          <w:color w:val="auto"/>
        </w:rPr>
      </w:pPr>
    </w:p>
    <w:p>
      <w:pPr>
        <w:ind w:left="800" w:hanging="400"/>
        <w:spacing w:after="0" w:line="268"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small cells offload data traffic from towers and bolster our tenants' network capacity where data demand is the greatest and are typically attached to public right-of-way infrastructure, including utility poles and street lights.</w:t>
      </w:r>
    </w:p>
    <w:p>
      <w:pPr>
        <w:spacing w:after="0" w:line="116" w:lineRule="exact"/>
        <w:rPr>
          <w:rFonts w:ascii="Times New Roman" w:cs="Times New Roman" w:eastAsia="Times New Roman" w:hAnsi="Times New Roman"/>
          <w:sz w:val="18"/>
          <w:szCs w:val="18"/>
          <w:color w:val="auto"/>
        </w:rPr>
      </w:pPr>
    </w:p>
    <w:p>
      <w:pPr>
        <w:ind w:left="800" w:hanging="400"/>
        <w:spacing w:after="0" w:line="268"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fiber solutions to large wireless carriers and organizations with high-bandwidth and multi-location demands. Our fiber solutions provide essential connectivity resources needed to create integrated networks and support organizations.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Most of our fiber assets were acquired through transactions dating back to 2012, with the largest transactions occurring in 2017. Our fiber assets include those we acquired from LTS Group Holdings LLC, Inc., Wilcon Holdings LLC and FPL FiberNet Holdings, LLC and certain other subsidiaries of NextEra Energy in 2017, Quanta Fiber Networks, Inc. in 2015, and NextG Networks, Inc. in 2012.</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generally receive monthly recurring payments and, in some cases, upfront payments, from our Fiber tenants pursuant to tenant contracts with initial terms that generally vary between one to 20 years. The average monthly rental payment from a new tenant can vary based on the amount or cost of (1) construction for initial and subsequent tenants, (2) fiber strand requirements and supply, (3) equipment at the site, (4) the market in the U.S. where the fiber is located and the competition thereof and (5) any upfront payment received.</w:t>
      </w:r>
    </w:p>
    <w:p>
      <w:pPr>
        <w:spacing w:after="0" w:line="12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Additional Site Rental Information. </w:t>
      </w:r>
      <w:r>
        <w:rPr>
          <w:rFonts w:ascii="Times New Roman" w:cs="Times New Roman" w:eastAsia="Times New Roman" w:hAnsi="Times New Roman"/>
          <w:sz w:val="18"/>
          <w:szCs w:val="18"/>
          <w:color w:val="auto"/>
        </w:rPr>
        <w:t>For both our Towers and Fiber segments, we have existing master agreements with our largest tenants, including T-Mobile, AT&amp;T and Verizon Wireless. Such agreements provide certain terms (including economic terms) that govern underlying contracts (entered into during the term of the master agreements) regarding the right to use our communications infrastructure by such tenants.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Approximately 40% of our site rental costs of operations consists of Towers ground lease expenses, and the remainder primarily includes fiber access expenses (primarily leases of fiber assets and other access agreements to facilitate our communications infrastructure), repairs and maintenance, employee compensation or related benefit costs, property taxes, and utilities. Assuming current leasing activity levels, our cash operating expenses generally tend to escalate at approximately the rate of inflation. We seek to add tenants to our existing communications infrastructure at a low incremental operating cost,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delivering high incremental returns to our business. Once constructed, our communications infrastructure requires minimal sustaining capital expenditures, including maintenance or other non-discretionary capital expenditures, which are typically between 1% and 2% of net revenues. See note 13 to our consolidated financial statements for a tabular presentation of the rental payments we owe to landlords pursuant to our operating lease agreements.</w:t>
      </w:r>
    </w:p>
    <w:p>
      <w:pPr>
        <w:spacing w:after="0" w:line="12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As part of our effort to provide comprehensive communications infrastructure solutions, as an ancillary business, we also offer certain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relating to pre-construction site development services in our Towers segment. See note 16 to our consolidated financial statements for a discussion of the July 2023 restructuring plan, which included discontinuing installation services as a Towers product offering. In 2024, our services and other revenues primarily related to site development services. We seek to grow our services revenues by capitalizing on (1) increased leasing volumes that may result from carrier network upgrades, (2) promoting site development services, (3) expanding the scope of our services, and (4) focusing on tenant service and deployment speed. We do not always provide the site development services for our tenants on our communications infrastructure as other service providers also provide these services (see also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xml:space="preserve"> below). Typically, our site development services are non-recurring and are billed on a fixed fee basis, and the terms and pricing of site development services are negotiated separately from our tenant contracts.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Our Towers customers are primarily comprised of large wireless carriers that operate national networks.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Fiber customers generally consist of large wireless carriers and organizations with high-bandwidth and multi-location demands, such as enterprise (including healthcare and financial), wholesale, government and education institutions.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Our three largest tenants are T-Mobile, AT&amp;T and Verizon Wireless. Collectively, these three tenants accounted for approximately three-fourths of our 2024 site rental revenues.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risks associated with our dependence on a small number of customers and note 14 to our consolidated financial statements. For 2024, our site rental revenues by tenant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92710</wp:posOffset>
            </wp:positionV>
            <wp:extent cx="4119245" cy="2113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9245" cy="211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organization markets our communications infrastructure with the objective of contracting access with tenants to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infrastructure or to new communications infrastructure prior to construction. We seek to become the critical partner and preferred independent communications infrastructure provider for our tenants and increase tenant satisfaction relative to our peers by leveraging our (1) existing unique communications infrastructure footprint, (2) tenant relationships, (3) process-centric approach, (4) technological tools and (5) construction capabilities and expertise relative to the Fiber segment.</w:t>
      </w:r>
    </w:p>
    <w:p>
      <w:pPr>
        <w:spacing w:after="0" w:line="13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sales team is organized based on a variety of factors, including tenant type (such as large wireless carriers, vertical customers and organizations), product offering and geography. A team of national account directors maintains our relationships with our largest tenants. These directors work to develop new business opportunities, as well as to ensure that tenants' communications infrastructure needs are efficiently translated into new contracts for our communications infrastructure. Sales personnel in our local offices develop and maintain relationships with our tenants that are expanding their networks, entering new markets, seeking new or additional communication infrastructure offerings, bringing new technologies to market or requiring maintenance or add-on business. In addition to our full-time sales or marketing staff, a number of senior-level employees spend a significant portion of their time on sales and marketing activities and call on existing or prospective tenants.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 w:name="page9"/>
    <w:bookmarkEnd w:id="8"/>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We face competition for site rental tenants from various sources, including (1) other independent communications infrastructure owners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including competitors that own, operate, or manage towers, rooftops, broadcast or transmission towers, utility poles, fiber (including non-traditional competitors, such as cable providers) or small cells, (2) tenants who elect to self-perform or (3) new alternative deployment methods for communications infrastructure.</w:t>
      </w:r>
    </w:p>
    <w:p>
      <w:pPr>
        <w:spacing w:after="0" w:line="12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Some of our largest competitors in the Towers segment are American Tower Corporation and SBA Communications Corporation. Our Fiber segment business competitors can vary significantly based on geography. Some of the larger competitors in the Fiber segment include other owners of fiber, tenants who elect to self-perform and recent and potential entrants into small cells and the fiber solutions business. We believe that location, existing communications infrastructure footprint, deployment speed, quality of service, expertise, reputation, capacity and price have been and will continue to be the most significant competitive factors affecting our businesses.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competition in our industry.</w:t>
      </w:r>
    </w:p>
    <w:p>
      <w:pPr>
        <w:spacing w:after="0" w:line="13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Competitors to our services offering can include site acquisition consultants, zoning consultants, real estate firms, right-of-way consulting firms, construction companies, tower owners or managers, radio frequency engineering consultants, our tenants' internal staff or contractors, or telecommunications equipment vendors who can provide turnkey site development services through multiple subcontractors. We believe that our tenants base their decisions on the outsourcing of services on criteria such as a company's experience, record of accomplishment, reputation, price and time for completion of a project.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shared communications infrastructure model results in the use of fewer resources, including water, energy, metals and other materials, than would otherwise be needed to construct and maintain communications infrastructure under a single-tenant infrastructure model. We are committed to operating responsibly and ethically and considering social and environmental impacts as we make business decisions. We currently maintain annual sustainability targets in our senior unsecured credit facility. Further, we have a goal to be carbon neutral for 2025 in Scope 1 and 2 emissions by continuing to invest in energy reduction initiatives, sourcing renewable energy, and, to a lesser extent, utilizing carbon credits or offsets. We plan to continue investing in projects that are both good for our business and good for the environment.</w:t>
      </w:r>
    </w:p>
    <w:p>
      <w:pPr>
        <w:spacing w:after="0" w:line="13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Nominating, Environmental, Social and Governance Committee assists the board of directors with ESG oversight. Our executive management team and senior management keep our board of directors apprised of our ESG priorities, goals and initiatives. Together, our board of directors and executive management team define our strategic approach to managing actual and potential impacts of significant ESG risks and opportunities.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Additional information regarding our sustainability initiatives and progress is also available through the Investors section of our website at https://investor.crowncastle.com. The information on our website, including our ESG Reports, is not, and shall not be deemed to be, incorporated by reference into this 2024 Form 10-K or any other filings with the SEC unless expressly noted in any such other filings.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people who work for Crown Castle are essential to our ability to execute on our strategy. As of January 31, 2025, we employed approximately 3,900 people, all of whom were based in the U.S. From time to time, we also add contingent workers to support our business.</w:t>
      </w:r>
    </w:p>
    <w:p>
      <w:pPr>
        <w:spacing w:after="0" w:line="1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believe attracting, developing and retaining talented employees is paramount to serving our customers and our communities and creating value for our stockholders. We also periodically conduct company-wide employee surveys to help us understand how they feel about working at our company and track the results to inform our human capital strategies. We focus on building and retaining a strong and innovative workforce with a variety of backgrounds, experiences and points of view.</w:t>
      </w:r>
    </w:p>
    <w:p>
      <w:pPr>
        <w:spacing w:after="0" w:line="13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well-being of our employees is a crucial element of our safety culture, employee engagement and productivity. We offer a comprehensive total rewards package which includes market-based pay, performance-based annual incentive awards, healthcare and retirement benefits, mental health benefits, parental and family leave, holiday and paid time off and tuition assistance. We further invest in our employees' professional growth and development by providing resources and opportunities to hone their skills and expand their subject-matter expertise, which empowers them to advance their careers and enables our business to prosper.</w:t>
      </w:r>
    </w:p>
    <w:p>
      <w:pPr>
        <w:spacing w:after="0" w:line="131" w:lineRule="exact"/>
        <w:rPr>
          <w:sz w:val="20"/>
          <w:szCs w:val="20"/>
          <w:color w:val="auto"/>
        </w:rPr>
      </w:pPr>
    </w:p>
    <w:p>
      <w:pPr>
        <w:jc w:val="both"/>
        <w:ind w:firstLine="395"/>
        <w:spacing w:after="0" w:line="335" w:lineRule="auto"/>
        <w:rPr>
          <w:sz w:val="20"/>
          <w:szCs w:val="20"/>
          <w:color w:val="auto"/>
        </w:rPr>
      </w:pPr>
      <w:r>
        <w:rPr>
          <w:rFonts w:ascii="Times New Roman" w:cs="Times New Roman" w:eastAsia="Times New Roman" w:hAnsi="Times New Roman"/>
          <w:sz w:val="16"/>
          <w:szCs w:val="16"/>
          <w:color w:val="auto"/>
        </w:rPr>
        <w:t xml:space="preserve">We are not a party to any collective bargaining agreements and have not experienced any strikes or work stoppages. See </w:t>
      </w:r>
      <w:r>
        <w:rPr>
          <w:rFonts w:ascii="Times New Roman" w:cs="Times New Roman" w:eastAsia="Times New Roman" w:hAnsi="Times New Roman"/>
          <w:sz w:val="16"/>
          <w:szCs w:val="16"/>
          <w:i w:val="1"/>
          <w:iCs w:val="1"/>
          <w:color w:val="auto"/>
        </w:rPr>
        <w:t>"Item 1A. Risk Factors"</w:t>
      </w:r>
      <w:r>
        <w:rPr>
          <w:rFonts w:ascii="Times New Roman" w:cs="Times New Roman" w:eastAsia="Times New Roman" w:hAnsi="Times New Roman"/>
          <w:sz w:val="16"/>
          <w:szCs w:val="16"/>
          <w:color w:val="auto"/>
        </w:rPr>
        <w:t xml:space="preserve"> and note 16 to our consolidated financial statements for further discussion of our Restructuring Plans, which resulted in a reduction of total employee headcount.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Matters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We are required to comply with a variety of federal, state and local regulations and laws in the U.S., including FCC and Federal Aviation Administration ("FAA") regulations and those discussed under </w:t>
      </w: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xml:space="preserve"> below. To date, we have not incurred any material fines or penalties or experienced any material adverse effects to our business as a result of any domestic or international regulations, including any environmental regulations. The summary below is based on regulations currently in effect, and such regulations are subject to review or modification by the applicable governmental authority from time to time. If we fail to comply with applicable laws and regulations, we may be fined or lose our rights to conduct some of our business.</w:t>
      </w:r>
    </w:p>
    <w:p>
      <w:pPr>
        <w:spacing w:after="0" w:line="13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Both the FCC and the FAA regulate towers used for wireless communications, radio, or television broadcasting. Such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the siting, construction, modification, lighting, and marking of towers and may, depending on the characteristics of particular towers, require the registration of tower facilities with the FCC and the issuance of determinations confirming no hazard to air traffic. Wireless communications devices operating on towers are separately regulated and independently licensed based upon the particular frequency used. In addition, the FCC and the FAA have developed standards to consider proposals for new or modified tower or antenna structures based upon the height or location, including proximity to airports. Proposals to construct or to modify existing tower or antenna structures above certain heights are reviewed by the FAA to ensure the structure will not present a hazard to aviation, which determination may be conditioned upon compliance with lighting or marking requirements. The FCC requires its licensees to operate communications devices only on towers that comply with FAA rules and are registered with the FCC, if required by its regulations. Where tower lighting is required by FAA regulation, tower owners bear the responsibility of notifying the FAA of any tower lighting outage and ensuring the timely restoration of such outages.</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w:t>
      </w:r>
      <w:r>
        <w:rPr>
          <w:rFonts w:ascii="Times New Roman" w:cs="Times New Roman" w:eastAsia="Times New Roman" w:hAnsi="Times New Roman"/>
          <w:sz w:val="18"/>
          <w:szCs w:val="18"/>
          <w:color w:val="auto"/>
        </w:rPr>
        <w:t>The U.S. Telecommunications Act of 1996 amended the Communications Act of 1934 to preserve state and local zoning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jurisdiction over the siting of communications towers and small cells. The law, however, limits state and local zoning authority by prohibiting actions by such authorities that discriminate between different service providers of wireless communications or prohibit altogether (actually or effectively) the provision of wireless communications. Additionally, the law prohibits state and local restrictions based on the environmental effects of radio frequency emissions to the extent the facilities comply with FCC regulations.</w:t>
      </w:r>
    </w:p>
    <w:p>
      <w:pPr>
        <w:spacing w:after="0" w:line="13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Local regulations include city and other local ordinances (including subdivision and zoning ordinances), approvals for construction, modification and removal of towers and small cells, and restrictive covenants imposed by community developers. These regulations vary greatly, but typically require us to obtain prior approval from local officials. Local zoning authorities may render decisions that prevent the construction or modification of towers or small cells, or place conditions on such construction or modifications that are responsive to community residents' concerns regarding the height, visibility, or other characteristics of such infrastructure. Over the last several years, the FCC has adopted regulations and 32 states have passed legislation intended to expedite and streamline the deployment of wireless networks, including establishing presumptively reasonable timeframes for reviews by local and state governments. Notwithstanding such developments, decisions of local regulatory authorities and utilities in certain jurisdictions may continue to adversely affect deployment timing and cost.</w:t>
      </w:r>
    </w:p>
    <w:p>
      <w:pPr>
        <w:spacing w:after="0" w:line="13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Certain of our subsidiaries hold state authorizations, including authorizations to act as competitive local exchange carriers ("CLECs"), to provide intrastate telecommunication services in addition to FCC authorization to provide domestic interstate telecommunication services. State authorizations may help promote access to public rights-of-way, which is beneficial to the timely deployment of fiber and small cells, and often allow us to deploy such infrastructure in locations where zoning restrictions might otherwise delay, restrict, or prevent building or expanding traditional wireless tower and rooftop sites.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regarding rights to our infrastructure.</w:t>
      </w:r>
    </w:p>
    <w:p>
      <w:pPr>
        <w:spacing w:after="0" w:line="13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We are required to comply with a variety of federal, state and local environmental laws and regulations protecting environmental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air and water quality, and wildlife. To date, we have not incurred any material fines or penalties or experienced any material adverse effects to our business as a result of any domestic or international environmental regulations or matters.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regarding compliance with laws and regulations.</w:t>
      </w:r>
    </w:p>
    <w:p>
      <w:pPr>
        <w:spacing w:after="0" w:line="12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construction of new towers and small cells or, in some cases, their modification in the U.S. may be subject to environmental review under the National Environmental Policy Act of 1969, as amended ("NEPA"), which requires federal agencies to evaluate the environmental impact of major federal actions. NEPA regulations require applicants to investigate the potential environmental impact of the proposed tower or small cells construction. If the FCC determines that the proposed tower or small cells construction or modification presents a significant environmental impact, the FCC is required to prepare an environmental impact statement, which is subject to public comment. Such determination could significantly delay the FCC's approval of the construction or modification.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0" w:name="page11"/>
    <w:bookmarkEnd w:id="10"/>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operations are also subject to federal, state and local laws and regulations relating to the management, use, storage, disposal, emission, or remediation of, or exposure to, hazardous or non-hazardous substances, materials, or wastes. As an owner, lessee, or operator of real property, we are subject to certain environmental laws that impose strict, joint-and-several liability for the cleanup of on-site or off-site contamination relating to existing or historical operations; or we could also be subject to personal injury or property damage claims relating to such contamination. In general, our tenant contracts prohibit our tenants from using or storing any hazardous substances on our communications infrastructure sites in violation of applicable environmental laws and require our tenants to provide notice of certain environmental conditions caused by them.</w:t>
      </w:r>
    </w:p>
    <w:p>
      <w:pPr>
        <w:spacing w:after="0" w:line="13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subject to Occupational Safety and Health Administration and similar guidelines regarding employee protection from radio frequency exposure. In recent years, the scientific community has extensively studied low-level radio frequency emissions to determine whether they have any connection to certain negative health effects, such as cancer.</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compliance programs and monitoring projects designed to promote compliance with applicable environmental laws and regulations.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Nevertheless, there can be no assurance that the costs of compliance with existing or future environmental laws will not have a material adverse effect on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maintain a website at www.crowncastle.com. Our annual reports on Form 10-K, quarterly reports on Form 10-Q, current reports on Form 8-K (and any amendments to those reports filed or furnished pursuant to Section 13(a) or 15(d) of the Securities Exchange Act of 1934, as amended ("Exchange Act")), proxy statements and other information about us are made available, free of charge, through the Investors section of our website at https://investor.crowncastle.com and at the SEC's website at http://sec.gov as soon as reasonably practicable after we electronically file such material with, or furnish it to, the SEC.</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our Corporate Governance Guidelines, Proper Business Practices and Ethics Policy, Financial Code of Ethics, and the charters of our Audit Committee, Compensation and Human Capital Committee and Nominating, Environmental, Social and Governance Committee are available through the Investors section of our website at https://investor.crowncastle.com, and such information is also available in print to any stockholder who requests it. We intend to post to our website any amendments to or waivers from each of the Business Practices and Ethics Policy and Financial Code of Ethics applicable to our Chief Executive Officer, Chief Financial Officer and Controller that are required to be disclosed.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1" w:name="page12"/>
    <w:bookmarkEnd w:id="1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16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You should carefully consider all of the risks described below, as well as the other information contained in this document, when evaluating your investment in our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summarizes our material risk factors. However, this summary is not intended to be a comprehensive and complete list of all risk factors identified by the Company. Refer to the following pages of this section for additional details regarding these summarized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03" w:lineRule="exact"/>
        <w:rPr>
          <w:sz w:val="20"/>
          <w:szCs w:val="20"/>
          <w:color w:val="auto"/>
        </w:rPr>
      </w:pPr>
    </w:p>
    <w:p>
      <w:pPr>
        <w:jc w:val="both"/>
        <w:ind w:left="640" w:hanging="319"/>
        <w:spacing w:after="0" w:line="239"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spacing w:after="0" w:line="22" w:lineRule="exact"/>
        <w:rPr>
          <w:rFonts w:ascii="Arial" w:cs="Arial" w:eastAsia="Arial" w:hAnsi="Arial"/>
          <w:sz w:val="21"/>
          <w:szCs w:val="21"/>
          <w:color w:val="auto"/>
        </w:rPr>
      </w:pPr>
    </w:p>
    <w:p>
      <w:pPr>
        <w:jc w:val="both"/>
        <w:ind w:left="640" w:hanging="319"/>
        <w:spacing w:after="0" w:line="237"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spacing w:after="0" w:line="23" w:lineRule="exact"/>
        <w:rPr>
          <w:rFonts w:ascii="Times New Roman" w:cs="Times New Roman" w:eastAsia="Times New Roman" w:hAnsi="Times New Roman"/>
          <w:sz w:val="21"/>
          <w:szCs w:val="21"/>
          <w:color w:val="auto"/>
        </w:rPr>
      </w:pPr>
    </w:p>
    <w:p>
      <w:pPr>
        <w:ind w:left="640" w:hanging="319"/>
        <w:spacing w:after="0" w:line="241"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expansion or development of our business, including through acquisitions, increased product offerings or other strategic opportunities, may cause disruptions in our business, which may have an adverse effect on our business, operations or financial results.</w:t>
      </w:r>
    </w:p>
    <w:p>
      <w:pPr>
        <w:spacing w:after="0" w:line="23" w:lineRule="exact"/>
        <w:rPr>
          <w:rFonts w:ascii="Times New Roman" w:cs="Times New Roman" w:eastAsia="Times New Roman" w:hAnsi="Times New Roman"/>
          <w:sz w:val="21"/>
          <w:szCs w:val="21"/>
          <w:color w:val="auto"/>
        </w:rPr>
      </w:pPr>
    </w:p>
    <w:p>
      <w:pPr>
        <w:jc w:val="both"/>
        <w:ind w:left="640" w:hanging="319"/>
        <w:spacing w:after="0" w:line="237"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lower than anticipated.</w:t>
      </w:r>
    </w:p>
    <w:p>
      <w:pPr>
        <w:spacing w:after="0" w:line="10"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timely, efficiently and safely execute on our construction projects could adversely affect our business.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 technologies may reduce demand for our communications infrastructure or negatively impact our revenues.</w:t>
      </w:r>
    </w:p>
    <w:p>
      <w:pPr>
        <w:spacing w:after="0" w:line="22" w:lineRule="exact"/>
        <w:rPr>
          <w:rFonts w:ascii="Times New Roman" w:cs="Times New Roman" w:eastAsia="Times New Roman" w:hAnsi="Times New Roman"/>
          <w:sz w:val="21"/>
          <w:szCs w:val="21"/>
          <w:color w:val="auto"/>
        </w:rPr>
      </w:pPr>
    </w:p>
    <w:p>
      <w:pPr>
        <w:ind w:left="640" w:hanging="319"/>
        <w:spacing w:after="0" w:line="234"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we fail to retain rights to our communications infrastructure, including the rights to land under our towers and the right-of-way and other agreements related to our small cells and fiber, our business may be adversely affected.</w:t>
      </w:r>
    </w:p>
    <w:p>
      <w:pPr>
        <w:spacing w:after="0" w:line="10"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services business has historically experienced significant volatility in demand, which reduces the predictability of our results.</w:t>
      </w:r>
    </w:p>
    <w:p>
      <w:pPr>
        <w:spacing w:after="0" w:line="21"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As a result of competition in our industry, we may find it more difficult to negotiate favorable rates on our new or renewing tenant contracts.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 wireless technologies may not deploy or be adopted by tenants as rapidly or in the manner projected.</w:t>
      </w:r>
    </w:p>
    <w:p>
      <w:pPr>
        <w:spacing w:after="0" w:line="22" w:lineRule="exact"/>
        <w:rPr>
          <w:rFonts w:ascii="Times New Roman" w:cs="Times New Roman" w:eastAsia="Times New Roman" w:hAnsi="Times New Roman"/>
          <w:sz w:val="21"/>
          <w:szCs w:val="21"/>
          <w:color w:val="auto"/>
        </w:rPr>
      </w:pPr>
    </w:p>
    <w:p>
      <w:pPr>
        <w:ind w:left="640" w:hanging="319"/>
        <w:spacing w:after="0" w:line="234"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0"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Cybersecurity breaches or other information technology disruptions could adversely affect our operations, business, and reputation.</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business may be adversely impacted by climate-related events, natural disasters, including wildfires, and other unforeseen events.</w:t>
      </w:r>
    </w:p>
    <w:p>
      <w:pPr>
        <w:spacing w:after="0" w:line="22" w:lineRule="exact"/>
        <w:rPr>
          <w:rFonts w:ascii="Times New Roman" w:cs="Times New Roman" w:eastAsia="Times New Roman" w:hAnsi="Times New Roman"/>
          <w:sz w:val="21"/>
          <w:szCs w:val="21"/>
          <w:color w:val="auto"/>
        </w:rPr>
      </w:pPr>
    </w:p>
    <w:p>
      <w:pPr>
        <w:ind w:left="640" w:hanging="319"/>
        <w:spacing w:after="0" w:line="241"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focus on and disclosure of our ESG position, metrics, strategy, goals and initiatives expose us to potential litigation or regulatory action and other adverse effects to our business.</w:t>
      </w:r>
    </w:p>
    <w:p>
      <w:pPr>
        <w:spacing w:after="0" w:line="10"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attract, recruit and retain qualified and experienced employees could adversely affect our business, operations and costs.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Changes to management, including turnover of our top executives, could have an adverse effect on our business.</w:t>
      </w:r>
    </w:p>
    <w:p>
      <w:pPr>
        <w:spacing w:after="0" w:line="22" w:lineRule="exact"/>
        <w:rPr>
          <w:rFonts w:ascii="Times New Roman" w:cs="Times New Roman" w:eastAsia="Times New Roman" w:hAnsi="Times New Roman"/>
          <w:sz w:val="21"/>
          <w:szCs w:val="21"/>
          <w:color w:val="auto"/>
        </w:rPr>
      </w:pPr>
    </w:p>
    <w:p>
      <w:pPr>
        <w:ind w:left="640" w:hanging="319"/>
        <w:spacing w:after="0" w:line="234"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Actions that we are taking, or have completed, to restructure our business in alignment with our strategic priorities may not be as effective as anticipated.</w:t>
      </w:r>
    </w:p>
    <w:p>
      <w:pPr>
        <w:spacing w:after="0" w:line="23" w:lineRule="exact"/>
        <w:rPr>
          <w:rFonts w:ascii="Times New Roman" w:cs="Times New Roman" w:eastAsia="Times New Roman" w:hAnsi="Times New Roman"/>
          <w:sz w:val="21"/>
          <w:szCs w:val="21"/>
          <w:color w:val="auto"/>
        </w:rPr>
      </w:pPr>
    </w:p>
    <w:p>
      <w:pPr>
        <w:ind w:left="640" w:hanging="319"/>
        <w:spacing w:after="0" w:line="234"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Actions of activist stockholders could impact the pursuit of our business strategies and adversely affect our results of operations, financial condition, or stock price.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Relating to Our Pending Sale of the Fiber Business:</w:t>
      </w:r>
    </w:p>
    <w:p>
      <w:pPr>
        <w:spacing w:after="0" w:line="203" w:lineRule="exact"/>
        <w:rPr>
          <w:sz w:val="20"/>
          <w:szCs w:val="20"/>
          <w:color w:val="auto"/>
        </w:rPr>
      </w:pPr>
    </w:p>
    <w:p>
      <w:pPr>
        <w:ind w:left="640" w:hanging="319"/>
        <w:spacing w:after="0" w:line="234"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pendency of the sale of our Fiber Business to Zayo and EQT may have an adverse effect on our business, results of operations, cash flows and financial position.</w:t>
      </w:r>
    </w:p>
    <w:p>
      <w:pPr>
        <w:spacing w:after="0" w:line="23" w:lineRule="exact"/>
        <w:rPr>
          <w:rFonts w:ascii="Times New Roman" w:cs="Times New Roman" w:eastAsia="Times New Roman" w:hAnsi="Times New Roman"/>
          <w:sz w:val="21"/>
          <w:szCs w:val="21"/>
          <w:color w:val="auto"/>
        </w:rPr>
      </w:pPr>
    </w:p>
    <w:p>
      <w:pPr>
        <w:jc w:val="both"/>
        <w:ind w:left="640" w:hanging="319"/>
        <w:spacing w:after="0" w:line="237"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p>
    <w:p>
      <w:pPr>
        <w:spacing w:after="0" w:line="23" w:lineRule="exact"/>
        <w:rPr>
          <w:rFonts w:ascii="Times New Roman" w:cs="Times New Roman" w:eastAsia="Times New Roman" w:hAnsi="Times New Roman"/>
          <w:sz w:val="21"/>
          <w:szCs w:val="21"/>
          <w:color w:val="auto"/>
        </w:rPr>
      </w:pPr>
    </w:p>
    <w:p>
      <w:pPr>
        <w:ind w:left="640" w:hanging="319"/>
        <w:spacing w:after="0" w:line="244"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failure to complete the planned sale of the Fiber Business to Zayo and EQT could have a material and adverse effect on our business, results of operations, financial condition, cash flows, and stock price.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 and Equity</w:t>
      </w:r>
    </w:p>
    <w:p>
      <w:pPr>
        <w:spacing w:after="0" w:line="203" w:lineRule="exact"/>
        <w:rPr>
          <w:sz w:val="20"/>
          <w:szCs w:val="20"/>
          <w:color w:val="auto"/>
        </w:rPr>
      </w:pPr>
    </w:p>
    <w:p>
      <w:pPr>
        <w:jc w:val="both"/>
        <w:ind w:left="640" w:hanging="319"/>
        <w:spacing w:after="0" w:line="237"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spacing w:after="0" w:line="23" w:lineRule="exact"/>
        <w:rPr>
          <w:rFonts w:ascii="Arial" w:cs="Arial" w:eastAsia="Arial" w:hAnsi="Arial"/>
          <w:sz w:val="21"/>
          <w:szCs w:val="21"/>
          <w:color w:val="auto"/>
        </w:rPr>
      </w:pPr>
    </w:p>
    <w:p>
      <w:pPr>
        <w:jc w:val="both"/>
        <w:ind w:left="640" w:hanging="319"/>
        <w:spacing w:after="0" w:line="237" w:lineRule="auto"/>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spacing w:after="0" w:line="23" w:lineRule="exact"/>
        <w:rPr>
          <w:rFonts w:ascii="Times New Roman" w:cs="Times New Roman" w:eastAsia="Times New Roman" w:hAnsi="Times New Roman"/>
          <w:sz w:val="21"/>
          <w:szCs w:val="21"/>
          <w:color w:val="auto"/>
        </w:rPr>
      </w:pPr>
    </w:p>
    <w:p>
      <w:pPr>
        <w:ind w:left="640" w:hanging="319"/>
        <w:spacing w:after="0" w:line="234" w:lineRule="auto"/>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Sales or issuances of a substantial number of shares of our common stock or securities convertible into shares of our common stock may adversely affect the market price of our common stock.</w:t>
      </w:r>
    </w:p>
    <w:p>
      <w:pPr>
        <w:spacing w:after="0" w:line="23" w:lineRule="exact"/>
        <w:rPr>
          <w:rFonts w:ascii="Times New Roman" w:cs="Times New Roman" w:eastAsia="Times New Roman" w:hAnsi="Times New Roman"/>
          <w:sz w:val="21"/>
          <w:szCs w:val="21"/>
          <w:color w:val="auto"/>
        </w:rPr>
      </w:pPr>
    </w:p>
    <w:p>
      <w:pPr>
        <w:jc w:val="both"/>
        <w:ind w:left="640" w:hanging="319"/>
        <w:spacing w:after="0" w:line="237" w:lineRule="auto"/>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Certain provisions of our restated certificate of incorporation ("Charter") and second amended and restated by-laws, as amended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Corporate Compliance</w:t>
      </w:r>
    </w:p>
    <w:p>
      <w:pPr>
        <w:spacing w:after="0" w:line="203" w:lineRule="exact"/>
        <w:rPr>
          <w:sz w:val="20"/>
          <w:szCs w:val="20"/>
          <w:color w:val="auto"/>
        </w:rPr>
      </w:pPr>
    </w:p>
    <w:p>
      <w:pPr>
        <w:ind w:left="640" w:hanging="319"/>
        <w:spacing w:after="0" w:line="244" w:lineRule="auto"/>
        <w:tabs>
          <w:tab w:leader="none" w:pos="63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If we fail to comply with laws or regulations which regulate our business and which may change at any time, we may be fined or even lose our right to conduct some of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REIT Status</w:t>
      </w:r>
    </w:p>
    <w:p>
      <w:pPr>
        <w:spacing w:after="0" w:line="203" w:lineRule="exact"/>
        <w:rPr>
          <w:sz w:val="20"/>
          <w:szCs w:val="20"/>
          <w:color w:val="auto"/>
        </w:rPr>
      </w:pPr>
    </w:p>
    <w:p>
      <w:pPr>
        <w:jc w:val="both"/>
        <w:ind w:left="640" w:hanging="319"/>
        <w:spacing w:after="0" w:line="239"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22" w:lineRule="exact"/>
        <w:rPr>
          <w:rFonts w:ascii="Times New Roman" w:cs="Times New Roman" w:eastAsia="Times New Roman" w:hAnsi="Times New Roman"/>
          <w:sz w:val="21"/>
          <w:szCs w:val="21"/>
          <w:color w:val="auto"/>
        </w:rPr>
      </w:pPr>
    </w:p>
    <w:p>
      <w:pPr>
        <w:jc w:val="both"/>
        <w:ind w:left="640" w:hanging="319"/>
        <w:spacing w:after="0" w:line="237"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spacing w:after="0" w:line="23" w:lineRule="exact"/>
        <w:rPr>
          <w:rFonts w:ascii="Times New Roman" w:cs="Times New Roman" w:eastAsia="Times New Roman" w:hAnsi="Times New Roman"/>
          <w:sz w:val="21"/>
          <w:szCs w:val="21"/>
          <w:color w:val="auto"/>
        </w:rPr>
      </w:pPr>
    </w:p>
    <w:p>
      <w:pPr>
        <w:ind w:left="640" w:hanging="319"/>
        <w:spacing w:after="0" w:line="234"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0"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REIT related ownership limitations and transfer restrictions may prevent or restrict certain transfers of our capital stock.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5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spacing w:after="0" w:line="9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Tenant demand for our communications infrastructure depends on consumers' and organizations' demand for data. Additionally, the willingness of our tenants to utilize our communications infrastructure, or renew or extend existing tenant contracts on our communications infrastructure, is affected by numerous factors, including:</w:t>
      </w:r>
    </w:p>
    <w:p>
      <w:pPr>
        <w:spacing w:after="0" w:line="127" w:lineRule="exact"/>
        <w:rPr>
          <w:sz w:val="20"/>
          <w:szCs w:val="20"/>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capacity of our communications infrastructure or associated land interests;</w:t>
      </w:r>
    </w:p>
    <w:p>
      <w:pPr>
        <w:spacing w:after="0" w:line="2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our communications infrastructure;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of our tenants, including their profitability and availability or cost of capital, including through government funding;</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our tenants to maintain or increase their network investment or changes in their capital allocation strategy;</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integrated networks and organizations;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spectrum for commercial use;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network sharing, roaming, joint development, or resale agreements by our tenants;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by and among our tenants;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success of, our tenants' business models;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initiatives, including local or state restrictions on the proliferation of communications infrastructure;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constructing communications infrastructure;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competition, including tenants that may elect to self-perform;</w:t>
      </w:r>
    </w:p>
    <w:p>
      <w:pPr>
        <w:spacing w:after="0" w:line="3" w:lineRule="exact"/>
        <w:rPr>
          <w:rFonts w:ascii="Times New Roman" w:cs="Times New Roman" w:eastAsia="Times New Roman" w:hAnsi="Times New Roman"/>
          <w:sz w:val="18"/>
          <w:szCs w:val="18"/>
          <w:color w:val="auto"/>
        </w:rPr>
      </w:pPr>
    </w:p>
    <w:p>
      <w:pPr>
        <w:jc w:val="both"/>
        <w:ind w:left="800" w:hanging="400"/>
        <w:spacing w:after="0" w:line="244"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including those (1) affecting the number or type of communications infrastructure needed to provide data to a given geographic area or which may otherwise serve as a substitute or alternative to our communications infrastructure or (2) resulting in the obsolescence or decommissioning of certain existing wireless networks; and</w:t>
      </w: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satisfy our tenants' service requirements.</w:t>
      </w:r>
    </w:p>
    <w:p>
      <w:pPr>
        <w:spacing w:after="0" w:line="1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 slowdown in demand for data or our communications infrastructure may negatively impact our growth or otherwise have a material adverse effect on us. If our current or potential tenants are unable to raise adequate capital to fund their business plans, as a result of disruptions in the financial and credit markets or otherwise, they may reduce their spending, which could adversely affect our anticipated growth or the demand for our communications infrastructure or services.</w:t>
      </w:r>
    </w:p>
    <w:p>
      <w:pPr>
        <w:spacing w:after="0" w:line="13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amount, timing, and mix of our tenants' network investment is variable and can be significantly impacted by the various matters described in these risk factors. Changes in tenant network investment typically impact the demand for our communications infrastructure. As a result, changes in tenant plans such as delays in the implementation of new systems, new and emerging technologies, or change in plans to expand coverage or capacity may reduce demand for our communications infrastructure. As part of our announced plans to enhance returns in the Fiber segment, during the fourth quarter of 2024, we completed discussions with certain of our tenants regarding approximately 7,000 previously-identified greenfield small cell nodes in our contracted backlog that both parties mutually agreed to cancel. These cancellations resulted in a $106 million asset write-down charge in the fourth quarter of 2024.</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Furthermore, the industries in which our tenants operate (particularly those in the wireless industry) could experience a slowdown or slowing growth rates as a result of numerous factors, including a reduction in consumer demand for data or general economic conditions. There can be no assurances that weakness or uncertainty in the economic environment will not adversely impact our tenants or their industries, which may materially and adversely affect our business, including by reducing demand for our communications infrastructure or services. In addition, a slowdown may increase competition for site rental tenants or services. Such an industry slowdown or a reduction in tenant network investment may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4" w:name="page15"/>
    <w:bookmarkEnd w:id="14"/>
    <w:p>
      <w:pPr>
        <w:jc w:val="both"/>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spacing w:after="0" w:line="6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three largest tenants are T-Mobile, AT&amp;T and Verizon Wireless. In addition to our three largest tenants, we also derive a meaningful portion of our revenues and anticipated future growth from DISH Network Corporate ("DISH"). The loss of any one of our largest tenants, including DISH,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communications infrastructure assets, or intangible assets (including goodwill), or (4) other adverse effects to our business. We cannot guarantee that tenant contracts with our largest tenants will not be terminated or that these tenants will renew their tenant contracts with us.</w:t>
      </w:r>
    </w:p>
    <w:p>
      <w:pPr>
        <w:spacing w:after="0" w:line="13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Consolidation among our largest tenants will likely result in duplicate or overlapping parts of networks, for example, where they are co-residents on a tower or small cell network, which may result in the termination, non-renewal or re-negotiation of tenant contracts and negatively impact revenues from our communications infrastructure. Due to the long-term nature of our tenant contracts, we generally expect that the impact to our site rental revenues from any termination of our tenant contracts as a result of such potential consolidation would be spread out over multiple years. Such consolidation (or potential consolidation) may result in a reduction or slowdown in such tenants' network investment in the aggregate because their expansion plans may be similar. Tenant consolidation could decrease the demand for our communications infrastructure and services, which in turn may result in a reduction in our revenues or cash flows and may trigger a review for impairment of certain long-lived assets.</w:t>
      </w:r>
    </w:p>
    <w:p>
      <w:pPr>
        <w:spacing w:after="0" w:line="13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January 6, 2022, we entered into an agreement with T-Mobile that addressed the T-Mobile and Sprint network consolidation. We anticipate that this consolidation will result in approximately $200 million in Towers non-renewals in 2025, with additional non-renewals from this agreement, which we expect to fall within our historical non-renewal range of 1% to 2% of Towers annual site rental revenues, to occur each year through 2034. We expect an additional impact of approximately $45 million in aggregate Fiber non-renewals to occur in 2025 and in subsequent years.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 Business—The Company"</w:t>
      </w:r>
      <w:r>
        <w:rPr>
          <w:rFonts w:ascii="Times New Roman" w:cs="Times New Roman" w:eastAsia="Times New Roman" w:hAnsi="Times New Roman"/>
          <w:sz w:val="18"/>
          <w:szCs w:val="18"/>
          <w:color w:val="auto"/>
        </w:rPr>
        <w:t xml:space="preserve"> and note 14 to our consolidated financial statements for further information regarding our largest tenants.</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expansion or development of our business, including through acquisitions, increased product offerings or other strategic opportunities, may cause disruptions in our business, which may have an adverse effect on our business, operations or financial results.</w:t>
      </w:r>
    </w:p>
    <w:p>
      <w:pPr>
        <w:spacing w:after="0" w:line="1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seek to expand and develop our business, including through acquisitions, increased product offerings, or other strategic opportunities. In the ordinary course of our business, we review, analyze and evaluate various potential transactions or other activities in which we may engage. Such transactions or activities could be complex, costly and time-consuming, or cause disruptions in, increase risk to or otherwise negatively impact our business. Among other things, such transactions and activities may:</w:t>
      </w:r>
    </w:p>
    <w:p>
      <w:pPr>
        <w:spacing w:after="0" w:line="131" w:lineRule="exact"/>
        <w:rPr>
          <w:sz w:val="20"/>
          <w:szCs w:val="20"/>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our business relationships with our tenants and landlords, depending on the nature of or counterparty to such transactions and activities;</w:t>
      </w:r>
    </w:p>
    <w:p>
      <w:pPr>
        <w:spacing w:after="0" w:line="21"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capital and the time or attention of management away from other business operations, including as a result of post-transaction integration activities;</w:t>
      </w: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achieve revenue or margin targets, operational synergies or other benefits contemplated;</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operational risk or volatility in our business;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decrease the volume of our business;</w:t>
      </w:r>
    </w:p>
    <w:p>
      <w:pPr>
        <w:spacing w:after="0" w:line="3"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result in the benefits management had expected to realize from such expansion and development activities, or those benefits may take longer to realize than expected;</w:t>
      </w: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cost structure and result in the need to hire additional employees;</w:t>
      </w:r>
    </w:p>
    <w:p>
      <w:pPr>
        <w:spacing w:after="0" w:line="3"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demands on current employees or result in current or prospective employees experiencing uncertainty about their future roles with us, which might adversely affect our ability to retain or attract key employees; or</w:t>
      </w: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need for additional TRSs or contributions of certain assets to TRSs, which are subject to federal and state corporate income taxes.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5" w:name="page16"/>
    <w:bookmarkEnd w:id="15"/>
    <w:p>
      <w:pPr>
        <w:jc w:val="both"/>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Our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lower than anticipated.</w:t>
      </w:r>
    </w:p>
    <w:p>
      <w:pPr>
        <w:spacing w:after="0" w:line="6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Over the last decade, we have allocated a significant amount of capital to our Fiber business, which is a much less mature business for us than our Towers business. Our Fiber segment represented 33% and 34% of our site rental revenues for the years ended December 31, 2024 and 2023, respectively. The business model for our Fiber operations contains certain differences from our business model for our Towers operations, including those relating to tenant base, competition, contract terms (including requirements for service level agreements regarding network performance and maintenance), upfront capital requirements, labor costs, landlord demographics, deployment and ownership of certain network assets, operational oversight requirements, government regulations, growth rates and applicable laws.</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While our Fiber operations have certain risks that are similar to our Towers operations, they also have certain operational risks (including the scalability of processes) that are different from our Towers business, including:</w:t>
      </w:r>
    </w:p>
    <w:p>
      <w:pPr>
        <w:spacing w:after="0" w:line="117" w:lineRule="exact"/>
        <w:rPr>
          <w:sz w:val="20"/>
          <w:szCs w:val="20"/>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public rights-of-way and franchise agreements;</w:t>
      </w:r>
    </w:p>
    <w:p>
      <w:pPr>
        <w:spacing w:after="0" w:line="2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poles and conduits owned solely by, or jointly with, third parties;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overbuilding competitive fiber assets;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specific markets in which we choose or plan to operate;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construction hazards, including boring, trenching, utility and maintenance of traffic hazards;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management and construction-related billings to tenants;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efficiently and rapidly adjusting the size of the personnel needed to operate our Fiber business;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wireless carriers building their own small cell networks, or tenants utilizing their own or alternative fiber assets;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optimize the use of our finite supply of fiber strands;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assets and the need to maintain, repair, upgrade and periodically replace our assets;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properly maintain or operate highly specialized hardware and software;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data security risks;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new technologies that could enable tenants to realize the same benefits with less utilization of our fiber;</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overall reputation as a communications infrastructure provider; and</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CLEC status.</w:t>
      </w:r>
    </w:p>
    <w:p>
      <w:pPr>
        <w:spacing w:after="0" w:line="144"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In addition, the rate at which tenants adopt or prioritize small cells and fiber solutions has been lower or slower than we anticipated, and may continue to be lower or slower, or may cease to exist altogether. For example, our tenants have initially focused on utilizing towers in the first phase of deploying their 5G networks, which has led to delays in some of our small cell deployments. We anticipate that these delays will be temporary, as our tenants plan for the next phase of their 5G network deployment which we believe will require small cells at scale. Our Fiber operations also expose us to different safety or liability risks or hazards than our Towers business as a result of numerous factors, including those stemming from the deployment, location or nature of the assets involved. There may be risks and challenges associated with small cells and fiber solutions being comparatively new and emerging technologies that are continuing to evolve, and there may be other risks related to small cells and fiber solutions of which we are not yet aware. See "</w:t>
      </w:r>
      <w:r>
        <w:rPr>
          <w:rFonts w:ascii="Times New Roman" w:cs="Times New Roman" w:eastAsia="Times New Roman" w:hAnsi="Times New Roman"/>
          <w:sz w:val="18"/>
          <w:szCs w:val="18"/>
          <w:i w:val="1"/>
          <w:iCs w:val="1"/>
          <w:color w:val="auto"/>
        </w:rPr>
        <w:t>—The pendency of the sale of our Fiber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to Zayo and EQT may have an adverse effect on our business, results of operations, cash flows and financial position.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failure to complete the planned sale of the Fiber Business to Zayo and EQT could have a material and adverse effect on our business,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financial condition, cash flows, and stock price.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r>
        <w:rPr>
          <w:rFonts w:ascii="Times New Roman" w:cs="Times New Roman" w:eastAsia="Times New Roman" w:hAnsi="Times New Roman"/>
          <w:sz w:val="18"/>
          <w:szCs w:val="18"/>
          <w:color w:val="auto"/>
        </w:rPr>
        <w:t>", for discussions of the Strategic Fiber Transaction and the potential impact to the growth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segment as well as the previously announced small cell node cancellations.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efficiently and safely execute on our construction projects could adversely affect our business.</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construction projects and related contracts can be long-term, complex in nature, dangerous, costly and challenging to execute. The quality of our performance on such construction projects depends in large part upon our ability to manage (1) the associated tenant relationship and (2) the project itself by timely deploying and properly managing appropriate internal and external project resources. In connection with our construction projects, we generally bear the risk of cost over-runs, labor availability and productivity, and contractor pricing and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color w:val="auto"/>
        </w:rPr>
        <w:t>In addition, the construction projects (including modifications of existing communications infrastructure) can pose certain safety risks, including:</w:t>
      </w:r>
    </w:p>
    <w:p>
      <w:pPr>
        <w:spacing w:after="0" w:line="161" w:lineRule="exact"/>
        <w:rPr>
          <w:sz w:val="20"/>
          <w:szCs w:val="20"/>
          <w:color w:val="auto"/>
        </w:rPr>
      </w:pPr>
    </w:p>
    <w:p>
      <w:pPr>
        <w:ind w:left="800" w:hanging="400"/>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resulting from elevated work, including falling hazards;</w:t>
      </w:r>
    </w:p>
    <w:p>
      <w:pPr>
        <w:spacing w:after="0" w:line="2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third-party non-compliance with safety regulations, industry best practices or other applicable standards;</w:t>
      </w:r>
    </w:p>
    <w:p>
      <w:pPr>
        <w:spacing w:after="0" w:line="3"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utility hazards, including gas line, electrical or sewage strikes, which may result in explosions, electrocution and other potentially catastrophic events; and</w:t>
      </w:r>
    </w:p>
    <w:p>
      <w:pPr>
        <w:ind w:left="800" w:hanging="400"/>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potential wildfires, including due to welding, grinding, cutting, or other construction activity.</w:t>
      </w:r>
    </w:p>
    <w:p>
      <w:pPr>
        <w:spacing w:after="0" w:line="1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Such safety risks may cause personal injury or loss of life, severe damage to or destruction of property, suspension of operations or services, or significant damage to the environment, creating financial, regulatory or reputational damage that could adversely affect our business. See </w:t>
      </w:r>
      <w:r>
        <w:rPr>
          <w:rFonts w:ascii="Times New Roman" w:cs="Times New Roman" w:eastAsia="Times New Roman" w:hAnsi="Times New Roman"/>
          <w:sz w:val="18"/>
          <w:szCs w:val="18"/>
          <w:i w:val="1"/>
          <w:iCs w:val="1"/>
          <w:color w:val="auto"/>
        </w:rPr>
        <w:t>"—Our business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adversely impacted by climate-related events, natural disasters, including wildfires, and other unforeseen events" </w:t>
      </w:r>
      <w:r>
        <w:rPr>
          <w:rFonts w:ascii="Times New Roman" w:cs="Times New Roman" w:eastAsia="Times New Roman" w:hAnsi="Times New Roman"/>
          <w:sz w:val="18"/>
          <w:szCs w:val="18"/>
          <w:color w:val="auto"/>
        </w:rPr>
        <w:t>below for additional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adverse impacts to our business which may result from wildfires and other climate-related events.</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investments in newly constructed communications infrastructure may result in lower initial returns compared to returns on our existing communications infrastructure or us not being able to realize future tenant additions at anticipated levels.</w:t>
      </w:r>
    </w:p>
    <w:p>
      <w:pPr>
        <w:spacing w:after="0" w:line="117"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Additionally, contracts with our tenants for these projects typically specify delivery dates, performance criteria and penalties for our failure to perform. Our failure to perform timely and in accordance with the performance criteria exposes us to penalties specified in the contract or possible litigation. We often experience unforeseen delays from municipalities and utility companies that result in longer construction timelines than expected, which impact our ability to timely deliver on our projects. We may also experience unforeseen delays and increased project costs as a result of labor shortages, which may impact the availability of contractors to work on our construction projects. Our failure to manage such tenant relationships, project resources, and project milestones in a timely and efficient manner and appropriately manage safety risks could have a material adverse effect on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technologies may reduce demand for our communications infrastructure or negatively impact our revenues.</w:t>
      </w:r>
    </w:p>
    <w:p>
      <w:pPr>
        <w:spacing w:after="0" w:line="16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Improvements in the efficiency, architecture, and design of communication networks may reduce the demand for our communications infrastructure. For example, new technologies and spectrum that may promote network sharing, joint development, backhaul and fronthaul efficiency or resale agreements by our tenants, such as signal combining technologies or network virtualization, may reduce the need for our communications infrastructure. In addition, other technologies, such as WiFi, blimps, satellite (such as low earth orbiting) and mesh transmission systems may, in the future, serve as substitutes for, or alternatives to, leasing on communications infrastructure that might otherwise be anticipated or expected had such technologies not existed. In addition, new technologies that enhance the range, efficiency and capacity of communication equipment could reduce demand for our communications infrastructure. Any significant reduction in demand for our communications infrastructure resulting from the new technologies may negatively impact our revenues or otherwise have a material adverse effect on us.</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rights to our communications infrastructure, including the rights to land under our towers and the right-of-way and other agreements related to our small cells and fiber, our business may be adversely affected.</w:t>
      </w:r>
    </w:p>
    <w:p>
      <w:pPr>
        <w:spacing w:after="0" w:line="1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property interests and other rights to our communications infrastructure, including the land under our towers, are derived from leasehold and sub-leasehold interests, fee interests, easements, licenses, rights-of-way, and franchise and other agreements. A loss of these interests and other rights may interfere with our ability to conduct our business or generate revenues. For various reasons, we may not always have the ability to access, analyze, or verify all information regarding titles or other issues prior to acquiring communications infrastructure. Further, we may not be able to renew ground leases or other agreements on commercially viable terms.</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ability to retain rights to the land on which our towers are located depends on our ability to purchase such land, by acquiring fee interests and perpetual easements, or renegotiate or extend the terms of the agreements relating to such land. Approximately 10% of our towers site rental gross margin for the year ended December 31, 2024 was derived from towers where the leases for the land under such towers had final expiration dates of less than 10 years. If we are unable to retain rights to the property on which our communications infrastructure is located, our business may be adversely affected.</w:t>
      </w:r>
    </w:p>
    <w:p>
      <w:pPr>
        <w:spacing w:after="0" w:line="13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of December 31, 2024, approximately 54% of our towers were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We may not have the required available capital to exercise our right to purchase some or all of these towers at the time these options are exercisable. Even if we do have available capital, we may choose not to exercise our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18"/>
          <w:szCs w:val="18"/>
          <w:color w:val="auto"/>
        </w:rPr>
        <w:t>right to purchase these towers or some or all of the T-Mobile or AT&amp;T towers for business or other reasons. In the event that we do not exercise these purchase rights, or are otherwise unable to acquire an interest that would allow us to continue to operate these towers after the applicable period, we will lose the cash flows derived from such towers, which may have a material adverse effect on our business. In the event that we decide to exercise these purchase rights, the benefits of the acquisition of these towers may not exceed the costs, which could adversely affect our business. Additional information concerning these towers and the applicable purchase options as of December 31, 2024 is as follows:</w:t>
      </w:r>
    </w:p>
    <w:p>
      <w:pPr>
        <w:spacing w:after="0" w:line="133" w:lineRule="exact"/>
        <w:rPr>
          <w:sz w:val="20"/>
          <w:szCs w:val="20"/>
          <w:color w:val="auto"/>
        </w:rPr>
      </w:pPr>
    </w:p>
    <w:p>
      <w:pPr>
        <w:jc w:val="both"/>
        <w:ind w:left="800" w:hanging="400"/>
        <w:spacing w:after="0" w:line="252" w:lineRule="auto"/>
        <w:tabs>
          <w:tab w:leader="none" w:pos="7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of our towers are leased or subleased or operated and managed under a master lease or other related agreements with AT&amp;T for a weighted-average initial term of approximately 28 years, weighted based on towers site rental gross margin. We have the option to purchase the leased and subleased towers from AT&amp;T at the end of the respective lease or sublease terms for aggregate option payments of approximately $4.2 billion, which payments, if such option is exercised, would be due between 2032 and 2048.</w:t>
      </w:r>
    </w:p>
    <w:p>
      <w:pPr>
        <w:spacing w:after="0" w:line="130" w:lineRule="exact"/>
        <w:rPr>
          <w:rFonts w:ascii="Times New Roman" w:cs="Times New Roman" w:eastAsia="Times New Roman" w:hAnsi="Times New Roman"/>
          <w:sz w:val="18"/>
          <w:szCs w:val="18"/>
          <w:color w:val="auto"/>
        </w:rPr>
      </w:pPr>
    </w:p>
    <w:p>
      <w:pPr>
        <w:jc w:val="both"/>
        <w:ind w:left="800" w:hanging="400"/>
        <w:spacing w:after="0" w:line="246" w:lineRule="auto"/>
        <w:tabs>
          <w:tab w:leader="none" w:pos="7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of our towers are leased or subleased or operated and managed under master leases, subleases or other agreements with T-Mobile (including those which T-Mobile assumed in its merger with Sprint). Approximately half of such towers have an initial term of 32 years (through May 2037), and we have the option to purchase in 2037 all (but not less than all) of such leased and subleased towers from T-Mobile for approximately $2.3 billion. The remainder of such towers have a weighted-average initial term of approximately 28 years, weighted based on towers site rental gross margin. We have the option to purchase such towers from T-Mobile at the end of the respective terms for aggregate option payments of approximately $2.0 billion, which payments, if such option is exercised, would be due between 2035 and 2049. In addition, another 1% of our towers under master leases, subleases, and other agreements with T-Mobile are subject to a lease and sublease or other related arrangements with AT&amp;T. We have the option to purchase these towers from AT&amp;T at the end of their respective lease terms for aggregate option payments of up to approximately $385 million, which payments, if such option is exercised, would be due prior to 2032 (less than $12 million would be due before 2029).</w:t>
      </w:r>
    </w:p>
    <w:p>
      <w:pPr>
        <w:spacing w:after="0" w:line="1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Under master lease or master prepaid lease arrangements we have with AT&amp;T and T-Mobile (including those which T-Mobile assumed in its merger with Sprint), certain of our subsidiaries lease or sublease, or are otherwise granted the right to operate and manage, towers from bankruptcy remote subsidiaries of such carriers. If one of these bankruptcy remote subsidiaries should become a debtor in a bankruptcy proceeding and is permitted to reject the underlying ground lease, our subsidiaries could lose their interest in the applicable sites. If our subsidiaries were to lose their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3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For our small cells and fiber, we must maintain rights-of-way, franchise, pole attachment, conduit use, fiber use and other agreements to operate our assets. For various reasons, we may not always have the ability to maintain these agreements or obtain future agreements to construct, maintain and operate our fiber assets. Access to rights-of-way may depend on our CLEC status, and we cannot be certain that jurisdictions will (1) recognize such CLEC status or (2) not change their laws concerning CLEC access to rights-of-way. If a material portion of these agreements are terminated or are not renewed, we might be forced to abandon our assets, which may adversely impact our business. In order to operate our assets, we must also maintain fiber agreements that we have with public and private entities. There is no assurance that we will be able to renew these agreements on favorable terms, or at all. If we are unable to renew these agreements on favorable terms, we may face increased costs or reduced revenues.</w:t>
      </w:r>
    </w:p>
    <w:p>
      <w:pPr>
        <w:spacing w:after="0" w:line="13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Additionally, in order to expand our communications infrastructure footprint to new locations, we often need to obtain new or additional rights-of-way and other agreements. Our failure to obtain these agreements in a prompt and cost-effective manner may prevent us from expanding our footprint, which may be necessary to meet our contractual obligations to our tenants and could adversely impact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business has historically experienced significant volatility in demand, which reduces the predictability of our results.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operating results of our services business for any particular period may experience significant fluctuations given its non-recurring nature and should not necessarily be considered indicative of longer-term results for this activity. Our services business is generally driven by demand for our communications infrastructure and may be adversely impacted by various factors, including:</w:t>
      </w:r>
    </w:p>
    <w:p>
      <w:pPr>
        <w:spacing w:after="0" w:line="127" w:lineRule="exact"/>
        <w:rPr>
          <w:sz w:val="20"/>
          <w:szCs w:val="20"/>
          <w:color w:val="auto"/>
        </w:rPr>
      </w:pPr>
    </w:p>
    <w:p>
      <w:pPr>
        <w:ind w:left="800" w:hanging="400"/>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mix and amount of tenant network investments;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volume of tenant deployment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8" w:name="page19"/>
    <w:bookmarkEnd w:id="18"/>
    <w:p>
      <w:pPr>
        <w:ind w:left="80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or challenges relating to work performed;</w:t>
      </w:r>
    </w:p>
    <w:p>
      <w:pPr>
        <w:spacing w:after="0" w:line="2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or uncertainty;</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productivity;</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key components;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share; and</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scope, or volume of work performed.</w:t>
      </w:r>
    </w:p>
    <w:p>
      <w:pPr>
        <w:spacing w:after="0" w:line="22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 xml:space="preserve">During both 2023 and 2024, due primarily to our discontinuation of installation services as a Towers product offering previously announced in July 2023, services and other revenues decreased by 36% and 53%, respectively, when compared to years ended December 31, 2022 and 2023, respectively. We continue to offer site development services on our towers. See note 16 to our consolidated financial statements and </w:t>
      </w:r>
      <w:r>
        <w:rPr>
          <w:rFonts w:ascii="Times New Roman" w:cs="Times New Roman" w:eastAsia="Times New Roman" w:hAnsi="Times New Roman"/>
          <w:sz w:val="18"/>
          <w:szCs w:val="18"/>
          <w:i w:val="1"/>
          <w:iCs w:val="1"/>
          <w:color w:val="auto"/>
        </w:rPr>
        <w:t>"Item 7. MD&amp;A—General Overview—Highlights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Fundamentals and Results" </w:t>
      </w:r>
      <w:r>
        <w:rPr>
          <w:rFonts w:ascii="Times New Roman" w:cs="Times New Roman" w:eastAsia="Times New Roman" w:hAnsi="Times New Roman"/>
          <w:sz w:val="18"/>
          <w:szCs w:val="18"/>
          <w:color w:val="auto"/>
        </w:rPr>
        <w:t>for further discussion of our 2023 Restructuring Plan, which included discontinuing installation services as a Towers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offering.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competition in our industry, we may find it more difficult to negotiate favorable rates on our new or renewing tenant contracts.</w:t>
      </w:r>
    </w:p>
    <w:p>
      <w:pPr>
        <w:spacing w:after="0" w:line="16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growth is dependent on our entering into new tenant contracts (including amendments to tenant contracts upon modification of existing towers, small cells or fiber), as well as renewing or renegotiating tenant contracts when existing tenant contracts terminate. Competition in our industry may make it more difficult for us to attract new tenants, maintain or increase our gross margins, or maintain or increase our market share. In addition, competition (primarily in our fiber solutions business) may, in certain circumstances, cause us to renegotiate certain existing tenant contracts to avoid early contract terminations. We face competition for site rental tenants and associated contractual rates from various sources, including (1) other independent communications infrastructure owners or operators, including those that own, operate, or manage towers, rooftops, broadcast or transmission towers, utility poles, fiber (including non-traditional competitors such as cable providers) or small cells, (2) tenants who elect to self-perform and (3) new alternative deployment methods for communications infrastructure.</w:t>
      </w:r>
    </w:p>
    <w:p>
      <w:pPr>
        <w:spacing w:after="0" w:line="1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Fiber business generally has different competitors than those in our Towers business, including other owners of fiber, as well as new entrants into small cells and fiber solutions, some of which may have larger networks, greater financial resources or more experience in managing such assets than we have. The level of non-renewals associated with fiber solutions is generally higher than that of Towers and small cells.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wireless technologies may not deploy or be adopted by tenants as rapidly or in the manner projected.</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There can be no assurances that new wireless services or technologies, which may drive demand for our communications infrastructure, will be introduced or deployed as rapidly or in the manner projected by the wireless carriers. In addition, demand or tenant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2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Public perception of possible health risks associated with cellular or other wireless connectivity services and wireless technologies (such as 5G) may slow or diminish the growth of wireless companies and deployment of new wireless technologies, which may in turn slow or diminish our growth. In particular, negative public perception of, and regulations regarding, these perceived health risks may slow or diminish the market acceptance of wireless services and technologies.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breaches or other information technology disruptions could adversely affect our operations, business, and reputation.</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Despite existing security measures, certain of our information technology and communications infrastructure may be subject to damage, disruptions, or shutdowns due to unauthorized access, computer viruses, ransomware or other malicious software, cyber-attacks and other security breaches. In addition, our reliance on cloud- or internet-based services and on remote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jc w:val="both"/>
        <w:spacing w:after="0" w:line="248" w:lineRule="auto"/>
        <w:rPr>
          <w:sz w:val="20"/>
          <w:szCs w:val="20"/>
          <w:color w:val="auto"/>
        </w:rPr>
      </w:pPr>
      <w:r>
        <w:rPr>
          <w:rFonts w:ascii="Times New Roman" w:cs="Times New Roman" w:eastAsia="Times New Roman" w:hAnsi="Times New Roman"/>
          <w:sz w:val="18"/>
          <w:szCs w:val="18"/>
          <w:color w:val="auto"/>
        </w:rPr>
        <w:t>access to information systems increases our exposure to potential cybersecurity incidents. An attack attempt or security breach, such as a distributed denial of service attack, could potentially result in (1) interruption or cessation of certain of our services to our tenants or access by our tenants to certain of our information technology systems, (2) our inability to meet expected levels of service to our tenants, (3) data transmitted over our tenants' networks being compromised or misappropriated, or (4) business or other sensitive data being compromised, misappropriated or lost. Although we believe we have a comprehensive incident response plan and other cybersecurity measures and policies in place, we cannot guarantee that our security measures will not be circumvented, resulting in tenant network failures or interruptions that could impact our tenants' network availability and have a material adverse effect on our business, financial condition, or operational results.</w:t>
      </w:r>
    </w:p>
    <w:p>
      <w:pPr>
        <w:spacing w:after="0" w:line="13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Additionally, security incidents impacting our tenants, vendors and business partners could result in a material adverse effect on our business. We may be required to expend significant resources to protect against or recover from such threats. If an actual or perceived breach of our cybersecurity or information technology, or that of our cloud- or internet-based service providers, occurs, the market perception of the effectiveness of our security measures could be harmed, and we could lose tenants. Further, the perpetrators of cyber-attacks are not restricted to particular groups or persons. These threats can arise from external parties, such as cyber terrorists or nation-state actors, as well as insiders, such as our employees or contractors, who knowingly or unknowingly engage in or enable malicious cyber activities. In addition, our acquisitions, both past and future, may alter our potential exposure to the risks described above. While we maintain insurance that includes coverage in the event of cybersecurity or other information technology breaches, there can be no assurances that such coverage will be adequate to cover exposure from such incidents.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climate-related events, natural disasters, including wildfires, and other unforeseen events.</w:t>
      </w:r>
    </w:p>
    <w:p>
      <w:pPr>
        <w:spacing w:after="0" w:line="16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could be negatively impacted by other unforeseen events, such as extreme weather events or natural disasters (including as a result of any potential effects of climate change), or acts of vandalism. There is increasing concern that global climate change is occurring and could result in increased frequency of certain types of natural disasters and extreme weather events. Although we have implemented a wildfire risk mitigation program, the effects of climate change have increased the risk and extent of wildfires that could potentially result from certain of our construction and maintenance projects and other operating activities. We cannot predict with certainty the rate at which climate change is occurring or the potential direct or indirect impacts of climate change to our business. Any such unforeseen events could, among other things, damage or delay deployment of our communications infrastructure, interrupt or delay service to our tenants or could result in legal claims or penalties, disruption in operations, damage to our reputation, negative market perception, or costly response measures, which could adversely affect our business.</w:t>
      </w:r>
    </w:p>
    <w:p>
      <w:pPr>
        <w:spacing w:after="0" w:line="13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While we currently maintain insurance policies that include coverage in the event of natural disasters and other unforeseen events, including possible incidents in which our actions (or the actions of those acting on our behalf) contribute to such events, there can be no assurances that such coverage will be adequate to cover exposure from such events. Further, we do not maintain, and do not expect to maintain, insurance policies that provide adequate coverage in the event that our actions (or those actions of those acting on our behalf) contribute to a wildfire event, as a result of the fact that such insurance policies are generally not economically available.</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focus on and disclosure of our ESG position, metrics, strategy, goals and initiatives expose us to potential litigation or regulatory action and other adverse effects to our business.</w:t>
      </w:r>
    </w:p>
    <w:p>
      <w:pPr>
        <w:spacing w:after="0" w:line="11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In recent years, certain of our investors, tenants, employees and other stakeholders have increased their focus on ESG matters and disclosure. In response, we have published ESG reports and related materials and made other public announcements regarding our ESG position, initiatives and goals. Our ESG metrics, initiatives and goals, and progress against those goals, may be based on standards that are still developing and that may not be uniformly adopted or applied by other companies, processes and internal controls that continue to evolve, potentially missing or deficient third-party data, wide range of acceptable estimation techniques, and estimates and assumptions that are subject to a greater degree of uncertainty and may change more frequently than those underlying our financial metrics. Our ESG initiatives and goals may be difficult to implement, may lead to increased scrutiny by policymakers and stakeholders, may be contrary to interests of other stakeholders and may increase operating costs and result in changes to certain of our operations, assets and processes.</w:t>
      </w:r>
    </w:p>
    <w:p>
      <w:pPr>
        <w:spacing w:after="0" w:line="10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we are subject to, and may become subject to additional, climate change-based and other ESG-related laws, regulations and policies, with varying scopes and complexity, such as the SEC's climate-related disclosure rules and the State of California's carbon and climate disclosure laws, that have increased, and could further increase, compliance burdens and associated costs. Applicable laws, regulations and policies in some jurisdictions may conflict with those in other jurisdictions. In addition, regulators may interpret and apply laws, regulations and policies in a manner inconsistent with previous interpretation and application. Failure to comply with any legislation, regulation or policy, including as a result of good faith</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color w:val="auto"/>
        </w:rPr>
        <w:t>interpretations that may differ from those taken by the relevant enforcement authorities, could potentially result in substantial fines, criminal sanctions, reputational harm or operational changes.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focus and disclosure of our ESG goals and initiatives – including achievement of or failure to achieve such goals and initiatives, accurately reporting our metrics or adherence to prior public statements – exposes us to potential litigation or regulatory action, which may materially adversely affect our business, results of operations, financial condition and stock price.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recruit and retain qualified and experienced employees could adversely affect our business, operations and costs.</w:t>
      </w:r>
    </w:p>
    <w:p>
      <w:pPr>
        <w:spacing w:after="0" w:line="16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ability to sustain and grow our business and execute on our strategy requires us, in part, to attract, recruit and retain qualified and experienced employees, including key management personnel and other talent. We have encountered a competitive labor market for experienced talent in our industry due, in part, to macroeconomic conditions. Our stock price performance has caused, and may continue to cause, a failure to achieve certain metrics on which vesting of our performance-based equity awards is based. If our total compensation package is not viewed as competitive, our ability to successfully attract, recruit and retain key employees could adversely impact our business, operations, and costs, which could result in the loss of institutional knowledge and expertise of departing employees.</w:t>
      </w:r>
    </w:p>
    <w:p>
      <w:pPr>
        <w:spacing w:after="0" w:line="13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recently experienced, and may continue to experience, the departure of key management personnel, as well as the elimination and consolidation of roles and responsibilities. See "</w:t>
      </w:r>
      <w:r>
        <w:rPr>
          <w:rFonts w:ascii="Times New Roman" w:cs="Times New Roman" w:eastAsia="Times New Roman" w:hAnsi="Times New Roman"/>
          <w:sz w:val="18"/>
          <w:szCs w:val="18"/>
          <w:i w:val="1"/>
          <w:iCs w:val="1"/>
          <w:color w:val="auto"/>
        </w:rPr>
        <w:t>—Changes to management, including turnover of our top executives, could have an adverse effect on our 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Actions that we are taking, or have completed, to restructure our business in alignment with our strategic priorities may not be as effective as anticipated."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pendency of the sale of our Fiber Business to Zayo and EQT may have an adverse effect on our business, results of operations, cash flows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position.</w:t>
      </w:r>
      <w:r>
        <w:rPr>
          <w:rFonts w:ascii="Times New Roman" w:cs="Times New Roman" w:eastAsia="Times New Roman" w:hAnsi="Times New Roman"/>
          <w:sz w:val="18"/>
          <w:szCs w:val="18"/>
          <w:color w:val="auto"/>
        </w:rPr>
        <w:t>" for a discussion of the Strategic Fiber Transaction, recent management changes and the reductions in our workforce in 2023 and 2024,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adverse impact on our workforce therefrom.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management, including turnover of our top executives, could have an adverse effect on our business.</w:t>
      </w:r>
    </w:p>
    <w:p>
      <w:pPr>
        <w:spacing w:after="0" w:line="16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business has experienced, and may continue to experience, significant executive management changes, including the consolidation of roles and responsibilities. In December 2023, we announced the retirement of Jay A. Brown, our President and Chief Executive Officer ("CEO") and the appointment of Anthony J. Melone, a member of our board of directors, to serve as interim President and CEO. In April 2024, Steven J. Moskowitz was appointed as President and CEO. Additionally, in January 2025, we announced that Daniel K. Schlanger would cease serving as our Executive Vice President and Chief Financial Officer, effective March 2025. We also have experienced and may continue to experience the departure and transition of other members of our executive management team.</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These leadership changes may be inherently difficult to manage and may hamper our ability to meet our financial and operational goals as new management becomes familiar with their roles and the business. Such changes may also result in added costs, uncertainty concerning our future direction, decreased employee morale, and the loss of personnel with deep institutional knowledge and industry relationships. Any of the foregoing could result in significant disruptions to our operations and impact our ability to execute on our strategy and pursue strategic initiatives.</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 we have increased our dependency on the remaining members of our executive management team to facilitate a smooth transition in leadership roles. Our executive officers are at-will employees; as such, their employment with us could terminate at any time, and any such departure could be particularly disruptive in light of the recent leadership changes. If we are unable to mitigate these or other similar risks, our business, results of operations and financial condition may be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Actions that we are taking, or have completed, to restructure our business in alignment with our strategic priorities may not be as effective as anticipated.</w:t>
      </w:r>
    </w:p>
    <w:p>
      <w:pPr>
        <w:spacing w:after="0" w:line="18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July 2023, we initiated the 2023 Restructuring Plan as part of our efforts to reduce costs to better align our operational needs with lower tower activity. The 2023 Restructuring Plan included reducing our total employee headcount by approximately 15%, discontinuing installation services as a Towers product offering, and consolidating office space. As a result of the foregoing actions, we incurred $85 million and $9 million of restructuring charges in 2023 and 2024, respectively. The actions associated with the 2023 Restructuring Plan were substantially completed and related charges were recorded by June 30, 2024, while the payments for the employee headcount reduction were substantially completed by December 31, 2024. The remaining payments for the office space consolidation will be completed in 2032.</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June 2024, we initiated the 2024 Restructuring Plan as part of our efforts to drive operational efficiencies and reduce operating costs and capital expenditures, with a primary focus on our Fiber segment. As a result, we announced a reduction of</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t>our total employee headcount by more than 10% and the closing of certain offices. Related to the actions undertaken for the 2024 Restructuring Plan, we incurred $100 million of restructuring charges in 2024. The actions associated with the 2024 Restructuring Plan and related charges were substantially completed and recorded by December 31, 2024, while the payments are expected to be completed for the employee headcount reduction in 2025 and office closures in 2033.</w:t>
      </w:r>
    </w:p>
    <w:p>
      <w:pPr>
        <w:spacing w:after="0" w:line="13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we may incur other charges or cash expenditures not currently contemplated due to unanticipated events that may occur, including in connection with the execution of these actions. We have made certain assumptions in estimating the anticipated savings we expect to achieve under the Restructuring Plans, which include the estimated savings from the elimination of certain headcount and the consolidation and closure of office space. These assumptions may turn out to be incorrect due to a variety of factors. In addition, our ability to realize the expected benefits from the Restructuring Plans is subject to significant business, economic and competitive uncertainties and contingencies, many of which are beyond our control. As such, we may not realize, in full or in part, or sustain, the anticipated benefits from the Restructuring Plans or do so within the expected time frame, and anticipated benefits may not be adequate to meet our long-term profitability and operational expectations.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Furthermore, the Restructuring Plans may result in unintended consequences, including:</w:t>
      </w:r>
    </w:p>
    <w:p>
      <w:pPr>
        <w:spacing w:after="0" w:line="161" w:lineRule="exact"/>
        <w:rPr>
          <w:sz w:val="20"/>
          <w:szCs w:val="20"/>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attrition beyond the intended reduction in force;</w:t>
      </w:r>
    </w:p>
    <w:p>
      <w:pPr>
        <w:spacing w:after="0" w:line="2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corporate culture and decreased employee morale and productivity among our remaining employees;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reputation as an employer (which could make it more difficult for us to hire new employees in the future);</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institutional knowledge and expertise of departing employees;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timely and efficiently scale our workforce in response to shifting demand in our business; and</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or delays to meet operational and growth targets due to the loss of qualified employees.</w:t>
      </w:r>
    </w:p>
    <w:p>
      <w:pPr>
        <w:spacing w:after="0" w:line="14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we experience any of these adverse consequences, the Restructuring Plans and other strategic initiatives may not achieve or sustain their intended benefits, or the benefits, even if achieved, may not be adequate to meet our long-term profitability and operational expectations, which could adversely affect our business, results of operations and financial condition.</w:t>
      </w:r>
    </w:p>
    <w:p>
      <w:pPr>
        <w:spacing w:after="0" w:line="123" w:lineRule="exact"/>
        <w:rPr>
          <w:sz w:val="20"/>
          <w:szCs w:val="20"/>
          <w:color w:val="auto"/>
        </w:rPr>
      </w:pPr>
    </w:p>
    <w:p>
      <w:pPr>
        <w:jc w:val="both"/>
        <w:ind w:firstLine="39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could impact the pursuit of our business strategies and adversely affect our results of operations, financial condition, or stock price.</w:t>
      </w:r>
    </w:p>
    <w:p>
      <w:pPr>
        <w:spacing w:after="0" w:line="1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been, and may in the future be, subject to activities initiated by activist stockholders. In December 2023, we entered into a Cooperation Agreement ("Cooperation Agreement") with Elliott Investment Management L.P., Elliott Associates, L.P. and Elliott International, L.P. (collectively, "Elliott"). Pursuant to the Cooperation Agreement, we agreed, among other things, (1) to promptly appoint Jason Genrich and Sunit Patel as members of the board of directors, with an initial term that expired at our 2024 Annual Meeting of Stockholders ("2024 Annual Meeting"), (2) to establish a Fiber Review Committee to conduct a strategic and operational review of our Fiber business and (3) to establish a CEO Search Committee to conduct a search for the next CEO of our company.</w:t>
      </w:r>
    </w:p>
    <w:p>
      <w:pPr>
        <w:spacing w:after="0" w:line="133"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 xml:space="preserve">On March 3, 2024, we entered into an amendment to the Cooperation Agreement with Elliott, which, among other things, (1) eliminated limitations on the size of our board of directors, the Fiber Review Committee and the CEO Search Committee, (2) provided that Elliott and certain of its affiliates would vote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in accordance with the vote of other stockholders at the 2024 Annual Meeting, subject to certain exceptions, and (3) provided our board of directors could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its recommendation and cease soliciting proxies in favor of Messrs. Genrich or Patel if it first made a determination that its fiduciary duties required it to do so. Messrs. Genrich and Patel were subsequently reelected to serve until our 2025 Annual Meeting of Stockholders. The operational review of our Fiber business and the search for the next CEO of our company concluded during 2024, and the strategic review of our Fiber business concluded in 2025 with our entry into the Strategic Fiber Agreement. See "</w:t>
      </w:r>
      <w:r>
        <w:rPr>
          <w:rFonts w:ascii="Times New Roman" w:cs="Times New Roman" w:eastAsia="Times New Roman" w:hAnsi="Times New Roman"/>
          <w:sz w:val="16"/>
          <w:szCs w:val="16"/>
          <w:i w:val="1"/>
          <w:iCs w:val="1"/>
          <w:color w:val="auto"/>
        </w:rPr>
        <w:t>—The pendency of the sale of our Fiber Business to Zayo and EQT may have an adverse effect on our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results of operations, cash flows and financial position.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—The failure to complete the planned sale of the Fiber Business to Zayo and EQT could have a material and adverse effect on our business, results of operations, financial condition, cash flows, and stock price.</w:t>
      </w:r>
      <w:r>
        <w:rPr>
          <w:rFonts w:ascii="Times New Roman" w:cs="Times New Roman" w:eastAsia="Times New Roman" w:hAnsi="Times New Roman"/>
          <w:sz w:val="16"/>
          <w:szCs w:val="16"/>
          <w:color w:val="auto"/>
        </w:rPr>
        <w:t>"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discussion of the Strategic Fiber Transaction. The Cooperation Agreement, as amended, remains in effect.</w:t>
      </w:r>
    </w:p>
    <w:p>
      <w:pPr>
        <w:spacing w:after="0" w:line="32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strive to maintain constructive, ongoing communications with all stockholders, and we welcome constructive input from all stockholders toward the shared goal of enhancing long-term stockholder value. Nonetheless, we may not be successful in engaging constructively with one or more stockholders, and any resulting activist campaign that contests, or seeks to change,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2" w:name="page23"/>
    <w:bookmarkEnd w:id="22"/>
    <w:p>
      <w:pPr>
        <w:jc w:val="both"/>
        <w:spacing w:after="0" w:line="248" w:lineRule="auto"/>
        <w:rPr>
          <w:sz w:val="20"/>
          <w:szCs w:val="20"/>
          <w:color w:val="auto"/>
        </w:rPr>
      </w:pPr>
      <w:r>
        <w:rPr>
          <w:rFonts w:ascii="Times New Roman" w:cs="Times New Roman" w:eastAsia="Times New Roman" w:hAnsi="Times New Roman"/>
          <w:sz w:val="18"/>
          <w:szCs w:val="18"/>
          <w:color w:val="auto"/>
        </w:rPr>
        <w:t>our strategic direction or business mix (for example, our proxy contest in 2024 with Boots Capital) could have an adverse effect on us because: (1) responding to actions by activist stockholders could disrupt our business and operations, be costly or time-consuming, or divert the attention of our board of directors or management from the pursuit of business strategies, which could adversely affect our results of operations or financial condition; (2) perceived uncertainties as to our future direction may lead to the perception of a change in the direction of the business, instability, or lack of continuity, any of which may be exploited by our competitors, cause concern to our current or potential customers and vendors, cause concern in the minds of our employees and make it more difficult to attract and retain qualified personnel; and (3) these types of actions could cause significant fluctuations in our share price based on temporary or speculative market perceptions or other factors that do not necessarily reflect the underlying fundamentals and prospects of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Pending Sale of the Fiber Business</w:t>
      </w:r>
    </w:p>
    <w:p>
      <w:pPr>
        <w:spacing w:after="0" w:line="159" w:lineRule="exact"/>
        <w:rPr>
          <w:sz w:val="20"/>
          <w:szCs w:val="20"/>
          <w:color w:val="auto"/>
        </w:rPr>
      </w:pPr>
    </w:p>
    <w:p>
      <w:pPr>
        <w:jc w:val="both"/>
        <w:ind w:firstLine="39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pendency of the sale of our Fiber Business to Zayo and EQT may have an adverse effect on our business, results of operations, cash flows and financial position.</w:t>
      </w:r>
    </w:p>
    <w:p>
      <w:pPr>
        <w:spacing w:after="0" w:line="1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March 13, 2025, we signed the Strategic Fiber Agreement to sell all of our Fiber Business, with Zayo acquiring the fiber solutions business and EQT acquiring the small cell business. The pending sale of the Fiber Business may have an adverse effect on our operating results if our customers delay, defer, or cancel work with us pending completion of the Strategic Fiber Transaction.</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subject to additional risks in connection with the pendency of the proposed Strategic Fiber Transaction, including:</w:t>
      </w:r>
    </w:p>
    <w:p>
      <w:pPr>
        <w:spacing w:after="0" w:line="161" w:lineRule="exact"/>
        <w:rPr>
          <w:sz w:val="20"/>
          <w:szCs w:val="20"/>
          <w:color w:val="auto"/>
        </w:rPr>
      </w:pPr>
    </w:p>
    <w:p>
      <w:pPr>
        <w:jc w:val="both"/>
        <w:ind w:left="800" w:hanging="400"/>
        <w:spacing w:after="0" w:line="248"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with which we do business may be uncertain as to the effects the transaction may have on them, including with respect to current or future business relationships with us, and these relationships may be subject to disruption as customers, suppliers and other persons with whom we have a business relationship may delay or defer certain business decisions or might decide to terminate, change or renegotiate their relationships with us, as applicable, or consider entering into business relationships with parties other than us. The risk, and adverse effect, of any disruption could be exacerbated by a delay in the consummation of the transaction or termination of the Strategic Fiber Agreement;</w:t>
      </w:r>
    </w:p>
    <w:p>
      <w:pPr>
        <w:spacing w:after="0" w:line="1" w:lineRule="exact"/>
        <w:rPr>
          <w:rFonts w:ascii="Times New Roman" w:cs="Times New Roman" w:eastAsia="Times New Roman" w:hAnsi="Times New Roman"/>
          <w:sz w:val="18"/>
          <w:szCs w:val="18"/>
          <w:color w:val="auto"/>
        </w:rPr>
      </w:pPr>
    </w:p>
    <w:p>
      <w:pPr>
        <w:jc w:val="both"/>
        <w:ind w:left="800" w:hanging="400"/>
        <w:spacing w:after="0" w:line="244"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and requirements imposed on our business and operations pursuant to certain covenants set forth in the Strategic Fiber Agreement and ancillary transaction agreements obligate us to generally conduct our business in a commercially reasonable manner and in all material respects in the ordinary course of business consistent with past practice and may prevent us from pursuing certain opportunities, entering into certain contracts with customers and suppliers, or taking certain other actions without Zayo’s and/or EQT's approval;</w:t>
      </w:r>
    </w:p>
    <w:p>
      <w:pPr>
        <w:jc w:val="both"/>
        <w:ind w:left="800" w:hanging="400"/>
        <w:spacing w:after="0" w:line="244"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recruit, retain and motivate current and prospective employees who may be uncertain about their future roles following completion of the proposed transaction, and our operations could suffer due to employee attrition or a reduction in employee productivity as a result of this uncertainty; and</w:t>
      </w:r>
    </w:p>
    <w:p>
      <w:pPr>
        <w:jc w:val="both"/>
        <w:ind w:left="800" w:hanging="400"/>
        <w:spacing w:after="0" w:line="246"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pursuit and planning for the transaction have placed and will continue to place a significant burden on management and other internal resources and may divert management’s attention away from day-to-day business concerns and other opportunities that may have been beneficial to us could adversely affect our business, financial condition and operating results.</w:t>
      </w:r>
    </w:p>
    <w:p>
      <w:pPr>
        <w:spacing w:after="0" w:line="13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failure to complete the planned sale of the Fiber Business to Zayo and EQT could have a material and adverse effect on our business,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financial condition, cash flows, and stock price.</w:t>
      </w:r>
      <w:r>
        <w:rPr>
          <w:rFonts w:ascii="Times New Roman" w:cs="Times New Roman" w:eastAsia="Times New Roman" w:hAnsi="Times New Roman"/>
          <w:sz w:val="18"/>
          <w:szCs w:val="18"/>
          <w:color w:val="auto"/>
        </w:rPr>
        <w:t>" below for a discussion of risks associated with the potential failure to complete the planned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Fiber Business.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p>
    <w:p>
      <w:pPr>
        <w:spacing w:after="0" w:line="12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Strategic Fiber Agreement contains closing conditions and requirements with which we must comply pending the closing of the Strategic Fiber Transaction, including (1) obtaining regulatory approvals from certain U.S. regulatory and governmental authorities, including various consents, clearances under antitrust statutes, authorizations and declarations of non-objection, or expiration of waiting periods (or extensions thereof), and (2) separating each of the fiber solutions and small cell businesses from our current operations, in accordance with the terms of the Strategic Fiber Agreement.</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deciding whether to grant the required regulatory approval, consent or clearance, the relevant governmental entities will consider the effect of the transaction on competition within their relevant jurisdiction. Regulatory and governmental entities may impose conditions on their respective approvals, in which case lengthy negotiations may ensue among such regulatory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8"/>
          <w:szCs w:val="18"/>
          <w:color w:val="auto"/>
        </w:rPr>
        <w:t>governmental entities, Zayo, EQT and us. Such conditions, any such negotiations and the process of obtaining regulatory approvals could have the effect of delaying or preventing consummation of the transaction.</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separation and conveyance of each of the fiber solutions and small cells businesses from our current operations to the respective purchaser in connection with the Strategic Fiber Transaction poses significant challenges, including division and allocation of assets, information technology, contracts and employees relating to each of the applicable businesses.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any of these conditions, certain of which may not be within our control, are not satisfied or waived, the Strategic Fiber Agreement may be terminated, or the Strategic Fiber Transaction may not close.</w:t>
      </w:r>
    </w:p>
    <w:p>
      <w:pPr>
        <w:spacing w:after="0" w:line="1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complete the planned sale of the Fiber Business to Zayo and EQT could have a material and adverse effect on our business, results of operations, financial condition, cash flows, and stock price.</w:t>
      </w:r>
    </w:p>
    <w:p>
      <w:pPr>
        <w:spacing w:after="0" w:line="1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Strategic Fiber Transaction, which is expected to close in the first half of 2026, is subject to the satisfaction or waiver of certain closing conditions, and there is no assurance that all of the various conditions will be satisfied, or that the transaction will be completed on the proposed terms, within the expected timeframe or at all. The closing of the transaction may be delayed, and the transaction may ultimately not be completed, due to a number of factors, including as a result of the failure to satisfy any requisite closing condition in the Strategic Fiber Agreement, potential future stockholder litigation and other legal and regulatory proceedings.</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the Strategic Fiber Transaction does not close, we may suffer consequences that could adversely affect our ongoing and future business, financial condition, operating results, cash flows and stock price, and our stockholders would be exposed to additional risks, including for example:</w:t>
      </w:r>
    </w:p>
    <w:p>
      <w:pPr>
        <w:spacing w:after="0" w:line="117" w:lineRule="exact"/>
        <w:rPr>
          <w:sz w:val="20"/>
          <w:szCs w:val="20"/>
          <w:color w:val="auto"/>
        </w:rPr>
      </w:pPr>
    </w:p>
    <w:p>
      <w:pPr>
        <w:ind w:left="800" w:hanging="400"/>
        <w:spacing w:after="0" w:line="254"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current market price of our stock reflects an assumption that the transaction will be completed, the price of our common stock could decrease;</w:t>
      </w: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us could decline and stockholder litigation could be brought against us;</w:t>
      </w:r>
    </w:p>
    <w:p>
      <w:pPr>
        <w:spacing w:after="0" w:line="3" w:lineRule="exact"/>
        <w:rPr>
          <w:rFonts w:ascii="Times New Roman" w:cs="Times New Roman" w:eastAsia="Times New Roman" w:hAnsi="Times New Roman"/>
          <w:sz w:val="18"/>
          <w:szCs w:val="18"/>
          <w:color w:val="auto"/>
        </w:rPr>
      </w:pPr>
    </w:p>
    <w:p>
      <w:pPr>
        <w:jc w:val="both"/>
        <w:ind w:left="800" w:hanging="400"/>
        <w:spacing w:after="0" w:line="274" w:lineRule="auto"/>
        <w:tabs>
          <w:tab w:leader="none" w:pos="79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costs, including professional services fees and other transaction costs, in connection with the proposed transaction that we would be unable to recover, and devoted substantial commitments of time and resources by our management and employees, which could have otherwise been devoted to day-to-day operations and other opportunities that could have been beneficial to us as an independent company; and</w:t>
      </w:r>
    </w:p>
    <w:p>
      <w:pPr>
        <w:spacing w:after="0" w:line="1" w:lineRule="exact"/>
        <w:rPr>
          <w:rFonts w:ascii="Times New Roman" w:cs="Times New Roman" w:eastAsia="Times New Roman" w:hAnsi="Times New Roman"/>
          <w:sz w:val="16"/>
          <w:szCs w:val="16"/>
          <w:color w:val="auto"/>
        </w:rPr>
      </w:pPr>
    </w:p>
    <w:p>
      <w:pPr>
        <w:ind w:left="800" w:hanging="400"/>
        <w:spacing w:after="0" w:line="248"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business, relationships with other parties, liquidity or financial condition will not be adversely affected, as compared to the condition prior to the announcement of the transaction, if the transaction is delayed or not consummated.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 and Equity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spacing w:after="0" w:line="124"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have a substantial amount of indebtedness (approximately $23.8 billion as of March 12, 2025). See </w:t>
      </w:r>
      <w:r>
        <w:rPr>
          <w:rFonts w:ascii="Times New Roman" w:cs="Times New Roman" w:eastAsia="Times New Roman" w:hAnsi="Times New Roman"/>
          <w:sz w:val="18"/>
          <w:szCs w:val="18"/>
          <w:i w:val="1"/>
          <w:iCs w:val="1"/>
          <w:color w:val="auto"/>
        </w:rPr>
        <w:t>"Item 7. MD&amp;A—Liquidity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for a tabular presentation of our contractual debt maturities. As a result of our substantial indebtedness:</w:t>
      </w:r>
    </w:p>
    <w:p>
      <w:pPr>
        <w:spacing w:after="0" w:line="114" w:lineRule="exact"/>
        <w:rPr>
          <w:sz w:val="20"/>
          <w:szCs w:val="20"/>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or industry conditions;</w:t>
      </w:r>
    </w:p>
    <w:p>
      <w:pPr>
        <w:spacing w:after="0" w:line="21"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obtain additional financing to fund discretionary investments or other general corporate requirements or to refinance our existing indebtedness;</w:t>
      </w:r>
    </w:p>
    <w:p>
      <w:pPr>
        <w:jc w:val="both"/>
        <w:ind w:left="800" w:hanging="400"/>
        <w:spacing w:after="0" w:line="244"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or will be required to dedicate a substantial portion of our cash flows from operations to the payment of principal or interest on our debt, thereby reducing the available cash flows to fund other projects, including the discretionary investments discussed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MD&amp;A—Liquidity and Capital Resources"</w:t>
      </w:r>
      <w:r>
        <w:rPr>
          <w:rFonts w:ascii="Times New Roman" w:cs="Times New Roman" w:eastAsia="Times New Roman" w:hAnsi="Times New Roman"/>
          <w:sz w:val="18"/>
          <w:szCs w:val="18"/>
          <w:color w:val="auto"/>
        </w:rPr>
        <w:t>;</w:t>
      </w: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flexibility in planning for, or reacting to, changes in our business or in the industry;</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competitive disadvantage relative to other companies in our industry with less debt;</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changes in interest rates (see below);</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changes to credit ratings related to our debt instruments;</w:t>
      </w:r>
    </w:p>
    <w:p>
      <w:pPr>
        <w:spacing w:after="0" w:line="3"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or securities convertible into equity securities or sell some of our assets, possibly on unfavorable terms, in order to meet our debt payment obligations;</w:t>
      </w:r>
    </w:p>
    <w:p>
      <w:pPr>
        <w:ind w:left="800" w:hanging="400"/>
        <w:spacing w:after="0" w:line="244"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ability to take advantage of strategic business opportunities, including communications infrastructure development or mergers and acquisitions; and</w:t>
      </w:r>
    </w:p>
    <w:p>
      <w:pPr>
        <w:ind w:left="800" w:hanging="400"/>
        <w:spacing w:after="0" w:line="248"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fail to remain qualified for taxation as a REIT due to limitations on our ability to declare and pay dividends to stockholders as a result of restrictive covenants in our debt instruments.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From March 2022 until recently, the Federal Reserve repeatedly raised the federal funds rate, which adversely impacted the interest rates on our variable rate debt and refinancings of fixed rate debt. As of March 12, 2025, approximately 9% of our outstanding indebtedness consisted of variable interest rates. Such variable interest debt had a weighted average rate of 5.2% as of March 12, 2025, compared to 6.5%, 5.4% and 1.1% as of December 31, 2023, 2022 and 2021, respectively. Recently, the Federal Reserve has started to loosen its monetary policy by lowering the federal funds rate; however, any prolonged period of elevated interest rates or further increases to interest rates on such debt could continue to adversely impact our financial results and our ability to meet our dividend growth targets, strategically deploy our capital or execute our business plan. See "</w:t>
      </w:r>
      <w:r>
        <w:rPr>
          <w:rFonts w:ascii="Times New Roman" w:cs="Times New Roman" w:eastAsia="Times New Roman" w:hAnsi="Times New Roman"/>
          <w:sz w:val="18"/>
          <w:szCs w:val="18"/>
          <w:i w:val="1"/>
          <w:iCs w:val="1"/>
          <w:color w:val="auto"/>
        </w:rPr>
        <w:t>Item 7A. 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w:t>
      </w:r>
      <w:r>
        <w:rPr>
          <w:rFonts w:ascii="Times New Roman" w:cs="Times New Roman" w:eastAsia="Times New Roman" w:hAnsi="Times New Roman"/>
          <w:sz w:val="18"/>
          <w:szCs w:val="18"/>
          <w:color w:val="auto"/>
        </w:rPr>
        <w:t>for a further discussion of our interest rate risk.</w:t>
      </w:r>
    </w:p>
    <w:p>
      <w:pPr>
        <w:spacing w:after="0" w:line="13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 xml:space="preserve">Currently, we have debt instruments in place that limit, in certain circumstances, our ability to incur additional indebtedness, pay dividends, create liens, sell assets, or engage in certain mergers and acquisitions, among other things. In addition, the credit agreement governing our senior unsecured credit facility ("2016 Credit Agreement"), which consists of our senior unsecured term loan A facility and senior unsecured revolving credit facility (collectively, "2016 Credit Facility"), contains financial maintenance covenants. Our ability to comply with these covenants or to satisfy our debt obligations will depend on our future operating performance. If we violate the restrictions in our debt instruments or fail to comply with our financial maintenance covenants, we will be in default under those instruments, which in some cases would cause the maturity of a substantial portion of our long-term indebtedness to be accelerated. Furthermore, if the limits on our ability to pay dividends prevent us from satisfying our REIT distribution requirements, we could fail to remain qualified for taxation as a REIT. If these limits do not jeopardize our qualification for taxation as a REIT but nevertheless prevent us from distributing 100% of our REIT taxable income, we will be subject to federal and state corporate income taxes, and potentially a nondeductible excise tax, on our undistributed taxable income. If our operating subsidiaries were to default on their debt, the trustee could seek to foreclose the collateral securing such debt, in which case we could lose the communications infrastructure and the associated revenues. See </w:t>
      </w:r>
      <w:r>
        <w:rPr>
          <w:rFonts w:ascii="Times New Roman" w:cs="Times New Roman" w:eastAsia="Times New Roman" w:hAnsi="Times New Roman"/>
          <w:sz w:val="18"/>
          <w:szCs w:val="18"/>
          <w:i w:val="1"/>
          <w:iCs w:val="1"/>
          <w:color w:val="auto"/>
        </w:rPr>
        <w:t>"Item 7. MD&amp;A—Liquidity and Capital Resources—Debt Covenants"</w:t>
      </w:r>
      <w:r>
        <w:rPr>
          <w:rFonts w:ascii="Times New Roman" w:cs="Times New Roman" w:eastAsia="Times New Roman" w:hAnsi="Times New Roman"/>
          <w:sz w:val="18"/>
          <w:szCs w:val="18"/>
          <w:color w:val="auto"/>
        </w:rPr>
        <w:t xml:space="preserve"> for a further discussion of our debt covenants.</w:t>
      </w:r>
    </w:p>
    <w:p>
      <w:pPr>
        <w:spacing w:after="0" w:line="13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CCI is a holding company that conducts all of its operations through its subsidiaries. Accordingly, CCI's sources of cash to pay interest or principal on its outstanding indebtedness are distributions relating to its respective ownership interests in its subsidiaries from the net earnings and cash flows generated by such subsidiaries or from proceeds of debt or equity offerings. Earnings and cash flows generated by CCI's subsidiaries are first applied by such subsidiaries to conduct their operations, including servicing their respective debt obligations, after which any excess cash flows generally may be paid to CCI, in the absence of any special conditions, such as a continuing event of default. However, CCI's subsidiaries are legally distinct from the holding company and, unless they guarantee such debt, have no obligation to pay amounts due on their debt or to make funds available to us for such payment.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spacing w:after="0" w:line="12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We have a substantial amount of indebtedness, which, upon final maturity, we will need to refinance or repay. See </w:t>
      </w:r>
      <w:r>
        <w:rPr>
          <w:rFonts w:ascii="Times New Roman" w:cs="Times New Roman" w:eastAsia="Times New Roman" w:hAnsi="Times New Roman"/>
          <w:sz w:val="18"/>
          <w:szCs w:val="18"/>
          <w:i w:val="1"/>
          <w:iCs w:val="1"/>
          <w:color w:val="auto"/>
        </w:rPr>
        <w:t>"Item 7. MD&amp;A—Liquidity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for a tabular presentation of our contractual debt maturities. There can be no assurances we will be able to refinance our indebtedness (1)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reasonable terms, (2) on terms, including with respect to interest rates, as favorable as our current debt, or (3) at all. As of March 12, 2025, approximately 55% of our fixed rate debt, with a weighted average interest rate of 3.8%, is scheduled to mature over the next five years. If interest rates remain elevated or continue to increase, we may have to (1) refinance our maturing fixed rate debt at interest rates that exceed the current interest rates on such debt or (2) use our variable interest rate debt to repay such fixed rate debt, thereby increasing our exposure to interest rate fluctuations.</w:t>
      </w:r>
    </w:p>
    <w:p>
      <w:pPr>
        <w:spacing w:after="0" w:line="13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Economic conditions and the credit markets have historically experienced, and may continue to experience, periods of volatility, uncertainty, or weakness that could impact (1) the availability or cost of debt financing, including any refinancing of the obligations described above, (2) our ability to draw the full amount of our $7.0 billion senior unsecured revolving credit facility under our 2016 Credit Facility ("2016 Revolver"), that, as of March 12, 2025, had $7.0 billion of undrawn availability, or (3) our ability to issue the full amount of the $2.0 billion commercial paper notes ("Commercial Paper Notes") under our unsecured commercial paper program ("CP Program"), that, as of March 12, 2025, had $1.1 billion outstanding.</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If we are unable to repay or refinance our debt, we cannot guarantee that we will be able to generate enough cash flows from operations or that we will be able to obtain enough capital to service our debt, fund our planned capital expenditures or pay future dividends. In such an event, we could face substantial liquidity issues and might be required to issue equity securities or securities convertible into equity securities, or sell some of our assets, possibly on unfavorable terms, to meet our debt payment obligations. Failure to repay or refinance indebtedness when required could result in a default under such indebtedness. If we incur additional indebtedness, any such indebtedness could exacerbate the risks described above.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5" w:name="page26"/>
    <w:bookmarkEnd w:id="25"/>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Sales or issuances of a substantial number of shares of our common stock or securities convertible into shares of our common stock may adversely affect the market price of our common stock.</w:t>
      </w:r>
    </w:p>
    <w:p>
      <w:pPr>
        <w:spacing w:after="0" w:line="11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Future sales or issuances of common stock or other equity related securities may adversely affect the market price of our common stock, including any shares of our common stock issued to finance capital expenditures, finance strategic initiatives or repay debt. Our business strategy contemplates access to external financing to fund certain discretionary investments, which may include issuances of common stock or other equity related securities. We maintain an "at-the-market" stock offering program ("2024 ATM Program") through which we may, from time to time, issue and sell shares of our common stock having an aggregate gross sales price of up to $750 million to or through sales agents. As of March 12, 2025, we had $750 million of gross sales of common stock remaining under our 2024 ATM Program. From time to time, we may refresh or implement a new "at-the-market" stock offering program. See note 10 to our consolidated financial statements. As of March 12, 2025, we had approximately 435 million shares of common stock outstanding.</w:t>
      </w:r>
    </w:p>
    <w:p>
      <w:pPr>
        <w:spacing w:after="0" w:line="10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reserved an aggregate of approximately 15 million shares of common stock for issuance in connection with awards granted under our stock compensation plans.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Further, a small number of common stockholders own a significant percentage of our outstanding common stock. If any one of these common stockholders, or any group of our common stockholders, sells a large quantity of shares of our common stock, or the public market perceives that existing common stockholders might sell a large quantity of shares of our common stock, the market price of our common stock may significantly decline.</w:t>
      </w:r>
    </w:p>
    <w:p>
      <w:pPr>
        <w:spacing w:after="0" w:line="123" w:lineRule="exact"/>
        <w:rPr>
          <w:sz w:val="20"/>
          <w:szCs w:val="20"/>
          <w:color w:val="auto"/>
        </w:rPr>
      </w:pPr>
    </w:p>
    <w:p>
      <w:pPr>
        <w:jc w:val="both"/>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of our Charter and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66"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We have a number of anti-takeover devices in place that will hinder takeover attempts or may reduce the market value of our common stock. Our anti-takeover provisions include:</w:t>
      </w:r>
    </w:p>
    <w:p>
      <w:pPr>
        <w:spacing w:after="0" w:line="117" w:lineRule="exact"/>
        <w:rPr>
          <w:sz w:val="20"/>
          <w:szCs w:val="20"/>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without approval of the holders of our common stock;</w:t>
      </w:r>
    </w:p>
    <w:p>
      <w:pPr>
        <w:spacing w:after="0" w:line="21"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and other procedural requirements relating to director nominations or proposals submitted by stockholders for actions to be taken at annual meetings of stockholders; and</w:t>
      </w:r>
    </w:p>
    <w:p>
      <w:pPr>
        <w:jc w:val="both"/>
        <w:ind w:left="800" w:hanging="400"/>
        <w:spacing w:after="0" w:line="281" w:lineRule="auto"/>
        <w:tabs>
          <w:tab w:leader="none" w:pos="79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that the state courts or, in certain circumstances, the federal courts, in Delaware shall be the sole and exclusive forum for certain actions involving us, our directors, officers, employees and stockholders, and, unless the Company otherwise consents, that the federal courts shall be the sole and exclusive forum for resolution of claims arising under the Securities Act of 1933, as amended (“Securities Act”). Since the Securities Act provides that federal and state courts have concurrent jurisdiction over lawsuits brought pursuant to the Securities Act, there may be uncertainty as to whether a court would enforce such a provision. Stockholders will not be deemed to have waived compliance with the federal securities laws, and this provision does not apply to claims for which the federal courts have exclusive jurisdiction (such as under the Exchange Act).</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Such provisions, as well as the provisions of Section 203 of the Delaware General Corporation Law, may impede a merger, consolidation, takeover, or other business combination or discourage a potential acquirer from making a tender offer or otherwise attempting to obtain control of us.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domestic or international competition laws may prevent or discourage us from acquiring communications infrastructure in certain geographical areas or impede a merger, consolidation, takeover, or other business combination or discourage a potential acquirer from making a tender offer or otherwise attempting to obtain control of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Corporate Compliance</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A variety of federal, state, local, and foreign laws and regulations apply to our business, including those discussed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Failure to comply with applicable requirements may lead to civil or criminal penalties, require us to assume indemnification obligations or breach contractual provisions. We cannot guarantee that existing or future laws or regulations, including federal, state, local, or foreign tax laws, will not adversely affect our business (including our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Relating to Our REIT Status</w:t>
      </w:r>
    </w:p>
    <w:p>
      <w:pPr>
        <w:spacing w:after="0" w:line="15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9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each of the quarters in the year ended 2024, we paid a common stock dividend of $1.565 per share, totaling approximately $2.7 billion. We are updating our capital allocation framework to focus more on free cash flow generation and financial flexibility, which we currently expect to result in a reduction to our dividend, beginning with our expected second quarter 2025 dividend. As we grow cash flows thereafter, we expect to increase our dividend per share. Whether dividends are to be declared and the amount and timing thereof remain subject to the discretion of our board of directors. See notes 10 and 17 to our consolidated financial statements.</w:t>
      </w:r>
    </w:p>
    <w:p>
      <w:pPr>
        <w:spacing w:after="0" w:line="13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We operate as a REIT for U.S. federal income tax purposes. To remain qualified and be taxed as a REIT, we are generally required to annually distribute at least 90% of our REIT taxable income (determined without regard to the dividends paid deduction, excluding net capital gain and after the utilization of any available NOLs) to our stockholders. Our quarterly cash common stock dividend will delay the utilization of our NOLs and may cause certain of the NOLs to expire without utilization. See also </w:t>
      </w:r>
      <w:r>
        <w:rPr>
          <w:rFonts w:ascii="Times New Roman" w:cs="Times New Roman" w:eastAsia="Times New Roman" w:hAnsi="Times New Roman"/>
          <w:sz w:val="16"/>
          <w:szCs w:val="16"/>
          <w:i w:val="1"/>
          <w:iCs w:val="1"/>
          <w:color w:val="auto"/>
        </w:rPr>
        <w:t>"Item 1. Business—REIT Status"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"Item 7. MD&amp;A—General Overview—Common Stock Dividend."</w:t>
      </w:r>
    </w:p>
    <w:p>
      <w:pPr>
        <w:spacing w:after="0" w:line="100"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color w:val="auto"/>
        </w:rPr>
        <w:t xml:space="preserve">As discussed in </w:t>
      </w:r>
      <w:r>
        <w:rPr>
          <w:rFonts w:ascii="Times New Roman" w:cs="Times New Roman" w:eastAsia="Times New Roman" w:hAnsi="Times New Roman"/>
          <w:sz w:val="16"/>
          <w:szCs w:val="16"/>
          <w:i w:val="1"/>
          <w:iCs w:val="1"/>
          <w:color w:val="auto"/>
        </w:rPr>
        <w:t>"Item 1. Business—Strategy,"</w:t>
      </w:r>
      <w:r>
        <w:rPr>
          <w:rFonts w:ascii="Times New Roman" w:cs="Times New Roman" w:eastAsia="Times New Roman" w:hAnsi="Times New Roman"/>
          <w:sz w:val="16"/>
          <w:szCs w:val="16"/>
          <w:color w:val="auto"/>
        </w:rPr>
        <w:t xml:space="preserve"> we seek to invest our available capital, including the net cash generated by our operating activities and external financing sources, in a manner that we believe will increase long-term stockholder value on a risk-adjusted basis. Our historical discretionary investments have included the following (in no particular order): construction of communications infrastructure; acquisitions of communications infrastructure; acquisitions of land interests (which primarily relate to land assets under towers); improvements and structural enhancements to our existing communications infrastructure; purchases of shares of our common stock from time to time; and purchases, repayments or redemptions of our debt. External financing, including debt, equity, and equity-related issuances to fund future discretionary investments either (1) may not be available to us or (2) may not be accessible by us at terms that would result in the investment of the net proceeds raised yielding incremental growth in our per share operating results. As a result, future dividend payments may hinder our ability to grow our per share results of operations or otherwise adversely affect our ability to execute our business plan.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spacing w:after="0" w:line="12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a REIT, we are generally entitled to a deduction for dividends that we pay and therefore are not subject to U.S. federal corporate income tax on our net taxable income that is currently distributed to our common stockholders.</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While we intend to operate so that we remain qualified as a REIT, given the highly complex nature of the rules governing REITs, the importance of ongoing factual determinations, the possibility of future changes in our circumstances, and the potential impact of future changes to laws and regulations impacting REITs, no assurance can be given that we will qualify as a REIT for any particular year.</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the present U.S. federal tax treatment of REITs is subject to change, possibly with retroactive effect, by legislative, judicial or administrative action at any time, and any such change might adversely affect our REIT status or benefits. We cannot predict the impact, if any, that such changes, if enacted, might have on our business. However, it is possible that such changes could adversely affect our business, including our REIT status.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certain provisions of the Code, then:</w:t>
      </w:r>
    </w:p>
    <w:p>
      <w:pPr>
        <w:spacing w:after="0" w:line="161" w:lineRule="exact"/>
        <w:rPr>
          <w:sz w:val="20"/>
          <w:szCs w:val="20"/>
          <w:color w:val="auto"/>
        </w:rPr>
      </w:pPr>
    </w:p>
    <w:p>
      <w:pPr>
        <w:ind w:left="800" w:hanging="400"/>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allowed a deduction for dividends paid to stockholders in computing our taxable income;</w:t>
      </w:r>
    </w:p>
    <w:p>
      <w:pPr>
        <w:spacing w:after="0" w:line="21" w:lineRule="exact"/>
        <w:rPr>
          <w:rFonts w:ascii="Times New Roman" w:cs="Times New Roman" w:eastAsia="Times New Roman" w:hAnsi="Times New Roman"/>
          <w:sz w:val="18"/>
          <w:szCs w:val="18"/>
          <w:color w:val="auto"/>
        </w:rPr>
      </w:pPr>
    </w:p>
    <w:p>
      <w:pPr>
        <w:ind w:left="800" w:hanging="400"/>
        <w:spacing w:after="0" w:line="244" w:lineRule="auto"/>
        <w:tabs>
          <w:tab w:leader="none" w:pos="7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federal and state income tax on our taxable income at regular corporate tax rates and, for years beginning before January 1, 2018, any applicable alternative minimum tax; and</w:t>
      </w:r>
    </w:p>
    <w:p>
      <w:pPr>
        <w:ind w:left="800" w:hanging="400"/>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disqualified from re-electing REIT status for the four taxable years following the year during which we were so disqualified.</w:t>
      </w:r>
    </w:p>
    <w:p>
      <w:pPr>
        <w:spacing w:after="0" w:line="1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Although we may have federal NOLs available to reduce any taxable income, to the extent our federal NOLs have been utilized or are otherwise unavailable, any such corporate tax liability could be substantial, would reduce the amount of cash available for other purposes and might necessitate the borrowing of additional funds or the liquidation of some investments to pay any additional tax liability. Accordingly, funds available for investment would be reduced.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7" w:name="page28"/>
    <w:bookmarkEnd w:id="27"/>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Under the Code, for taxable years beginning in or after 2018, no more than 20% of the value of the assets of a REIT may be represented by securities of one or more TRSs. These limitations may affect our ability to make additional investments in non-REIT qualifying operations or assets, or in any operations held through TRSs. 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to exceed current or future limitations of the fair market value of our assets at the end of any quarter, then we may fail to remain qualified as a REIT.</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1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To remain qualified and be taxed as a REIT, we are required to satisfy the 90% distribution requirement as described above. We commenced declaring regular quarterly dividends to our common stockholders beginning with the first quarter of 2014. See notes 10 and 17 to our consolidated financial statements. Whether dividends are to be declared and the amount and timing thereof remain subject to the discretion of our board of directors based on then-current and anticipated future conditions, including our earnings, net cash generated by operating activities, capital requirements, financial condition, our relative market capitalization, our existing federal NOLs of approximately $1.5 billion or other factors deemed relevant by our board of directors.</w:t>
      </w:r>
    </w:p>
    <w:p>
      <w:pPr>
        <w:spacing w:after="0" w:line="10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(determined without regard to the dividends paid deduction, excluding net capital gain and after the utilization of any available NOLs), we will be subject to federal corporate income tax on our undistributed taxable income. In addition, we will be subject to a 4% nondeductible excise tax if the actual amount that we pay to our stockholders for a calendar year is less than a minimum amount specified under the Code.</w:t>
      </w:r>
    </w:p>
    <w:p>
      <w:pPr>
        <w:spacing w:after="0" w:line="13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From time to time, we may generate REIT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to make distributions sufficient to enable us to pay out enough of our taxable income to satisfy the REIT dividend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Furthermore, the REIT dividend requirements may increase the financing we need to fund capital expenditures, future growth, or expansion initiatives, which would increase our total leverage.</w:t>
      </w:r>
    </w:p>
    <w:p>
      <w:pPr>
        <w:spacing w:after="0" w:line="13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to satisfying the 90% distribution requirement, to remain qualified as a REIT for tax purposes, we are required to continually satisfy tests concerning, among other things, the sources of our income, the nature and diversification of our assets and the ownership of our capital stock. Compliance with these tests will require us to refrain from certain activities and may hinder our ability to make certain attractive investments, including the purchase of non-qualifying assets, the expansion of non-real estate activities, or investments in the businesses to be conducted by our TRSs, and to that extent, limit our opportunities and our flexibility to change our business strategy. Furthermore, acquisition opportunities in domestic or international markets may be adversely affected if we need or require the target company to comply with some REIT requirements prior to completing any such acquisition. In addition, our status as a REIT may result in investor pressures not to pursue growth opportunities that are not immediately accretive.</w:t>
      </w:r>
    </w:p>
    <w:p>
      <w:pPr>
        <w:spacing w:after="0" w:line="13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Moreover, if we fail to comply with certain asset ownership tests, at the end of any calendar quarter, we must correct the failure within 30 days after the end of the calendar quarter or qualify for certain statutory relief provisions to avoid losing our REIT qualification. As a result, we may be required to liquidate assets in adverse market conditions or forgo otherwise attractive investments. These actions may reduce our income and amounts available for distribution to our stockholders.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REIT related ownership limitations and transfer restrictions may prevent or restrict certain transfers of our capital stock.</w:t>
      </w:r>
    </w:p>
    <w:p>
      <w:pPr>
        <w:spacing w:after="0" w:line="165"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In order to facilitate compliance with the REIT rules, our Charter includes provisions regarding REIT-related ownership limitations and transfer restrictions that generally prohibit any "person" (as defined in our Charter) from beneficially or constructively owning, or being deemed to beneficially or constructively own by virtue of the attribution provisions of the Code, more than (1) 9.8%, by value or number of shares, whichever is more restrictive, of the outstanding shares of our common stock, or (2) 9.8% in aggregate value of the outstanding shares of all classes and series of our capital stock. In addition, our Charter provides for certain other ownership limitations and transfer restrictions. Under applicable constructive ownership rules, any shares of capital stock owned by certain affiliated owners generally would be added together for purposes of the ownership limitations. These ownership limitations and transfer restrictions could have the effect of delaying, deferring or preventing a transaction or a change in control of our company that might involve a premium price for our capital stock or otherwise might be in the best interest of our stockholders.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submitted the CEO certification required by Section 303A.12(a) of the New York Stock Exchange ("NYSE") Listed Company Manual, relating to compliance with the NYSE's corporate governance listing standards, to the NYSE on June 7, 2024 with no qualifications. We have included the certifications of our CEO and Chief Financial Officer required by Section 302 of the Sarbanes-Oxley Act of 2002 and related rules as Exhibits 31.1 and 31.2 to this 2024 Form 10-K.</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9" w:name="page30"/>
    <w:bookmarkEnd w:id="29"/>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i w:val="1"/>
          <w:iCs w:val="1"/>
          <w:color w:val="auto"/>
        </w:rPr>
        <w:t>Cybersecurity</w:t>
      </w:r>
    </w:p>
    <w:p>
      <w:pPr>
        <w:spacing w:after="0" w:line="165"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Our company maintains a comprehensive Information Security Program ("IS Program") focused on detection, assessment and mitigation of cybersecurity risks. Our dedicated enterprise security team, led by our Chief Information Security Officer ("CISO"), administers the IS Program and is responsible for identification, investigation and response to cyber threats and vulnerabilities. The enterprise security team also implements, manages, and assesses our company's cyber policies, standards and procedures, which leverage our team's expertise and the National Institute of Standards and Technology Cybersecurity Framework. We have developed an incident response plan to handle suspected loss of, or unauthorized access to, information. We regularly conduct tabletop exercises, red team exercises, simulations, and other exercises to evaluate the effectiveness of our IS Program and to position our company for a coordinated, strategic response in the event of an actual security incident. All employees are required to complete cybersecurity trainings and employees in higher-risk roles are required to complete additional customized training tailored to address their specific risk exposure. Our Security Operations Center ("SOC"), which operates 24 hours a day, 365 days a year, is designed to provide visibility of security events across our Company and a mechanism for swiftly addressing cyber threats before they compromise data security. Through a combination of a threat management platform and our team of cybersecurity specialists, our SOC continuously monitors and proactively isolates and analyzes cybersecurity alerts to help us address cybersecurity risks.</w:t>
      </w:r>
    </w:p>
    <w:p>
      <w:pPr>
        <w:spacing w:after="0" w:line="200" w:lineRule="exact"/>
        <w:rPr>
          <w:sz w:val="20"/>
          <w:szCs w:val="20"/>
          <w:color w:val="auto"/>
        </w:rPr>
      </w:pP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identification, assessment and management of cybersecurity risks are integrated into our existing enterprise risk management ("ERM") framework. Cybersecurity related risks are included in the risk universe that the ERM function evaluates to assess top risks to the enterprise on an annual basis, which are presented to and reviewed by the Audit Committee.</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engage third-party providers to conduct evaluations of our security controls, including through vulnerability assessments and penetration testing, independent audits or consulting on best practices. These evaluations include testing both the design and operational effectiveness of security controls. Additionally, our internal audit team regularly evaluates the effectiveness of the IS Program, with results reported to the board of directors.</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also have policies and procedures in place to manage cybersecurity risks associated with third-party service providers. We impose security requirements on our suppliers, which include maintaining a security management program, complying with information handling requirements, and notifying us in the event of any known or suspected cyber incident. Where appropriate, we assess third-party cybersecurity controls and include security and privacy addenda to our vendor contracts.</w:t>
      </w:r>
    </w:p>
    <w:p>
      <w:pPr>
        <w:spacing w:after="0" w:line="210"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Our CISO reports directly to our Executive Vice President and Chief Information Officer ("CIO"), who reports to our CEO. Our CISO is informed about and monitors prevention, detection, mitigation, and remediation efforts through regular communication with and reporting from the enterprise security team, many of whom hold cybersecurity certifications, and through the use of technological tools and software and results from third-party assessments. Our CISO and CIO have extensive experience assessing and managing cybersecurity programs and cybersecurity risk. Our CISO has over 25 years of cybersecurity experience, including having served as Chief Technology Officer/CISO and co-founder of two cybersecurity companies, during which time he provided cybersecurity consulting services to Fortune 500 companies and taught a digital and network forensics course at the National Computer Forensics Institute. Prior to joining our company, our CISO served as the Director of Security Services for a large network infrastructure company, and our CIO was responsible for network security policies, technology, and operations, including intrusion detection systems and conduct penetration testing, at another large public company. The CIO periodically reports to the Audit Committee regarding cybersecurity risk exposure and risk mitigation strategies. The board of directors also may review and assess cybersecurity risks in connection with its review of our company's mission critical risks.</w:t>
      </w:r>
    </w:p>
    <w:p>
      <w:pPr>
        <w:spacing w:after="0" w:line="200" w:lineRule="exact"/>
        <w:rPr>
          <w:sz w:val="20"/>
          <w:szCs w:val="20"/>
          <w:color w:val="auto"/>
        </w:rPr>
      </w:pPr>
    </w:p>
    <w:p>
      <w:pPr>
        <w:spacing w:after="0" w:line="20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While we have not, as of the date of this 2024 10-K, experienced a cybersecurity threat or incident that resulted in a material adverse impact to our business or operations, there can be no guarantee that we will not experience such an incident in the future. See "Risk Factors" for more information on our cybersecurity risks.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0" w:name="page31"/>
    <w:bookmarkEnd w:id="30"/>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Communications Infrastructure</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own, lease or manage more than 40,000 towers geographically dispersed throughout the U.S. Towers are vertical metal structures generally ranging in height from 50 to 300 feet. Our tenants' wireless equipment may be placed on towers, building rooftops and other structures. Our towers are located on tracts of land that support the towers, equipment shelters and, where applicable, guy-wires to stabilize the tower.</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Additionally, we own or lease approximately 90,000 route miles of fiber primarily supporting our (1) approximately 105,000 small cell nodes either currently generating revenue or under contract and (2) fiber solutions. The majority of our fiber assets are located in major metropolitan areas, including a presence in most major U.S. markets. Our small cells and fiber are typically located outdoors and are often attached to public right-of-way infrastructure, including utility poles or street lights.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following for further information regarding our communications infrastructure:</w:t>
      </w:r>
    </w:p>
    <w:p>
      <w:pPr>
        <w:spacing w:after="0" w:line="159" w:lineRule="exact"/>
        <w:rPr>
          <w:sz w:val="20"/>
          <w:szCs w:val="20"/>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"Item 1. Business—Overview" </w:t>
      </w:r>
      <w:r>
        <w:rPr>
          <w:rFonts w:ascii="Times New Roman" w:cs="Times New Roman" w:eastAsia="Times New Roman" w:hAnsi="Times New Roman"/>
          <w:sz w:val="18"/>
          <w:szCs w:val="18"/>
          <w:color w:val="auto"/>
        </w:rPr>
        <w:t>for information regarding our tower and fiber portfolios and the pending sale of the Fiber Business.</w:t>
      </w:r>
    </w:p>
    <w:p>
      <w:pPr>
        <w:spacing w:after="0" w:line="2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"Item 7. MD&amp;A—Liquidity and Capital Resources—Material Cash Requirements" </w:t>
      </w:r>
      <w:r>
        <w:rPr>
          <w:rFonts w:ascii="Times New Roman" w:cs="Times New Roman" w:eastAsia="Times New Roman" w:hAnsi="Times New Roman"/>
          <w:sz w:val="18"/>
          <w:szCs w:val="18"/>
          <w:color w:val="auto"/>
        </w:rPr>
        <w:t>for information regarding our lease obligations.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III - Schedule of Real Estate and Accumulated Depreciation" </w:t>
      </w:r>
      <w:r>
        <w:rPr>
          <w:rFonts w:ascii="Times New Roman" w:cs="Times New Roman" w:eastAsia="Times New Roman" w:hAnsi="Times New Roman"/>
          <w:sz w:val="18"/>
          <w:szCs w:val="18"/>
          <w:color w:val="auto"/>
        </w:rPr>
        <w:t>for further information on our productive properties.</w:t>
      </w:r>
    </w:p>
    <w:p>
      <w:pPr>
        <w:spacing w:after="0" w:line="1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Approximately 54% of our towers are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See note 4 to our consolidated financial statements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further discussion.</w:t>
      </w:r>
    </w:p>
    <w:p>
      <w:pPr>
        <w:spacing w:after="0" w:line="13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Substantially all of our communications infrastructure can accommodate additional tenancy, either as currently constructed or with appropriate modifications. Additionally, if so inclined as a result of a request for a tenant addition, we could generally replace an existing tower with another tower, replace a small cell network antenna with another antenna or overlay additional fiber in order to provide additional coverage or capacity, subject to certain restrictions.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Offices</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Our principal corporate headquarters is owned and located in Houston, Texas. In addition, we have offices throughout the U.S. in locations convenient for the management and operation of our communications infrastructure, with significant consideration being given to the amount of our communications infrastructure located in a particular area. We believe that our facilities are suitable and adequate to meet our anticipated needs.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further discussion of the pending sale of the Fiber Business, which includes the sale of certain of our office buildings.</w:t>
      </w:r>
    </w:p>
    <w:p>
      <w:pPr>
        <w:spacing w:after="0" w:line="1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construction, condemnation, tax, employment, or wrongful termination matters. While the outcome of these matters cannot be predicted with certainty, management does not expect any pending matters to have a material adverse effect on us.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disclosure in note 12 to our consolidated financial statements.</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1" w:name="page32"/>
    <w:bookmarkEnd w:id="31"/>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listed and traded on the NYSE under the symbol "CCI."</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12, 2025, there were approximately 540 holders of record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operate as a REIT for U.S. federal income tax purposes. To remain qualified and be taxed as a REIT, we are generally required to annually distribute to our stockholders at least 90% of our REIT taxable income after the utilization of any available NOLs (determined without regard to the dividends paid deduction and excluding net capital gain).</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updating our capital allocation framework to focus more on free cash flow generation and financial flexibility, which we currently expect to result</w:t>
      </w:r>
    </w:p>
    <w:p>
      <w:pPr>
        <w:spacing w:after="0" w:line="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a reduction to our dividend, beginning with our expected second quarter 2025 dividend. As we grow cash flows thereafter, we expect to increase our dividend per share. Whether dividends are to be declared and the amount and timing thereof remain subject to the discretion of our board of directors. based on then-current or anticipated future conditions, including our earnings, net cash generated by operating activities, capital requirements, financial condition, our relative market capitalization, our existing NOLs, or other factors deemed relevant by our board of directors. In addition, our ability to pay dividends is limited under certain circumstances by the terms of our debt instruments. See also </w:t>
      </w:r>
      <w:r>
        <w:rPr>
          <w:rFonts w:ascii="Times New Roman" w:cs="Times New Roman" w:eastAsia="Times New Roman" w:hAnsi="Times New Roman"/>
          <w:sz w:val="18"/>
          <w:szCs w:val="18"/>
          <w:i w:val="1"/>
          <w:iCs w:val="1"/>
          <w:color w:val="auto"/>
        </w:rPr>
        <w:t>"Item 1. Business—Overview," "Item 1. Business—REIT Status," "Item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"Item 7. MD&amp;A—General Overview—Common Stock Dividend," "Item 7. MD&amp;A—Liquidity and Capital Resources—Financing Activities— Common Stock" </w:t>
      </w:r>
      <w:r>
        <w:rPr>
          <w:rFonts w:ascii="Times New Roman" w:cs="Times New Roman" w:eastAsia="Times New Roman" w:hAnsi="Times New Roman"/>
          <w:sz w:val="18"/>
          <w:szCs w:val="18"/>
          <w:color w:val="auto"/>
        </w:rPr>
        <w:t>and notes 9 and 10 to our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performance graph is a comparison of the five-year cumulative total stockholder return on our common stock against the cumulative total return of the S&amp;P 500 Market Index and the FTSE NAREIT All Equity REITs Index for the period commencing December 31, 2019 and ending December 31, 2024. The performance graph assumes an initial investment of $100.00 and the reinvestment of all dividends in our common stock and in each of the indices. The performance graph and related text are based 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94615</wp:posOffset>
            </wp:positionV>
            <wp:extent cx="5121910" cy="2924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21910" cy="292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Company/Market/Index</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Crown Castle Inc.</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115.61</w:t>
            </w:r>
          </w:p>
        </w:tc>
        <w:tc>
          <w:tcPr>
            <w:tcW w:w="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156.16</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105.39</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94.54</w:t>
            </w:r>
          </w:p>
        </w:tc>
        <w:tc>
          <w:tcPr>
            <w:tcW w:w="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Market Index</w:t>
            </w:r>
          </w:p>
        </w:tc>
        <w:tc>
          <w:tcPr>
            <w:tcW w:w="2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118.40</w:t>
            </w:r>
          </w:p>
        </w:tc>
        <w:tc>
          <w:tcPr>
            <w:tcW w:w="300" w:type="dxa"/>
            <w:vAlign w:val="bottom"/>
          </w:tcPr>
          <w:p>
            <w:pPr>
              <w:spacing w:after="0"/>
              <w:rPr>
                <w:sz w:val="18"/>
                <w:szCs w:val="18"/>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152.39</w:t>
            </w:r>
          </w:p>
        </w:tc>
        <w:tc>
          <w:tcPr>
            <w:tcW w:w="3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124.79</w:t>
            </w:r>
          </w:p>
        </w:tc>
        <w:tc>
          <w:tcPr>
            <w:tcW w:w="3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157.59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w:t>
            </w: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FTSE NAREIT All Equity REITs Index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94.88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134.06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100.62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112.04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performance graph above and related text are being furnished solely to accompany this 2024 Form 10-K pursuant to Item 201(e) of Regulation S-K, and are not being filed for purposes of Section 18 of the Exchange Act, and are not to be incorporated by reference into any filing of ours, whether made before or after the date hereof, regardless of any general incorporation language in such filing.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3" w:name="page34"/>
    <w:bookmarkEnd w:id="33"/>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3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own, operate and lease shared communications infrastructure.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for a further discussion of our business, including our long-term strategy, our REIT status, certain key terms of our tenant contracts and growth trends in the demand for data.</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On March 13, 2025, management signed the Strategic Fiber Agreement to sell our Fiber Business, with Zayo acquiring the fiber solutions business and EQT acquiring the small cell business. Under the Strategic Fiber Agreement, we will receive $8.5 billion in aggregate, subject to certain closing adjustments. The Strategic Fiber Transaction is expected to close in the first half of 2026, subject to certain closing conditions and regulatory approvals. See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Business—Overview" </w:t>
      </w:r>
      <w:r>
        <w:rPr>
          <w:rFonts w:ascii="Times New Roman" w:cs="Times New Roman" w:eastAsia="Times New Roman" w:hAnsi="Times New Roman"/>
          <w:sz w:val="18"/>
          <w:szCs w:val="18"/>
          <w:color w:val="auto"/>
        </w:rPr>
        <w:t>for further discussion of the pending sale of the Fiber Business.</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Fiber Business did not meet the criteria for assets held for sale as of December 31, 2024, and therefore remains presented as a component of continuing operations. As a result, this document, unless otherwise noted, does not contemplate the planned sale of the Fiber Business.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Highlights of Business Fundamentals and Results</w:t>
      </w:r>
    </w:p>
    <w:p>
      <w:pPr>
        <w:spacing w:after="0" w:line="163" w:lineRule="exact"/>
        <w:rPr>
          <w:sz w:val="20"/>
          <w:szCs w:val="20"/>
          <w:color w:val="auto"/>
        </w:rPr>
      </w:pPr>
    </w:p>
    <w:p>
      <w:pPr>
        <w:ind w:left="800" w:hanging="400"/>
        <w:spacing w:after="0" w:line="254" w:lineRule="auto"/>
        <w:tabs>
          <w:tab w:leader="none" w:pos="7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represented 97% of our 2024 consolidated net revenues. The vast majority of our site rental revenues is of a recurring nature and has been contracted for in prior years.</w:t>
      </w:r>
    </w:p>
    <w:p>
      <w:pPr>
        <w:ind w:left="800" w:hanging="400"/>
        <w:spacing w:after="0" w:line="244" w:lineRule="auto"/>
        <w:tabs>
          <w:tab w:leader="none" w:pos="7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operate as a REIT for U.S. federal income tax purposes (see </w:t>
      </w:r>
      <w:r>
        <w:rPr>
          <w:rFonts w:ascii="Times New Roman" w:cs="Times New Roman" w:eastAsia="Times New Roman" w:hAnsi="Times New Roman"/>
          <w:sz w:val="18"/>
          <w:szCs w:val="18"/>
          <w:i w:val="1"/>
          <w:iCs w:val="1"/>
          <w:color w:val="auto"/>
        </w:rPr>
        <w:t>"Item 1. Business—REIT Status"</w:t>
      </w:r>
      <w:r>
        <w:rPr>
          <w:rFonts w:ascii="Times New Roman" w:cs="Times New Roman" w:eastAsia="Times New Roman" w:hAnsi="Times New Roman"/>
          <w:sz w:val="18"/>
          <w:szCs w:val="18"/>
          <w:color w:val="auto"/>
        </w:rPr>
        <w:t xml:space="preserve"> and notes 2 and 9 to our consolidated financial statements)</w:t>
      </w:r>
    </w:p>
    <w:p>
      <w:pPr>
        <w:ind w:left="800" w:hanging="400"/>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the increasing demand for data</w:t>
      </w:r>
    </w:p>
    <w:p>
      <w:pPr>
        <w:spacing w:after="0" w:line="3" w:lineRule="exact"/>
        <w:rPr>
          <w:rFonts w:ascii="Times New Roman" w:cs="Times New Roman" w:eastAsia="Times New Roman" w:hAnsi="Times New Roman"/>
          <w:sz w:val="18"/>
          <w:szCs w:val="18"/>
          <w:color w:val="auto"/>
        </w:rPr>
      </w:pPr>
    </w:p>
    <w:p>
      <w:pPr>
        <w:jc w:val="both"/>
        <w:ind w:left="1120" w:hanging="325"/>
        <w:spacing w:after="0" w:line="244" w:lineRule="auto"/>
        <w:tabs>
          <w:tab w:leader="none" w:pos="11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tenant demand for our communications infrastructure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including the use of both towers and small cells, (6) the adoption of other bandwidth-intensive applications (such as cloud services, artificial intelligence and video communications), (7) the availability of additional spectrum and (8) increased government initiatives to support connectivity throughout the U.S.</w:t>
      </w:r>
    </w:p>
    <w:p>
      <w:pPr>
        <w:jc w:val="both"/>
        <w:ind w:left="1120" w:hanging="325"/>
        <w:spacing w:after="0" w:line="244" w:lineRule="auto"/>
        <w:tabs>
          <w:tab w:leader="none" w:pos="11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U.S. wireless carriers will continue to focus on improving network quality and expanding capacity (including through 5G initiatives) by utilizing a combination of towers and small cells. We believe our product offerings of towers and small cells provide a comprehensive solution to our wireless tenants' growing communications infrastructure needs.</w:t>
      </w:r>
    </w:p>
    <w:p>
      <w:pPr>
        <w:ind w:left="1120" w:hanging="325"/>
        <w:spacing w:after="0" w:line="244" w:lineRule="auto"/>
        <w:tabs>
          <w:tab w:leader="none" w:pos="11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organizations will continue to increase the usage of high-bandwidth applications that will require the utilization of more fiber infrastructure and fiber solutions, such as those we provide.</w:t>
      </w:r>
    </w:p>
    <w:p>
      <w:pPr>
        <w:ind w:left="1120" w:hanging="325"/>
        <w:spacing w:after="0" w:line="244" w:lineRule="auto"/>
        <w:tabs>
          <w:tab w:leader="none" w:pos="11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our Fiber segment, we are able to generate growth and returns for our stockholders by deploying our fiber for both small cells and fiber solutions tenants.</w:t>
      </w:r>
    </w:p>
    <w:p>
      <w:pPr>
        <w:ind w:left="1120" w:hanging="325"/>
        <w:spacing w:after="0" w:line="244" w:lineRule="auto"/>
        <w:tabs>
          <w:tab w:leader="none" w:pos="11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additions on our existing communications infrastructure are achieved at a low incremental operating cost, delivering high incremental returns.</w:t>
      </w:r>
    </w:p>
    <w:p>
      <w:pPr>
        <w:ind w:left="1420" w:hanging="309"/>
        <w:spacing w:after="0" w:line="244" w:lineRule="auto"/>
        <w:tabs>
          <w:tab w:leader="none" w:pos="145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communications infrastructure can accommodate additional tenancy, either as currently constructed or with appropriate modifications.</w:t>
      </w:r>
    </w:p>
    <w:p>
      <w:pPr>
        <w:ind w:left="800" w:hanging="400"/>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Returning cash flows provided by operations to stockholders in the form of dividends (see also </w:t>
      </w:r>
      <w:r>
        <w:rPr>
          <w:rFonts w:ascii="Times New Roman" w:cs="Times New Roman" w:eastAsia="Times New Roman" w:hAnsi="Times New Roman"/>
          <w:sz w:val="18"/>
          <w:szCs w:val="18"/>
          <w:i w:val="1"/>
          <w:iCs w:val="1"/>
          <w:color w:val="auto"/>
        </w:rPr>
        <w:t>"Item 1. Business—Strategy"</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100" w:hanging="305"/>
        <w:spacing w:after="0"/>
        <w:tabs>
          <w:tab w:leader="none" w:pos="11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paid common stock dividends totaling approximately $2.7 billion.</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capital efficiently to grow long-term dividends per share</w:t>
      </w:r>
    </w:p>
    <w:p>
      <w:pPr>
        <w:spacing w:after="0" w:line="3" w:lineRule="exact"/>
        <w:rPr>
          <w:rFonts w:ascii="Times New Roman" w:cs="Times New Roman" w:eastAsia="Times New Roman" w:hAnsi="Times New Roman"/>
          <w:sz w:val="18"/>
          <w:szCs w:val="18"/>
          <w:color w:val="auto"/>
        </w:rPr>
      </w:pPr>
    </w:p>
    <w:p>
      <w:pPr>
        <w:ind w:left="1120" w:hanging="325"/>
        <w:spacing w:after="0" w:line="274" w:lineRule="auto"/>
        <w:tabs>
          <w:tab w:leader="none" w:pos="1116"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had discretionary capital expenditures of $1.1 billion for the </w:t>
      </w:r>
      <w:r>
        <w:rPr>
          <w:rFonts w:ascii="Times New Roman" w:cs="Times New Roman" w:eastAsia="Times New Roman" w:hAnsi="Times New Roman"/>
          <w:sz w:val="14"/>
          <w:szCs w:val="14"/>
          <w:color w:val="auto"/>
        </w:rPr>
        <w:t>year</w:t>
      </w:r>
      <w:r>
        <w:rPr>
          <w:rFonts w:ascii="Times New Roman" w:cs="Times New Roman" w:eastAsia="Times New Roman" w:hAnsi="Times New Roman"/>
          <w:sz w:val="16"/>
          <w:szCs w:val="16"/>
          <w:color w:val="auto"/>
        </w:rPr>
        <w:t xml:space="preserve"> ended December 31, 2024, predominately resulting from the construction of new communications infrastructure and improvements to existing communications infrastructure in order to support additional tenants.</w:t>
      </w:r>
    </w:p>
    <w:p>
      <w:pPr>
        <w:jc w:val="both"/>
        <w:ind w:left="1120" w:hanging="325"/>
        <w:spacing w:after="0" w:line="246" w:lineRule="auto"/>
        <w:tabs>
          <w:tab w:leader="none" w:pos="11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construct and acquire new communications infrastructure based on our tenants' needs and generate attractive long-term returns by adding additional tenants over time. See note 16 to our consolidated financial statements for a discussion of the 2024 Restructuring Plan, which resulted in, among other things, 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4" w:name="page35"/>
    <w:bookmarkEnd w:id="34"/>
    <w:p>
      <w:pPr>
        <w:ind w:left="720"/>
        <w:spacing w:after="0" w:line="254" w:lineRule="auto"/>
        <w:rPr>
          <w:sz w:val="20"/>
          <w:szCs w:val="20"/>
          <w:color w:val="auto"/>
        </w:rPr>
      </w:pPr>
      <w:r>
        <w:rPr>
          <w:rFonts w:ascii="Times New Roman" w:cs="Times New Roman" w:eastAsia="Times New Roman" w:hAnsi="Times New Roman"/>
          <w:sz w:val="18"/>
          <w:szCs w:val="18"/>
          <w:color w:val="auto"/>
        </w:rPr>
        <w:t>increase in return thresholds on new growth opportunities in the Fiber segment and a reduction in Fiber segment capital expenditures for the year ended December 31, 2024.</w:t>
      </w:r>
    </w:p>
    <w:p>
      <w:pPr>
        <w:spacing w:after="0" w:line="1" w:lineRule="exact"/>
        <w:rPr>
          <w:sz w:val="20"/>
          <w:szCs w:val="20"/>
          <w:color w:val="auto"/>
        </w:rPr>
      </w:pP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contracts</w:t>
      </w:r>
    </w:p>
    <w:p>
      <w:pPr>
        <w:spacing w:after="0" w:line="3" w:lineRule="exact"/>
        <w:rPr>
          <w:rFonts w:ascii="Times New Roman" w:cs="Times New Roman" w:eastAsia="Times New Roman" w:hAnsi="Times New Roman"/>
          <w:sz w:val="18"/>
          <w:szCs w:val="18"/>
          <w:color w:val="auto"/>
        </w:rPr>
      </w:pPr>
    </w:p>
    <w:p>
      <w:pPr>
        <w:ind w:left="720" w:hanging="325"/>
        <w:spacing w:after="0" w:line="244" w:lineRule="auto"/>
        <w:tabs>
          <w:tab w:leader="none" w:pos="7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wireless tenant contracts have initial terms generally between five to 15 years with contractual escalators and multiple renewal periods generally between five to 10 years each, exercisable at the option of the tenant.</w:t>
      </w:r>
    </w:p>
    <w:p>
      <w:pPr>
        <w:ind w:left="700" w:hanging="305"/>
        <w:spacing w:after="0"/>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fiber solutions tenant contracts' initial terms generally vary between one to 20 years.</w:t>
      </w:r>
    </w:p>
    <w:p>
      <w:pPr>
        <w:spacing w:after="0" w:line="3" w:lineRule="exact"/>
        <w:rPr>
          <w:rFonts w:ascii="Times New Roman" w:cs="Times New Roman" w:eastAsia="Times New Roman" w:hAnsi="Times New Roman"/>
          <w:sz w:val="18"/>
          <w:szCs w:val="18"/>
          <w:color w:val="auto"/>
        </w:rPr>
      </w:pPr>
    </w:p>
    <w:p>
      <w:pPr>
        <w:ind w:left="720" w:hanging="325"/>
        <w:spacing w:after="0" w:line="244" w:lineRule="auto"/>
        <w:tabs>
          <w:tab w:leader="none" w:pos="7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weighted-average remaining term was approximately six years, exclusive of renewals exercisable at the tenants' option, currently representing approximately $35.9 billion of expected future cash inflows.</w:t>
      </w: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revenues from large wireless carriers</w:t>
      </w:r>
    </w:p>
    <w:p>
      <w:pPr>
        <w:spacing w:after="0" w:line="3" w:lineRule="exact"/>
        <w:rPr>
          <w:rFonts w:ascii="Times New Roman" w:cs="Times New Roman" w:eastAsia="Times New Roman" w:hAnsi="Times New Roman"/>
          <w:sz w:val="18"/>
          <w:szCs w:val="18"/>
          <w:color w:val="auto"/>
        </w:rPr>
      </w:pPr>
    </w:p>
    <w:p>
      <w:pPr>
        <w:ind w:left="720" w:hanging="325"/>
        <w:spacing w:after="0" w:line="274" w:lineRule="auto"/>
        <w:tabs>
          <w:tab w:leader="none" w:pos="716"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year ended December 31, 2024, approximately three-fourths of our site rental revenues were derived from T-Mobile, AT&amp;T and Verizon Wireless. See </w:t>
      </w:r>
      <w:r>
        <w:rPr>
          <w:rFonts w:ascii="Times New Roman" w:cs="Times New Roman" w:eastAsia="Times New Roman" w:hAnsi="Times New Roman"/>
          <w:sz w:val="16"/>
          <w:szCs w:val="16"/>
          <w:i w:val="1"/>
          <w:iCs w:val="1"/>
          <w:color w:val="auto"/>
        </w:rPr>
        <w:t>"Item 1A. Risk Factors"</w:t>
      </w:r>
      <w:r>
        <w:rPr>
          <w:rFonts w:ascii="Times New Roman" w:cs="Times New Roman" w:eastAsia="Times New Roman" w:hAnsi="Times New Roman"/>
          <w:sz w:val="16"/>
          <w:szCs w:val="16"/>
          <w:color w:val="auto"/>
        </w:rPr>
        <w:t xml:space="preserve"> and note 14 to our consolidated financial statements for a further discussion of our largest customers.</w:t>
      </w: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under our towers under long-term control</w:t>
      </w:r>
    </w:p>
    <w:p>
      <w:pPr>
        <w:spacing w:after="0" w:line="3" w:lineRule="exact"/>
        <w:rPr>
          <w:rFonts w:ascii="Times New Roman" w:cs="Times New Roman" w:eastAsia="Times New Roman" w:hAnsi="Times New Roman"/>
          <w:sz w:val="18"/>
          <w:szCs w:val="18"/>
          <w:color w:val="auto"/>
        </w:rPr>
      </w:pPr>
    </w:p>
    <w:p>
      <w:pPr>
        <w:jc w:val="both"/>
        <w:ind w:left="720" w:hanging="325"/>
        <w:spacing w:after="0" w:line="244" w:lineRule="auto"/>
        <w:tabs>
          <w:tab w:leader="none" w:pos="7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approximately 90% of our towers site rental gross margin and approximately 80% of our towers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40% of our towers site rental gross margin.</w:t>
      </w: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fiber assets are located in major metropolitan areas and are on public rights-of-way</w:t>
      </w:r>
    </w:p>
    <w:p>
      <w:pPr>
        <w:spacing w:after="0" w:line="3" w:lineRule="exact"/>
        <w:rPr>
          <w:rFonts w:ascii="Times New Roman" w:cs="Times New Roman" w:eastAsia="Times New Roman" w:hAnsi="Times New Roman"/>
          <w:sz w:val="18"/>
          <w:szCs w:val="18"/>
          <w:color w:val="auto"/>
        </w:rPr>
      </w:pP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3" w:lineRule="exact"/>
        <w:rPr>
          <w:rFonts w:ascii="Times New Roman" w:cs="Times New Roman" w:eastAsia="Times New Roman" w:hAnsi="Times New Roman"/>
          <w:sz w:val="18"/>
          <w:szCs w:val="18"/>
          <w:color w:val="auto"/>
        </w:rPr>
      </w:pPr>
    </w:p>
    <w:p>
      <w:pPr>
        <w:ind w:left="700" w:hanging="305"/>
        <w:spacing w:after="0"/>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sustaining capital expenditures represented approximately 1% of net revenues.</w:t>
      </w:r>
    </w:p>
    <w:p>
      <w:pPr>
        <w:spacing w:after="0" w:line="3" w:lineRule="exact"/>
        <w:rPr>
          <w:rFonts w:ascii="Times New Roman" w:cs="Times New Roman" w:eastAsia="Times New Roman" w:hAnsi="Times New Roman"/>
          <w:sz w:val="18"/>
          <w:szCs w:val="18"/>
          <w:color w:val="auto"/>
        </w:rPr>
      </w:pPr>
    </w:p>
    <w:p>
      <w:pPr>
        <w:ind w:left="400" w:hanging="400"/>
        <w:spacing w:after="0" w:line="274" w:lineRule="auto"/>
        <w:tabs>
          <w:tab w:leader="none" w:pos="39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Debt portfolio with long-dated maturities extended over multiple years, with the vast majority of such debt having a fixed rate (see note 7 to our consolidated financial statements and </w:t>
      </w:r>
      <w:r>
        <w:rPr>
          <w:rFonts w:ascii="Times New Roman" w:cs="Times New Roman" w:eastAsia="Times New Roman" w:hAnsi="Times New Roman"/>
          <w:sz w:val="16"/>
          <w:szCs w:val="16"/>
          <w:i w:val="1"/>
          <w:iCs w:val="1"/>
          <w:color w:val="auto"/>
        </w:rPr>
        <w:t>"Item 7A. Quantitative and Qualitative Disclosures About Market Risk"</w:t>
      </w:r>
      <w:r>
        <w:rPr>
          <w:rFonts w:ascii="Times New Roman" w:cs="Times New Roman" w:eastAsia="Times New Roman" w:hAnsi="Times New Roman"/>
          <w:sz w:val="16"/>
          <w:szCs w:val="16"/>
          <w:color w:val="auto"/>
        </w:rPr>
        <w:t xml:space="preserve"> for a further discussion of our debt)</w:t>
      </w:r>
    </w:p>
    <w:p>
      <w:pPr>
        <w:ind w:left="720" w:hanging="325"/>
        <w:spacing w:after="0" w:line="244" w:lineRule="auto"/>
        <w:tabs>
          <w:tab w:leader="none" w:pos="7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outstanding debt had a weighted average interest rate of 3.9% and weighted average maturity of approximately eight years (assuming anticipated repayment dates on certain debt).</w:t>
      </w:r>
    </w:p>
    <w:p>
      <w:pPr>
        <w:ind w:left="700" w:hanging="305"/>
        <w:spacing w:after="0"/>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90% of our debt has fixed rate coupons.</w:t>
      </w:r>
    </w:p>
    <w:p>
      <w:pPr>
        <w:spacing w:after="0" w:line="3" w:lineRule="exact"/>
        <w:rPr>
          <w:rFonts w:ascii="Times New Roman" w:cs="Times New Roman" w:eastAsia="Times New Roman" w:hAnsi="Times New Roman"/>
          <w:sz w:val="18"/>
          <w:szCs w:val="18"/>
          <w:color w:val="auto"/>
        </w:rPr>
      </w:pPr>
    </w:p>
    <w:p>
      <w:pPr>
        <w:ind w:left="720" w:hanging="325"/>
        <w:spacing w:after="0" w:line="244" w:lineRule="auto"/>
        <w:tabs>
          <w:tab w:leader="none" w:pos="7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debt service coverage and leverage ratios are within their respective financial maintenance covenants. See </w:t>
      </w:r>
      <w:r>
        <w:rPr>
          <w:rFonts w:ascii="Times New Roman" w:cs="Times New Roman" w:eastAsia="Times New Roman" w:hAnsi="Times New Roman"/>
          <w:sz w:val="18"/>
          <w:szCs w:val="18"/>
          <w:i w:val="1"/>
          <w:iCs w:val="1"/>
          <w:color w:val="auto"/>
        </w:rPr>
        <w:t>"Item 7. MD&amp;A—Liquidity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Resources—Debt Covenants" </w:t>
      </w:r>
      <w:r>
        <w:rPr>
          <w:rFonts w:ascii="Times New Roman" w:cs="Times New Roman" w:eastAsia="Times New Roman" w:hAnsi="Times New Roman"/>
          <w:sz w:val="18"/>
          <w:szCs w:val="18"/>
          <w:color w:val="auto"/>
        </w:rPr>
        <w:t>for a further discussion of our debt covenants.</w:t>
      </w:r>
    </w:p>
    <w:p>
      <w:pPr>
        <w:ind w:left="400" w:hanging="400"/>
        <w:spacing w:after="0" w:line="244" w:lineRule="auto"/>
        <w:tabs>
          <w:tab w:leader="none" w:pos="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2024, we refinanced and extended the maturities of certain of our debt (see note 7 to our consolidated financial statements and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MD&amp;A—Liquidity and Capital Resources—Financing Activities" </w:t>
      </w:r>
      <w:r>
        <w:rPr>
          <w:rFonts w:ascii="Times New Roman" w:cs="Times New Roman" w:eastAsia="Times New Roman" w:hAnsi="Times New Roman"/>
          <w:sz w:val="18"/>
          <w:szCs w:val="18"/>
          <w:color w:val="auto"/>
        </w:rPr>
        <w:t>for further discussion of our debt transactions)</w:t>
      </w: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3" w:lineRule="exact"/>
        <w:rPr>
          <w:rFonts w:ascii="Times New Roman" w:cs="Times New Roman" w:eastAsia="Times New Roman" w:hAnsi="Times New Roman"/>
          <w:sz w:val="18"/>
          <w:szCs w:val="18"/>
          <w:color w:val="auto"/>
        </w:rPr>
      </w:pPr>
    </w:p>
    <w:p>
      <w:pPr>
        <w:ind w:left="700" w:hanging="305"/>
        <w:spacing w:after="0"/>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cash provided by operating activities was $2.9 billion for the </w:t>
      </w:r>
      <w:r>
        <w:rPr>
          <w:rFonts w:ascii="Times New Roman" w:cs="Times New Roman" w:eastAsia="Times New Roman" w:hAnsi="Times New Roman"/>
          <w:sz w:val="15"/>
          <w:szCs w:val="15"/>
          <w:color w:val="auto"/>
        </w:rPr>
        <w:t>year</w:t>
      </w:r>
      <w:r>
        <w:rPr>
          <w:rFonts w:ascii="Times New Roman" w:cs="Times New Roman" w:eastAsia="Times New Roman" w:hAnsi="Times New Roman"/>
          <w:sz w:val="18"/>
          <w:szCs w:val="18"/>
          <w:color w:val="auto"/>
        </w:rPr>
        <w:t xml:space="preserve"> ended December 31, 2024.</w:t>
      </w:r>
    </w:p>
    <w:p>
      <w:pPr>
        <w:spacing w:after="0" w:line="3" w:lineRule="exact"/>
        <w:rPr>
          <w:rFonts w:ascii="Times New Roman" w:cs="Times New Roman" w:eastAsia="Times New Roman" w:hAnsi="Times New Roman"/>
          <w:sz w:val="18"/>
          <w:szCs w:val="18"/>
          <w:color w:val="auto"/>
        </w:rPr>
      </w:pPr>
    </w:p>
    <w:p>
      <w:pPr>
        <w:ind w:left="720" w:hanging="325"/>
        <w:spacing w:after="0" w:line="244" w:lineRule="auto"/>
        <w:tabs>
          <w:tab w:leader="none" w:pos="7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positive impact of contractual escalators, we expect to grow our core business of providing access to our communications infrastructure as a result of future anticipated additional demand for our communications infrastructure.</w:t>
      </w:r>
    </w:p>
    <w:p>
      <w:pPr>
        <w:jc w:val="both"/>
        <w:ind w:left="400" w:hanging="400"/>
        <w:spacing w:after="0" w:line="244" w:lineRule="auto"/>
        <w:tabs>
          <w:tab w:leader="none" w:pos="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compared to full year 2023, full year 2024 results were impacted by a reduction of the small cell and fiber solutions lease cancellations ("Sprint Cancellations") related to the previously disclosed T-Mobile and Sprint network consolidation. For full year 2024, there was a reduction in cash payments related to Sprint Cancellations of $165 million to satisfy the remaining rental obligations. Additionally, $59 million in accelerated amortization of prepaid rent from the remaining deferred revenues was recognized for the year ended December 31, 2023 that did not recur for the year ended December 31, 2024.</w:t>
      </w:r>
    </w:p>
    <w:p>
      <w:pPr>
        <w:ind w:left="400" w:hanging="40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Plan</w:t>
      </w:r>
    </w:p>
    <w:p>
      <w:pPr>
        <w:spacing w:after="0" w:line="3" w:lineRule="exact"/>
        <w:rPr>
          <w:rFonts w:ascii="Times New Roman" w:cs="Times New Roman" w:eastAsia="Times New Roman" w:hAnsi="Times New Roman"/>
          <w:sz w:val="18"/>
          <w:szCs w:val="18"/>
          <w:color w:val="auto"/>
        </w:rPr>
      </w:pPr>
    </w:p>
    <w:p>
      <w:pPr>
        <w:jc w:val="both"/>
        <w:ind w:left="720" w:hanging="325"/>
        <w:spacing w:after="0" w:line="244" w:lineRule="auto"/>
        <w:tabs>
          <w:tab w:leader="none" w:pos="7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we initiated the 2023 Restructuring Plan as part of our efforts to reduce costs to better align our operational needs with lower tower activity. See note 16 to our consolidated financial statements and "</w:t>
      </w:r>
      <w:r>
        <w:rPr>
          <w:rFonts w:ascii="Times New Roman" w:cs="Times New Roman" w:eastAsia="Times New Roman" w:hAnsi="Times New Roman"/>
          <w:sz w:val="18"/>
          <w:szCs w:val="18"/>
          <w:i w:val="1"/>
          <w:iCs w:val="1"/>
          <w:color w:val="auto"/>
        </w:rPr>
        <w:t>Item 2. MD&amp;A—Results of Operations</w:t>
      </w:r>
      <w:r>
        <w:rPr>
          <w:rFonts w:ascii="Times New Roman" w:cs="Times New Roman" w:eastAsia="Times New Roman" w:hAnsi="Times New Roman"/>
          <w:sz w:val="18"/>
          <w:szCs w:val="18"/>
          <w:color w:val="auto"/>
        </w:rPr>
        <w:t>" for further discussion of the 2023 Restructuring Plan.</w:t>
      </w:r>
    </w:p>
    <w:p>
      <w:pPr>
        <w:jc w:val="both"/>
        <w:ind w:left="720" w:hanging="325"/>
        <w:spacing w:after="0" w:line="244" w:lineRule="auto"/>
        <w:tabs>
          <w:tab w:leader="none" w:pos="7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initiated the 2024 Restructuring Plan as part of our efforts to drive operational efficiencies, enhance returns by increasing return thresholds on new growth opportunities and reduce operating costs and capital expenditures, with a primary focus on our Fiber segment. See note 16 to our consolidated financial statements and "</w:t>
      </w:r>
      <w:r>
        <w:rPr>
          <w:rFonts w:ascii="Times New Roman" w:cs="Times New Roman" w:eastAsia="Times New Roman" w:hAnsi="Times New Roman"/>
          <w:sz w:val="18"/>
          <w:szCs w:val="18"/>
          <w:i w:val="1"/>
          <w:iCs w:val="1"/>
          <w:color w:val="auto"/>
        </w:rPr>
        <w:t>Item 2. MD&amp;A—Results of Operations</w:t>
      </w:r>
      <w:r>
        <w:rPr>
          <w:rFonts w:ascii="Times New Roman" w:cs="Times New Roman" w:eastAsia="Times New Roman" w:hAnsi="Times New Roman"/>
          <w:sz w:val="18"/>
          <w:szCs w:val="18"/>
          <w:color w:val="auto"/>
        </w:rPr>
        <w:t>" for further discussion of the 2024 Restructuring Plan.</w:t>
      </w:r>
    </w:p>
    <w:p>
      <w:pPr>
        <w:jc w:val="both"/>
        <w:ind w:left="400" w:hanging="400"/>
        <w:spacing w:after="0" w:line="245" w:lineRule="auto"/>
        <w:tabs>
          <w:tab w:leader="none" w:pos="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we announced a strategic and operating review of our Fiber business, and in the second quarter of 2024, we concluded our operating review and implemented changes to our operating plans and strategy based on the findings. Additionally, in March 2025, we concluded the strategic review following the announcement of the Strategic Fiber Transaction, as discussed above. See note 16 to our consolidated financial statements and "</w:t>
      </w:r>
      <w:r>
        <w:rPr>
          <w:rFonts w:ascii="Times New Roman" w:cs="Times New Roman" w:eastAsia="Times New Roman" w:hAnsi="Times New Roman"/>
          <w:sz w:val="18"/>
          <w:szCs w:val="18"/>
          <w:i w:val="1"/>
          <w:iCs w:val="1"/>
          <w:color w:val="auto"/>
        </w:rPr>
        <w:t>Item 2.</w:t>
      </w: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720" w:top="871" w:right="339" w:bottom="1440" w:gutter="0" w:footer="0" w:header="0"/>
        </w:sectPr>
      </w:pPr>
    </w:p>
    <w:bookmarkStart w:id="35" w:name="page36"/>
    <w:bookmarkEnd w:id="35"/>
    <w:p>
      <w:pPr>
        <w:ind w:left="800"/>
        <w:spacing w:after="0" w:line="255" w:lineRule="auto"/>
        <w:rPr>
          <w:sz w:val="20"/>
          <w:szCs w:val="20"/>
          <w:color w:val="auto"/>
        </w:rPr>
      </w:pPr>
      <w:r>
        <w:rPr>
          <w:rFonts w:ascii="Times New Roman" w:cs="Times New Roman" w:eastAsia="Times New Roman" w:hAnsi="Times New Roman"/>
          <w:sz w:val="18"/>
          <w:szCs w:val="18"/>
          <w:i w:val="1"/>
          <w:iCs w:val="1"/>
          <w:color w:val="auto"/>
        </w:rPr>
        <w:t>MD&amp;A—Results of Operations</w:t>
      </w:r>
      <w:r>
        <w:rPr>
          <w:rFonts w:ascii="Times New Roman" w:cs="Times New Roman" w:eastAsia="Times New Roman" w:hAnsi="Times New Roman"/>
          <w:sz w:val="18"/>
          <w:szCs w:val="18"/>
          <w:color w:val="auto"/>
        </w:rPr>
        <w:t>" for further discussion of the 2024 Restructuring Plan and "</w:t>
      </w:r>
      <w:r>
        <w:rPr>
          <w:rFonts w:ascii="Times New Roman" w:cs="Times New Roman" w:eastAsia="Times New Roman" w:hAnsi="Times New Roman"/>
          <w:sz w:val="18"/>
          <w:szCs w:val="18"/>
          <w:i w:val="1"/>
          <w:iCs w:val="1"/>
          <w:color w:val="auto"/>
        </w:rPr>
        <w:t xml:space="preserve">Item 1. Business—Overview" </w:t>
      </w:r>
      <w:r>
        <w:rPr>
          <w:rFonts w:ascii="Times New Roman" w:cs="Times New Roman" w:eastAsia="Times New Roman" w:hAnsi="Times New Roman"/>
          <w:sz w:val="18"/>
          <w:szCs w:val="18"/>
          <w:color w:val="auto"/>
        </w:rPr>
        <w:t>for further discussion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pending sale of the Fiber Business.</w:t>
      </w:r>
    </w:p>
    <w:p>
      <w:pPr>
        <w:spacing w:after="0" w:line="1" w:lineRule="exact"/>
        <w:rPr>
          <w:sz w:val="20"/>
          <w:szCs w:val="20"/>
          <w:color w:val="auto"/>
        </w:rPr>
      </w:pPr>
    </w:p>
    <w:p>
      <w:pPr>
        <w:jc w:val="both"/>
        <w:ind w:left="1120" w:hanging="325"/>
        <w:spacing w:after="0" w:line="244" w:lineRule="auto"/>
        <w:tabs>
          <w:tab w:leader="none" w:pos="1116"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part of the announced plans to enhance returns in the Fiber segment, during the fourth quarter of 2024 we completed discussions with certain of our tenants regarding approximately 7,000 previously-identified greenfield small cell nodes in our contracted backlog that we mutually agreed to cancel. We wrote off property and equipment deemed to have no alternative future use, and as a result, recognized approximately $106 million as "Asset write-down charges" on our consolidated statement of operations and comprehensive income (loss) for the year ended December 31, 2024.</w:t>
      </w:r>
    </w:p>
    <w:p>
      <w:pPr>
        <w:ind w:left="800" w:hanging="400"/>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3" w:lineRule="exact"/>
        <w:rPr>
          <w:rFonts w:ascii="Times New Roman" w:cs="Times New Roman" w:eastAsia="Times New Roman" w:hAnsi="Times New Roman"/>
          <w:sz w:val="18"/>
          <w:szCs w:val="18"/>
          <w:color w:val="auto"/>
        </w:rPr>
      </w:pPr>
    </w:p>
    <w:p>
      <w:pPr>
        <w:jc w:val="both"/>
        <w:ind w:left="1120" w:hanging="325"/>
        <w:spacing w:after="0" w:line="286" w:lineRule="auto"/>
        <w:tabs>
          <w:tab w:leader="none" w:pos="111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Management performed its annual goodwill impairment test in the fourth quarter of 2024. The quantitative impairment test indicated that the carrying amount of our Fiber reporting unit exceeded its estimated fair value. As such, management recorded a goodwill impairment charge of $5.0 billion for the year ended December 31, 2024, resulting in no goodwill remaining for the Fiber reporting unit. See </w:t>
      </w:r>
      <w:r>
        <w:rPr>
          <w:rFonts w:ascii="Times New Roman" w:cs="Times New Roman" w:eastAsia="Times New Roman" w:hAnsi="Times New Roman"/>
          <w:sz w:val="16"/>
          <w:szCs w:val="16"/>
          <w:i w:val="1"/>
          <w:iCs w:val="1"/>
          <w:color w:val="auto"/>
        </w:rPr>
        <w:t>"Item 7. MD&amp;A—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and Reporting Matters—Critical Accounting Policies and Estimates" </w:t>
      </w:r>
      <w:r>
        <w:rPr>
          <w:rFonts w:ascii="Times New Roman" w:cs="Times New Roman" w:eastAsia="Times New Roman" w:hAnsi="Times New Roman"/>
          <w:sz w:val="16"/>
          <w:szCs w:val="16"/>
          <w:color w:val="auto"/>
        </w:rPr>
        <w:t>and note 5 to our consolidated financial statements.</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each of the quarters in the year ended 2024, we paid a common stock dividend of $1.565 per share, totaling approximately $2.7 billion. We are updating our capital allocation framework to focus more on free cash flow generation and financial flexibility, which we currently expect to result in a reduction to our dividend, beginning with our expected second quarter 2025 dividend. As we grow cash flows thereafter, we expect to increase our dividend per share. Whether dividends are to be declared and the amount and timing thereof remain subject to the discretion of our board of directors. See notes 10 and 17 to our consolidated financial statements.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Outlook Highlights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are certain highlights of our outlook that impact our business fundamentals described above.</w:t>
      </w:r>
    </w:p>
    <w:p>
      <w:pPr>
        <w:spacing w:after="0" w:line="161" w:lineRule="exact"/>
        <w:rPr>
          <w:sz w:val="20"/>
          <w:szCs w:val="20"/>
          <w:color w:val="auto"/>
        </w:rPr>
      </w:pPr>
    </w:p>
    <w:p>
      <w:pPr>
        <w:jc w:val="both"/>
        <w:ind w:left="800" w:hanging="400"/>
        <w:spacing w:after="0" w:line="250" w:lineRule="auto"/>
        <w:tabs>
          <w:tab w:leader="none" w:pos="7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first quarter 2025, the Fiber Business will be presented as a discontinued operation, and its net assets will be classified as held for sale and comparable prior periods will be recast to reflect this change. Upon classification as held for sale in the first quarter of 2025, we expect to recognize a loss of between $700 and $800 million, inclusive of estimated transaction fees.</w:t>
      </w:r>
    </w:p>
    <w:p>
      <w:pPr>
        <w:spacing w:after="0" w:line="2" w:lineRule="exact"/>
        <w:rPr>
          <w:rFonts w:ascii="Times New Roman" w:cs="Times New Roman" w:eastAsia="Times New Roman" w:hAnsi="Times New Roman"/>
          <w:sz w:val="18"/>
          <w:szCs w:val="18"/>
          <w:color w:val="auto"/>
        </w:rPr>
      </w:pPr>
    </w:p>
    <w:p>
      <w:pPr>
        <w:jc w:val="both"/>
        <w:ind w:left="800" w:hanging="400"/>
        <w:spacing w:after="0" w:line="244" w:lineRule="auto"/>
        <w:tabs>
          <w:tab w:leader="none" w:pos="7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year over year reduction in site rental revenues in our Towers segment related to (1) higher Towers non-renewals in 2025, which are expected to reduce site rental revenues by approximately $200 million as a result of the T-Mobile US, Inc. and Sprint network consolidation and (2) a decline in long-term deferred revenue amortization.</w:t>
      </w:r>
    </w:p>
    <w:p>
      <w:pPr>
        <w:ind w:left="800" w:hanging="400"/>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aforementioned 2024 Restructuring Plan:</w:t>
      </w:r>
    </w:p>
    <w:p>
      <w:pPr>
        <w:spacing w:after="0" w:line="3" w:lineRule="exact"/>
        <w:rPr>
          <w:rFonts w:ascii="Times New Roman" w:cs="Times New Roman" w:eastAsia="Times New Roman" w:hAnsi="Times New Roman"/>
          <w:sz w:val="18"/>
          <w:szCs w:val="18"/>
          <w:color w:val="auto"/>
        </w:rPr>
      </w:pPr>
    </w:p>
    <w:p>
      <w:pPr>
        <w:jc w:val="both"/>
        <w:ind w:left="1120" w:hanging="325"/>
        <w:spacing w:after="0" w:line="248" w:lineRule="auto"/>
        <w:tabs>
          <w:tab w:leader="none" w:pos="1122" w:val="left"/>
        </w:tabs>
        <w:numPr>
          <w:ilvl w:val="1"/>
          <w:numId w:val="32"/>
        </w:numPr>
        <w:rPr>
          <w:rFonts w:ascii="Arial" w:cs="Arial" w:eastAsia="Arial" w:hAnsi="Arial"/>
          <w:sz w:val="19"/>
          <w:szCs w:val="19"/>
          <w:color w:val="auto"/>
        </w:rPr>
      </w:pPr>
      <w:r>
        <w:rPr>
          <w:rFonts w:ascii="Times New Roman" w:cs="Times New Roman" w:eastAsia="Times New Roman" w:hAnsi="Times New Roman"/>
          <w:sz w:val="18"/>
          <w:szCs w:val="18"/>
          <w:color w:val="auto"/>
        </w:rPr>
        <w:t xml:space="preserve">We expect to realize approximately $100 million annualized run-rate labor and facilities cost savings, of which approximately $65 million was realized in 2024. The remaining savings of approximately $35 million are expected to be realized in 2025, with $30 million expected in selling, general and administrative and $5 million in site rental costs of operations.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risks related to our restructuring activities.</w:t>
      </w:r>
    </w:p>
    <w:p>
      <w:pPr>
        <w:spacing w:after="0" w:line="1" w:lineRule="exact"/>
        <w:rPr>
          <w:rFonts w:ascii="Arial" w:cs="Arial" w:eastAsia="Arial" w:hAnsi="Arial"/>
          <w:sz w:val="19"/>
          <w:szCs w:val="19"/>
          <w:color w:val="auto"/>
        </w:rPr>
      </w:pPr>
    </w:p>
    <w:p>
      <w:pPr>
        <w:ind w:left="800" w:hanging="400"/>
        <w:spacing w:after="0" w:line="244" w:lineRule="auto"/>
        <w:tabs>
          <w:tab w:leader="none" w:pos="7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plan to sell our Fiber Business, we expect to continue to invest a significant amount of our available capital in the form of discretionary capital expenditures until the closing of the Strategic Fiber Transaction.</w:t>
      </w:r>
    </w:p>
    <w:p>
      <w:pPr>
        <w:ind w:left="800" w:hanging="400"/>
        <w:spacing w:after="0" w:line="248" w:lineRule="auto"/>
        <w:tabs>
          <w:tab w:leader="none" w:pos="7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sustaining capital expenditures of approximately 1-2% of net revenues, including with respect to the Fiber Business, for full year 2025, relatively consistent with historical annual levels.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1"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color w:val="auto"/>
        </w:rPr>
        <w:t xml:space="preserve">The following discussion of our results of operations for 2024 compared to 2023 should be read in conjunction with </w:t>
      </w:r>
      <w:r>
        <w:rPr>
          <w:rFonts w:ascii="Times New Roman" w:cs="Times New Roman" w:eastAsia="Times New Roman" w:hAnsi="Times New Roman"/>
          <w:sz w:val="16"/>
          <w:szCs w:val="16"/>
          <w:i w:val="1"/>
          <w:iCs w:val="1"/>
          <w:color w:val="auto"/>
        </w:rPr>
        <w:t>"Item 1. Business," "Item 7. MD&amp;A—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Liquidity and Capital Resources" </w:t>
      </w:r>
      <w:r>
        <w:rPr>
          <w:rFonts w:ascii="Times New Roman" w:cs="Times New Roman" w:eastAsia="Times New Roman" w:hAnsi="Times New Roman"/>
          <w:sz w:val="16"/>
          <w:szCs w:val="16"/>
          <w:color w:val="auto"/>
        </w:rPr>
        <w:t>and our consolidated financial statements. For a discussion of our results of operations and financial condition for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compared to 2022 that is not included in this 2024 Form 10-K, see </w:t>
      </w:r>
      <w:r>
        <w:rPr>
          <w:rFonts w:ascii="Times New Roman" w:cs="Times New Roman" w:eastAsia="Times New Roman" w:hAnsi="Times New Roman"/>
          <w:sz w:val="16"/>
          <w:szCs w:val="16"/>
          <w:i w:val="1"/>
          <w:iCs w:val="1"/>
          <w:color w:val="auto"/>
        </w:rPr>
        <w:t>"Part II, Item 7. Management's Discussion and Analysis of Financial Condition and Results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of Operations" </w:t>
      </w:r>
      <w:r>
        <w:rPr>
          <w:rFonts w:ascii="Times New Roman" w:cs="Times New Roman" w:eastAsia="Times New Roman" w:hAnsi="Times New Roman"/>
          <w:sz w:val="16"/>
          <w:szCs w:val="16"/>
          <w:color w:val="auto"/>
        </w:rPr>
        <w:t>in our Annual Report on Form 10-K for the year ended December 31, 2023, which was filed with the SEC on February 23, 2024.</w:t>
      </w:r>
    </w:p>
    <w:p>
      <w:pPr>
        <w:spacing w:after="0" w:line="10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is based on our consolidated financial statements prepared in accordance with GAAP, which requires us to make estimates and judgments that affect the reported amounts (see </w:t>
      </w:r>
      <w:r>
        <w:rPr>
          <w:rFonts w:ascii="Times New Roman" w:cs="Times New Roman" w:eastAsia="Times New Roman" w:hAnsi="Times New Roman"/>
          <w:sz w:val="18"/>
          <w:szCs w:val="18"/>
          <w:i w:val="1"/>
          <w:iCs w:val="1"/>
          <w:color w:val="auto"/>
        </w:rPr>
        <w:t>"Item 7. MD&amp;A—Accounting and Reporting Matters—Critical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Estimates" </w:t>
      </w:r>
      <w:r>
        <w:rPr>
          <w:rFonts w:ascii="Times New Roman" w:cs="Times New Roman" w:eastAsia="Times New Roman" w:hAnsi="Times New Roman"/>
          <w:sz w:val="18"/>
          <w:szCs w:val="18"/>
          <w:color w:val="auto"/>
        </w:rPr>
        <w:t>and note 2 to our consolidated financial statements). See</w:t>
      </w:r>
      <w:r>
        <w:rPr>
          <w:rFonts w:ascii="Times New Roman" w:cs="Times New Roman" w:eastAsia="Times New Roman" w:hAnsi="Times New Roman"/>
          <w:sz w:val="18"/>
          <w:szCs w:val="18"/>
          <w:i w:val="1"/>
          <w:iCs w:val="1"/>
          <w:color w:val="auto"/>
        </w:rPr>
        <w:t xml:space="preserve"> "Item 7. MD&amp;A—Accounting and Reporting Matters—Non-GAAP and Segment Financial Measures" </w:t>
      </w:r>
      <w:r>
        <w:rPr>
          <w:rFonts w:ascii="Times New Roman" w:cs="Times New Roman" w:eastAsia="Times New Roman" w:hAnsi="Times New Roman"/>
          <w:sz w:val="18"/>
          <w:szCs w:val="18"/>
          <w:color w:val="auto"/>
        </w:rPr>
        <w:t>for a discussion of our use of (1) segment operating profit (loss), including its definition, (2) Segment Adjusted Site Rental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 Segment Adjusted Services and Other Gross Margin, including their respective definitions and reconciliations to segment operating profit (loss) and (4) Adjusted EBITDA, including its definition and a reconciliation to net income (loss).</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operating segments consist of (1) Towers and (2) Fiber. See note 14 to our consolidated financial statements for further discussion of our operating segments.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Highlights of our results of operations for 2024, 2023 and 2022 are depicted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920" w:type="dxa"/>
            <w:vAlign w:val="bottom"/>
          </w:tcPr>
          <w:p>
            <w:pPr>
              <w:spacing w:after="0"/>
              <w:rPr>
                <w:sz w:val="16"/>
                <w:szCs w:val="16"/>
                <w:color w:val="auto"/>
              </w:rPr>
            </w:pPr>
          </w:p>
        </w:tc>
      </w:tr>
      <w:tr>
        <w:trPr>
          <w:trHeight w:val="24"/>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2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60" w:type="dxa"/>
            <w:vAlign w:val="bottom"/>
          </w:tcPr>
          <w:p>
            <w:pPr>
              <w:spacing w:after="0"/>
              <w:rPr>
                <w:sz w:val="24"/>
                <w:szCs w:val="24"/>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4"/>
                <w:szCs w:val="24"/>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4"/>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9"/>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Towers site rental revenues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2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Fiber site rental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1,967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2"/>
        </w:trPr>
        <w:tc>
          <w:tcPr>
            <w:tcW w:w="4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6,289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2"/>
        </w:trPr>
        <w:tc>
          <w:tcPr>
            <w:tcW w:w="40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Adjusted Site Rental Gross Margin</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Towers Adjusted Site Rental Gross Margin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Fiber Adjusted Site Rental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1"/>
        </w:trPr>
        <w:tc>
          <w:tcPr>
            <w:tcW w:w="40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Services and Other Gross Margin</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Towers Adjusted Services and Other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9"/>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Fiber Adjusted Services and Other Gross Margin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r>
      <w:tr>
        <w:trPr>
          <w:trHeight w:val="212"/>
        </w:trPr>
        <w:tc>
          <w:tcPr>
            <w:tcW w:w="40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Segment operating profit (loss)</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Towers operating profit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Fiber operating profit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9"/>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40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(c)</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4,340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bl>
    <w:p>
      <w:pPr>
        <w:spacing w:after="0" w:line="68"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reconciliations of these non-GAAP financial measures to segment operating profit (loss) and definitions included in </w:t>
      </w:r>
      <w:r>
        <w:rPr>
          <w:rFonts w:ascii="Times New Roman" w:cs="Times New Roman" w:eastAsia="Times New Roman" w:hAnsi="Times New Roman"/>
          <w:sz w:val="14"/>
          <w:szCs w:val="14"/>
          <w:i w:val="1"/>
          <w:iCs w:val="1"/>
          <w:color w:val="auto"/>
        </w:rPr>
        <w:t>"Item 7. MD&amp;A—Accounting and Reporting Matters—Non-GAAP.</w:t>
      </w:r>
    </w:p>
    <w:p>
      <w:pPr>
        <w:spacing w:after="0" w:line="14"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"Item 7. MD&amp;A—Accounting and Reporting Matters—Non-GAAP and Segment Financial Measures"</w:t>
      </w:r>
      <w:r>
        <w:rPr>
          <w:rFonts w:ascii="Times New Roman" w:cs="Times New Roman" w:eastAsia="Times New Roman" w:hAnsi="Times New Roman"/>
          <w:sz w:val="14"/>
          <w:szCs w:val="14"/>
          <w:color w:val="auto"/>
        </w:rPr>
        <w:t xml:space="preserve"> and note 14 to our consolidated financial statements for our definition of segment operating profit.</w:t>
      </w:r>
    </w:p>
    <w:p>
      <w:pPr>
        <w:spacing w:after="0" w:line="1" w:lineRule="exact"/>
        <w:rPr>
          <w:rFonts w:ascii="Times New Roman" w:cs="Times New Roman" w:eastAsia="Times New Roman" w:hAnsi="Times New Roman"/>
          <w:sz w:val="14"/>
          <w:szCs w:val="14"/>
          <w:color w:val="auto"/>
        </w:rPr>
      </w:pPr>
    </w:p>
    <w:p>
      <w:pPr>
        <w:ind w:left="320" w:hanging="315"/>
        <w:spacing w:after="0" w:line="270" w:lineRule="auto"/>
        <w:tabs>
          <w:tab w:leader="none" w:pos="3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reconciliation of this non-GAAP financial measure to net income (loss) and definition included in </w:t>
      </w:r>
      <w:r>
        <w:rPr>
          <w:rFonts w:ascii="Times New Roman" w:cs="Times New Roman" w:eastAsia="Times New Roman" w:hAnsi="Times New Roman"/>
          <w:sz w:val="14"/>
          <w:szCs w:val="14"/>
          <w:i w:val="1"/>
          <w:iCs w:val="1"/>
          <w:color w:val="auto"/>
        </w:rPr>
        <w:t>"Item 7. MD&amp;A—Accounting and Reporting Matters—Non-GAAP and Segment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Measures."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i w:val="1"/>
          <w:iCs w:val="1"/>
          <w:color w:val="auto"/>
        </w:rPr>
        <w:t>2024 and 2023</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Total site rental revenues for 2024 decreased by $174 million, or 3%, from 2023. This decrease was predominately comprised of the factors depicted in the chart below:</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690235" cy="3175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0235" cy="317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5"/>
        <w:spacing w:after="0" w:line="263" w:lineRule="auto"/>
        <w:tabs>
          <w:tab w:leader="none" w:pos="31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site rental revenues growth from tenant additions across our entire portfolio and renewals or extensions of tenant contracts, exclusive of the impacts from both straight-line accounting and amortization of prepaid rent in accordance with GAAP and change in payments for Sprint Cancellations.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 million of non-renewals associated with Sprint Cancellations.</w:t>
      </w:r>
    </w:p>
    <w:p>
      <w:pPr>
        <w:spacing w:after="0" w:line="10" w:lineRule="exact"/>
        <w:rPr>
          <w:rFonts w:ascii="Times New Roman" w:cs="Times New Roman" w:eastAsia="Times New Roman" w:hAnsi="Times New Roman"/>
          <w:sz w:val="14"/>
          <w:szCs w:val="14"/>
          <w:color w:val="auto"/>
        </w:rPr>
      </w:pPr>
    </w:p>
    <w:p>
      <w:pPr>
        <w:ind w:left="320" w:hanging="315"/>
        <w:spacing w:after="0" w:line="248" w:lineRule="auto"/>
        <w:tabs>
          <w:tab w:leader="none" w:pos="31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$170 million of payments associated with Sprint Cancellations received in 2023 and not recurring in 2024, which were partially offset by approximately $5 million of payments associated with Sprint Cancellations received in 2024.</w:t>
      </w:r>
    </w:p>
    <w:p>
      <w:pPr>
        <w:ind w:left="320" w:hanging="315"/>
        <w:spacing w:after="0" w:line="263"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Prepaid rent amortization includes amortization of upfront payments received from long-term tenants and other deferred credits. Prepaid rent amortization includes $59 million of accelerated prepaid rent amortization associated with the Sprint Cancellations that was recognized in 2023 that did not recur in 2024.</w:t>
      </w:r>
    </w:p>
    <w:p>
      <w:pPr>
        <w:spacing w:after="0" w:line="13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Towers site rental revenues and Towers Adjusted Site Rental Gross Margin for 2024 were $4.3 billion and $3.3 billion, respectively, compared to $4.3 billion and $3.4 billion, respectively, from 2023. The decrease of $47 million and $63 million in Towers site rental revenue and Towers Adjusted Site Rental Gross Margin, respectively, was primarily due to a decrease in prepaid rent amortization, as new leasing activity and contractual cash escalators were substantially offset by a decline in the associated straight-line accounting adjustment.</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Fiber site rental revenues and Fiber Adjusted Site Rental Gross Margin for 2024 were $2.1 billion and $1.4 billion, respectively, and decreased by $127 million and $175 million, respectively, from 2023. Both Fiber site rental revenues and Fiber Adjusted Site Rental Gross Margin were predominately impacted by a $165 million reduction in site rental revenues and an absence of $59 million of accelerated prepaid rent amortization, both related to Sprint Cancellations, which were partially offset by increased demand for small cells and fiber solutions.</w:t>
      </w:r>
    </w:p>
    <w:p>
      <w:pPr>
        <w:spacing w:after="0" w:line="131"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Towers Adjusted Services and Other Gross Margin was $91 million for 2024 and decreased by $36 million from $127 million from 2023, which is a reflection of (1) the lower volume of activity from carriers' network enhancements, (2) the volume and mix of services and other work and (3) the discontinuation of installation services as a Towers product offering. Our services and other offerings are of a variable nature as these revenues are not under long-term tenant contracts. See note 16 to our consolidated financial statements for a discussion of the 2023 Restructuring Plan, which included discontinuing installation services as a Towers product offering.</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Fiber Adjusted Services and Other Gross Margin was $6 million for 2024 and decreased by $10 million from $16 million from 2023 primarily as a result of the absence of payments received for site abandonment fees associated with the Sprint Cancellations that were received during 2023.</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8" w:name="page39"/>
    <w:bookmarkEnd w:id="38"/>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for 2024 were $706 million and decreased by $53 million, or 7%, from $759 million from 2023. The decrease in selling, general and administrative expenses was primarily related to a decrease in employee- and facility-related costs as a result of our aforementioned restructuring activities, which was partially offset by an increase in advisory fees, mostly stemming from our recent proxy contest and the Fiber strategic review.</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Asset write-down charges for 2024 increased by $115 million, or 348% from 2023. The increase was primarily related to the $106 million charge due to the cancellation of approximately 7,000 greenfield small cell nodes in our contracted backlog, as was mutually agreed upon with certain of our tenants. See </w:t>
      </w:r>
      <w:r>
        <w:rPr>
          <w:rFonts w:ascii="Times New Roman" w:cs="Times New Roman" w:eastAsia="Times New Roman" w:hAnsi="Times New Roman"/>
          <w:sz w:val="18"/>
          <w:szCs w:val="18"/>
          <w:i w:val="1"/>
          <w:iCs w:val="1"/>
          <w:color w:val="auto"/>
        </w:rPr>
        <w:t xml:space="preserve">"Item 7. MD&amp;A—General Overview" </w:t>
      </w:r>
      <w:r>
        <w:rPr>
          <w:rFonts w:ascii="Times New Roman" w:cs="Times New Roman" w:eastAsia="Times New Roman" w:hAnsi="Times New Roman"/>
          <w:sz w:val="18"/>
          <w:szCs w:val="18"/>
          <w:color w:val="auto"/>
        </w:rPr>
        <w:t>for additional information.</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Towers operating profit (loss) for 2024 decreased by $71 million, or 2%, from 2023. The decrease in Towers operating profit (loss) was primarily related to the previously-mentioned decreases in both Towers Adjusted Site Rental Gross Margin and Towers Adjusted Services and Other Gross Margin, which were partially offset by a decrease in Towers selling, general and administrative expenses as a result of the 2023 Restructuring Plan.</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Fiber operating profit (loss) for 2024 decreased by $167 million, or 12%, from 2023. The decrease in Fiber operating profit (loss) was primarily related to the previously-mentioned decreases in both Fiber Adjusted Site Rental Gross Margin and Fiber Adjusted Services and Other Gross Margin, which were partially offset by a decrease in Fiber selling, general and administrative expenses following the 2024 Restructuring Plan.</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Depreciation, amortization and accretion was approximately $1.7 billion for 2024 and decreased by $16 million, or 1%, from 2023. This decrease predominately resulted from certain site rental contracts and tenant relationships intangible assets becoming fully amortized.</w:t>
      </w:r>
    </w:p>
    <w:p>
      <w:pPr>
        <w:spacing w:after="0" w:line="117"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Restructuring charges in connection with the Restructuring Plans for 2024 were $109 million and increased by $24 million, or 28%, from $85 million in 2023. This increase primarily resulted from an increase in office closure or consolidation costs in connection with the 2024 Restructuring Plan, when compared to the 2023 Restructuring Plan. This increase was partially offset by lower employee headcount reduction charges in connection with the 2024 Restructuring Plan, when compared to the 2023 Restructuring Plan. See note 16 to our consolidated financial statements for further discussion of our Restructuring Plans.</w:t>
      </w:r>
    </w:p>
    <w:p>
      <w:pPr>
        <w:spacing w:after="0" w:line="100"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Goodwill impairment charges of $5.0 billion were recorded for our Fiber reporting unit for 2024. See </w:t>
      </w:r>
      <w:r>
        <w:rPr>
          <w:rFonts w:ascii="Times New Roman" w:cs="Times New Roman" w:eastAsia="Times New Roman" w:hAnsi="Times New Roman"/>
          <w:sz w:val="18"/>
          <w:szCs w:val="18"/>
          <w:i w:val="1"/>
          <w:iCs w:val="1"/>
          <w:color w:val="auto"/>
        </w:rPr>
        <w:t>"Item 7. MD&amp;A—Accounting and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Matters—Critical Accounting Policies and Estimates" </w:t>
      </w:r>
      <w:r>
        <w:rPr>
          <w:rFonts w:ascii="Times New Roman" w:cs="Times New Roman" w:eastAsia="Times New Roman" w:hAnsi="Times New Roman"/>
          <w:sz w:val="18"/>
          <w:szCs w:val="18"/>
          <w:color w:val="auto"/>
        </w:rPr>
        <w:t>and note 5 to our consolidated financial statements.</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Interest expense and amortization of deferred financing costs, net was $932 million for 2024 and increased by $82 million, or 10%, from $850 million during 2023. The increase predominately resulted from an increase in our outstanding indebtedness due to the financing of our discretionary capital expenditures. See note 7 to our consolidated financial statements,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7A. Quantitative and Qualitative 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 Risk" </w:t>
      </w:r>
      <w:r>
        <w:rPr>
          <w:rFonts w:ascii="Times New Roman" w:cs="Times New Roman" w:eastAsia="Times New Roman" w:hAnsi="Times New Roman"/>
          <w:sz w:val="18"/>
          <w:szCs w:val="18"/>
          <w:color w:val="auto"/>
        </w:rPr>
        <w:t>for a further discussion of our debt and interest rate exposure.</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provisions for income taxes for 2024 and 2023 were $24 million and $26 million, respectively. For both 2024 and 2023, the effective tax rate differs from the federal statutory rate predominately due to our REIT status, including the dividends paid deduction. See </w:t>
      </w:r>
      <w:r>
        <w:rPr>
          <w:rFonts w:ascii="Times New Roman" w:cs="Times New Roman" w:eastAsia="Times New Roman" w:hAnsi="Times New Roman"/>
          <w:sz w:val="18"/>
          <w:szCs w:val="18"/>
          <w:i w:val="1"/>
          <w:iCs w:val="1"/>
          <w:color w:val="auto"/>
        </w:rPr>
        <w:t>"Item 1. Business—REIT Status," "Item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MD&amp;A—Accounting and Reporting Matters—Critical Accounting Policies and Estimates" </w:t>
      </w:r>
      <w:r>
        <w:rPr>
          <w:rFonts w:ascii="Times New Roman" w:cs="Times New Roman" w:eastAsia="Times New Roman" w:hAnsi="Times New Roman"/>
          <w:sz w:val="18"/>
          <w:szCs w:val="18"/>
          <w:color w:val="auto"/>
        </w:rPr>
        <w:t>and note 9 to our consolidated financial statements.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Net income (loss) was $(3.9) billion during 2024 compared to $1.5 billion during 2023. The decrease was related to the previously-mentioned decreases in Towers and Fiber operating profits, the previously-mentioned increases in goodwill impairment charges, asset write-down charges and interest expense and amortization of deferred financing costs, net, while being partially offset by a decrease in selling, general and administrative expenses.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EBITDA decreased by $254 million, or 6%, from 2023 to 2024, reflecting the previously mentioned decreases in Towers and Fiber operating profits.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core business generates revenues under long-term tenant contracts (see</w:t>
      </w:r>
      <w:r>
        <w:rPr>
          <w:rFonts w:ascii="Times New Roman" w:cs="Times New Roman" w:eastAsia="Times New Roman" w:hAnsi="Times New Roman"/>
          <w:sz w:val="18"/>
          <w:szCs w:val="18"/>
          <w:i w:val="1"/>
          <w:iCs w:val="1"/>
          <w:color w:val="auto"/>
        </w:rPr>
        <w:t xml:space="preserve"> "Item 1. Business—Overview"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7. MD&amp;A—General Overview—Overview"</w:t>
      </w:r>
      <w:r>
        <w:rPr>
          <w:rFonts w:ascii="Times New Roman" w:cs="Times New Roman" w:eastAsia="Times New Roman" w:hAnsi="Times New Roman"/>
          <w:sz w:val="18"/>
          <w:szCs w:val="18"/>
          <w:color w:val="auto"/>
        </w:rPr>
        <w:t>) from (1) the largest U.S. wireless carriers and (2) other towers and fiber solutions tenants. As a leading provider of shared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communications infrastructure in the U.S., our strategy is to create long-term stockholder value via a combination of (1) growing cash flows generated from our portfolio of communications infrastructure, (2) returning a meaningful portion of our cash generated by operating activities to our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 See </w:t>
      </w:r>
      <w:r>
        <w:rPr>
          <w:rFonts w:ascii="Times New Roman" w:cs="Times New Roman" w:eastAsia="Times New Roman" w:hAnsi="Times New Roman"/>
          <w:sz w:val="18"/>
          <w:szCs w:val="18"/>
          <w:i w:val="1"/>
          <w:iCs w:val="1"/>
          <w:color w:val="auto"/>
        </w:rPr>
        <w:t>"Item 1. Business—Strategy"</w:t>
      </w:r>
      <w:r>
        <w:rPr>
          <w:rFonts w:ascii="Times New Roman" w:cs="Times New Roman" w:eastAsia="Times New Roman" w:hAnsi="Times New Roman"/>
          <w:sz w:val="18"/>
          <w:szCs w:val="18"/>
          <w:color w:val="auto"/>
        </w:rPr>
        <w:t xml:space="preserve"> for a further discussion of our strategy.</w:t>
      </w:r>
    </w:p>
    <w:p>
      <w:pPr>
        <w:spacing w:after="0" w:line="140"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have engaged, and expect to continue to engage, in discretionary investments that we believe will maximize long-term stockholder value. Our historical discretionary investments include (in no particular order): constructing communications infrastructure, acquiring communications infrastructure, acquiring land interests (which primarily relate to land assets under towers), improving and structurally enhancing our existing communications infrastructure, purchasing shares of our common stock, and purchasing, repaying, or redeeming our debt. We have recently spent, and expect to continue to spend, a significant percentage of our discretionary investments on the construction of small cells and fiber through the closing of the sale of the Fiber Business. See "</w:t>
      </w:r>
      <w:r>
        <w:rPr>
          <w:rFonts w:ascii="Times New Roman" w:cs="Times New Roman" w:eastAsia="Times New Roman" w:hAnsi="Times New Roman"/>
          <w:sz w:val="16"/>
          <w:szCs w:val="16"/>
          <w:i w:val="1"/>
          <w:iCs w:val="1"/>
          <w:color w:val="auto"/>
        </w:rPr>
        <w:t>Item 1. Business—Overview</w:t>
      </w:r>
      <w:r>
        <w:rPr>
          <w:rFonts w:ascii="Times New Roman" w:cs="Times New Roman" w:eastAsia="Times New Roman" w:hAnsi="Times New Roman"/>
          <w:sz w:val="16"/>
          <w:szCs w:val="16"/>
          <w:color w:val="auto"/>
        </w:rPr>
        <w:t>" for further detail. See note 16 to our consolidated financial statements and "</w:t>
      </w:r>
      <w:r>
        <w:rPr>
          <w:rFonts w:ascii="Times New Roman" w:cs="Times New Roman" w:eastAsia="Times New Roman" w:hAnsi="Times New Roman"/>
          <w:sz w:val="16"/>
          <w:szCs w:val="16"/>
          <w:i w:val="1"/>
          <w:iCs w:val="1"/>
          <w:color w:val="auto"/>
        </w:rPr>
        <w:t>Item 2. MD&amp;A—Results of Operations</w:t>
      </w:r>
      <w:r>
        <w:rPr>
          <w:rFonts w:ascii="Times New Roman" w:cs="Times New Roman" w:eastAsia="Times New Roman" w:hAnsi="Times New Roman"/>
          <w:sz w:val="16"/>
          <w:szCs w:val="16"/>
          <w:color w:val="auto"/>
        </w:rPr>
        <w:t>" for further discussion of the 2024 Restructuring Plan, which resulted in, among other things, an increase in return thresholds on new growth opportunities in the Fiber segment and a reduction in Fiber segment capital expenditures for full year 2024. We seek to fund our discretionary investments with both cash generated by operating activities and cash available from financing capacity, such as the use of our availability under our 2016 Revolver, issuances under our CP Program, debt financings and issuances of equity or equity-related securities, including under our 2024 ATM Program or any similar successor program.</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seek to maintain a capital structure that we believe drives long-term stockholder value and optimizes our weighted-average cost of capital. Additionally, we expect to maintain an investment grade credit profile. Our contractual debt maturities over the next 12 months, consist of (1) Commercial Paper Notes, of which we had $1.1 billion outstanding as of March 12, 2025, (2) the 1.350% senior unsecured notes due July 2025 ("1.350% Senior Notes") and (3) principal payments on certain outstanding debt. We currently expect to refinance $700 million of Tower Revenue Notes, Series 2015-2 on or prior to the anticipated repayment date on May 15, 2025. Amounts available under our CP Program may be repaid and re-issued from time to time and we intend to maintain available commitments under our 2016 Revolver in an amount at least equal to the amount of Commercial Paper Notes outstanding.</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We operate as a REIT for U.S. federal income tax purposes. We expect to continue to pay minimal cash income taxes as a result of our REIT status and our NOLs. See </w:t>
      </w:r>
      <w:r>
        <w:rPr>
          <w:rFonts w:ascii="Times New Roman" w:cs="Times New Roman" w:eastAsia="Times New Roman" w:hAnsi="Times New Roman"/>
          <w:sz w:val="18"/>
          <w:szCs w:val="18"/>
          <w:i w:val="1"/>
          <w:iCs w:val="1"/>
          <w:color w:val="auto"/>
        </w:rPr>
        <w:t>"Item 1. Business—REIT Status," "Item 7. MD&amp;A—General Overview"</w:t>
      </w:r>
      <w:r>
        <w:rPr>
          <w:rFonts w:ascii="Times New Roman" w:cs="Times New Roman" w:eastAsia="Times New Roman" w:hAnsi="Times New Roman"/>
          <w:sz w:val="18"/>
          <w:szCs w:val="18"/>
          <w:color w:val="auto"/>
        </w:rPr>
        <w:t xml:space="preserve"> and note 9 to our consolidated financial statements.</w:t>
      </w:r>
    </w:p>
    <w:p>
      <w:pPr>
        <w:spacing w:after="0" w:line="115"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December 31, 2024. See</w:t>
      </w:r>
      <w:r>
        <w:rPr>
          <w:rFonts w:ascii="Times New Roman" w:cs="Times New Roman" w:eastAsia="Times New Roman" w:hAnsi="Times New Roman"/>
          <w:sz w:val="18"/>
          <w:szCs w:val="18"/>
          <w:i w:val="1"/>
          <w:iCs w:val="1"/>
          <w:color w:val="auto"/>
        </w:rPr>
        <w:t xml:space="preserve"> "Item 7A. Quantitative and Qualitative Disclosures About Market Risk" </w:t>
      </w:r>
      <w:r>
        <w:rPr>
          <w:rFonts w:ascii="Times New Roman" w:cs="Times New Roman" w:eastAsia="Times New Roman" w:hAnsi="Times New Roman"/>
          <w:sz w:val="18"/>
          <w:szCs w:val="18"/>
          <w:color w:val="auto"/>
        </w:rPr>
        <w:t>and note 7 to our consolidated financial statements for additional information regarding our debt as well as note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consolidated financial statements for additional information regarding our 2024 ATM Program.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3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1"/>
        </w:trPr>
        <w:tc>
          <w:tcPr>
            <w:tcW w:w="6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Cash and cash equivalents and restricted cash and cash equivalents</w:t>
            </w:r>
            <w:r>
              <w:rPr>
                <w:rFonts w:ascii="Times New Roman" w:cs="Times New Roman" w:eastAsia="Times New Roman" w:hAnsi="Times New Roman"/>
                <w:sz w:val="20"/>
                <w:szCs w:val="20"/>
                <w:color w:val="auto"/>
                <w:vertAlign w:val="superscript"/>
              </w:rPr>
              <w:t>(a)</w:t>
            </w:r>
          </w:p>
        </w:tc>
        <w:tc>
          <w:tcPr>
            <w:tcW w:w="320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1"/>
        </w:trPr>
        <w:tc>
          <w:tcPr>
            <w:tcW w:w="67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Undrawn 2016 Revolver availability</w:t>
            </w:r>
            <w:r>
              <w:rPr>
                <w:rFonts w:ascii="Times New Roman" w:cs="Times New Roman" w:eastAsia="Times New Roman" w:hAnsi="Times New Roman"/>
                <w:sz w:val="20"/>
                <w:szCs w:val="20"/>
                <w:color w:val="auto"/>
                <w:vertAlign w:val="superscript"/>
              </w:rPr>
              <w:t>(b)</w:t>
            </w:r>
          </w:p>
        </w:tc>
        <w:tc>
          <w:tcPr>
            <w:tcW w:w="3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 and other obligations (current and non-current)</w:t>
            </w:r>
          </w:p>
        </w:tc>
        <w:tc>
          <w:tcPr>
            <w:tcW w:w="3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24,081</w:t>
            </w: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deficit</w:t>
            </w:r>
          </w:p>
        </w:tc>
        <w:tc>
          <w:tcPr>
            <w:tcW w:w="3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73"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$5 million included within "Other assets, net" on our consolidated balance sheet.</w:t>
      </w:r>
    </w:p>
    <w:p>
      <w:pPr>
        <w:spacing w:after="0" w:line="12" w:lineRule="exact"/>
        <w:rPr>
          <w:rFonts w:ascii="Times New Roman" w:cs="Times New Roman" w:eastAsia="Times New Roman" w:hAnsi="Times New Roman"/>
          <w:sz w:val="14"/>
          <w:szCs w:val="14"/>
          <w:color w:val="auto"/>
        </w:rPr>
      </w:pPr>
    </w:p>
    <w:p>
      <w:pPr>
        <w:ind w:left="320" w:hanging="315"/>
        <w:spacing w:after="0" w:line="263"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at any point in time is subject to certain restrictions based on the maintenance of financial covenants contained in our 2016 Credit Facility. At any point in time, we intend to maintain available commitments under our 2016 Revolver in an amount at least equal to the amount of outstanding Commercial Paper Notes. See note 7 to our consolidated financial statements.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161" w:lineRule="exact"/>
        <w:rPr>
          <w:sz w:val="20"/>
          <w:szCs w:val="20"/>
          <w:color w:val="auto"/>
        </w:rPr>
      </w:pPr>
    </w:p>
    <w:p>
      <w:pPr>
        <w:ind w:left="640" w:hanging="240"/>
        <w:spacing w:after="0" w:line="268" w:lineRule="auto"/>
        <w:tabs>
          <w:tab w:leader="none" w:pos="6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sources may include (1) cash on hand, (2) cash generated by our operating activities, (3) availability under our 2016 Revolver, (4) issuances under our CP Program, and (5) issuances of equity pursuant to our 2024 ATM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0" w:name="page41"/>
    <w:bookmarkEnd w:id="40"/>
    <w:p>
      <w:pPr>
        <w:jc w:val="both"/>
        <w:ind w:left="640"/>
        <w:spacing w:after="0" w:line="248" w:lineRule="auto"/>
        <w:rPr>
          <w:sz w:val="20"/>
          <w:szCs w:val="20"/>
          <w:color w:val="auto"/>
        </w:rPr>
      </w:pPr>
      <w:r>
        <w:rPr>
          <w:rFonts w:ascii="Times New Roman" w:cs="Times New Roman" w:eastAsia="Times New Roman" w:hAnsi="Times New Roman"/>
          <w:sz w:val="18"/>
          <w:szCs w:val="18"/>
          <w:color w:val="auto"/>
        </w:rPr>
        <w:t xml:space="preserve">Program or any similar successor program. Our liquidity uses over the next 12 months are expected to include (1) debt obligations of $2.0 billion (consisting of Commercial Paper Notes, the 1.350% Senior Notes and principal payments on certain outstanding debt), (2) common stock dividend payments, subject to declaration by our board of directors (see </w:t>
      </w:r>
      <w:r>
        <w:rPr>
          <w:rFonts w:ascii="Times New Roman" w:cs="Times New Roman" w:eastAsia="Times New Roman" w:hAnsi="Times New Roman"/>
          <w:sz w:val="18"/>
          <w:szCs w:val="18"/>
          <w:i w:val="1"/>
          <w:iCs w:val="1"/>
          <w:color w:val="auto"/>
        </w:rPr>
        <w:t>"Item 7. MD&amp;A—General Overview—Common Stock Dividend"</w:t>
      </w:r>
      <w:r>
        <w:rPr>
          <w:rFonts w:ascii="Times New Roman" w:cs="Times New Roman" w:eastAsia="Times New Roman" w:hAnsi="Times New Roman"/>
          <w:sz w:val="18"/>
          <w:szCs w:val="18"/>
          <w:color w:val="auto"/>
        </w:rPr>
        <w:t>), and (3) capital expenditures. We currently expect to refinance the Tower Revenue Notes, Series 2015-2 on or prior to the anticipated repayment date of May 15, 2025, see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for further discussion.</w:t>
      </w:r>
    </w:p>
    <w:p>
      <w:pPr>
        <w:spacing w:after="0" w:line="1" w:lineRule="exact"/>
        <w:rPr>
          <w:sz w:val="20"/>
          <w:szCs w:val="20"/>
          <w:color w:val="auto"/>
        </w:rPr>
      </w:pPr>
    </w:p>
    <w:p>
      <w:pPr>
        <w:jc w:val="both"/>
        <w:ind w:left="640" w:hanging="240"/>
        <w:spacing w:after="0" w:line="244"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purchase shares of our common stock. Additionally, amounts available under our CP Program may be repaid and re-issued from time to time and we intend to maintain available commitments under our 2016 Revolver in an amount at least equal to the amount of Commercial Paper Notes outstanding. During the next 12 months, while our liquidity uses are expected to exceed our cash generated by operating activities, we expect that our liquidity sources described above should be sufficient to cover our expected uses. Historically, from time to time, we have accessed the capital markets to issue debt and equity.</w:t>
      </w:r>
    </w:p>
    <w:p>
      <w:pPr>
        <w:ind w:left="640" w:hanging="240"/>
        <w:spacing w:after="0" w:line="24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xml:space="preserve"> for a discussion of interest rate risk and note 7 to our consolidated financial statements for a tabular presentation of our debt maturities and a discussion of anticipated repayment dates.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Summary Cash Flows Information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0" w:type="dxa"/>
            <w:vAlign w:val="bottom"/>
          </w:tcPr>
          <w:p>
            <w:pPr>
              <w:spacing w:after="0"/>
              <w:rPr>
                <w:sz w:val="1"/>
                <w:szCs w:val="1"/>
                <w:color w:val="auto"/>
              </w:rPr>
            </w:pPr>
          </w:p>
        </w:tc>
      </w:tr>
      <w:tr>
        <w:trPr>
          <w:trHeight w:val="209"/>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w:t>
            </w: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decrease in net cash provided by operating activities of $183 million for 2024 from 2023 was due primarily to the aforementioned decrease in Towers operating profit and the reduction in Fiber site rental revenues related to the absence of Sprint Cancellation payments, which was partially offset by a net increase from changes in working capital.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Net cash used for investing activities for 2024 decreased by $299 million from 2023 primarily as a result of a decrease in discretionary capital expenditures in both our Towers and Fiber segments and a decrease in payments for acquisitions in our Towers segment.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capital expenditures are categorized as discretionary or sustaining as described below.</w:t>
      </w:r>
    </w:p>
    <w:p>
      <w:pPr>
        <w:spacing w:after="0" w:line="161" w:lineRule="exact"/>
        <w:rPr>
          <w:sz w:val="20"/>
          <w:szCs w:val="20"/>
          <w:color w:val="auto"/>
        </w:rPr>
      </w:pPr>
    </w:p>
    <w:p>
      <w:pPr>
        <w:jc w:val="both"/>
        <w:ind w:left="640" w:hanging="240"/>
        <w:spacing w:after="0" w:line="279" w:lineRule="auto"/>
        <w:tabs>
          <w:tab w:leader="none" w:pos="63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Discretionary capital expenditures are made with respect to activities which we believe exhibit sufficient potential to enhance long-term stockholder value. They primarily consist of expansion or development of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 to land assets under towers as we seek to manage our interests in the land beneath our towers), certain technology-related investments necessary to support and scale future customer demand for our communications infrastructure, and other capital projects. The expansion or development of existing communications infrastructure to accommodate new leasing typically varies based on, among other factors: (1) the type of communications infrastructure, (2) the scope, volume, and mix of work performed on the communications infrastructure, (3) existing capacity prior to installation, or (4) changes in structural engineering regulations and standards. Currently, construction of new communications infrastructure is predominately comprised of the construction of small cells and fiber (including certain construction projects that may take 18 to 36 months to complete). Our decisions regarding discretionary capital expenditures are influenced by the availability and cost of capital and expected returns on alternative uses of cash, such as payments of dividends and investments.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1" w:name="page42"/>
    <w:bookmarkEnd w:id="41"/>
    <w:p>
      <w:pPr>
        <w:jc w:val="both"/>
        <w:ind w:left="640" w:hanging="240"/>
        <w:spacing w:after="0" w:line="256"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those capital expenditures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our capital expenditures for the last three years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w w:val="98"/>
              </w:rPr>
              <w:t>For the Years Ended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December 31, 2024</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December 31, 2022</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99"/>
              </w:rPr>
              <w:t>Towers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99"/>
              </w:rPr>
              <w:t>Towers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99"/>
              </w:rPr>
              <w:t>Towers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Fiber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Discretionary: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Communications infrastructure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300"/>
              <w:spacing w:after="0" w:line="141" w:lineRule="exact"/>
              <w:rPr>
                <w:sz w:val="20"/>
                <w:szCs w:val="20"/>
                <w:color w:val="auto"/>
              </w:rPr>
            </w:pPr>
            <w:r>
              <w:rPr>
                <w:rFonts w:ascii="Times New Roman" w:cs="Times New Roman" w:eastAsia="Times New Roman" w:hAnsi="Times New Roman"/>
                <w:sz w:val="14"/>
                <w:szCs w:val="14"/>
                <w:color w:val="auto"/>
              </w:rPr>
              <w:t>improvements and other capital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90"/>
        </w:trPr>
        <w:tc>
          <w:tcPr>
            <w:tcW w:w="2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projects</w:t>
            </w:r>
            <w:r>
              <w:rPr>
                <w:rFonts w:ascii="Times New Roman" w:cs="Times New Roman" w:eastAsia="Times New Roman" w:hAnsi="Times New Roman"/>
                <w:sz w:val="9"/>
                <w:szCs w:val="9"/>
                <w:color w:val="auto"/>
              </w:rPr>
              <w:t>(a)</w:t>
            </w: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land interests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Sustaining</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2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line="268" w:lineRule="auto"/>
        <w:tabs>
          <w:tab w:leader="none" w:pos="31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Towers segment includes $12 million, $32 million and $48 million of capital expenditures incurred during the years ended December 31, 2024, 2023 and 2022, respectively, in connection with tenant installations and upgrades on our towers.</w:t>
      </w:r>
    </w:p>
    <w:p>
      <w:pPr>
        <w:spacing w:after="0" w:line="13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reduction in discretionary capital expenditures for the Fiber segment was primarily related to the higher return thresholds on new growth opportunities in the Fiber segment as a result of the Fiber operating review completed in the second quarter of 2024, while the reduction in discretionary capital expenditures for the Towers segment was primarily impacted by the discontinuation of installation services as a Towers product offering and the timing of Towers tenant activity during full year 2024 compared to full year 2023. See </w:t>
      </w:r>
      <w:r>
        <w:rPr>
          <w:rFonts w:ascii="Times New Roman" w:cs="Times New Roman" w:eastAsia="Times New Roman" w:hAnsi="Times New Roman"/>
          <w:sz w:val="18"/>
          <w:szCs w:val="18"/>
          <w:i w:val="1"/>
          <w:iCs w:val="1"/>
          <w:color w:val="auto"/>
        </w:rPr>
        <w:t>"Item 7. MD&amp;A—General Overview—Outlook Highlights"</w:t>
      </w:r>
      <w:r>
        <w:rPr>
          <w:rFonts w:ascii="Times New Roman" w:cs="Times New Roman" w:eastAsia="Times New Roman" w:hAnsi="Times New Roman"/>
          <w:sz w:val="18"/>
          <w:szCs w:val="18"/>
          <w:color w:val="auto"/>
        </w:rPr>
        <w:t xml:space="preserve"> for a discussion of our expectations surrounding 2025 capital expenditures.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We seek to allocate cash generated by our operations in a manner that will enhance long-term stockholder value, which may include various financing activities such as (in no particular order): (1) paying dividends on our common stock, subject to declaration by our board of directors, (2) purchasing our common stock or (3) purchasing, repaying, or redeeming our debt. See </w:t>
      </w:r>
      <w:r>
        <w:rPr>
          <w:rFonts w:ascii="Times New Roman" w:cs="Times New Roman" w:eastAsia="Times New Roman" w:hAnsi="Times New Roman"/>
          <w:sz w:val="18"/>
          <w:szCs w:val="18"/>
          <w:i w:val="1"/>
          <w:iCs w:val="1"/>
          <w:color w:val="auto"/>
        </w:rPr>
        <w:t>"Item 7. MD&amp;A—General Overview—Common Stock Dividend," "Item 7. MD&amp;A—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Liquidity and Capital Resources—Overview" </w:t>
      </w:r>
      <w:r>
        <w:rPr>
          <w:rFonts w:ascii="Times New Roman" w:cs="Times New Roman" w:eastAsia="Times New Roman" w:hAnsi="Times New Roman"/>
          <w:sz w:val="18"/>
          <w:szCs w:val="18"/>
          <w:color w:val="auto"/>
        </w:rPr>
        <w:t>and notes 7, 10 and 17 to our consolidated financial statements.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2024, our financing activities predominately related to the following:</w:t>
      </w:r>
    </w:p>
    <w:p>
      <w:pPr>
        <w:spacing w:after="0" w:line="161" w:lineRule="exact"/>
        <w:rPr>
          <w:sz w:val="20"/>
          <w:szCs w:val="20"/>
          <w:color w:val="auto"/>
        </w:rPr>
      </w:pPr>
    </w:p>
    <w:p>
      <w:pPr>
        <w:ind w:left="640" w:hanging="240"/>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 aggregate of $2.7 billion in dividends on our common stock;</w:t>
      </w:r>
    </w:p>
    <w:p>
      <w:pPr>
        <w:spacing w:after="0" w:line="2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repaying in full the previously outstanding 3.200% senior unsecured notes on the contractual maturity date in September 2024; and</w:t>
      </w:r>
    </w:p>
    <w:p>
      <w:pPr>
        <w:spacing w:after="0" w:line="3" w:lineRule="exact"/>
        <w:rPr>
          <w:rFonts w:ascii="Times New Roman" w:cs="Times New Roman" w:eastAsia="Times New Roman" w:hAnsi="Times New Roman"/>
          <w:sz w:val="18"/>
          <w:szCs w:val="18"/>
          <w:color w:val="auto"/>
        </w:rPr>
      </w:pPr>
    </w:p>
    <w:p>
      <w:pPr>
        <w:jc w:val="both"/>
        <w:ind w:left="640" w:hanging="240"/>
        <w:spacing w:after="0" w:line="246" w:lineRule="auto"/>
        <w:tabs>
          <w:tab w:leader="none" w:pos="6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$550 million aggregate principal amount of 4.900% senior unsecured notes and $700 million aggregate principal amount of 5.200% senior unsecured notes in August 2024, the net proceeds of which were used to repay a portion of the outstanding indebtedness under our CP Program and pay related fees and expenses.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2023, our financing activities predominately related to the following:</w:t>
      </w:r>
    </w:p>
    <w:p>
      <w:pPr>
        <w:spacing w:after="0" w:line="161" w:lineRule="exact"/>
        <w:rPr>
          <w:sz w:val="20"/>
          <w:szCs w:val="20"/>
          <w:color w:val="auto"/>
        </w:rPr>
      </w:pPr>
    </w:p>
    <w:p>
      <w:pPr>
        <w:ind w:left="640" w:hanging="24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 aggregate of $2.7 billion in dividends on our common stock;</w:t>
      </w:r>
    </w:p>
    <w:p>
      <w:pPr>
        <w:spacing w:after="0" w:line="21" w:lineRule="exact"/>
        <w:rPr>
          <w:rFonts w:ascii="Times New Roman" w:cs="Times New Roman" w:eastAsia="Times New Roman" w:hAnsi="Times New Roman"/>
          <w:sz w:val="18"/>
          <w:szCs w:val="18"/>
          <w:color w:val="auto"/>
        </w:rPr>
      </w:pPr>
    </w:p>
    <w:p>
      <w:pPr>
        <w:ind w:left="640" w:hanging="240"/>
        <w:spacing w:after="0" w:line="244"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$1.5 billion aggregate principal amount of senior unsecured notes in December 2023, the net proceeds of which were used to repay a portion of the outstanding indebtedness under our CP Program and pay related fees and expenses;</w:t>
      </w:r>
    </w:p>
    <w:p>
      <w:pPr>
        <w:ind w:left="640" w:hanging="24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repaying in full the previously outstanding 3.150% senior unsecured notes on the contractual maturity date in July 2023;</w:t>
      </w:r>
    </w:p>
    <w:p>
      <w:pPr>
        <w:spacing w:after="0" w:line="3" w:lineRule="exact"/>
        <w:rPr>
          <w:rFonts w:ascii="Times New Roman" w:cs="Times New Roman" w:eastAsia="Times New Roman" w:hAnsi="Times New Roman"/>
          <w:sz w:val="18"/>
          <w:szCs w:val="18"/>
          <w:color w:val="auto"/>
        </w:rPr>
      </w:pPr>
    </w:p>
    <w:p>
      <w:pPr>
        <w:jc w:val="both"/>
        <w:ind w:left="640" w:hanging="240"/>
        <w:spacing w:after="0" w:line="244"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$600 million aggregate principal amount of 4.800% senior unsecured notes and $750 million aggregate principal amount of 5.100% senior unsecured notes in April 2023, the net proceeds of which were used to repay a portion of the outstanding indebtedness under the 2016 Revolver and pay related fees and expenses; and</w:t>
      </w:r>
    </w:p>
    <w:p>
      <w:pPr>
        <w:ind w:left="640" w:hanging="240"/>
        <w:spacing w:after="0" w:line="248"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$1.0 billion aggregate principal amount of senior unsecured notes in January 2023, the net proceeds of which were used to repay a portion of the outstanding indebtedness under the 2016 Revolver and pay related fees and expenses.</w:t>
      </w:r>
    </w:p>
    <w:p>
      <w:pPr>
        <w:spacing w:after="0" w:line="131"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Incurrence, Purchases and Repayments of Debt. </w:t>
      </w:r>
      <w:r>
        <w:rPr>
          <w:rFonts w:ascii="Times New Roman" w:cs="Times New Roman" w:eastAsia="Times New Roman" w:hAnsi="Times New Roman"/>
          <w:sz w:val="18"/>
          <w:szCs w:val="18"/>
          <w:color w:val="auto"/>
        </w:rPr>
        <w:t>See note 7 to our consolidated financial statements,</w:t>
      </w:r>
      <w:r>
        <w:rPr>
          <w:rFonts w:ascii="Times New Roman" w:cs="Times New Roman" w:eastAsia="Times New Roman" w:hAnsi="Times New Roman"/>
          <w:sz w:val="18"/>
          <w:szCs w:val="18"/>
          <w:i w:val="1"/>
          <w:iCs w:val="1"/>
          <w:color w:val="auto"/>
        </w:rPr>
        <w:t xml:space="preserve"> "Item 7. MD&amp;A—General Overview" and "Item 7. MD&amp;A—Liquidity and Capital Resources—Overview—Liquidity Position" </w:t>
      </w:r>
      <w:r>
        <w:rPr>
          <w:rFonts w:ascii="Times New Roman" w:cs="Times New Roman" w:eastAsia="Times New Roman" w:hAnsi="Times New Roman"/>
          <w:sz w:val="18"/>
          <w:szCs w:val="18"/>
          <w:color w:val="auto"/>
        </w:rPr>
        <w:t>for further discussion of our recent issuances, purchases, redemptions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of debt.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See notes 10 and 17 to our consolidated financial statements for further information regarding our common stock as well as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and paid.</w:t>
      </w:r>
    </w:p>
    <w:p>
      <w:pPr>
        <w:spacing w:after="0" w:line="11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We previously maintained a 2021 ATM Program through which we had the right to issue and sell shares of our common stock having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gross sales price of up to $750 million to or through sales agents. In March 2024, we terminated the formerly outstanding 2021 ATM Program with the entire gross sales price of $750 million remaining unsold.</w:t>
      </w:r>
    </w:p>
    <w:p>
      <w:pPr>
        <w:spacing w:after="0" w:line="127"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In March 2024, we established the 2024 ATM Program through which we may issue and sell shares of our common stock having an aggregate gross sales price of up to $750 million. Sales under the 2024 ATM Program, or any similar successor program, may be made by means of ordinary brokers' transactions on the New York Stock Exchange ("NYSE") or otherwise at market prices prevailing at the time of sale, at prices related to prevailing market prices or, subject to our specific instructions, at negotiated prices. We intend to use the net proceeds from any sales under the 2024 ATM Program, or any similar successor program, for general corporate purposes, which may include (1) the funding of future acquisitions or investments or (2) the repayment or repurchase of any outstanding indebtedness. We have not sold any shares of common stock under the 2024 ATM Program. See also note 10 to our consolidated financial statements. As of March 12, 2025, we had $750 million of gross sales of common stock availability remaining on our 2024 ATM Program.</w:t>
      </w:r>
    </w:p>
    <w:p>
      <w:pPr>
        <w:spacing w:after="0" w:line="106"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See note 7 to our consolidated financial statements for further information regarding our 2016 Credit Facility. As of March 12, 2025,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did not have an outstanding balance under our 2016 Revolver and maintained $7.0 billion in undrawn availability. The proceeds from our 2016 Revolver may be used for general corporate purposes, which may include the financing of capital expenditures, acquisitions, the repayment or repurchase of any outstanding indebtedness and purchases of our common stock.</w:t>
      </w:r>
    </w:p>
    <w:p>
      <w:pPr>
        <w:spacing w:after="0" w:line="12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See note 7 to our consolidated financial statements for further information regarding our CP Program. As of March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there was $1.1 billion outstanding under our CP Program. The proceeds from our Commercial Paper Notes may be used for general corporate purposes, which may include the financing of capital expenditures, acquisitions, the repayment or repurchase of any outstanding indebtedness and purchases of our common stock.</w:t>
      </w:r>
    </w:p>
    <w:p>
      <w:pPr>
        <w:spacing w:after="0" w:line="127" w:lineRule="exact"/>
        <w:rPr>
          <w:sz w:val="20"/>
          <w:szCs w:val="20"/>
          <w:color w:val="auto"/>
        </w:rPr>
      </w:pPr>
    </w:p>
    <w:p>
      <w:pPr>
        <w:jc w:val="both"/>
        <w:ind w:firstLine="395"/>
        <w:spacing w:after="0" w:line="304" w:lineRule="auto"/>
        <w:rPr>
          <w:sz w:val="20"/>
          <w:szCs w:val="20"/>
          <w:color w:val="auto"/>
        </w:rPr>
      </w:pPr>
      <w:r>
        <w:rPr>
          <w:rFonts w:ascii="Times New Roman" w:cs="Times New Roman" w:eastAsia="Times New Roman" w:hAnsi="Times New Roman"/>
          <w:sz w:val="16"/>
          <w:szCs w:val="16"/>
          <w:i w:val="1"/>
          <w:iCs w:val="1"/>
          <w:color w:val="auto"/>
        </w:rPr>
        <w:t>Restricted Cash and Cash Equivalents</w:t>
      </w:r>
      <w:r>
        <w:rPr>
          <w:rFonts w:ascii="Times New Roman" w:cs="Times New Roman" w:eastAsia="Times New Roman" w:hAnsi="Times New Roman"/>
          <w:sz w:val="16"/>
          <w:szCs w:val="16"/>
          <w:color w:val="auto"/>
        </w:rPr>
        <w:t>. Pursuant to the indentures governing certain of our operating companies' debt securities, all rental cash receipts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issuers of these debt instruments and their subsidiaries are restricted and held by an indenture trustee. The restricted cash and cash equivalents in excess of required reserve balances is subsequently released to us in accordance with the terms of the indentures. See also note 2 to our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material cash requirements as of December 31, 2024. These material cash requirements relate primarily to our outstanding borrowings or lease obligations for land interests under our towers. The debt maturities reflect contractual maturity dates and do not consider the impact of the principal payments that will commence following the anticipated repayment dates of certain debt (see footnote (b)).</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Debt and other long-term obligations</w:t>
            </w:r>
            <w:r>
              <w:rPr>
                <w:rFonts w:ascii="Times New Roman" w:cs="Times New Roman" w:eastAsia="Times New Roman" w:hAnsi="Times New Roman"/>
                <w:sz w:val="18"/>
                <w:szCs w:val="18"/>
                <w:color w:val="auto"/>
                <w:vertAlign w:val="superscript"/>
              </w:rPr>
              <w:t>(a)</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24,239</w:t>
            </w:r>
          </w:p>
        </w:tc>
        <w:tc>
          <w:tcPr>
            <w:tcW w:w="0" w:type="dxa"/>
            <w:vAlign w:val="bottom"/>
          </w:tcPr>
          <w:p>
            <w:pPr>
              <w:spacing w:after="0"/>
              <w:rPr>
                <w:sz w:val="1"/>
                <w:szCs w:val="1"/>
                <w:color w:val="auto"/>
              </w:rPr>
            </w:pPr>
          </w:p>
        </w:tc>
      </w:tr>
      <w:tr>
        <w:trPr>
          <w:trHeight w:val="197"/>
        </w:trPr>
        <w:tc>
          <w:tcPr>
            <w:tcW w:w="4180" w:type="dxa"/>
            <w:vAlign w:val="bottom"/>
          </w:tcPr>
          <w:p>
            <w:pPr>
              <w:ind w:left="20"/>
              <w:spacing w:after="0" w:line="197" w:lineRule="exact"/>
              <w:rPr>
                <w:sz w:val="20"/>
                <w:szCs w:val="20"/>
                <w:color w:val="auto"/>
              </w:rPr>
            </w:pPr>
            <w:r>
              <w:rPr>
                <w:rFonts w:ascii="Times New Roman" w:cs="Times New Roman" w:eastAsia="Times New Roman" w:hAnsi="Times New Roman"/>
                <w:sz w:val="14"/>
                <w:szCs w:val="14"/>
                <w:color w:val="auto"/>
              </w:rPr>
              <w:t>Interest payments on debt and other long-term obligations</w:t>
            </w:r>
            <w:r>
              <w:rPr>
                <w:rFonts w:ascii="Times New Roman" w:cs="Times New Roman" w:eastAsia="Times New Roman" w:hAnsi="Times New Roman"/>
                <w:sz w:val="18"/>
                <w:szCs w:val="18"/>
                <w:color w:val="auto"/>
                <w:vertAlign w:val="superscript"/>
              </w:rPr>
              <w:t>(b)(c)</w:t>
            </w:r>
          </w:p>
        </w:tc>
        <w:tc>
          <w:tcPr>
            <w:tcW w:w="2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Lease obligations</w:t>
            </w:r>
            <w:r>
              <w:rPr>
                <w:rFonts w:ascii="Times New Roman" w:cs="Times New Roman" w:eastAsia="Times New Roman" w:hAnsi="Times New Roman"/>
                <w:sz w:val="18"/>
                <w:szCs w:val="18"/>
                <w:color w:val="auto"/>
                <w:vertAlign w:val="superscript"/>
              </w:rPr>
              <w:t>(d)</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material cash requirements</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3,406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41,773</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320" w:hanging="315"/>
        <w:spacing w:after="0" w:line="254" w:lineRule="auto"/>
        <w:tabs>
          <w:tab w:leader="none" w:pos="3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principal payments that will commence following the anticipated repayment dates of our Tower Revenue Notes, Series 2015-2 and 2018-2 (collectively, "Tower Revenue Notes") is not considered. The Tower Revenue Notes, Series 2015-2 and 2018-2 have principal amounts of $700 million and $750 million, with anticipated repayment dates in 2025 and 2028, respectively. See note 7 to our consolidated financial statements for our definition of and additional information regarding the Tower Revenue Notes.</w:t>
      </w:r>
    </w:p>
    <w:p>
      <w:pPr>
        <w:jc w:val="both"/>
        <w:ind w:left="320" w:hanging="315"/>
        <w:spacing w:after="0" w:line="251" w:lineRule="auto"/>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2024 Excess Cash Flow of the issuers of the Tower Revenue Notes was approximately $1.0 billion. We currently expect to refinance these notes on or prior to the respective anticipated repayment dates.</w:t>
      </w:r>
    </w:p>
    <w:p>
      <w:pPr>
        <w:spacing w:after="0" w:line="3" w:lineRule="exact"/>
        <w:rPr>
          <w:rFonts w:ascii="Times New Roman" w:cs="Times New Roman" w:eastAsia="Times New Roman" w:hAnsi="Times New Roman"/>
          <w:sz w:val="14"/>
          <w:szCs w:val="14"/>
          <w:color w:val="auto"/>
        </w:rPr>
      </w:pPr>
    </w:p>
    <w:p>
      <w:pPr>
        <w:jc w:val="both"/>
        <w:ind w:left="320" w:hanging="315"/>
        <w:spacing w:after="0" w:line="250" w:lineRule="auto"/>
        <w:tabs>
          <w:tab w:leader="none" w:pos="3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the unused commitment fees on our 2016 Credit Facility. Interest payments on the variable rate debt are based on estimated rates currently in effect. See note 7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 See </w:t>
      </w:r>
      <w:r>
        <w:rPr>
          <w:rFonts w:ascii="Times New Roman" w:cs="Times New Roman" w:eastAsia="Times New Roman" w:hAnsi="Times New Roman"/>
          <w:sz w:val="14"/>
          <w:szCs w:val="14"/>
          <w:i w:val="1"/>
          <w:iCs w:val="1"/>
          <w:color w:val="auto"/>
        </w:rPr>
        <w:t>"Item 7A. Quantitative and Qualitative Disclosures About Market Risk"</w:t>
      </w:r>
      <w:r>
        <w:rPr>
          <w:rFonts w:ascii="Times New Roman" w:cs="Times New Roman" w:eastAsia="Times New Roman" w:hAnsi="Times New Roman"/>
          <w:sz w:val="14"/>
          <w:szCs w:val="14"/>
          <w:color w:val="auto"/>
        </w:rPr>
        <w:t xml:space="preserve"> for a discussion of our interest rate risk.</w:t>
      </w:r>
    </w:p>
    <w:p>
      <w:pPr>
        <w:jc w:val="both"/>
        <w:ind w:left="320" w:hanging="315"/>
        <w:spacing w:after="0" w:line="253" w:lineRule="auto"/>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primarily to lease obligations for the land on which our towers are located and are based on the assumption that payments will be made for certain renewal periods exercisable at our option that are reasonably certain to be exercised and excludes our contingent payments for operating leases (such as payments based on revenues derived from the communications infrastructure located on the leased asset) as such arrangements are excluded from our operating lease liability. See note 13 to our consolidated financial statements for further discussion of our operating lease obligations. See also the table below summarizing remaining terms to expiration.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4" w:name="page45"/>
    <w:bookmarkEnd w:id="44"/>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following chart summarizes our rights to the land interests under our towers, including renewal terms exercisable at our option, as of December 31, 2024. As of December 31, 2024, the leases for land interests under our towers had an average remaining life of approximately 35 years, weighted based on towers site rental gross margin.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retaining the rights to land under our towers.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342900</wp:posOffset>
            </wp:positionV>
            <wp:extent cx="5640070" cy="2381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0070"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hanging="315"/>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land owned through fee interests and perpetual easements.</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December 31, 2024, without consideration of the term of the tenant contract.</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Our 2016 Credit Agreement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note 7 to our consolidated financial statements for further discussion of our debt covenants. See also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 discussion of compliance with our debt covenants. The following are ratios applicable to the financial maintenance covenants under the 2016 Credit Agreement as of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2"/>
                <w:szCs w:val="12"/>
                <w:b w:val="1"/>
                <w:bCs w:val="1"/>
                <w:color w:val="auto"/>
              </w:rPr>
              <w:t>Borrower / Issuer</w:t>
            </w:r>
          </w:p>
        </w:tc>
        <w:tc>
          <w:tcPr>
            <w:tcW w:w="42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2"/>
                <w:szCs w:val="12"/>
                <w:b w:val="1"/>
                <w:bCs w:val="1"/>
                <w:color w:val="auto"/>
              </w:rPr>
              <w:t>Financial Maintenance Covenant</w:t>
            </w:r>
            <w:r>
              <w:rPr>
                <w:rFonts w:ascii="Times New Roman" w:cs="Times New Roman" w:eastAsia="Times New Roman" w:hAnsi="Times New Roman"/>
                <w:sz w:val="15"/>
                <w:szCs w:val="15"/>
                <w:b w:val="1"/>
                <w:bCs w:val="1"/>
                <w:color w:val="auto"/>
                <w:vertAlign w:val="superscript"/>
              </w:rPr>
              <w:t>(a)(b)</w:t>
            </w:r>
          </w:p>
        </w:tc>
        <w:tc>
          <w:tcPr>
            <w:tcW w:w="242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2"/>
                <w:szCs w:val="12"/>
                <w:b w:val="1"/>
                <w:bCs w:val="1"/>
                <w:color w:val="auto"/>
              </w:rPr>
              <w:t>Covenant Level Requirement</w:t>
            </w:r>
          </w:p>
        </w:tc>
        <w:tc>
          <w:tcPr>
            <w:tcW w:w="21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0" w:type="dxa"/>
            <w:vAlign w:val="bottom"/>
          </w:tcPr>
          <w:p>
            <w:pPr>
              <w:spacing w:after="0"/>
              <w:rPr>
                <w:sz w:val="1"/>
                <w:szCs w:val="1"/>
                <w:color w:val="auto"/>
              </w:rPr>
            </w:pPr>
          </w:p>
        </w:tc>
      </w:tr>
      <w:tr>
        <w:trPr>
          <w:trHeight w:val="186"/>
        </w:trPr>
        <w:tc>
          <w:tcPr>
            <w:tcW w:w="2500" w:type="dxa"/>
            <w:vAlign w:val="bottom"/>
          </w:tcPr>
          <w:p>
            <w:pPr>
              <w:jc w:val="center"/>
              <w:ind w:left="429"/>
              <w:spacing w:after="0"/>
              <w:rPr>
                <w:sz w:val="20"/>
                <w:szCs w:val="20"/>
                <w:color w:val="auto"/>
              </w:rPr>
            </w:pPr>
            <w:r>
              <w:rPr>
                <w:rFonts w:ascii="Times New Roman" w:cs="Times New Roman" w:eastAsia="Times New Roman" w:hAnsi="Times New Roman"/>
                <w:sz w:val="15"/>
                <w:szCs w:val="15"/>
                <w:color w:val="auto"/>
                <w:w w:val="95"/>
              </w:rPr>
              <w:t>CCI</w:t>
            </w:r>
          </w:p>
        </w:tc>
        <w:tc>
          <w:tcPr>
            <w:tcW w:w="422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Total Net Leverage Ratio</w:t>
            </w:r>
          </w:p>
        </w:tc>
        <w:tc>
          <w:tcPr>
            <w:tcW w:w="2420" w:type="dxa"/>
            <w:vAlign w:val="bottom"/>
          </w:tcPr>
          <w:p>
            <w:pPr>
              <w:jc w:val="center"/>
              <w:ind w:left="249"/>
              <w:spacing w:after="0"/>
              <w:rPr>
                <w:sz w:val="20"/>
                <w:szCs w:val="20"/>
                <w:color w:val="auto"/>
              </w:rPr>
            </w:pPr>
            <w:r>
              <w:rPr>
                <w:rFonts w:ascii="Times New Roman" w:cs="Times New Roman" w:eastAsia="Times New Roman" w:hAnsi="Times New Roman"/>
                <w:sz w:val="15"/>
                <w:szCs w:val="15"/>
                <w:color w:val="auto"/>
              </w:rPr>
              <w:t>≤ 6.50x</w:t>
            </w:r>
          </w:p>
        </w:tc>
        <w:tc>
          <w:tcPr>
            <w:tcW w:w="2100" w:type="dxa"/>
            <w:vAlign w:val="bottom"/>
          </w:tcPr>
          <w:p>
            <w:pPr>
              <w:jc w:val="center"/>
              <w:ind w:right="169"/>
              <w:spacing w:after="0"/>
              <w:rPr>
                <w:sz w:val="20"/>
                <w:szCs w:val="20"/>
                <w:color w:val="auto"/>
              </w:rPr>
            </w:pPr>
            <w:r>
              <w:rPr>
                <w:rFonts w:ascii="Times New Roman" w:cs="Times New Roman" w:eastAsia="Times New Roman" w:hAnsi="Times New Roman"/>
                <w:sz w:val="15"/>
                <w:szCs w:val="15"/>
                <w:color w:val="auto"/>
                <w:w w:val="98"/>
              </w:rPr>
              <w:t>5.7x</w:t>
            </w:r>
          </w:p>
        </w:tc>
        <w:tc>
          <w:tcPr>
            <w:tcW w:w="0" w:type="dxa"/>
            <w:vAlign w:val="bottom"/>
          </w:tcPr>
          <w:p>
            <w:pPr>
              <w:spacing w:after="0"/>
              <w:rPr>
                <w:sz w:val="1"/>
                <w:szCs w:val="1"/>
                <w:color w:val="auto"/>
              </w:rPr>
            </w:pPr>
          </w:p>
        </w:tc>
      </w:tr>
      <w:tr>
        <w:trPr>
          <w:trHeight w:val="193"/>
        </w:trPr>
        <w:tc>
          <w:tcPr>
            <w:tcW w:w="2500" w:type="dxa"/>
            <w:vAlign w:val="bottom"/>
          </w:tcPr>
          <w:p>
            <w:pPr>
              <w:jc w:val="center"/>
              <w:ind w:left="429"/>
              <w:spacing w:after="0"/>
              <w:rPr>
                <w:sz w:val="20"/>
                <w:szCs w:val="20"/>
                <w:color w:val="auto"/>
              </w:rPr>
            </w:pPr>
            <w:r>
              <w:rPr>
                <w:rFonts w:ascii="Times New Roman" w:cs="Times New Roman" w:eastAsia="Times New Roman" w:hAnsi="Times New Roman"/>
                <w:sz w:val="15"/>
                <w:szCs w:val="15"/>
                <w:color w:val="auto"/>
                <w:w w:val="95"/>
              </w:rPr>
              <w:t>CCI</w:t>
            </w:r>
          </w:p>
        </w:tc>
        <w:tc>
          <w:tcPr>
            <w:tcW w:w="422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Total Senior Secured Leverage Ratio</w:t>
            </w:r>
          </w:p>
        </w:tc>
        <w:tc>
          <w:tcPr>
            <w:tcW w:w="2420" w:type="dxa"/>
            <w:vAlign w:val="bottom"/>
          </w:tcPr>
          <w:p>
            <w:pPr>
              <w:jc w:val="center"/>
              <w:ind w:left="249"/>
              <w:spacing w:after="0"/>
              <w:rPr>
                <w:sz w:val="20"/>
                <w:szCs w:val="20"/>
                <w:color w:val="auto"/>
              </w:rPr>
            </w:pPr>
            <w:r>
              <w:rPr>
                <w:rFonts w:ascii="Times New Roman" w:cs="Times New Roman" w:eastAsia="Times New Roman" w:hAnsi="Times New Roman"/>
                <w:sz w:val="15"/>
                <w:szCs w:val="15"/>
                <w:color w:val="auto"/>
              </w:rPr>
              <w:t>≤ 3.50x</w:t>
            </w:r>
          </w:p>
        </w:tc>
        <w:tc>
          <w:tcPr>
            <w:tcW w:w="2100" w:type="dxa"/>
            <w:vAlign w:val="bottom"/>
          </w:tcPr>
          <w:p>
            <w:pPr>
              <w:jc w:val="center"/>
              <w:ind w:right="169"/>
              <w:spacing w:after="0"/>
              <w:rPr>
                <w:sz w:val="20"/>
                <w:szCs w:val="20"/>
                <w:color w:val="auto"/>
              </w:rPr>
            </w:pPr>
            <w:r>
              <w:rPr>
                <w:rFonts w:ascii="Times New Roman" w:cs="Times New Roman" w:eastAsia="Times New Roman" w:hAnsi="Times New Roman"/>
                <w:sz w:val="15"/>
                <w:szCs w:val="15"/>
                <w:color w:val="auto"/>
                <w:w w:val="98"/>
              </w:rPr>
              <w:t>0.4x</w:t>
            </w:r>
          </w:p>
        </w:tc>
        <w:tc>
          <w:tcPr>
            <w:tcW w:w="0" w:type="dxa"/>
            <w:vAlign w:val="bottom"/>
          </w:tcPr>
          <w:p>
            <w:pPr>
              <w:spacing w:after="0"/>
              <w:rPr>
                <w:sz w:val="1"/>
                <w:szCs w:val="1"/>
                <w:color w:val="auto"/>
              </w:rPr>
            </w:pPr>
          </w:p>
        </w:tc>
      </w:tr>
      <w:tr>
        <w:trPr>
          <w:trHeight w:val="197"/>
        </w:trPr>
        <w:tc>
          <w:tcPr>
            <w:tcW w:w="2500" w:type="dxa"/>
            <w:vAlign w:val="bottom"/>
            <w:vMerge w:val="restart"/>
          </w:tcPr>
          <w:p>
            <w:pPr>
              <w:jc w:val="center"/>
              <w:ind w:left="429"/>
              <w:spacing w:after="0"/>
              <w:rPr>
                <w:sz w:val="20"/>
                <w:szCs w:val="20"/>
                <w:color w:val="auto"/>
              </w:rPr>
            </w:pPr>
            <w:r>
              <w:rPr>
                <w:rFonts w:ascii="Times New Roman" w:cs="Times New Roman" w:eastAsia="Times New Roman" w:hAnsi="Times New Roman"/>
                <w:sz w:val="15"/>
                <w:szCs w:val="15"/>
                <w:color w:val="auto"/>
                <w:w w:val="95"/>
              </w:rPr>
              <w:t>CCI</w:t>
            </w:r>
          </w:p>
        </w:tc>
        <w:tc>
          <w:tcPr>
            <w:tcW w:w="4220" w:type="dxa"/>
            <w:vAlign w:val="bottom"/>
            <w:vMerge w:val="restart"/>
          </w:tcPr>
          <w:p>
            <w:pPr>
              <w:ind w:left="520"/>
              <w:spacing w:after="0"/>
              <w:rPr>
                <w:sz w:val="20"/>
                <w:szCs w:val="20"/>
                <w:color w:val="auto"/>
              </w:rPr>
            </w:pPr>
            <w:r>
              <w:rPr>
                <w:rFonts w:ascii="Times New Roman" w:cs="Times New Roman" w:eastAsia="Times New Roman" w:hAnsi="Times New Roman"/>
                <w:sz w:val="15"/>
                <w:szCs w:val="15"/>
                <w:color w:val="auto"/>
              </w:rPr>
              <w:t>Consolidated Interest Coverage Ratio</w:t>
            </w:r>
            <w:r>
              <w:rPr>
                <w:rFonts w:ascii="Times New Roman" w:cs="Times New Roman" w:eastAsia="Times New Roman" w:hAnsi="Times New Roman"/>
                <w:sz w:val="19"/>
                <w:szCs w:val="19"/>
                <w:color w:val="auto"/>
                <w:vertAlign w:val="superscript"/>
              </w:rPr>
              <w:t>(c)</w:t>
            </w:r>
          </w:p>
        </w:tc>
        <w:tc>
          <w:tcPr>
            <w:tcW w:w="2420" w:type="dxa"/>
            <w:vAlign w:val="bottom"/>
          </w:tcPr>
          <w:p>
            <w:pPr>
              <w:spacing w:after="0"/>
              <w:rPr>
                <w:sz w:val="17"/>
                <w:szCs w:val="17"/>
                <w:color w:val="auto"/>
              </w:rPr>
            </w:pPr>
          </w:p>
        </w:tc>
        <w:tc>
          <w:tcPr>
            <w:tcW w:w="2100" w:type="dxa"/>
            <w:vAlign w:val="bottom"/>
          </w:tcPr>
          <w:p>
            <w:pPr>
              <w:jc w:val="center"/>
              <w:ind w:right="169"/>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2420" w:type="dxa"/>
            <w:vAlign w:val="bottom"/>
            <w:vMerge w:val="restart"/>
          </w:tcPr>
          <w:p>
            <w:pPr>
              <w:jc w:val="center"/>
              <w:ind w:left="249"/>
              <w:spacing w:after="0"/>
              <w:rPr>
                <w:sz w:val="20"/>
                <w:szCs w:val="20"/>
                <w:color w:val="auto"/>
              </w:rPr>
            </w:pPr>
            <w:r>
              <w:rPr>
                <w:rFonts w:ascii="Times New Roman" w:cs="Times New Roman" w:eastAsia="Times New Roman" w:hAnsi="Times New Roman"/>
                <w:sz w:val="15"/>
                <w:szCs w:val="15"/>
                <w:color w:val="auto"/>
              </w:rPr>
              <w:t>N/A</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42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9"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maintenance covenants would, absent a waiver, result in an event of default under the 2016 Credit Agreement.</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2016 Credit Agreement.</w:t>
      </w:r>
    </w:p>
    <w:p>
      <w:pPr>
        <w:spacing w:after="0" w:line="10" w:lineRule="exact"/>
        <w:rPr>
          <w:rFonts w:ascii="Times New Roman" w:cs="Times New Roman" w:eastAsia="Times New Roman" w:hAnsi="Times New Roman"/>
          <w:sz w:val="14"/>
          <w:szCs w:val="14"/>
          <w:color w:val="auto"/>
        </w:rPr>
      </w:pPr>
    </w:p>
    <w:p>
      <w:pPr>
        <w:ind w:left="320" w:hanging="315"/>
        <w:spacing w:after="0" w:line="250" w:lineRule="auto"/>
        <w:tabs>
          <w:tab w:leader="none" w:pos="3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The critical accounting policies and estimates for 2024 are not intended to be a comprehensive list of our accounting policies and estimates. See note 2 to our consolidated financial statements for a summary of our significant accounting policies.</w:t>
      </w:r>
    </w:p>
    <w:p>
      <w:pPr>
        <w:spacing w:after="0" w:line="13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Lease Accounting—Lessee. </w:t>
      </w:r>
      <w:r>
        <w:rPr>
          <w:rFonts w:ascii="Times New Roman" w:cs="Times New Roman" w:eastAsia="Times New Roman" w:hAnsi="Times New Roman"/>
          <w:sz w:val="18"/>
          <w:szCs w:val="18"/>
          <w:color w:val="auto"/>
        </w:rPr>
        <w:t>For our Towers segment, our lessee arrangements primarily consist of ground leases for land under our towers and are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term generally between five to 15 years. We also enter into ground leases, such as term easements, in which we prepay the entire term. For our Fiber segment, our lessee arrangements primarily include leases of fiber assets to facilitate our small cells and fiber solutions. The majority of our lease agreements have certain termination rights that provide for cancellation after a notice period and multiple renewal options exercisable at our option. We include certain renewal option periods in the lease term when we determine that the options are reasonably certain to be exercised.</w:t>
      </w:r>
    </w:p>
    <w:p>
      <w:pPr>
        <w:spacing w:after="0" w:line="13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For both our Towers and Fiber segments, operating lease expense is recognized on a ratable basis, regardless of whether the payment terms require us to make payments annually, semi-annually, quarterly, monthly, or for the entire term in advance. Certain of our ground lease and fiber access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When calculating straight-line ground lease and fiber access expenses, we consider all fixed elements of contractual escalation provisions, even if such escalation provisions contain a variable element in addition to a minimum. We calculate the straight-line expense over the contract's estimated lease term, including any renewal option periods that we deem reasonably certain to be exercised.</w:t>
      </w:r>
    </w:p>
    <w:p>
      <w:pPr>
        <w:spacing w:after="0" w:line="13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recognize a right-of-use ("ROU") asset (and, as applicable, a corresponding lease liability) for each of our operating leases. ROU assets represent our right to use an underlying asset for the estimated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our incremental borrowing rate on a collateralized basis to determine the present value of our lease payments. Our ROU assets are measured as the balance of the lease liability plus any prepaid or accrued lease payments and any unamortized initial direct costs.</w:t>
      </w:r>
    </w:p>
    <w:p>
      <w:pPr>
        <w:spacing w:after="0" w:line="13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2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97% of our total revenue for 2024 consisted of site rental revenues, which are recognized on a ratable basis over the fixed, non-cancelable term of the relevant tenant contract, generally between five to 15 years for site rental revenues derived from wireless tenants and generally between one to 20 years for site rental revenues derived from fiber solutions tenants, regardless of whether the payments from the tenant are received in equal monthly amounts during the life of a tenant contract. Certain of our tenant contracts contain (1) fixed escalation clauses (such as fixed-dollar or fixed-percentage increases) or inflation-based escalation clauses (such as those tied to the change in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our straight-line rental revenues, we consider all fixed elements of tenant contractual escalation provisions, even if such escalation provisions contain a variable element (such as an escalator tied to an inflation-based index) in addition to a minimum. To the extent we acquire below-market tenant leases for contractual interests with tenants on the acquired communications infrastructure (for example with respect to small cells and fiber), we record the fair value as deferred credits and amortize such deferred credits to site rental revenues over their estimated lease term. Since we recognize revenue on a straight-line basis, a portion of the site rental revenues in a given period represents cash collected or contractually collectible in other periods. Our assets related to straight-line site rental revenues are recorded within "Current portion of deferred site rental receivables" and "Deferred site rental receivables" on the consolidated balance sheet. Amounts billed or received prior to being earned are deferred and reflected in "Deferred revenues"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color w:val="auto"/>
        </w:rPr>
        <w:t>and "Other long-term liabilities" on the consolidated balance sheet. Amounts to which we have an unconditional right to payment, which are related to both satisfied or partially satisfied performance obligations, are recorded within "Receivables, net" on the consolidated balance sheet.</w:t>
      </w:r>
    </w:p>
    <w:p>
      <w:pPr>
        <w:spacing w:after="0" w:line="11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 part of our effort to provide comprehensive communications infrastructure solutions, as an ancillary business, we also offer certain services primarily relating to our Towers segment, which represented 3% of our total revenues for 2024. For the periods presented, such services and other revenues consisted predominately of (1) site development services relating to existing or new tenant equipment installations, including: site acquisition, architectural and engineering, or zoning and permitting (collectively, "site development services") and (2) installation services. See note 16 to our consolidated financial statements for a discussion of the 2023 Restructuring Plan, which included discontinuing installation services as a Towers product offering. Our services generally have a duration of one year or less. Upon contract commencement, we assess our services to tenants and identify performance obligations for each promise to provide a distinct service.</w:t>
      </w:r>
    </w:p>
    <w:p>
      <w:pPr>
        <w:spacing w:after="0" w:line="13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may have multiple performance obligations for site development services, which primarily include: structural analysis, zoning, permitting and construction drawings. For each of the above performance obligations, services revenues are recognized at completion of the applicable performance obligation, which represents the point at which we believe we have transferred goods or services to the tenant. The revenue recognized is based on an allocation of the transaction price among the performance obligations in a respective contract based on estimated standalone selling price.</w:t>
      </w:r>
    </w:p>
    <w:p>
      <w:pPr>
        <w:spacing w:after="0" w:line="13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transaction price for tower installation services consists of amounts for (1) permanent improvements to our towers that represent a lease component and (2) the performance of the service. Amounts under our tower installation services agreements that represent a lease component are recognized as site rental revenues on a ratable basis over the length of the associated estimated lease term. For the performance of the tower installation service, we have one performance obligation, which is satisfied at the time of the applicable installation or augmentation and recognized as services and other revenues.</w:t>
      </w:r>
    </w:p>
    <w:p>
      <w:pPr>
        <w:spacing w:after="0" w:line="10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Since performance obligations are typically satisfied prior to receiving payment from tenants, the unconditional right to payment is recorded within "Receivables, net" on our consolidated balance sheet.</w:t>
      </w:r>
    </w:p>
    <w:p>
      <w:pPr>
        <w:spacing w:after="0" w:line="11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Accounting for Acquisitions—General. </w:t>
      </w:r>
      <w:r>
        <w:rPr>
          <w:rFonts w:ascii="Times New Roman" w:cs="Times New Roman" w:eastAsia="Times New Roman" w:hAnsi="Times New Roman"/>
          <w:sz w:val="18"/>
          <w:szCs w:val="18"/>
          <w:color w:val="auto"/>
        </w:rPr>
        <w:t>The majority of our towers have been acquired directly or indirectly from the three largest wireless carriers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predecessors) through transactions consummated since 1999 while most of our fiber assets were acquired through transactions dating back to 2012, with the largest transactions occurring in 2017. We evaluate each of our acquisitions to determine if it should be accounted for as a business combination or as an acquisition of assets. 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See </w:t>
      </w:r>
      <w:r>
        <w:rPr>
          <w:rFonts w:ascii="Times New Roman" w:cs="Times New Roman" w:eastAsia="Times New Roman" w:hAnsi="Times New Roman"/>
          <w:sz w:val="18"/>
          <w:szCs w:val="18"/>
          <w:i w:val="1"/>
          <w:iCs w:val="1"/>
          <w:color w:val="auto"/>
        </w:rPr>
        <w:t xml:space="preserve">"Item 7. MD&amp;A—Accounting and Reporting Matters—Accounting for Acquisitions—Valuation" </w:t>
      </w:r>
      <w:r>
        <w:rPr>
          <w:rFonts w:ascii="Times New Roman" w:cs="Times New Roman" w:eastAsia="Times New Roman" w:hAnsi="Times New Roman"/>
          <w:sz w:val="18"/>
          <w:szCs w:val="18"/>
          <w:color w:val="auto"/>
        </w:rPr>
        <w:t>below.</w:t>
      </w:r>
    </w:p>
    <w:p>
      <w:pPr>
        <w:spacing w:after="0" w:line="13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determination of the final purchase price allocation could extend over several quarters resulting in the use of preliminary estimates that are subject to adjustment until finalized. Such changes could have a significant impact on our consolidated financial statements.</w:t>
      </w:r>
    </w:p>
    <w:p>
      <w:pPr>
        <w:spacing w:after="0" w:line="11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Accounting for Acquisitions—Leases. </w:t>
      </w:r>
      <w:r>
        <w:rPr>
          <w:rFonts w:ascii="Times New Roman" w:cs="Times New Roman" w:eastAsia="Times New Roman" w:hAnsi="Times New Roman"/>
          <w:sz w:val="18"/>
          <w:szCs w:val="18"/>
          <w:color w:val="auto"/>
        </w:rPr>
        <w:t>With respect to business combinations that include towers that we lease and operate, such as the AT&amp;T and T-Mobile leased and subleased towers (including those which T-Mobile assumed in its merger with Sprint), we evaluate such agreements to determine treatment as finance or operating leases. The evaluation of such agreements for finance or operating lease treatment previously included consideration of each of the lease classification criteria under ASC 840-10-25, namely (1) the transfer of ownership provisions, (2) the existence of bargain purchase options, (3) the length of the remaining lease term, and (4) the present value of the minimum lease payments. With respect to the AT&amp;T and T-Mobile leased and subleased towers (including those which T-Mobile assumed in its merger with Sprint), we determined that the tower leases were finance leases and the underlying land leases were operating leases based upon the lease term criterion, after considering the fragmentation criteria applicable under ASC 840-10-25 to leases involving both land and buildings (i.e., towers). We determined that the fragmentation criteria was met, and the tower leases could be accounted for as finance leases apart from the land leases, which are accounted for as operating leases, since (1) the fair value of the land in the aforementioned business combinations was greater than 25% of the total fair value of the leased property at inception and (2) the tower lease expirations occur beyond 75% of the estimated economic life of the tower assets.</w:t>
      </w:r>
    </w:p>
    <w:p>
      <w:pPr>
        <w:spacing w:after="0" w:line="140"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Acquisitions—Valuation. </w:t>
      </w:r>
      <w:r>
        <w:rPr>
          <w:rFonts w:ascii="Times New Roman" w:cs="Times New Roman" w:eastAsia="Times New Roman" w:hAnsi="Times New Roman"/>
          <w:sz w:val="18"/>
          <w:szCs w:val="18"/>
          <w:color w:val="auto"/>
        </w:rPr>
        <w:t>As of December 31, 2024, our largest asset was property and equipment (which primarily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infrastructure) followed by operating lease ROU assets, goodwill and intangible assets. Our identifiable intangible assets predominately relate to the site rental contracts and tenant relationships intangible assets.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color w:val="auto"/>
        </w:rPr>
        <w:t>The fair value of the vast majority of our assets and liabilities is determined by using either:</w:t>
      </w:r>
    </w:p>
    <w:p>
      <w:pPr>
        <w:spacing w:after="0" w:line="161" w:lineRule="exact"/>
        <w:rPr>
          <w:sz w:val="20"/>
          <w:szCs w:val="20"/>
          <w:color w:val="auto"/>
        </w:rPr>
      </w:pPr>
    </w:p>
    <w:p>
      <w:pPr>
        <w:ind w:left="800" w:hanging="400"/>
        <w:spacing w:after="0" w:line="254" w:lineRule="auto"/>
        <w:tabs>
          <w:tab w:leader="none" w:pos="7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cash flow valuation methods (for estimating identifiable intangibles such as site rental contracts and tenant relationships or operating lease right-of-use assets and lease liabilities acquired); or</w:t>
      </w:r>
    </w:p>
    <w:p>
      <w:pPr>
        <w:ind w:left="780" w:hanging="380"/>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replacement costs (for tangible fixed assets such as communications infrastructure).</w:t>
      </w:r>
    </w:p>
    <w:p>
      <w:pPr>
        <w:spacing w:after="0" w:line="14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and amount of cash flows including estimates regarding tenant renewals and cancellations. The most important estimates for measurement of operating lease ROU assets and lease liabilities acquired are (1) present value of our future lease payments, including whether renewals or extensions should be measured, and (2) favorability or unfavorability to the current market terms. With respect to business combinations that include towers that we lease and operate, such as the AT&amp;T and T-Mobile leased and subleased towers (including those which T-Mobile assumed in its merger with Sprint), we evaluate such agreements to determine treatment as finance or operating leases and identification of any bargain purchase options.</w:t>
      </w:r>
    </w:p>
    <w:p>
      <w:pPr>
        <w:spacing w:after="0" w:line="13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record the fair value of obligations to perform certain asset retirement activities, including requirements, pursuant to our ground leases, leased facility and certain pole attachment agreements, to remove communications infrastructure or remediate the space upon which certain of our communications infrastructure resides. In determining the fair value of these asset retirement obligations we must make several subjective and highly judgmental estimates such as those related to: (1) timing of cash flows, (2) future costs, (3) discount rates and (4) the probability of enforcement to remove the towers or small cells or remediate the land. We do not record an obligation for asset retirement activities related to our fiber, as a settlement date is indeterminable and therefore a reasonable estimation of fair value cannot be made.</w:t>
      </w:r>
    </w:p>
    <w:p>
      <w:pPr>
        <w:spacing w:after="0" w:line="13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Accounting for Long-Lived Assets—Useful Lives. </w:t>
      </w:r>
      <w:r>
        <w:rPr>
          <w:rFonts w:ascii="Times New Roman" w:cs="Times New Roman" w:eastAsia="Times New Roman" w:hAnsi="Times New Roman"/>
          <w:sz w:val="18"/>
          <w:szCs w:val="18"/>
          <w:color w:val="auto"/>
        </w:rPr>
        <w:t>We are required to make subjective assessments as to the useful lives of our tangible and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A substantial portion of our property and equipment represents the cost of our communications infrastructure, the majority of which is depreciated with an estimated useful life equal to the shorter of 20 years or the term of the underlying ground lease (where applicable and including optional renewals).</w:t>
      </w:r>
    </w:p>
    <w:p>
      <w:pPr>
        <w:spacing w:after="0" w:line="13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useful lives of our intangible assets are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communications infrastructure (20 years), as a result of the interdependency of the communications infrastructure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 as a result of the useful life being limited by the depreciable life of the communications infrastructure.</w:t>
      </w:r>
    </w:p>
    <w:p>
      <w:pPr>
        <w:spacing w:after="0" w:line="13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Accounting for Long-Lived Assets—Impairment Evaluation. </w:t>
      </w:r>
      <w:r>
        <w:rPr>
          <w:rFonts w:ascii="Times New Roman" w:cs="Times New Roman" w:eastAsia="Times New Roman" w:hAnsi="Times New Roman"/>
          <w:sz w:val="18"/>
          <w:szCs w:val="18"/>
          <w:color w:val="auto"/>
        </w:rPr>
        <w:t>We review the carrying values of property and equipment, intangible assets, or other long-lived assets for impairment whenever events or changes in circumstances indicate that the carrying amounts may not be recoverable.</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purposes of our Towers segment, we utilize the following dual grouping policy for purposes of determining the unit of account for testing impairment of site rental contracts and tenant relationships intangible assets:</w:t>
      </w:r>
    </w:p>
    <w:p>
      <w:pPr>
        <w:spacing w:after="0" w:line="117" w:lineRule="exact"/>
        <w:rPr>
          <w:sz w:val="20"/>
          <w:szCs w:val="20"/>
          <w:color w:val="auto"/>
        </w:rPr>
      </w:pPr>
    </w:p>
    <w:p>
      <w:pPr>
        <w:ind w:left="780" w:hanging="380"/>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pool site rental contracts and tenant relationships intangible assets and property and equipment into portfolio groups; and</w:t>
      </w:r>
    </w:p>
    <w:p>
      <w:pPr>
        <w:spacing w:after="0" w:line="21" w:lineRule="exact"/>
        <w:rPr>
          <w:rFonts w:ascii="Times New Roman" w:cs="Times New Roman" w:eastAsia="Times New Roman" w:hAnsi="Times New Roman"/>
          <w:sz w:val="18"/>
          <w:szCs w:val="18"/>
          <w:color w:val="auto"/>
        </w:rPr>
      </w:pPr>
    </w:p>
    <w:p>
      <w:pPr>
        <w:ind w:left="800" w:hanging="400"/>
        <w:spacing w:after="0" w:line="248" w:lineRule="auto"/>
        <w:tabs>
          <w:tab w:leader="none" w:pos="7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separately pool the site rental contracts and tenant relationships by significant tenant or by tenant grouping for individually insignificant tenants, as appropriate.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8" w:name="page49"/>
    <w:bookmarkEnd w:id="48"/>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first pool site rental contracts and tenant relationships intangible assets and property and equipment into portfolio groups for purposes of determining the unit of account for impairment testing, because we view communications infrastructure as portfolios and communications infrastructure in a given portfolio and its related tenant contracts are not largely independent of the other communications infrastructure in the portfolio. We re-evaluate the appropriateness of the pooled groups at least annually. This use of grouping is based in part on (1) our limitations regarding disposal of communications infrastructure, (2) the interdependencies of communications infrastructure portfolios, and (3) the manner in which communications infrastructure is traded in the marketplace. The vast majority of our site rental contracts and tenant relationships intangible assets and property and equipment are pooled into the U.S. owned communications infrastructure group. Secondly, and separately, we pool the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purposes of our Fiber segment, we evaluate financial performance of major U.S. markets where we have made significant investments. In addition, as discrete cash flows (including projected cash flows) are most readily available at the segment level, we also review the undiscounted cash flows at this level to evaluate potential impairment of our long-lived assets.</w:t>
      </w:r>
    </w:p>
    <w:p>
      <w:pPr>
        <w:spacing w:after="0" w:line="12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communications infrastructure or (2) our tenant relationships. For example, consideration would be given to events that impact (1) the structural integrity and longevity of our communications infrastructure or (2) our ability to derive benefit from our existing tenant relationships, including events such as tenant's bankruptcy or insolvency or loss of a significant tenant.</w:t>
      </w:r>
    </w:p>
    <w:p>
      <w:pPr>
        <w:spacing w:after="0" w:line="13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If the sum of the associated estimated future cash flows (undiscounted) from an asset group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communications infrastructure and (2) estimates regarding tenant cancellations and renewals of tenant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3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light of the aforementioned impairment of the Fiber segment goodwill balance, we conducted a review during the fourth quarter of 2024, including analysis of both market-level and segment-level information, and determined there was no impairment of Fiber segment long-lived assets. In regard to our Towers segment, there were no events or circumstances that caused us to review the carrying value of our intangible assets or property and equipment due in part to our assets performing consistently with or better than our expectations.</w:t>
      </w:r>
    </w:p>
    <w:p>
      <w:pPr>
        <w:spacing w:after="0" w:line="13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Fiber Business did not meet the criteria for assets held for sale as of December 31, 2024, and therefore remains presented as a component of continuing operations. Following the announcement of the Strategic Fiber Transaction and beginning with the Company's filing of Form 10-Q for the quarter ended March 31, 2025, the Fiber Business will be presented as a discontinued operation, and its net assets will be classified as held for sale and comparable prior periods will be recast to reflect this change. Upon classification as held for sale, we expect to recognize a loss of between $700 and $800 million, inclusive of estimated transaction fees.</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Approximately 5% of our total towers currently have no tenants. We continue to pay operating expenses on these towers in anticipation of obtaining tenants on these towers in the future, primarily because of the demographics and continuing increase in demand for data in the areas around these individual towers. We estimate, based on current visibility, potential tenants on a majority of these towers. To the extent we do not believe there are long-term prospects of obtaining tenants on an individual asset and all other possible avenues for recovering the carrying value have been exhausted, including sale of the asset, we appropriately reduce the carrying value of such assets to fair value.</w:t>
      </w:r>
    </w:p>
    <w:p>
      <w:pPr>
        <w:spacing w:after="0" w:line="13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Accounting for Goodwill—Impairment Evaluation. </w:t>
      </w:r>
      <w:r>
        <w:rPr>
          <w:rFonts w:ascii="Times New Roman" w:cs="Times New Roman" w:eastAsia="Times New Roman" w:hAnsi="Times New Roman"/>
          <w:sz w:val="18"/>
          <w:szCs w:val="18"/>
          <w:color w:val="auto"/>
        </w:rPr>
        <w:t>Management tests goodwill for impairment at least annually or whenever events or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amount may not be recoverable.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9" w:name="page50"/>
    <w:bookmarkEnd w:id="49"/>
    <w:p>
      <w:pPr>
        <w:jc w:val="both"/>
        <w:spacing w:after="0" w:line="250" w:lineRule="auto"/>
        <w:rPr>
          <w:sz w:val="20"/>
          <w:szCs w:val="20"/>
          <w:color w:val="auto"/>
        </w:rPr>
      </w:pPr>
      <w:r>
        <w:rPr>
          <w:rFonts w:ascii="Times New Roman" w:cs="Times New Roman" w:eastAsia="Times New Roman" w:hAnsi="Times New Roman"/>
          <w:sz w:val="18"/>
          <w:szCs w:val="18"/>
          <w:color w:val="auto"/>
        </w:rPr>
        <w:t>is "more likely than not" that the fair value of a reporting unit is less than its carrying amount, we would be required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Our reporting units are the same as our operating segments (Towers and Fiber). See note 14 to our consolidated financial statements.</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year ended December 31, 2024, we recorded an impairment charge of approximately $5.0 billion related to the goodwill associated with our Fiber segment, which represents a reporting unit for purposes of evaluating goodwill, which resulted in no goodwill remaining for the Fiber reporting unit.</w:t>
      </w:r>
    </w:p>
    <w:p>
      <w:pPr>
        <w:spacing w:after="0" w:line="117" w:lineRule="exact"/>
        <w:rPr>
          <w:sz w:val="20"/>
          <w:szCs w:val="20"/>
          <w:color w:val="auto"/>
        </w:rPr>
      </w:pPr>
    </w:p>
    <w:p>
      <w:pPr>
        <w:jc w:val="both"/>
        <w:ind w:firstLine="395"/>
        <w:spacing w:after="0" w:line="300" w:lineRule="auto"/>
        <w:rPr>
          <w:sz w:val="20"/>
          <w:szCs w:val="20"/>
          <w:color w:val="auto"/>
        </w:rPr>
      </w:pPr>
      <w:r>
        <w:rPr>
          <w:rFonts w:ascii="Times New Roman" w:cs="Times New Roman" w:eastAsia="Times New Roman" w:hAnsi="Times New Roman"/>
          <w:sz w:val="16"/>
          <w:szCs w:val="16"/>
          <w:color w:val="auto"/>
        </w:rPr>
        <w:t>Management performed its annual goodwill impairment test in the fourth quarter of 2024. The means of estimating the fair value of our reporting units is using discounted cash flow ("DCF") models developed by management. Key assumptions and estimates used in the DCF models included projected future</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operating cash flows, capital expenditures (net of certain payments received from customers), an exit multiple and a discount rate. With respect to the Towers reporting unit, there was no indication of impairment following the quantitative assessment, as the estimated fair value was well in excess of the corresponding carrying amount.</w:t>
      </w:r>
    </w:p>
    <w:p>
      <w:pPr>
        <w:spacing w:after="0" w:line="206"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The quantitative impairment test indicated that the carrying amount of our Fiber reporting unit exceeded its estimated fair value. The impairment was due to a number of factors, one of which was a reduction in management’s assumptions for long-term revenue growth as actual demand, particularly related to small cells, has continued to be lower than previous expectations. In the face of this reduced demand, and consistent with the recently concluded operating review of the Fiber business, management implemented operational and strategic changes targeted at reducing future capital investment in the Fiber business by focusing primarily on colocation opportunities which require less capital expenditures than new-build opportunities. Although this more targeted strategy is focused on higher-return projects, the lower capital investment is expected to result in lower overall revenues and operating cash flows in the Fiber business. Following implementation of these changes, and consistent with the ongoing developments surrounding the Company's strategic review of its Fiber business, during the fourth quarter of 2024, management incorporated the anticipated impact of these changes in expectations into its long-term forecasts, which decreased the estimated fair value of the Fiber reporting unit. Additionally, management’s expectations regarding the terminal value of the projections decreased due to several factors, including lower operating cash flows forecasted by management in the terminal year as well as lower exit multiples derived from industry research firms' outlook reports, which management uses in its DCF models. Finally, changes in the macroeconomic environment, including elevated interest rates, resulted in an increase in the discount rate used in the valuation model, which had a negative impact on estimated fair value.</w:t>
      </w:r>
    </w:p>
    <w:p>
      <w:pPr>
        <w:spacing w:after="0" w:line="32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impairment charges for the Fiber reporting unit are recorded in "Goodwill impairment charges" on the consolidated statement of operations and comprehensive income (loss).</w:t>
      </w:r>
    </w:p>
    <w:p>
      <w:pPr>
        <w:spacing w:after="0" w:line="115"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Deferred Income Taxes. </w:t>
      </w:r>
      <w:r>
        <w:rPr>
          <w:rFonts w:ascii="Times New Roman" w:cs="Times New Roman" w:eastAsia="Times New Roman" w:hAnsi="Times New Roman"/>
          <w:sz w:val="18"/>
          <w:szCs w:val="18"/>
          <w:color w:val="auto"/>
        </w:rPr>
        <w:t>We operate as a REIT for U.S. federal income tax purposes. Our REIT taxable income is generally not subject to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income taxes as a result of the deduction for dividends paid and any usage of our remaining NOLs. Accordingly, the only provision or benefit for federal income taxes for the year ended December 31, 2024 relates to TRSs. Furthermore, as a result of the deduction for dividends paid, some or all of our NOLs related to our REIT may expire without utilization. See </w:t>
      </w:r>
      <w:r>
        <w:rPr>
          <w:rFonts w:ascii="Times New Roman" w:cs="Times New Roman" w:eastAsia="Times New Roman" w:hAnsi="Times New Roman"/>
          <w:sz w:val="18"/>
          <w:szCs w:val="18"/>
          <w:i w:val="1"/>
          <w:iCs w:val="1"/>
          <w:color w:val="auto"/>
        </w:rPr>
        <w:t>"Item 1. Business—REIT Status"</w:t>
      </w:r>
      <w:r>
        <w:rPr>
          <w:rFonts w:ascii="Times New Roman" w:cs="Times New Roman" w:eastAsia="Times New Roman" w:hAnsi="Times New Roman"/>
          <w:sz w:val="18"/>
          <w:szCs w:val="18"/>
          <w:color w:val="auto"/>
        </w:rPr>
        <w:t xml:space="preserve"> for a discussion of the impact of our REIT status.</w:t>
      </w:r>
    </w:p>
    <w:p>
      <w:pPr>
        <w:spacing w:after="0" w:line="12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Our TRSs will continue to be subject, as applicable, to federal and state income taxes and foreign taxes in the jurisdictions in which such assets and operations are located. Our foreign assets and operations (including its tower operations in Puerto Rico) are subject to foreign income taxes in the jurisdictions in which such assets and operations are located, regardless of whether they are included in a TRS or not. Our ability to utilize our NOLs is dependent, in part, upon us having sufficient future earnings to utilize our NOLs before they expire. If market conditions change materially and we determine that we will be unable to generate sufficient taxable income in the future to utilize our NOLs, we would be required to record an additional valuation allowance, which would reduce our earnings. The change in our valuation allowance has no effect on our cash flows. For a further discussion of our benefit (provision) for income taxes, see </w:t>
      </w:r>
      <w:r>
        <w:rPr>
          <w:rFonts w:ascii="Times New Roman" w:cs="Times New Roman" w:eastAsia="Times New Roman" w:hAnsi="Times New Roman"/>
          <w:sz w:val="18"/>
          <w:szCs w:val="18"/>
          <w:i w:val="1"/>
          <w:iCs w:val="1"/>
          <w:color w:val="auto"/>
        </w:rPr>
        <w:t>"Item 7. MD&amp;A—Results of Operations"</w:t>
      </w:r>
      <w:r>
        <w:rPr>
          <w:rFonts w:ascii="Times New Roman" w:cs="Times New Roman" w:eastAsia="Times New Roman" w:hAnsi="Times New Roman"/>
          <w:sz w:val="18"/>
          <w:szCs w:val="18"/>
          <w:color w:val="auto"/>
        </w:rPr>
        <w:t xml:space="preserve"> and note 9 to our consolidated financial statements.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See note 2 to our consolidated financial statements.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See note 2 to our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i w:val="1"/>
          <w:iCs w:val="1"/>
          <w:color w:val="auto"/>
        </w:rPr>
        <w:t>Non-GAAP and Segment Financial Measures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non-GAAP measures used herein and as discussed in note 14 to our consolidated financial statements, we also provide segment operating profit (loss), which is a key measure used by management to evaluate the performance of our operating segments. This segment measure is provided pursuant to GAAP requirements related to segment reporting.</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define segment operating profit (loss) as segment site rental revenues plus segment services and other revenues, less segment site rental costs of operations, segment services and other costs of operations, and segment selling, general and administrative expenses, each of which excludes stock-based compensation, net, and prepaid lease purchase price adjustments, which are recorded in the respective consolidated figures.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define Segment Adjusted Site Rental Gross Margin as segment site rental revenues less segment site rental costs of operations, excluding stock-based compensation expense, net and amortization of prepaid lease purchase price adjustments recorded in consolidated site rental costs of operations. We define Segment Adjusted Services and Other Gross Margin as segment services and other revenues less segment services and other costs of operations, excluding stock-based compensation expense, net recorded in consolidated services and other costs of operations.</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three aforementioned segment performance measurements are exclusive of depreciation, amortization and accretion, which are shown separately. Additionally, certain costs are shared across segments and are reflected in our segment measures through allocations that management believes to be reasonable.</w:t>
      </w:r>
    </w:p>
    <w:p>
      <w:pPr>
        <w:spacing w:after="0" w:line="127"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We use Segment Adjusted Site Rental Gross Margin and Segment Adjusted Services and Other Gross Margin, which are non-GAAP financial measures, as indicators of segment financial performance. Our measures of Segment Adjusted Site Rental Gross Margin and Segment Adjusted Services and Other Gross Margin may not be comparable to similarly titled measures of other companies, including companies in the communications infrastructure sector or other REITs, and are not measures of performance calculated in accordance with GAAP. Segment Adjusted Site Rental Gross Margin and Segment Adjusted Services and Other Gross Margin should not be considered in isolation or as substitutes for segment operating profit (loss) or other income statement or cash flow statement data prepared in accordance with GAAP and should be considered only as supplements to segment operating profit (loss) computed in accordance with GAAP as measures of our performance. There are material limitations to using measures such as Segment Adjusted Site Rental Gross Margin and Segment Adjusted Services and Other Gross Margin, including the difficulty associated with comparing results among more than one company, including our competitors, and the inability to analyze certain significant items, including stock-based compensation expense, net, prepaid lease purchase price adjustments and depreciation, amortization, and accretion, that directly affect our net income (loss). Management compensates for these limitations by considering the economic effect of the excluded expense items independently as well as in connection with their analysis of net income (loss). The reconciliations of Segment Adjusted Site Rental Gross Margin and Segment Adjusted Services and Other Gross Margin to our segment operating profit (loss) are set forth below:</w:t>
      </w:r>
    </w:p>
    <w:p>
      <w:pPr>
        <w:sectPr>
          <w:pgSz w:w="11900" w:h="16838" w:orient="portrait"/>
          <w:cols w:equalWidth="0" w:num="1">
            <w:col w:w="11240"/>
          </w:cols>
          <w:pgMar w:left="320" w:top="1027" w:right="339" w:bottom="1440" w:gutter="0" w:footer="0" w:header="0"/>
        </w:sect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 of dollars)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Segment operating profit (loss)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Adjustments to increase (decrease) segment operating profit (loss):</w:t>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Segment services and other revenues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Segment services and other costs of operations</w:t>
      </w:r>
      <w:r>
        <w:rPr>
          <w:rFonts w:ascii="Times New Roman" w:cs="Times New Roman" w:eastAsia="Times New Roman" w:hAnsi="Times New Roman"/>
          <w:sz w:val="20"/>
          <w:szCs w:val="20"/>
          <w:color w:val="auto"/>
          <w:vertAlign w:val="superscript"/>
        </w:rPr>
        <w:t>(a)</w:t>
      </w:r>
    </w:p>
    <w:p>
      <w:pPr>
        <w:ind w:left="220"/>
        <w:spacing w:after="0"/>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Segment Adjusted Site Rental Gross Margin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r>
      <w:tr>
        <w:trPr>
          <w:trHeight w:val="208"/>
        </w:trPr>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Towers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Fiber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rPr>
              <w:t>Towers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Fiber</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Towers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Fiber</w:t>
            </w:r>
          </w:p>
        </w:tc>
      </w:tr>
      <w:tr>
        <w:trPr>
          <w:trHeight w:val="202"/>
        </w:trPr>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420"/>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4"/>
        </w:trPr>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1"/>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8"/>
        </w:trPr>
        <w:tc>
          <w:tcPr>
            <w:tcW w:w="160" w:type="dxa"/>
            <w:vAlign w:val="bottom"/>
          </w:tcPr>
          <w:p>
            <w:pPr>
              <w:spacing w:after="0"/>
              <w:rPr>
                <w:sz w:val="15"/>
                <w:szCs w:val="15"/>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-1362075</wp:posOffset>
            </wp:positionV>
            <wp:extent cx="7135495" cy="14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-1077595</wp:posOffset>
            </wp:positionV>
            <wp:extent cx="7135495" cy="133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-810260</wp:posOffset>
            </wp:positionV>
            <wp:extent cx="7135495" cy="133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-542925</wp:posOffset>
            </wp:positionV>
            <wp:extent cx="7135495" cy="158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40" w:space="720"/>
            <w:col w:w="5780"/>
          </w:cols>
          <w:pgMar w:left="320" w:top="102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Towers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Fiber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Towers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Fiber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Towers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Fiber</w:t>
            </w:r>
          </w:p>
        </w:tc>
      </w:tr>
      <w:tr>
        <w:trPr>
          <w:trHeight w:val="202"/>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increase (decrease) segment operating profit (loss):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9"/>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212"/>
        </w:trPr>
        <w:tc>
          <w:tcPr>
            <w:tcW w:w="546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Segment site rental costs of operations</w:t>
            </w:r>
            <w:r>
              <w:rPr>
                <w:rFonts w:ascii="Times New Roman" w:cs="Times New Roman" w:eastAsia="Times New Roman" w:hAnsi="Times New Roman"/>
                <w:sz w:val="20"/>
                <w:szCs w:val="20"/>
                <w:color w:val="auto"/>
                <w:vertAlign w:val="superscript"/>
              </w:rPr>
              <w:t>(c)(d)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1"/>
        </w:trPr>
        <w:tc>
          <w:tcPr>
            <w:tcW w:w="546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29"/>
        </w:trPr>
        <w:tc>
          <w:tcPr>
            <w:tcW w:w="5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Segment Adjusted Services and Other Gross Margin</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line="268" w:lineRule="auto"/>
        <w:tabs>
          <w:tab w:leader="none" w:pos="3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services and other costs of operations for the year ended December 31, 2024 excludes stock-based compensation expense, net of $6 million, and for the years ended December 31, 2023 and 2022, excludes $10 million of stock-based compensation expense, net in each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type w:val="continuous"/>
        </w:sectPr>
      </w:pPr>
    </w:p>
    <w:bookmarkStart w:id="51" w:name="page52"/>
    <w:bookmarkEnd w:id="51"/>
    <w:p>
      <w:pPr>
        <w:ind w:left="320" w:hanging="315"/>
        <w:spacing w:after="0" w:line="263" w:lineRule="auto"/>
        <w:tabs>
          <w:tab w:leader="none" w:pos="3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and administrative expenses for the years ended December 31, 2024, 2023 and 2022 excludes stock-based compensation expense, net of $44 million, $50 million and $47 million, respectively.</w:t>
      </w:r>
    </w:p>
    <w:p>
      <w:pPr>
        <w:spacing w:after="0" w:line="1" w:lineRule="exact"/>
        <w:rPr>
          <w:rFonts w:ascii="Times New Roman" w:cs="Times New Roman" w:eastAsia="Times New Roman" w:hAnsi="Times New Roman"/>
          <w:sz w:val="14"/>
          <w:szCs w:val="14"/>
          <w:color w:val="auto"/>
        </w:rPr>
      </w:pPr>
    </w:p>
    <w:p>
      <w:pPr>
        <w:jc w:val="both"/>
        <w:ind w:left="320" w:hanging="315"/>
        <w:spacing w:after="0" w:line="248" w:lineRule="auto"/>
        <w:tabs>
          <w:tab w:leader="none" w:pos="3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site rental costs of operations for the years ended December 31, 2024 and 2023 excludes stock-based compensation expense, net of $19 million in each year, and for the year ended December 31, 2022, excludes $18 million of stock-based compensation expense, net. Additionally, segment site rental costs of operations excludes prepaid lease purchase price adjustments of $16 million in each of the three years ended December 31, 2024, 2023 and 2022.</w:t>
      </w:r>
    </w:p>
    <w:p>
      <w:pPr>
        <w:ind w:left="320" w:hanging="315"/>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39"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We believe Segment Adjusted Site Rental Gross Margin and Segment Adjusted Services and Other Gross Margin are useful to investors or other interested parties in evaluating our financial performance because:</w:t>
      </w:r>
    </w:p>
    <w:p>
      <w:pPr>
        <w:spacing w:after="0" w:line="117" w:lineRule="exact"/>
        <w:rPr>
          <w:sz w:val="20"/>
          <w:szCs w:val="20"/>
          <w:color w:val="auto"/>
        </w:rPr>
      </w:pPr>
    </w:p>
    <w:p>
      <w:pPr>
        <w:jc w:val="both"/>
        <w:ind w:left="800" w:hanging="492"/>
        <w:spacing w:after="0" w:line="250"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measures used by our management (1) to evaluate the economic productivity of our operating segments, (2) to identify underlying business trends that are impacting our performance, and (3) for purposes of making decisions about allocating resources to, and assessing the performance of, our operating segments; and</w:t>
      </w:r>
    </w:p>
    <w:p>
      <w:pPr>
        <w:spacing w:after="0" w:line="2" w:lineRule="exact"/>
        <w:rPr>
          <w:rFonts w:ascii="Times New Roman" w:cs="Times New Roman" w:eastAsia="Times New Roman" w:hAnsi="Times New Roman"/>
          <w:sz w:val="18"/>
          <w:szCs w:val="18"/>
          <w:color w:val="auto"/>
        </w:rPr>
      </w:pPr>
    </w:p>
    <w:p>
      <w:pPr>
        <w:ind w:left="800" w:hanging="541"/>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it helps investors and other interested parties meaningfully evaluate and compare the results of our operations from period to period.</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management uses Segment Adjusted Site Rental Gross Margin and Segment Adjusted Services and Other Gross Margin:</w:t>
      </w:r>
    </w:p>
    <w:p>
      <w:pPr>
        <w:spacing w:after="0" w:line="161" w:lineRule="exact"/>
        <w:rPr>
          <w:sz w:val="20"/>
          <w:szCs w:val="20"/>
          <w:color w:val="auto"/>
        </w:rPr>
      </w:pPr>
    </w:p>
    <w:p>
      <w:pPr>
        <w:jc w:val="both"/>
        <w:ind w:left="800" w:hanging="492"/>
        <w:spacing w:after="0" w:line="249"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measurement of financial performance because it assists us in comparing our financial performance excluding the impact of certain non-cash items such as stock-based compensation expense, net and amortization of prepaid lease purchase price adjustments and asset base (primarily depreciation, amortization and accretion) from our operating results and before consideration of segment selling, general and administrative expenses; and</w:t>
      </w:r>
    </w:p>
    <w:p>
      <w:pPr>
        <w:ind w:left="800" w:hanging="541"/>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preparation of our annual operating budget by operating segment.</w:t>
      </w:r>
    </w:p>
    <w:p>
      <w:pPr>
        <w:spacing w:after="0" w:line="14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define earnings before interest, taxes, depreciation, amortization and accretion, as adjusted ("Adjusted EBITDA") as net income (loss) plus restructuring charges (credits), asset write-down charges, goodwill impairment,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stock-based compensation expense, net and net (gain) loss from disposal of discontinued operations, net of tax.</w:t>
      </w:r>
    </w:p>
    <w:p>
      <w:pPr>
        <w:spacing w:after="0" w:line="13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use Adjusted EBITDA, which is a non-GAAP financial measure, as an indicator of consolidated financial performance. Our measure of Adjusted EBITDA may not be comparable to similarly titled measures of other companies, including companies in the communications infrastructure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(loss). Management compensates for these limitations by considering the economic effect of the excluded expense items independently as well as in connection with their analysis of net income (loss). The reconciliation of Adjusted EBITDA to our net income (loss) is set forth below: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6"/>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of dollars)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1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increase (decrease) net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charges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prepaid lease purchase price adjustments</w:t>
            </w: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0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losses on retirement of long-term obligations</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31"/>
        </w:trPr>
        <w:tc>
          <w:tcPr>
            <w:tcW w:w="7160" w:type="dxa"/>
            <w:vAlign w:val="bottom"/>
            <w:tcBorders>
              <w:bottom w:val="single" w:sz="8" w:color="CCEEFF"/>
            </w:tcBorders>
            <w:shd w:val="clear" w:color="auto" w:fill="CCEEFF"/>
          </w:tcPr>
          <w:p>
            <w:pPr>
              <w:ind w:left="460"/>
              <w:spacing w:after="0" w:line="20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(a)</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reconciliation excludes the items included in our Adjusted EBITDA definition which are not applicable to the periods shown.</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believe Adjusted EBITDA is useful to investors or other interested parties in evaluating our financial performance because:</w:t>
      </w:r>
    </w:p>
    <w:p>
      <w:pPr>
        <w:spacing w:after="0" w:line="161" w:lineRule="exact"/>
        <w:rPr>
          <w:sz w:val="20"/>
          <w:szCs w:val="20"/>
          <w:color w:val="auto"/>
        </w:rPr>
      </w:pPr>
    </w:p>
    <w:p>
      <w:pPr>
        <w:ind w:left="800" w:hanging="400"/>
        <w:spacing w:after="0" w:line="254"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primary measure used by our management (1) to evaluate the economic productivity of our operations and (2) for purposes of making decisions about allocating resources to, and assessing the performance of, our operations;</w:t>
      </w:r>
    </w:p>
    <w:p>
      <w:pPr>
        <w:jc w:val="both"/>
        <w:ind w:left="800" w:hanging="400"/>
        <w:spacing w:after="0" w:line="244"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specific definitions may vary, it is widely used by investors or other interested parties in evaluation of the communications infrastructure sector and other REITs to measure financial performance without regard to items such as depreciation, amortization and accretion, which can vary depending upon accounting methods and the book value of assets;</w:t>
      </w:r>
    </w:p>
    <w:p>
      <w:pPr>
        <w:jc w:val="both"/>
        <w:ind w:left="800" w:hanging="400"/>
        <w:spacing w:after="0" w:line="244"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w:t>
      </w:r>
    </w:p>
    <w:p>
      <w:pPr>
        <w:ind w:left="800" w:hanging="400"/>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similar to the measure of current financial performance generally used in our debt covenant calculations.</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management uses Adjusted EBITDA:</w:t>
      </w:r>
    </w:p>
    <w:p>
      <w:pPr>
        <w:spacing w:after="0" w:line="161" w:lineRule="exact"/>
        <w:rPr>
          <w:sz w:val="20"/>
          <w:szCs w:val="20"/>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performance goal in employee annual incentive compensation;</w:t>
      </w:r>
    </w:p>
    <w:p>
      <w:pPr>
        <w:spacing w:after="0" w:line="21" w:lineRule="exact"/>
        <w:rPr>
          <w:rFonts w:ascii="Times New Roman" w:cs="Times New Roman" w:eastAsia="Times New Roman" w:hAnsi="Times New Roman"/>
          <w:sz w:val="18"/>
          <w:szCs w:val="18"/>
          <w:color w:val="auto"/>
        </w:rPr>
      </w:pPr>
    </w:p>
    <w:p>
      <w:pPr>
        <w:jc w:val="both"/>
        <w:ind w:left="800" w:hanging="400"/>
        <w:spacing w:after="0" w:line="244" w:lineRule="auto"/>
        <w:tabs>
          <w:tab w:leader="none" w:pos="7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w:t>
      </w: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presentations to our board of directors to enable it to have the same measurement of financial performance used by management;</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preparation of our annual operating budget;</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valuation measure in strategic analyses in connection with the purchase and sale of assets;</w:t>
      </w:r>
    </w:p>
    <w:p>
      <w:pPr>
        <w:spacing w:after="0" w:line="3"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self-imposed limits on our debt levels, including the evaluation of our leverage ratio; and</w:t>
      </w:r>
    </w:p>
    <w:p>
      <w:pPr>
        <w:spacing w:after="0" w:line="3" w:lineRule="exact"/>
        <w:rPr>
          <w:rFonts w:ascii="Times New Roman" w:cs="Times New Roman" w:eastAsia="Times New Roman" w:hAnsi="Times New Roman"/>
          <w:sz w:val="18"/>
          <w:szCs w:val="18"/>
          <w:color w:val="auto"/>
        </w:rPr>
      </w:pPr>
    </w:p>
    <w:p>
      <w:pPr>
        <w:ind w:left="800" w:hanging="400"/>
        <w:spacing w:after="0" w:line="248" w:lineRule="auto"/>
        <w:tabs>
          <w:tab w:leader="none" w:pos="7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compliance with our debt covenants, which require us to maintain certain financial ratios that incorporate concepts such as, or similar to, Adjusted EBITDA.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3" w:name="page54"/>
    <w:bookmarkEnd w:id="5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primary exposures to market risks are related to changes in interest rates, which may adversely affect our results of operations and financial position. We seek to manage exposure to changes in interest rates where economically prudent to do so by utilizing fixed rate debt. As of December 31, 2024 and December 31, 2023 we had no interest rate swaps.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interest rate risk as of December 31, 2024 relates primarily to the impact of interest rate movements on the following:</w:t>
      </w:r>
    </w:p>
    <w:p>
      <w:pPr>
        <w:spacing w:after="0" w:line="161" w:lineRule="exact"/>
        <w:rPr>
          <w:sz w:val="20"/>
          <w:szCs w:val="20"/>
          <w:color w:val="auto"/>
        </w:rPr>
      </w:pPr>
    </w:p>
    <w:p>
      <w:pPr>
        <w:ind w:left="800" w:hanging="400"/>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refinancing of our $24.1 billion in existing debt, compared to $22.9 billion as of December 31, 2023;</w:t>
      </w:r>
    </w:p>
    <w:p>
      <w:pPr>
        <w:spacing w:after="0" w:line="21" w:lineRule="exact"/>
        <w:rPr>
          <w:rFonts w:ascii="Times New Roman" w:cs="Times New Roman" w:eastAsia="Times New Roman" w:hAnsi="Times New Roman"/>
          <w:sz w:val="18"/>
          <w:szCs w:val="18"/>
          <w:color w:val="auto"/>
        </w:rPr>
      </w:pPr>
    </w:p>
    <w:p>
      <w:pPr>
        <w:jc w:val="both"/>
        <w:ind w:left="800" w:hanging="400"/>
        <w:spacing w:after="0" w:line="244"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$2.5 billion of floating rate debt, compared to $1.8 billion as of December 31, 2023, representing approximately 10% and 8% of total debt respectively; potential future borrowings of incremental debt, including borrowings under our 2016 Credit Facility and issuances under our CP Program; and</w:t>
      </w:r>
    </w:p>
    <w:p>
      <w:pPr>
        <w:ind w:left="800" w:hanging="400"/>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borrowings of incremental debt, including borrowings under our 2016 Credit Facility and issuances under our CP Program.</w:t>
      </w:r>
    </w:p>
    <w:p>
      <w:pPr>
        <w:spacing w:after="0" w:line="1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From March 2022 until recently, the Federal Reserve repeatedly raised the federal funds rate, which adversely impacted the interest rates on our variable rate debt and refinancings of fixed rate debt. Recently, the Federal Reserve has started to loosen its monetary policy by lowering the federal funds rate; however, any prolonged period of elevated interest rates or further increases to interest rates could increase our costs of borrowing. See also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for a further discussion of risks stemming from interest rate increases.</w:t>
      </w:r>
    </w:p>
    <w:p>
      <w:pPr>
        <w:spacing w:after="0" w:line="12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Sensitivity Analysis. </w:t>
      </w:r>
      <w:r>
        <w:rPr>
          <w:rFonts w:ascii="Times New Roman" w:cs="Times New Roman" w:eastAsia="Times New Roman" w:hAnsi="Times New Roman"/>
          <w:sz w:val="18"/>
          <w:szCs w:val="18"/>
          <w:color w:val="auto"/>
        </w:rPr>
        <w:t>We manage our exposure to market interest rates on our existing debt by controlling the mix of fixed and floating rate debt.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we had $2.5 billion of floating rate debt. A hypothetical unfavorable fluctuation in market interest rates on our existing floating rate debt of 1/4 of a percent point over a 12-month period would increase our interest expense by approximately $6 million.</w:t>
      </w:r>
    </w:p>
    <w:p>
      <w:pPr>
        <w:spacing w:after="0" w:line="125"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Potential Future Borrowings of Incremental Debt. </w:t>
      </w:r>
      <w:r>
        <w:rPr>
          <w:rFonts w:ascii="Times New Roman" w:cs="Times New Roman" w:eastAsia="Times New Roman" w:hAnsi="Times New Roman"/>
          <w:sz w:val="18"/>
          <w:szCs w:val="18"/>
          <w:color w:val="auto"/>
        </w:rPr>
        <w:t>We typically do not hedge our exposure to interest rates on potential future borrowings of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debt for a substantial period prior to issuance. See </w:t>
      </w:r>
      <w:r>
        <w:rPr>
          <w:rFonts w:ascii="Times New Roman" w:cs="Times New Roman" w:eastAsia="Times New Roman" w:hAnsi="Times New Roman"/>
          <w:sz w:val="18"/>
          <w:szCs w:val="18"/>
          <w:i w:val="1"/>
          <w:iCs w:val="1"/>
          <w:color w:val="auto"/>
        </w:rPr>
        <w:t>"Item 7. MD&amp;A—Liquidity and Capital Resources"</w:t>
      </w:r>
      <w:r>
        <w:rPr>
          <w:rFonts w:ascii="Times New Roman" w:cs="Times New Roman" w:eastAsia="Times New Roman" w:hAnsi="Times New Roman"/>
          <w:sz w:val="18"/>
          <w:szCs w:val="18"/>
          <w:color w:val="auto"/>
        </w:rPr>
        <w:t xml:space="preserve"> regarding our liquidity strategy.</w:t>
      </w:r>
    </w:p>
    <w:p>
      <w:pPr>
        <w:spacing w:after="0" w:line="112"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Potential Refinancing of Existing Debt. </w:t>
      </w:r>
      <w:r>
        <w:rPr>
          <w:rFonts w:ascii="Times New Roman" w:cs="Times New Roman" w:eastAsia="Times New Roman" w:hAnsi="Times New Roman"/>
          <w:sz w:val="18"/>
          <w:szCs w:val="18"/>
          <w:color w:val="auto"/>
        </w:rPr>
        <w:t>Our contractual debt maturities over the next 12 months consist of Commercial Paper Notes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from time to time, the 1.350% Senior Notes and principal payments on certain outstanding debt. We currently expect to refinance the Tower Revenue Notes, Series 2015-2 on or prior to the anticipated repayment date of May 15, 2025. See below for additional discussion as well as a tabular presentation of our scheduled contractual debt maturities as of December 31, 2024.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Future Principal Payments and Interest Rates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following table provides information about our market risk related to changes in interest rates. The future principal payments and weighted-average interest rates are presented as of December 31, 2024. These debt maturities reflect final maturity dates, and do not consider the impact of the principal payments that will commence following the anticipated repayment dates of certain debt (see footnotes (b) and (d)). The information presented below regarding the variable rate debt is supplementary to our sensitivity analysis regarding the impact of changes in the interest rates. See note 7 to our consolidated financial statements for additional information regarding our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0" w:type="dxa"/>
            <w:vAlign w:val="bottom"/>
            <w:gridSpan w:val="17"/>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Principal Payments and Interest Rates by the Debt Instruments' Contractual Year of Maturity</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Pr>
          <w:p>
            <w:pPr>
              <w:jc w:val="right"/>
              <w:ind w:right="64"/>
              <w:spacing w:after="0" w:line="190" w:lineRule="exact"/>
              <w:rPr>
                <w:sz w:val="20"/>
                <w:szCs w:val="20"/>
                <w:color w:val="auto"/>
              </w:rPr>
            </w:pPr>
            <w:r>
              <w:rPr>
                <w:rFonts w:ascii="Times New Roman" w:cs="Times New Roman" w:eastAsia="Times New Roman" w:hAnsi="Times New Roman"/>
                <w:sz w:val="14"/>
                <w:szCs w:val="14"/>
                <w:b w:val="1"/>
                <w:bCs w:val="1"/>
                <w:color w:val="auto"/>
                <w:w w:val="94"/>
              </w:rPr>
              <w:t>Fair Value</w:t>
            </w:r>
            <w:r>
              <w:rPr>
                <w:rFonts w:ascii="Times New Roman" w:cs="Times New Roman" w:eastAsia="Times New Roman" w:hAnsi="Times New Roman"/>
                <w:sz w:val="18"/>
                <w:szCs w:val="18"/>
                <w:b w:val="1"/>
                <w:bCs w:val="1"/>
                <w:color w:val="auto"/>
                <w:w w:val="94"/>
                <w:vertAlign w:val="superscript"/>
              </w:rPr>
              <w:t>(a)</w:t>
            </w:r>
          </w:p>
        </w:tc>
        <w:tc>
          <w:tcPr>
            <w:tcW w:w="0" w:type="dxa"/>
            <w:vAlign w:val="bottom"/>
          </w:tcPr>
          <w:p>
            <w:pPr>
              <w:spacing w:after="0"/>
              <w:rPr>
                <w:sz w:val="1"/>
                <w:szCs w:val="1"/>
                <w:color w:val="auto"/>
              </w:rPr>
            </w:pPr>
          </w:p>
        </w:tc>
      </w:tr>
      <w:tr>
        <w:trPr>
          <w:trHeight w:val="204"/>
        </w:trPr>
        <w:tc>
          <w:tcPr>
            <w:tcW w:w="19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Fixed rate debt</w:t>
            </w:r>
            <w:r>
              <w:rPr>
                <w:rFonts w:ascii="Times New Roman" w:cs="Times New Roman" w:eastAsia="Times New Roman" w:hAnsi="Times New Roman"/>
                <w:sz w:val="20"/>
                <w:szCs w:val="20"/>
                <w:color w:val="auto"/>
                <w:vertAlign w:val="superscript"/>
              </w:rPr>
              <w:t>(b)</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550</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2,696</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2,292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2,635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11,130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21,781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19,940</w:t>
            </w:r>
          </w:p>
        </w:tc>
        <w:tc>
          <w:tcPr>
            <w:tcW w:w="0" w:type="dxa"/>
            <w:vAlign w:val="bottom"/>
          </w:tcPr>
          <w:p>
            <w:pPr>
              <w:spacing w:after="0"/>
              <w:rPr>
                <w:sz w:val="1"/>
                <w:szCs w:val="1"/>
                <w:color w:val="auto"/>
              </w:rPr>
            </w:pPr>
          </w:p>
        </w:tc>
      </w:tr>
      <w:tr>
        <w:trPr>
          <w:trHeight w:val="211"/>
        </w:trPr>
        <w:tc>
          <w:tcPr>
            <w:tcW w:w="19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interest rate</w:t>
            </w:r>
            <w:r>
              <w:rPr>
                <w:rFonts w:ascii="Times New Roman" w:cs="Times New Roman" w:eastAsia="Times New Roman" w:hAnsi="Times New Roman"/>
                <w:sz w:val="20"/>
                <w:szCs w:val="20"/>
                <w:color w:val="auto"/>
                <w:vertAlign w:val="superscript"/>
              </w:rPr>
              <w:t>(b)(c)(d)</w:t>
            </w:r>
          </w:p>
        </w:tc>
        <w:tc>
          <w:tcPr>
            <w:tcW w:w="240" w:type="dxa"/>
            <w:vAlign w:val="bottom"/>
          </w:tcPr>
          <w:p>
            <w:pPr>
              <w:spacing w:after="0"/>
              <w:rPr>
                <w:sz w:val="18"/>
                <w:szCs w:val="18"/>
                <w:color w:val="auto"/>
              </w:rPr>
            </w:pPr>
          </w:p>
        </w:tc>
        <w:tc>
          <w:tcPr>
            <w:tcW w:w="108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color w:val="auto"/>
              </w:rPr>
              <w:t>1.6 %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Variable rate debt</w:t>
            </w:r>
            <w:r>
              <w:rPr>
                <w:rFonts w:ascii="Times New Roman" w:cs="Times New Roman" w:eastAsia="Times New Roman" w:hAnsi="Times New Roman"/>
                <w:sz w:val="20"/>
                <w:szCs w:val="20"/>
                <w:color w:val="auto"/>
                <w:vertAlign w:val="superscript"/>
              </w:rPr>
              <w:t>(e)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1,401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0" w:type="dxa"/>
            <w:vAlign w:val="bottom"/>
          </w:tcPr>
          <w:p>
            <w:pPr>
              <w:spacing w:after="0"/>
              <w:rPr>
                <w:sz w:val="1"/>
                <w:szCs w:val="1"/>
                <w:color w:val="auto"/>
              </w:rPr>
            </w:pPr>
          </w:p>
        </w:tc>
      </w:tr>
      <w:tr>
        <w:trPr>
          <w:trHeight w:val="27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r>
              <w:rPr>
                <w:rFonts w:ascii="Times New Roman" w:cs="Times New Roman" w:eastAsia="Times New Roman" w:hAnsi="Times New Roman"/>
                <w:sz w:val="20"/>
                <w:szCs w:val="20"/>
                <w:color w:val="auto"/>
                <w:vertAlign w:val="superscript"/>
              </w:rPr>
              <w:t>(e)</w:t>
            </w:r>
          </w:p>
        </w:tc>
        <w:tc>
          <w:tcPr>
            <w:tcW w:w="240" w:type="dxa"/>
            <w:vAlign w:val="bottom"/>
          </w:tcPr>
          <w:p>
            <w:pPr>
              <w:spacing w:after="0"/>
              <w:rPr>
                <w:sz w:val="23"/>
                <w:szCs w:val="23"/>
                <w:color w:val="auto"/>
              </w:rPr>
            </w:pPr>
          </w:p>
        </w:tc>
        <w:tc>
          <w:tcPr>
            <w:tcW w:w="108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color w:val="auto"/>
              </w:rPr>
              <w:t>5.0 %</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23"/>
                <w:szCs w:val="23"/>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20" w:hanging="315"/>
        <w:spacing w:after="0" w:line="254" w:lineRule="auto"/>
        <w:tabs>
          <w:tab w:leader="none" w:pos="31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ind w:left="320" w:hanging="315"/>
        <w:spacing w:after="0" w:line="255" w:lineRule="auto"/>
        <w:tabs>
          <w:tab w:leader="none" w:pos="3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principal payments that will commence following the anticipated repayment dates is not considered (see footnote (d) below). The Tower Revenue Notes, Series 2015-2 and Series 2018-2 have principal amounts of $700 million and $750 million, with anticipated repayment dates in 2025 and 2028, respectively.</w:t>
      </w:r>
    </w:p>
    <w:p>
      <w:pPr>
        <w:ind w:left="320" w:hanging="315"/>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interest rate represents the weighted-average stated coupon rate (see also footnote (d)).</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49" w:lineRule="auto"/>
        <w:tabs>
          <w:tab w:leader="none" w:pos="34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2024 Excess Cash Flow of the issuers of the Tower Revenue Notes was approximately $1.0 billion. We currently expect to refinance these notes on or prior to the respective anticipated repayment dates.</w:t>
      </w:r>
    </w:p>
    <w:p>
      <w:pPr>
        <w:spacing w:after="0" w:line="2" w:lineRule="exact"/>
        <w:rPr>
          <w:rFonts w:ascii="Times New Roman" w:cs="Times New Roman" w:eastAsia="Times New Roman" w:hAnsi="Times New Roman"/>
          <w:sz w:val="14"/>
          <w:szCs w:val="14"/>
          <w:color w:val="auto"/>
        </w:rPr>
      </w:pPr>
    </w:p>
    <w:p>
      <w:pPr>
        <w:jc w:val="both"/>
        <w:ind w:left="320" w:hanging="315"/>
        <w:spacing w:after="0" w:line="253" w:lineRule="auto"/>
        <w:tabs>
          <w:tab w:leader="none" w:pos="3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Predominately consists of our senior unsecured term loan A facility ("2016 Term Loan A"), which matures in 2027. See note 7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w:t>
      </w:r>
    </w:p>
    <w:p>
      <w:pPr>
        <w:spacing w:after="0" w:line="1"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Predominately consists of outstanding indebtedness under our CP Program. Such amounts may be issued, repaid or re-issued from time to time.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5" w:name="page56"/>
    <w:bookmarkEnd w:id="55"/>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3000" w:type="dxa"/>
            <w:vAlign w:val="bottom"/>
            <w:gridSpan w:val="5"/>
            <w:vMerge w:val="restart"/>
          </w:tcPr>
          <w:p>
            <w:pPr>
              <w:spacing w:after="0"/>
              <w:rPr>
                <w:sz w:val="18"/>
                <w:szCs w:val="18"/>
                <w:color w:val="auto"/>
              </w:rPr>
            </w:pPr>
          </w:p>
        </w:tc>
        <w:tc>
          <w:tcPr>
            <w:tcW w:w="8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auto"/>
            </w:tcBorders>
            <w:gridSpan w:val="4"/>
            <w:vMerge w:val="continue"/>
          </w:tcPr>
          <w:p>
            <w:pPr>
              <w:spacing w:after="0"/>
              <w:rPr>
                <w:sz w:val="15"/>
                <w:szCs w:val="15"/>
                <w:color w:val="auto"/>
              </w:rPr>
            </w:pPr>
          </w:p>
        </w:tc>
        <w:tc>
          <w:tcPr>
            <w:tcW w:w="3000" w:type="dxa"/>
            <w:vAlign w:val="bottom"/>
            <w:gridSpan w:val="5"/>
            <w:vMerge w:val="continue"/>
          </w:tcPr>
          <w:p>
            <w:pPr>
              <w:spacing w:after="0"/>
              <w:rPr>
                <w:sz w:val="15"/>
                <w:szCs w:val="15"/>
                <w:color w:val="auto"/>
              </w:rPr>
            </w:pPr>
          </w:p>
        </w:tc>
        <w:tc>
          <w:tcPr>
            <w:tcW w:w="660" w:type="dxa"/>
            <w:vAlign w:val="bottom"/>
            <w:gridSpan w:val="2"/>
          </w:tcPr>
          <w:p>
            <w:pPr>
              <w:spacing w:after="0"/>
              <w:rPr>
                <w:sz w:val="15"/>
                <w:szCs w:val="15"/>
                <w:color w:val="auto"/>
              </w:rPr>
            </w:pPr>
          </w:p>
        </w:tc>
        <w:tc>
          <w:tcPr>
            <w:tcW w:w="180" w:type="dxa"/>
            <w:vAlign w:val="bottom"/>
            <w:tcBorders>
              <w:bottom w:val="single" w:sz="8" w:color="0000FF"/>
            </w:tcBorders>
          </w:tcPr>
          <w:p>
            <w:pPr>
              <w:jc w:val="right"/>
              <w:spacing w:after="0" w:line="152" w:lineRule="exact"/>
              <w:rPr>
                <w:sz w:val="20"/>
                <w:szCs w:val="20"/>
                <w:color w:val="auto"/>
              </w:rPr>
            </w:pPr>
            <w:r>
              <w:rPr>
                <w:rFonts w:ascii="Times New Roman" w:cs="Times New Roman" w:eastAsia="Times New Roman" w:hAnsi="Times New Roman"/>
                <w:sz w:val="16"/>
                <w:szCs w:val="16"/>
                <w:color w:val="0000FF"/>
                <w:w w:val="99"/>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Balance Sheet as of December 31, 2024 and 2023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36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auto"/>
              </w:rPr>
              <w:t>Consolidated Statement of Operations and Comprehensive Income (Loss) for each of the three years in the period ended December 31, 2024</w:t>
            </w:r>
          </w:p>
        </w:tc>
        <w:tc>
          <w:tcPr>
            <w:tcW w:w="84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tcBorders>
              <w:top w:val="single" w:sz="8" w:color="auto"/>
              <w:bottom w:val="single" w:sz="8" w:color="auto"/>
            </w:tcBorders>
            <w:gridSpan w:val="5"/>
          </w:tcPr>
          <w:p>
            <w:pPr>
              <w:spacing w:after="0" w:line="204" w:lineRule="exact"/>
              <w:rPr>
                <w:sz w:val="20"/>
                <w:szCs w:val="20"/>
                <w:color w:val="auto"/>
              </w:rPr>
            </w:pPr>
            <w:r>
              <w:rPr>
                <w:rFonts w:ascii="Times New Roman" w:cs="Times New Roman" w:eastAsia="Times New Roman" w:hAnsi="Times New Roman"/>
                <w:sz w:val="18"/>
                <w:szCs w:val="18"/>
                <w:color w:val="auto"/>
                <w:w w:val="97"/>
              </w:rPr>
              <w:t>Consolidated Statement of Cash Flows for each of the three years in the period ended December 31, 2024</w:t>
            </w:r>
          </w:p>
        </w:tc>
        <w:tc>
          <w:tcPr>
            <w:tcW w:w="2440" w:type="dxa"/>
            <w:vAlign w:val="bottom"/>
            <w:tcBorders>
              <w:top w:val="single" w:sz="8" w:color="auto"/>
            </w:tcBorders>
            <w:gridSpan w:val="3"/>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36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auto"/>
              </w:rPr>
              <w:t>Consolidated Statement of Equity (Deficit) for each of the three years in the period ended December 31, 2024</w:t>
            </w:r>
          </w:p>
        </w:tc>
        <w:tc>
          <w:tcPr>
            <w:tcW w:w="84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80" w:type="dxa"/>
            <w:vAlign w:val="bottom"/>
            <w:tcBorders>
              <w:top w:val="single" w:sz="8" w:color="auto"/>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97"/>
              </w:rPr>
              <w:t>Notes to Consolidated Financial Statements</w:t>
            </w:r>
          </w:p>
        </w:tc>
        <w:tc>
          <w:tcPr>
            <w:tcW w:w="4620" w:type="dxa"/>
            <w:vAlign w:val="bottom"/>
            <w:tcBorders>
              <w:top w:val="single" w:sz="8" w:color="auto"/>
            </w:tcBorders>
            <w:gridSpan w:val="5"/>
          </w:tcPr>
          <w:p>
            <w:pPr>
              <w:spacing w:after="0"/>
              <w:rPr>
                <w:sz w:val="17"/>
                <w:szCs w:val="17"/>
                <w:color w:val="auto"/>
              </w:rPr>
            </w:pPr>
          </w:p>
        </w:tc>
        <w:tc>
          <w:tcPr>
            <w:tcW w:w="2660" w:type="dxa"/>
            <w:vAlign w:val="bottom"/>
            <w:gridSpan w:val="3"/>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Schedule II - Valuation and Qualifying Accounts for the years ended December 31, 2024, 2023 and 2022</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360" w:type="dxa"/>
            <w:vAlign w:val="bottom"/>
            <w:gridSpan w:val="4"/>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36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auto"/>
              </w:rPr>
              <w:t>Schedule III - Schedule of Real Estate and Accumulated Depreciation for the years ended December 31, 2024, 2023 and 2022</w:t>
            </w:r>
          </w:p>
        </w:tc>
        <w:tc>
          <w:tcPr>
            <w:tcW w:w="8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Castle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Crown Castle Inc. and its subsidiaries (the “Company”) as of December 31, 2024 and 2023, and the related consolidated statements of operations and comprehensive income (loss), of equity (deficit) and of cash flows for each of the three years in the period ended December 31, 2024, including the related notes and financial statement schedules listed in the index appearing under Item 15(a)(2)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Towers Segment - Site Rental Revenues</w:t>
      </w:r>
    </w:p>
    <w:p>
      <w:pPr>
        <w:spacing w:after="0" w:line="1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As described in Notes 2 and 14 to the consolidated financial statements, the Company recognized $4,266 million in site rental revenues from the Towers segment for the year ended December 31, 2024. The Company generates site rental revenues from its core business by providing tenants with access to its shared communications infrastructure via long-term tenant contracts in various forms, including lease, license, sublease and service agreements. Providing such access over the length of the tenant contract term represents the Company’s sole performance obligation under its tenant contracts. Site rental revenues from the Company's tenant contracts are recognized on a straight-line, ratable basis over the fixed, non-cancelable term of the relevant tenant contract.</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the site rental revenues from the Towers segment is a critical audit matter are a high degree of auditor effort in performing procedures and evaluating audit evidence related to revenue recognition for the site rental revenues from the Towers segment.</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for the site rental revenues from the Towers segment. These procedures also included, among others (i) testing management’s identification of the contractual terms by obtaining and inspecting tenant contracts and other relevant source documents on a test basis and (ii) testing the appropriateness of the amount of revenue recognized based on contractual terms on a test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Goodwill Impairment Test – Fiber Reporting Unit</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the Company’s consolidated goodwill balance was $5,127 million as of December 31, 2024. Management tests goodwill for impairment at least annually or whenever events or circumstances indicate the carrying amount may not be recoverable.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Management performed the most recent annual goodwill impairment test in the fourth quarter of 2024. The quantitative impairment test indicated that the carrying amount of the Company’s Fiber reporting unit exceeded its estimated fair value. As such, management recorded an impairment charge of $4,958 million, which resulted in no goodwill remaining for the Fiber reporting unit. The means of estimating the fair value of the Company’s reporting units is using discounted cash flow (DCF) models developed by management. Key assumptions and estimates used in the DCF models included projected future revenues, operating cash flows, capital expenditures (net of certain payments received from customers), an exit multiple and a discount rate.</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quantitative goodwill impairment test of the Fiber reporting unit is a critical audit matter are (i) the significant judgment by management when developing the fair value estimate of the Fiber reporting unit; (ii) a high degree of auditor judgment, subjectivity, and effort in performing the procedures and evaluating management’s significant assumptions related to the exit multiple and discount rate; and (iii) the audit effort involved the use of professionals with specialized skill and knowledge.</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quantitative goodwill impairment test, including controls over the valuation of the Fiber reporting unit. These procedures also included, among others (i) testing management’s process for developing the fair value estimate of the Fiber reporting unit; (ii) evaluating the appropriateness of the DCF model used by management; (iii) testing the completeness and accuracy of underlying data used in the DCF model; and (iv) evaluating the reasonableness of management’s significant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18"/>
          <w:szCs w:val="18"/>
          <w:color w:val="auto"/>
        </w:rPr>
        <w:t>assumptions related to the exit multiple and discount rate. Evaluating management's assumption related to the exit multiple involved evaluating whether the assumption used by management was reasonable considering the consistency with external market and industry data. Professionals with specialized skill and knowledge were used to assist in the evaluation of (i) the appropriateness of the DCF model and (ii) the reasonableness of the exit multiple and discount rate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millions of dollars, except par values)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9"/>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Receivables, net of allowance of $22 and $19, respectively</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9"/>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deferred site rental receivables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Site rental contracts and tenant relationships,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740"/>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9"/>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9"/>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maturities of debt and other obligations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2"/>
        </w:trPr>
        <w:tc>
          <w:tcPr>
            <w:tcW w:w="8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other long-term obligations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22,086</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202"/>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32,869</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32,146</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12)</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CCI stockholders' equity (deficit):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280" w:type="dxa"/>
            <w:vAlign w:val="bottom"/>
            <w:shd w:val="clear" w:color="auto" w:fill="CCEEFF"/>
          </w:tcPr>
          <w:p>
            <w:pPr>
              <w:ind w:left="460"/>
              <w:spacing w:after="0" w:line="160" w:lineRule="exact"/>
              <w:rPr>
                <w:sz w:val="20"/>
                <w:szCs w:val="20"/>
                <w:color w:val="auto"/>
              </w:rPr>
            </w:pPr>
            <w:r>
              <w:rPr>
                <w:rFonts w:ascii="Times New Roman" w:cs="Times New Roman" w:eastAsia="Times New Roman" w:hAnsi="Times New Roman"/>
                <w:sz w:val="16"/>
                <w:szCs w:val="16"/>
                <w:color w:val="auto"/>
              </w:rPr>
              <w:t>Common stock, $0.01 par value; 1,200 shares authorized; shares issued and outstanding: December 31, 2024—435 and</w:t>
            </w:r>
          </w:p>
        </w:tc>
        <w:tc>
          <w:tcPr>
            <w:tcW w:w="8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December 31, 2023—434</w:t>
            </w:r>
          </w:p>
        </w:tc>
        <w:tc>
          <w:tcPr>
            <w:tcW w:w="8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Dividends/distributions in excess of earnings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(18,525)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(11,889)</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(deficit)</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r>
        <w:trPr>
          <w:trHeight w:val="202"/>
        </w:trPr>
        <w:tc>
          <w:tcPr>
            <w:tcW w:w="8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 (deficit)</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32,736</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INCOME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Site rental</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02"/>
        </w:trPr>
        <w:tc>
          <w:tcPr>
            <w:tcW w:w="6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revenues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0"/>
                <w:szCs w:val="20"/>
                <w:color w:val="auto"/>
                <w:vertAlign w:val="superscript"/>
              </w:rPr>
              <w:t>(a)</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Site rental</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209"/>
        </w:trPr>
        <w:tc>
          <w:tcPr>
            <w:tcW w:w="6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Services and other</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write-down charges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charges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0" w:type="dxa"/>
            <w:vAlign w:val="bottom"/>
          </w:tcPr>
          <w:p>
            <w:pPr>
              <w:spacing w:after="0"/>
              <w:rPr>
                <w:sz w:val="1"/>
                <w:szCs w:val="1"/>
                <w:color w:val="auto"/>
              </w:rPr>
            </w:pPr>
          </w:p>
        </w:tc>
      </w:tr>
      <w:tr>
        <w:trPr>
          <w:trHeight w:val="20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(losses) on retirement of long-term obligations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6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(loss)—basic</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2"/>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(loss)—diluted</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Weighted-average common shares outstanding:</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70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(3,903)</w:t>
            </w:r>
          </w:p>
        </w:tc>
        <w:tc>
          <w:tcPr>
            <w:tcW w:w="3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4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r>
      <w:tr>
        <w:trPr>
          <w:trHeight w:val="21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for) operating activities: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(Gains) losses on retirement of long-term obligations</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deferred financing costs and other non-cash interest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Asset write-down charges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Restructuring charges, non-cash</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non-cash adjustments, net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 excluding the effects of acquisitions: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Increase (decrease) in accrued interest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7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2"/>
        </w:trPr>
        <w:tc>
          <w:tcPr>
            <w:tcW w:w="7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7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06"/>
        </w:trPr>
        <w:tc>
          <w:tcPr>
            <w:tcW w:w="70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1"/>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 expenditures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2"/>
        </w:trPr>
        <w:tc>
          <w:tcPr>
            <w:tcW w:w="70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(1,220)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r>
      <w:tr>
        <w:trPr>
          <w:trHeight w:val="19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Principal payments on debt and other long-term obligations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and redemptions of long-term debt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Borrowings under revolving credit facility</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under revolving credit facility</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issuances (repayments) under commercial paper program</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r>
      <w:tr>
        <w:trPr>
          <w:trHeight w:val="209"/>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Dividends/distributions paid on common stock</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(2,729)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r>
      <w:tr>
        <w:trPr>
          <w:trHeight w:val="206"/>
        </w:trPr>
        <w:tc>
          <w:tcPr>
            <w:tcW w:w="70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(1,708)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 and cash equivalents</w:t>
            </w:r>
          </w:p>
        </w:tc>
        <w:tc>
          <w:tcPr>
            <w:tcW w:w="8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4"/>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 at beginning of period</w:t>
            </w:r>
          </w:p>
        </w:tc>
        <w:tc>
          <w:tcPr>
            <w:tcW w:w="8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2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 at end of period</w:t>
            </w: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EQUITY (DEFICIT)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jc w:val="right"/>
              <w:ind w:right="407"/>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9"/>
        </w:trPr>
        <w:tc>
          <w:tcPr>
            <w:tcW w:w="4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tcPr>
          <w:p>
            <w:pPr>
              <w:jc w:val="center"/>
              <w:ind w:right="220"/>
              <w:spacing w:after="0" w:line="59"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20" w:type="dxa"/>
            <w:vAlign w:val="bottom"/>
          </w:tcPr>
          <w:p>
            <w:pPr>
              <w:spacing w:after="0"/>
              <w:rPr>
                <w:sz w:val="5"/>
                <w:szCs w:val="5"/>
                <w:color w:val="auto"/>
              </w:rPr>
            </w:pPr>
          </w:p>
        </w:tc>
        <w:tc>
          <w:tcPr>
            <w:tcW w:w="1060" w:type="dxa"/>
            <w:vAlign w:val="bottom"/>
            <w:gridSpan w:val="2"/>
          </w:tcPr>
          <w:p>
            <w:pPr>
              <w:jc w:val="center"/>
              <w:ind w:right="20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380" w:type="dxa"/>
            <w:vAlign w:val="bottom"/>
            <w:gridSpan w:val="3"/>
          </w:tcPr>
          <w:p>
            <w:pPr>
              <w:ind w:left="20"/>
              <w:spacing w:after="0" w:line="59" w:lineRule="exact"/>
              <w:rPr>
                <w:sz w:val="20"/>
                <w:szCs w:val="20"/>
                <w:color w:val="auto"/>
              </w:rPr>
            </w:pPr>
            <w:r>
              <w:rPr>
                <w:rFonts w:ascii="Times New Roman" w:cs="Times New Roman" w:eastAsia="Times New Roman" w:hAnsi="Times New Roman"/>
                <w:sz w:val="6"/>
                <w:szCs w:val="6"/>
                <w:b w:val="1"/>
                <w:bCs w:val="1"/>
                <w:color w:val="auto"/>
              </w:rPr>
              <w:t>Dividends/Distributions</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7"/>
        </w:trPr>
        <w:tc>
          <w:tcPr>
            <w:tcW w:w="4100" w:type="dxa"/>
            <w:vAlign w:val="bottom"/>
          </w:tcPr>
          <w:p>
            <w:pPr>
              <w:spacing w:after="0"/>
              <w:rPr>
                <w:sz w:val="15"/>
                <w:szCs w:val="15"/>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($0.01 Par)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in Excess of Earnings</w:t>
            </w:r>
          </w:p>
        </w:tc>
        <w:tc>
          <w:tcPr>
            <w:tcW w:w="26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0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7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67"/>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8,258</w:t>
            </w:r>
          </w:p>
        </w:tc>
      </w:tr>
      <w:tr>
        <w:trPr>
          <w:trHeight w:val="20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related activity, net of forfeitures</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2"/>
        </w:trPr>
        <w:tc>
          <w:tcPr>
            <w:tcW w:w="480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comprehensive income (loss)</w:t>
            </w:r>
            <w:r>
              <w:rPr>
                <w:rFonts w:ascii="Times New Roman" w:cs="Times New Roman" w:eastAsia="Times New Roman" w:hAnsi="Times New Roman"/>
                <w:sz w:val="20"/>
                <w:szCs w:val="20"/>
                <w:color w:val="auto"/>
                <w:vertAlign w:val="superscript"/>
              </w:rPr>
              <w:t>(a)</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dividends/distributions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r>
      <w:tr>
        <w:trPr>
          <w:trHeight w:val="202"/>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7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w:t>
            </w:r>
          </w:p>
        </w:tc>
      </w:tr>
      <w:tr>
        <w:trPr>
          <w:trHeight w:val="20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related activity, net of forfeitures</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480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comprehensive income (loss)</w:t>
            </w:r>
            <w:r>
              <w:rPr>
                <w:rFonts w:ascii="Times New Roman" w:cs="Times New Roman" w:eastAsia="Times New Roman" w:hAnsi="Times New Roman"/>
                <w:sz w:val="20"/>
                <w:szCs w:val="20"/>
                <w:color w:val="auto"/>
                <w:vertAlign w:val="superscript"/>
              </w:rPr>
              <w:t>(a)</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dividends/distributions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202"/>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(11,889)</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6,381</w:t>
            </w:r>
          </w:p>
        </w:tc>
      </w:tr>
      <w:tr>
        <w:trPr>
          <w:trHeight w:val="20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related activity, net of forfeitures</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2"/>
        </w:trPr>
        <w:tc>
          <w:tcPr>
            <w:tcW w:w="480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comprehensive income (loss)</w:t>
            </w:r>
            <w:r>
              <w:rPr>
                <w:rFonts w:ascii="Times New Roman" w:cs="Times New Roman" w:eastAsia="Times New Roman" w:hAnsi="Times New Roman"/>
                <w:sz w:val="20"/>
                <w:szCs w:val="20"/>
                <w:color w:val="auto"/>
                <w:vertAlign w:val="superscript"/>
              </w:rPr>
              <w:t>(a)</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dividends/distributions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7"/>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56" w:lineRule="exact"/>
        <w:rPr>
          <w:sz w:val="20"/>
          <w:szCs w:val="20"/>
          <w:color w:val="auto"/>
        </w:rPr>
      </w:pPr>
    </w:p>
    <w:p>
      <w:pPr>
        <w:ind w:left="320" w:hanging="315"/>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consolidated statement of operations and comprehensive income (loss) for the components of "total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hanging="355"/>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Crown Castle Inc. and its predecessor, as applicable (together, "CCI"), and their subsidiaries, collectively referred to herein as the "Company." All significant intercompany balances and transactions have been eliminated in consolidation.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owns, operates and leases shared communications infrastructure that is geographically dispersed throughout the U.S., including (1) towers and other structures, such as rooftops (collectively, "towers"), and (2) fiber primarily supporting small cell networks ("small cells") and fiber solutions. The Company's towers, small cells and fiber assets are collectively referred to herein as "communications infrastructure," and the Company's customers on its communications infrastructure are referred to herein as "tenants."</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core business is providing access, including space or capacity, to its shared communications infrastructure via long-term contracts in various forms, including lease, license, sublease and service agreements (collectively, "tenant contracts").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operating segments consist of (1) Towers and (2) Fiber. See note 14.</w:t>
      </w:r>
    </w:p>
    <w:p>
      <w:pPr>
        <w:spacing w:after="0" w:line="16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March 13, 2025, the Company signed a definitive agreement (“Strategic Fiber Agreement”) to sell its Fiber segment, together with certain supporting assets and personnel ("Fiber Business"), with Zayo Group Holdings Inc. ("Zayo") acquiring the fiber solutions business and EQT Active Core Infrastructure fund ("EQT") acquiring the small cell business ("Strategic Fiber Transaction"). The Fiber Business did not meet the criteria for assets held for sale as of December 31, 2024, and therefore remains presented as a component of continuing operations. As a result, this document, unless otherwise noted, does not contemplate the planned sale of the Fiber Business. In subsequent periods, the Fiber Business will be presented as a discontinued operation, and its net assets will be classified as held for sale and comparable prior periods will be recast to reflect this change. See note 17.</w:t>
      </w:r>
    </w:p>
    <w:p>
      <w:pPr>
        <w:spacing w:after="0" w:line="13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Approximately 54%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 See notes 4 and 13.</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part of the Company's effort to provide comprehensive communications infrastructure solutions, as an ancillary business, the Company also offers certain services primarily relating to its Towers segment. For the periods presented, such services predominately consisted of (1) site development services relating to existing or new tenant equipment installations, including: site acquisition, architectural and engineering, or zoning and permitting (collectively, "site development services") and (2) tenant equipment installation and subsequent augmentations (collectively, "installation services").</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See note 16 to the Company's consolidated financial statements for a discussion of (1) the Company's July 2023 restructuring plan ("2023 Restructuring Plan"), which included discontinuing installation services as a Towers product offering and (2) the Company's June 2024 restructuring plan ("2024 Restructuring Plan," and together with the 2023 Restructuring Plan, "Restructuring Plans").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operates as a REIT for U.S. federal income tax purposes. In addition, the Company has certain taxable REIT subsidiaries ("TRSs"). See note 9.</w:t>
      </w:r>
    </w:p>
    <w:p>
      <w:pPr>
        <w:spacing w:after="0" w:line="13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25" w:lineRule="exact"/>
        <w:rPr>
          <w:sz w:val="20"/>
          <w:szCs w:val="20"/>
          <w:color w:val="auto"/>
        </w:rPr>
      </w:pPr>
    </w:p>
    <w:p>
      <w:pPr>
        <w:ind w:left="400" w:right="7640" w:hanging="395"/>
        <w:spacing w:after="0" w:line="454" w:lineRule="auto"/>
        <w:tabs>
          <w:tab w:leader="none" w:pos="31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Cash and Cash Equivalents</w:t>
      </w:r>
    </w:p>
    <w:p>
      <w:pPr>
        <w:spacing w:after="0" w:line="34"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and highly liquid investments with original maturities of three months or less.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Restricted cash and cash equivalents represents (1) the cash held in reserve by the indenture trustees pursuant to the indenture governing certain of the Company's debt instruments, (2) cash securing performance obligations such as letters of credit and (3) any other cash whose use is limited by contractual provisions. The restriction of rental cash receipts is a critical feature of certain of the Company's debt instruments due to the applicable indenture trustee's ability to utilize the restricted cash for the payment of (1) debt service costs, (2) ground rents, (3) real estate or personal property taxes, (4) insurance premiums related to towers, (5) other assessments by governmental authorities and potential environmental remediation costs or (6) a portion of advance rents from tenants. The restricted cash in excess of required reserve balances is subsequently released to the Company in accordance with the terms of the indentures. See note 15 for a reconciliation of cash and cash equivalents and restricted cash and cash equivalents.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Receivables Allowance</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An allowance for credit losses is recorded as an offset to accounts receivable. The Company uses judgment in estimating this allowance and considers historical collections, current credit status, or contractual provisions. Additions to the allowance for credit losses are charged either to "Site rental costs of operations" or to "Services and other costs of operations," as appropriate, and deductions from the allowance are recorded when specific accounts receivable are written off as uncollectible.</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16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 evaluates whether a contract meets the definition of a lease whenever a contract grants a party the right to control the use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asset for a period of time in exchange for consideration. To the extent the identified asset is able to be shared among multiple parties, the Company has determined that one party does not have control of the identified asset and the contract is not considered a lease. The Company accounts for contracts that do not meet the definition of a lease under other relevant accounting guidance (such as ASC 606 for revenue from contracts with customers).</w:t>
      </w:r>
    </w:p>
    <w:p>
      <w:pPr>
        <w:spacing w:after="0" w:line="14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For its Tower segment, the Company's lessee arrangements primarily consist of ground leases for land under towers. Ground leases for land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to each site, generally contain an initial term between five to 15 years and are renewable (and cancellable after a notice period) at the Company's option. The Company also enters into term ground leases, such as term easements, in which it prepays the entire term. For its Fiber segment, the Company's lessee arrangements primarily include leases of fiber assets to support the Company's small cells and fiber solutions.</w:t>
      </w:r>
    </w:p>
    <w:p>
      <w:pPr>
        <w:spacing w:after="0" w:line="129"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majority of the Company's lease agreements have certain termination rights that provide for cancellation after a notice period and multiple renewal options exercisable at the Company's option. The Company includes renewal option periods in its calculation of the estimated lease term when it determines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03"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w:t>
      </w:r>
    </w:p>
    <w:p>
      <w:pPr>
        <w:spacing w:after="0" w:line="1" w:lineRule="exact"/>
        <w:rPr>
          <w:sz w:val="20"/>
          <w:szCs w:val="20"/>
          <w:color w:val="auto"/>
        </w:rPr>
      </w:pPr>
    </w:p>
    <w:p>
      <w:pPr>
        <w:jc w:val="both"/>
        <w:ind w:firstLine="5"/>
        <w:spacing w:after="0" w:line="246" w:lineRule="auto"/>
        <w:tabs>
          <w:tab w:leader="none" w:pos="2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135"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Right-of-use ("ROU") assets associated with operating leases are included in "Operating lease right-of-use assets" on the Company's consolidated balance sheet. Current and long-term portions of lease liabilities related to operating leases are included in "Current portion of operating lease liabilities" and "Operating lease liabilities" on the Company's consolidated balance sheet, respectively. ROU assets represent the Company's right to use an underlying asset for the estimated lease term and lease liabilities represent the Company's present value of its future lease payments. In assessing its leases and determining its lease liability at lease commencement or upon modification, the Company is not able to readily determine the rate implicit for its lessee arrangements, and thus uses its incremental borrowing rate on a collateralized basis to determine the present value of the lease payments. The Company's ROU assets are measured as the balance of the lease liability plus any prepaid or accrued lease payments and any unamortized initial direct costs. For both the Towers and Fiber segments, operating lease expenses are recognized on a ratable basis, regardless of whether the payment terms require the Company to make payments annually, semi-</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annually, quarterly, monthly, or for the entire term in advance. Certain of the Company's ground lease and fiber lease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The Company calculates the straight-line expense over the contract's estimated lease term, including any renewal option periods that the Company deems reasonably certain to be exercised.</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Lease agreements may also contain provisions for a contingent payment based on (1) the revenues derived from the communications infrastructure located on the leased asset, (2) the change in CPI or (3) the usage of the leased asset.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13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ROU assets associated with finance leases are included in "Property and equipment, net" on the Company's consolidated balance sheet. Lease liabilities associated with finance leases are included in "Current maturities of debt and other obligations" and "Debt and other long-term obligations" on the Company's consolidated balance sheet. For both its Towers and Fiber segments,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depreciates ROU assets for finance leases on a ratable basis over the applicable lease term.</w:t>
      </w:r>
    </w:p>
    <w:p>
      <w:pPr>
        <w:spacing w:after="0" w:line="13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its ROU assets for impairment, similar to its other long-lived assets, whenever events or changes in circumstances indicate that the carrying amounts may not be recoverable. The Company could record impairments in the future if there are changes in (1) long-term market conditions, (2) expected future operating results or (3) the utility of the assets that negatively impact the fair value of its ROU assets.</w:t>
      </w:r>
    </w:p>
    <w:p>
      <w:pPr>
        <w:spacing w:after="0" w:line="12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The Company's lessor arrangements primarily include tenant contracts for dedicated space (including dedicated fiber) on its shared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infrastructure. 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Site rental revenues from the Company’s lessor arrangements are recognized on a straight-line, ratable basis over the fixed, non-cancelable term of the relevant tenant contract, regardless of whether the payments from the tenant are received in equal monthly amounts during the life of a tenant contract. Certain of the Company's tenant contracts contain fixed escalation clauses (such as fixed-dollar or fixed-percentage increases) or inflation-based escalation clauses (such as those tied to the change in CPI). If the payment terms call for fixed escalators,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Certain of the Company's arrangements with tenants in its Fiber segment contain both lease and non-lease components. In such circumstances, the Company has determined (1) the timing and pattern of transfer for the lease and non-lease component are the same and (2) the stand-alone lease component would be classified as an operating lease. As such, the Company has aggregated certain non-lease components with lease components and has determined that the lease components (generally dedicated fiber) represent the predominant component of the arrangement.</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Property and equipment includes land owned through fee interests and perpetual easements, which have no definite life. Depreciation is computed utilizing the straight-line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method at rates based upon the estimated useful lives of the various classes of assets. Depreciation for the majority of communications infrastructure is computed with a useful life equal to the shorter of 20 years or the term of the underlying ground lease (where applicable and including optional renewal periods). Additions and permanent improvements to the Company's communications infrastructure are capitalized, while maintenance and repairs are expensed.</w:t>
      </w:r>
    </w:p>
    <w:p>
      <w:pPr>
        <w:spacing w:after="0" w:line="9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Labor and interest costs incurred directly related to the construction of certain property and equipment are capitalized during the construction phase of projects. For the years ended December 31, 2024, 2023 and 2022, the Company recorded $298 million, $299 million and $265 million in capitalized labor costs, respectively. The carrying value of property and equipment is reviewed for impairment whenever events or changes in circumstances indicate that the carrying amount of the assets may not be recoverable.</w:t>
      </w:r>
    </w:p>
    <w:p>
      <w:pPr>
        <w:spacing w:after="0" w:line="13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Abandonments and write-offs of property and equipment are recorded to "Asset write-down charges" on the Company's consolidated statement of operations and comprehensive income (loss) and were $146 million, $40 million and $39 million for the years ended December 31, 2024, 2023 and 2022, respectively. The increase in asset write-down charges from 2023 to 2024 is primarily driven by the cancellation of approximately 7,000 greenfield small cell nodes in the Company's contracted backlog that it mutually agreed to cancel following discussions with certain of its tenants. The Company wrote off property and equipment deemed to have no alternative future use, and as a result, recognized approximately $106 million as "Asset write-down charges" on its consolidated statement of operations and comprehensive income (loss) for the year ended December 31, 2024.</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Pursuant to its ground lease, leased facility and certain pole attachment agreements, the Company records obligations to perform asset retirement activities, including requirements to remove communications infrastructure or remediate the space on which certain of its communications infrastructure is located. The Company does not record an obligation for asset retirement activities related to its fiber, as a settlement date is indeterminable and therefore a reasonable estimation of fair value cannot be made.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and comprehensive income (loss). The associated asset retirement costs are capitalized as an additional carrying amount of the related long-lived asset and depreciated over the useful life of such asset.</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3"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Goodwill represents the excess of the purchase price for an acquired business over the allocated value of the related net assets. Management tests goodwill for impairment at least annually or whenever events or circumstances indicate the carrying amount may not be recoverable. The annual test begins with goodwill and all intangible assets being allocated to applicable reporting units. The Company's reporting units are the same as its operating segments (Towers and Fiber). The Company then performs a qualitative assessment to determine whether it is "more likely than not" that the fair value of the reporting unit is less than its carrying amount. If the Company concludes it is "more likely than not" that the fair value of a reporting unit is less than its carrying amount, it is necessary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The Company performed its most recent annual goodwill impairment test during the fourth quarter of 2024, which resulted in an impairment of $5.0 billion for the year ended December 31, 2024 to its Fiber reporting unit. With respect to the Towers reporting unit, there was no indication of impairment following the quantitative assessment, as the estimated fair value was well in excess of the corresponding carrying value. See note 5 to the Company's consolidated financial statements.</w:t>
      </w: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Intangible assets are included in "Site rental contracts and tenant relationships, net" and "Other intangible assets, net" on the Company's consolidated balance sheet and predominately consist of the estimated fair value of site rental contracts and tenant relationships or other contractual rights, such as trademarks, that are recorded in conjunction with acquisitions. Site rental contracts and tenant relationships intangible assets are comprised of (1) the current term of the existing leases, (2) the high rate of tenant retention, and (3) any associated relationships that are expected to generate value following the expiration of all renewal periods under existing leases.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The useful lives of intangible assets are estimated based on the period over which the intangible asset is expected to benefit the Company and gives consideration to the expected useful life of other assets to which the useful life may relate.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communications infrastructure (20 years), as a result of the interdependency of the communications infrastructure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w:t>
      </w:r>
    </w:p>
    <w:p>
      <w:pPr>
        <w:spacing w:after="0" w:line="11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site rental contracts and tenant relationships intangible assets. First, the Company pools site rental contracts and tenant relationships intangible assets with the related communications infrastructure assets into portfolio groups for purposes of determining the unit of account for impairment testing. Second and separately, the Company pools the site rental contracts and tenant relationships by significant tenant or by tenant grouping for individually insignificant tenants, as appropriate. If the sum of the associated estimated future cash flows (undiscounted) from an asset is less than its carrying amount, an impairment loss may be recognized. Measurement of an impairment loss would be based on the fair value of the asset.</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Credits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Deferred credits are included in "Deferred revenues" and "Other long-term liabilities" on the Company's consolidated balance sheet and consist of the estimated fair value of below-market tenant leases for contractual interests with tenants on acquired communications infrastructure that are amortized to site rental revenues.</w:t>
      </w:r>
    </w:p>
    <w:p>
      <w:pPr>
        <w:spacing w:after="0" w:line="1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Fair value for these deferred credits represents the difference between (1) the stated contractual payments to be made pursuant to the in-place lease and (2) management's estimate of fair market lease rates for each corresponding lease. Deferred credits are measured over a period equal to the estimated remaining economic lease term considering renewal provisions or economics associated with those renewal provisions, to the extent applicable. Deferred credits are amortized over their respected estimated lease terms at the time of acquisition, the most recent of which took place in 2017.</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Third-party costs incurred to obtain financing, with the exception of costs incurred related to revolving lines of credit, are deferred and are included as a direct deduction from the carrying amount of the related debt liability in "Debt and other long-term obligations" on the Company's consolidated balance sheet and are amortized using the effective interest yield methodology to "Interest expense and amortization of deferred financing costs, net" on the Company's consolidated statement of operations and comprehensive income (loss) over the term of the related debt liability. Third party costs incurred to obtain financing through a revolving line of credit are deferred and are included in "Other assets, net" on the Company's consolidated balance sheet and are amortized using the effective interest yield methodology to "Interest expense and amortization of deferred financing costs, net" on the Company's consolidated statement of operations and comprehensive income (loss) over the term of the 2016 Credit Agreement (as defined in note 7).</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generates site rental revenues from its core business by providing tenants with access, including space or capacity, to its shared communications infrastructure via long-term tenant contracts in various forms, including lease, license, sublease and service agreements. Typically, providing such access over the length of the tenant contract term represents the Company’s sole performance obligation under its tenant contracts.</w:t>
      </w:r>
    </w:p>
    <w:p>
      <w:pPr>
        <w:spacing w:after="0" w:line="12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Site Rental Revenues. </w:t>
      </w:r>
      <w:r>
        <w:rPr>
          <w:rFonts w:ascii="Times New Roman" w:cs="Times New Roman" w:eastAsia="Times New Roman" w:hAnsi="Times New Roman"/>
          <w:sz w:val="18"/>
          <w:szCs w:val="18"/>
          <w:color w:val="auto"/>
        </w:rPr>
        <w:t>Site rental revenues from the Company's tenant contracts are recognized on a straight-line, ratable basis over the fixed, non-cancelable term of the relevant tenant contract, which generally ranges between five to 15 years for wireless tenants and between one to 20 years for fiber solutions tenants (including from organizations with high-bandwidth and multi-location demands), regardless of whether the payments from the tenant are received in equal monthly amounts during the life of the tenant contract. Certain of the Company's tenant contracts contain (1) fixed escalation clauses (such as fixed dollar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fixed percentage increases) or inflation-based escalation clauses (such as those tied to the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"Current portion of deferred site rental receivables" and "Deferred site rental receivables" on the Company's consolidated balance sheet. Amounts billed or received prior to being earned are deferred and reflected in "Deferred revenues" and "Other long-term liabilities" on the Company's consolidated balance sheet. Amounts to which the Company has an unconditional right to payment, which are related to both satisfied or partially satisfied performance obligations, are recorded within "Receivables, net" on the Company's consolidated balance sheet.</w:t>
      </w:r>
    </w:p>
    <w:p>
      <w:pPr>
        <w:spacing w:after="0" w:line="13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Payments Associated with Sprint Cancellations. </w:t>
      </w:r>
      <w:r>
        <w:rPr>
          <w:rFonts w:ascii="Times New Roman" w:cs="Times New Roman" w:eastAsia="Times New Roman" w:hAnsi="Times New Roman"/>
          <w:sz w:val="18"/>
          <w:szCs w:val="18"/>
          <w:color w:val="auto"/>
        </w:rPr>
        <w:t>For the years ended December 31, 2024 and December 31, 2023, site rental revenues include $5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$170 million, respectively, of payments in the Company's Fiber segment to satisfy the remaining rental obligations of certain canceled Sprint leases as a result of the T-Mobile US, Inc. and Sprint network consolidation. In connection with such canceled Sprint leases, the Company also recognized $59 million of accelerated prepaid rent amortization in the Company's Fiber segment for the year ended December 31, 2023 that did not recur in the year ended December 31, 2024.</w:t>
      </w:r>
    </w:p>
    <w:p>
      <w:pPr>
        <w:spacing w:after="0" w:line="14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Services and Other Revenues. </w:t>
      </w:r>
      <w:r>
        <w:rPr>
          <w:rFonts w:ascii="Times New Roman" w:cs="Times New Roman" w:eastAsia="Times New Roman" w:hAnsi="Times New Roman"/>
          <w:sz w:val="18"/>
          <w:szCs w:val="18"/>
          <w:color w:val="auto"/>
        </w:rPr>
        <w:t>As part of the Company’s effort to provide comprehensive communications infrastructure solutions, as an ancillary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the Company offers certain services primarily relating to its Towers segment. For the periods presented, such services predominately consisted of (1) pre-construction site development services and (2) installation services. See note 16 to the Company's consolidated financial statements for a discussion of the Company's July 2023 restructuring plan, which included discontinuing installation services as a Towers product offering. Upon contract commencement, the Company assesses its services to tenants and identifies performance obligations for each promise to provide a distinct service.</w:t>
      </w:r>
    </w:p>
    <w:p>
      <w:pPr>
        <w:spacing w:after="0" w:line="16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services revenue recognized is based on an allocation of the transaction price among the performance obligations in a respective tenant contract based on estimated standalone selling price. The volume and mix of site development services may vary among tenant contracts and may include a combination of some or all of the above performance obligations. Amounts are billed per contractual milestones, with payments generally due within 45 to 90 days, and generally do not contain variable-consideration provisions.</w:t>
      </w:r>
    </w:p>
    <w:p>
      <w:pPr>
        <w:spacing w:after="0" w:line="14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transaction price for the Company's tower installation services consists of amounts for (1) permanent improvements to the Company's towers that represent a lease component and (2) the performance of the service. Amounts under the Company's tower installation service agreements that represent a lease component are recognized as site rental revenues on a straight-line basis over the length of the associated estimated lease term. For the performance of the installation service, the Company has one performance obligation, which is satisfied at the time of the applicable installation or augmentation and recognized as services and other revenues on the Company's consolidated statement of operations and comprehensive income (loss). Since performance obligations are typically satisfied prior to receiving payment from tenants, the unconditional right to payment is recorded within "Receivables, net" on the Company’s consolidated balance sheet. Generally, the services the Company provides to its tenants have a duration of one year or less.</w:t>
      </w:r>
    </w:p>
    <w:p>
      <w:pPr>
        <w:spacing w:after="0" w:line="14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Additional Information on Revenues. </w:t>
      </w:r>
      <w:r>
        <w:rPr>
          <w:rFonts w:ascii="Times New Roman" w:cs="Times New Roman" w:eastAsia="Times New Roman" w:hAnsi="Times New Roman"/>
          <w:sz w:val="18"/>
          <w:szCs w:val="18"/>
          <w:color w:val="auto"/>
        </w:rPr>
        <w:t>As of January 1, 2024 and December 31, 2024, $2.1 billion and $2.0 billion of unrecognized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were reported in "Deferred revenues" and "Other long-term liabilities" on the Company's consolidated balance sheet. During the year ended December 31, 2024, approximately $490 million of the January 1, 2024 unrecognized revenues balance was recognized as revenues. As of January 1, 2023, $2.3 billion of unrecognized revenues were reported in "Deferred revenues" and "Other long-term liabilities" on the Company's consolidated balance sheet. During the year ended December 31, 2023, approximately $631 million of the January 1, 2023 unrecognized revenues balance was recognized as revenues.</w:t>
      </w:r>
    </w:p>
    <w:p>
      <w:pPr>
        <w:spacing w:after="0" w:line="3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3 for further discussion regarding the Company’s revenues.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Costs of Operations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Approximately 40% of the Company's site rental costs of operations expenses consist of Towers ground lease expenses, and the remainder includes fiber access expenses, repairs and maintenance expenses, employee compensation or related benefit costs, property taxes, or utilities. Generally, the ground leases for land are specific to each site and are for an initial term of between five to 15 years and are renewable for pre-determined periods. The Company also enters into ground leases, such as term easements, in which it prepays the entire term in advance. Fiber access expenses primarily consist of leases of fiber assets and other access agreements to facilitate the Company's communications infrastructure.</w:t>
      </w:r>
    </w:p>
    <w:p>
      <w:pPr>
        <w:spacing w:after="0" w:line="13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Ground lease and fiber access expenses are recognized on a ratable basis, regardless of whether the payment terms require the Company to make payments annually, semi-annually, quarterly, monthly, or for the entire term in advance. Certain of the Company's ground lease and fiber access agreements contain fixed escalation clauses (such as fixed dollar or fixed percentage increases) or inflation-based escalation clauses (such as those tied to the change in CPI). If the payment terms include fixed escalators, upfront payments, or rent-free periods, the effect of such increases is recognized on a straight-line basis. When calculating straight-line ground lease and fiber access expenses, the Company considers all fixed elements of contractual escalation provisions, even if such escalation provisions contain a variable element in addition to a minimum. The Company's liability related to straight-line expense is included in "Operating lease right-of-use assets" on the Company's consolidated balance sheet. The Company's assets related to prepaid agreements is included in "Prepaid expenses" and "Operating lease right-of-use assets" on the Company's consolidated balance sheet.</w:t>
      </w:r>
    </w:p>
    <w:p>
      <w:pPr>
        <w:spacing w:after="0" w:line="13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Services and other costs of operations predominately consist of third-party service providers such as contractors and professional services firms and, to a lesser extent, internal labor costs, associated with the Company's site development and installation services. See note 16 to the Company's consolidated financial statements for a discussion of the Company's July 2023 restructuring plan, which included discontinuing installation services as a Towers product offering. The Company's costs incurred prior to the satisfaction of associated performance obligations of $31 million and $44 million as of December 31, 2024 and 2023, respectively, are included in "Other current assets" on the Company's consolidated balance sheet.</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and Integration Costs</w:t>
      </w:r>
    </w:p>
    <w:p>
      <w:pPr>
        <w:spacing w:after="0" w:line="16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Direct or incremental costs related to a potential or completed business combination transaction are expensed as incurred. Such costs are predominately comprised of severance, retention bonuses payable to employees of an acquired enterprise, temporary employees to assist with the integration of the acquired operations, fees paid for services (such as consulting, accounting, legal, or engineering reviews), and any other costs directly associated with the transaction. These business combination costs are included in "Acquisition and integration costs" on the Company's consolidated statement of operations and comprehensive income (loss). For those transactions accounted for as asset acquisitions, these costs are capitalized as part of the purchase price.</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Stock-based Compensation Expense, Net</w:t>
      </w:r>
    </w:p>
    <w:p>
      <w:pPr>
        <w:spacing w:after="0" w:line="16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Company records stock-based compensation expense for unvested restricted stock units ("RSUs") for which the requisite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is expected to be rendered. The cumulative effect of a change in the estimated number of RSUs for which the requisite service is expected to be or has been rendered is recognized in the period of the change in the estimate. To the extent that the requisite service is rendered, compensation cost for accounting purposes is not reversed; rather, it is recognized regardless of whether or not the awards vest. A discussion of the Company's valuation techniques and related assumptions and estimates used to measure the Company's stock-based compensation expense is as follows:</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Valuation. </w:t>
      </w:r>
      <w:r>
        <w:rPr>
          <w:rFonts w:ascii="Times New Roman" w:cs="Times New Roman" w:eastAsia="Times New Roman" w:hAnsi="Times New Roman"/>
          <w:sz w:val="18"/>
          <w:szCs w:val="18"/>
          <w:color w:val="auto"/>
        </w:rPr>
        <w:t>The fair value of RSUs without market conditions is determined based on the number of shares relating to such RSUs and the quoted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common stock at the date of grant. The Company estimates the fair value of RSUs with market conditions granted using a Monte Carlo simulation. The Company's determination of the fair value of RSUs with market conditions on the date of grant is affected by its common stock price as well as assumptions regarding a number of highly complex or subjective variables. The determination of fair value using a Monte Carlo simulation requires the input of subjective assumptions, and other reasonable assumptions could provide differing results.</w:t>
      </w:r>
    </w:p>
    <w:p>
      <w:pPr>
        <w:spacing w:after="0" w:line="133"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Amortization Method. </w:t>
      </w:r>
      <w:r>
        <w:rPr>
          <w:rFonts w:ascii="Times New Roman" w:cs="Times New Roman" w:eastAsia="Times New Roman" w:hAnsi="Times New Roman"/>
          <w:sz w:val="18"/>
          <w:szCs w:val="18"/>
          <w:color w:val="auto"/>
        </w:rPr>
        <w:t>The Company amortizes the fair value of all RSUs on a straight-line basis for each separately vesting tranche of the award (graded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schedule) over the requisite service periods.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The Company estimates the volatility of its common stock at the date of grant based on the historical volatility of its common stock.</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Rate. </w:t>
      </w:r>
      <w:r>
        <w:rPr>
          <w:rFonts w:ascii="Times New Roman" w:cs="Times New Roman" w:eastAsia="Times New Roman" w:hAnsi="Times New Roman"/>
          <w:sz w:val="18"/>
          <w:szCs w:val="18"/>
          <w:color w:val="auto"/>
        </w:rPr>
        <w:t>The expected dividend rate at the date of grant is based on the then-current dividend yield.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Company bases the risk-free rate on the implied yield currently available on U.S. Treasury issues with an equivalent remaining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expected life of the award.</w:t>
      </w:r>
    </w:p>
    <w:p>
      <w:pPr>
        <w:spacing w:after="0" w:line="112"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uses historical award forfeiture data and management's judgment about the future employee turnover rates to estimate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for which the requisite service period will not be rendered.</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 Net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net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10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9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 and adjustments on long-term debt</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2"/>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
        </w:trPr>
        <w:tc>
          <w:tcPr>
            <w:tcW w:w="6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amortizes deferred financing costs, discounts and premiums over the estimated term of the related borrowing using the effective interest yield method. Deferred financing costs and discounts are generally presented as a direct reduction to the related debt obligation on the Company's consolidated balance sheet.</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Assets Held for Sale and Discontinued Operations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classify an asset as held for sale when the following criteria are met: (1) management with proper authority has approved and committed to a plan to sell, (2) the asset is available for immediate sale, (3) an active program to locate a buyer has commenced at a price that is reasonable in relation to its current fair value, (4) the sale of the asset is probable (5) transfer of the asset is expected to occur within one year, except in certain circumstances such as extended regulatory approval, and (6) it is unlikely that significant changes to the plan will be made or that the plan will be withdrawn. Assets classified as held for sale are recorded at the lower of carrying value or fair value, less costs to sell and are no longer depreciated.</w:t>
      </w:r>
    </w:p>
    <w:p>
      <w:pPr>
        <w:spacing w:after="0" w:line="13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Further, we classify the balances and results related to a disposal in discontinued operations if all of the following criteria are met: (1) the operations and cash flows of the disposal group can be clearly distinguished from the rest of the company, (2) the disposal group meets the criteria to be classified as held for sale and (3) the disposal represents a strategic shift that has or will have a major effect on our operations and financial results. For businesses classified as discontinued operations, the associated balances included in the consolidated balance sheet and consolidated statement of operations and comprehensive income (loss) are reclassified from their historical presentation to assets and liabilities of discontinued operations on the consolidated balance sheet and to discontinued operations on the consolidated statement of operations and comprehensive income (loss), respectively, for all periods presented. The gains or losses associated with the discontinued operation are also recorded in discontinued operations on the consolidated statement of operations and comprehensive income (loss).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0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Additionally, the Company has included in TRSs certain other assets and operations. Those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For certain acquisitions by the REIT, the Company will be subject to a federal corporate level tax rate (currently 21%) on any gain recognized from the sale of assets occurring within a specified period (generally 5 years) after the transfer date up to the amount of the built in gain that existed on the transfer date, which is based upon the fair market value of those assets in excess of the Company's tax basis on the transfer date. This gain can be offset by any remaining federal net operating loss carryforwards ("NOLs").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For the Company's TRSs, the Company accounts for income taxes using an asset and liability approach, which requires the recognition of deferred income tax assets and liabilities for the expected future tax consequences of events that have been recognized in the Company's financial statements or tax returns. Deferred income tax assets and liabilities are determined based on the temporary differences between the financial statement and tax bases of assets and liabilities using enacted tax rates. A valuation allowance is provided on deferred tax assets if it is determined that it is "more likely than not" that the asset will not be realized. The Company records a valuation allowance against deferred tax assets when it is "more likely than not" that some portion or all of the deferred tax asset will not be realized. The Company reviews the recoverability of deferred tax assets each quarter and based upon projections of future taxable income, reversing deferred tax liabilities or other known events that are expected to affect future taxable income, records a valuation allowance for assets that do not meet the "more likely than not" realization threshold. Valuation allowances may be reversed if related deferred tax assets are deemed realizable based upon changes in facts and circumstances that impact the recoverability of the asset.</w:t>
      </w:r>
    </w:p>
    <w:p>
      <w:pPr>
        <w:spacing w:after="0" w:line="13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a tax position if it is "more likely than not" that it will be sustained upon examination. The tax position is measured at the largest amount that is greater than 50 percent likely of being realized upon ultimate settlement. The Company reports penalties and tax-related interest expense as a component of the benefit (provision) for income taxes. As of December 31, 2024 and 2023, the Company has not recorded any material penalties related to its income tax positions. See note 9.</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Per Share Information</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Basic net income (loss), per common share, excludes dilution and is computed by dividing net income (loss) by the weighted-average number of common shares outstanding during the period. For the years ended December 31, 2024, 2023 and 2022, diluted net income (loss), per common share, is computed by dividing net income (loss) by the weighted-average number of common shares outstanding during the period, plus any potential dilutive common share equivalents, including shares issuable upon the vesting of RSUs as determined under the treasury stock method.</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numerators and denominators of the basic and diluted per share computations is shown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r>
      <w:tr>
        <w:trPr>
          <w:trHeight w:val="211"/>
        </w:trPr>
        <w:tc>
          <w:tcPr>
            <w:tcW w:w="6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(in millions):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weighted-average number of common stock outstanding</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2"/>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assumed dilution from potential issuance of common shares relating to RSUs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weighted-average number of common shares outstanding</w:t>
            </w:r>
          </w:p>
        </w:tc>
        <w:tc>
          <w:tcPr>
            <w:tcW w:w="9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6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09"/>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2"/>
        </w:trPr>
        <w:tc>
          <w:tcPr>
            <w:tcW w:w="6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Dividends/distributions declared per share of common stock</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bl>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values of cash and cash equivalents and restricted cash and cash equivalents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2023 in the Company's valuation techniques used to measure fair values. See note 8 for a further discussion of fair values.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new guidance, which became effective starting with the Company's 2024 Form 10-K, that is designed to improve reportable segment disclosure requirements, primarily through enhanced disclosure of significant segment expenses. The Company adopted the guidance as of the effective date (i.e. for fiscal years beginning after December 15, 2023). The new guidance also expands interim segment disclosure requirements and requires disclosure of the position and title of the Company's chief operating decision-maker. The Company adopted the new segment guidance using a retrospective approach for each prior reporting period presented. The adoption of the new guidance did not have a material impact on the Company's consolidated financial statement but resulted in expanded disclosure, primarily within its segment reporting footnote. See note 14 to the Company's consolidated financial statements.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new guidance that enhances the transparency and decision usefulness of income tax disclosures, primarily through changes to the rate reconciliation and income taxes paid disclosures. The guidance will be effective for the Company's fiscal year ending December 31, 2025, and can be applied prospectively or retrospectively, with early adoption permitted. The Company is currently evaluating the effect of the guidance, including the impact on its financial statement disclosures.</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new guidance which requires disclosure of disaggregated information about certain income statement expense line items in the notes to the financial statements for both annual and interim periods. The guidance will be effective for the Company's fiscal year ending December 31, 2027, and can be applied prospectively or retrospectively, with early adoption permitted. The Company is currently evaluating the effect of the guidance, including the impact on its financial statement disclosures.</w:t>
      </w:r>
    </w:p>
    <w:p>
      <w:pPr>
        <w:spacing w:after="0" w:line="129" w:lineRule="exact"/>
        <w:rPr>
          <w:sz w:val="20"/>
          <w:szCs w:val="20"/>
          <w:color w:val="auto"/>
        </w:rPr>
      </w:pPr>
    </w:p>
    <w:p>
      <w:pPr>
        <w:ind w:left="400" w:hanging="395"/>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is a summary of the contracted amounts owed to the Company by tenants pursuant to tenant contracts in effect as of December 31, 2024. As of December 31, 2024, the weighted-average remaining term of tenant contracts was approximately six years, exclusive of renewals exercisable at the tenant's option.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center"/>
              <w:ind w:left="527"/>
              <w:spacing w:after="0"/>
              <w:rPr>
                <w:sz w:val="20"/>
                <w:szCs w:val="20"/>
                <w:color w:val="auto"/>
              </w:rPr>
            </w:pPr>
            <w:r>
              <w:rPr>
                <w:rFonts w:ascii="Times New Roman" w:cs="Times New Roman" w:eastAsia="Times New Roman" w:hAnsi="Times New Roman"/>
                <w:sz w:val="14"/>
                <w:szCs w:val="14"/>
                <w:b w:val="1"/>
                <w:bCs w:val="1"/>
                <w:color w:val="auto"/>
                <w:w w:val="99"/>
              </w:rPr>
              <w:t>Years Ending December 31,</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2"/>
                <w:szCs w:val="2"/>
                <w:color w:val="auto"/>
              </w:rPr>
            </w:pPr>
          </w:p>
        </w:tc>
        <w:tc>
          <w:tcPr>
            <w:tcW w:w="920" w:type="dxa"/>
            <w:vAlign w:val="bottom"/>
            <w:vMerge w:val="restart"/>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Contracted amounts</w:t>
            </w:r>
            <w:r>
              <w:rPr>
                <w:rFonts w:ascii="Times New Roman" w:cs="Times New Roman" w:eastAsia="Times New Roman" w:hAnsi="Times New Roman"/>
                <w:sz w:val="20"/>
                <w:szCs w:val="20"/>
                <w:color w:val="auto"/>
                <w:vertAlign w:val="superscript"/>
              </w:rPr>
              <w:t>(a)</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4,882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4,474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5"/>
        <w:spacing w:after="0" w:line="268" w:lineRule="auto"/>
        <w:tabs>
          <w:tab w:leader="none" w:pos="31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nature of the contract, tenant contracts are accounted for pursuant to relevant lease accounting (ASC 842) or revenue accounting (ASC 606) guidance. Excludes amounts related to services, as those contracts generally have a duration of one year or less.</w:t>
      </w:r>
    </w:p>
    <w:p>
      <w:pPr>
        <w:spacing w:after="0" w:line="13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See notes 2 and 13 for further discussion regarding the Company's lessor arrangements and note 14 for further information regarding the Company's operating segments.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389" w:lineRule="exact"/>
        <w:rPr>
          <w:sz w:val="20"/>
          <w:szCs w:val="20"/>
          <w:color w:val="auto"/>
        </w:rPr>
      </w:pPr>
    </w:p>
    <w:p>
      <w:pPr>
        <w:ind w:left="400" w:hanging="395"/>
        <w:spacing w:after="0"/>
        <w:tabs>
          <w:tab w:leader="none" w:pos="4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6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 classes of property and equipment are summarized in the table below.</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Land</w:t>
            </w:r>
            <w:r>
              <w:rPr>
                <w:rFonts w:ascii="Times New Roman" w:cs="Times New Roman" w:eastAsia="Times New Roman" w:hAnsi="Times New Roman"/>
                <w:sz w:val="20"/>
                <w:szCs w:val="20"/>
                <w:color w:val="auto"/>
                <w:vertAlign w:val="superscript"/>
              </w:rPr>
              <w:t>(a)</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2,537</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40 years</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 infrastructure assets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1-20 years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26,519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Information technology assets and other</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2-7 years</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1,045</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2"/>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31,039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(14,279</w:t>
            </w:r>
          </w:p>
        </w:tc>
        <w:tc>
          <w:tcPr>
            <w:tcW w:w="0" w:type="dxa"/>
            <w:vAlign w:val="bottom"/>
          </w:tcPr>
          <w:p>
            <w:pPr>
              <w:spacing w:after="0"/>
              <w:rPr>
                <w:sz w:val="1"/>
                <w:szCs w:val="1"/>
                <w:color w:val="auto"/>
              </w:rPr>
            </w:pPr>
          </w:p>
        </w:tc>
      </w:tr>
      <w:tr>
        <w:trPr>
          <w:trHeight w:val="202"/>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15,495</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land owned through fee interests and perpetual easements.</w:t>
      </w:r>
    </w:p>
    <w:p>
      <w:pPr>
        <w:spacing w:after="0" w:line="159"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For each of the years ended December 31, 2024 and December 31, 2023, depreciation expense was $1.3 billion, while depreciation expense for the year ended December 31, 2022 was $1.2 billion.</w:t>
      </w:r>
    </w:p>
    <w:p>
      <w:pPr>
        <w:spacing w:after="0" w:line="117"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22% of the Company's towers are leased or subleased or operated and managed under a master lease or other related agreements with AT&amp;T for a weighted-average initial term of approximately 28 years, weighted based on towers site rental gross margin. The Company has the option to purchase the leased and subleased towers from AT&amp;T at the end of the respective lease or sublease terms for aggregate option payments of approximately $4.2 billion, which payments, if such option is exercised, would be due between 2032 and 2048.</w:t>
      </w:r>
    </w:p>
    <w:p>
      <w:pPr>
        <w:spacing w:after="0" w:line="131" w:lineRule="exact"/>
        <w:rPr>
          <w:sz w:val="20"/>
          <w:szCs w:val="20"/>
          <w:color w:val="auto"/>
        </w:rPr>
      </w:pPr>
    </w:p>
    <w:p>
      <w:pPr>
        <w:jc w:val="both"/>
        <w:ind w:right="100" w:firstLine="395"/>
        <w:spacing w:after="0" w:line="281" w:lineRule="auto"/>
        <w:rPr>
          <w:sz w:val="20"/>
          <w:szCs w:val="20"/>
          <w:color w:val="auto"/>
        </w:rPr>
      </w:pPr>
      <w:r>
        <w:rPr>
          <w:rFonts w:ascii="Times New Roman" w:cs="Times New Roman" w:eastAsia="Times New Roman" w:hAnsi="Times New Roman"/>
          <w:sz w:val="16"/>
          <w:szCs w:val="16"/>
          <w:color w:val="auto"/>
        </w:rPr>
        <w:t>32% of the Company's towers are leased or subleased or operated and managed under master leases, subleases, or other agreements with T-Mobile (including those which T-Mobile assumed in its merger with Sprint). Approximately half of such towers have an initial term of 32 years (through May 2037), and the Company has the option to purchase in 2037 all (but not less than all) of such leased and subleased towers from T-Mobile for approximately $2.3 billion. The remainder of such towers have a weighted-average initial term of approximately 28 years, weighted based on towers site rental gross margin, and the Company has the option to purchase such towers from T-Mobile at the end of the respective terms for aggregate option payments of approximately $2.0 billion, which payments, if such option is exercised, would be due between 2035 and 2049. In addition, another 1% of the Company's towers under master leases, subleases, or other agreements with T-Mobile are subject to a lease and sublease or other related arrangements with AT&amp;T. The Company has the option to purchase these towers from AT&amp;T at the end of their respective lease terms for aggregate option payments of up to approximately $385 million as of December 31, 2024, which payments, if such option is exercised, would be due prior to 2032 (less than $12 million would be due before 2029).</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13 for further discussion of finance leases recorded as "Property and equipment, net" on the Company's consolidated balance sheet.</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right="8500" w:hanging="395"/>
        <w:spacing w:after="0" w:line="428" w:lineRule="auto"/>
        <w:tabs>
          <w:tab w:leader="none" w:pos="4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For the year ended December 31, 2024, the Company recorded an impairment charge of approximately $5.0 billion related to the goodwill associated with its Fiber segment, which represents a reporting unit for purposes of evaluating goodwill, which resulted in no goodwill remaining for the Fiber reporting unit.</w:t>
      </w:r>
    </w:p>
    <w:p>
      <w:pPr>
        <w:spacing w:after="0" w:line="14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Management performed its annual goodwill impairment test in the fourth quarter of 2024. The means of estimating the fair value of the Company’s reporting units is using discounted cash flow ("DCF") models developed by management. Key assumptions and estimates used in the DCF models included projected future revenues, operating cash flows, capital expenditures (net of certain payments received from customers), an exit multiple and a discount rate. With respect to the Towers reporting unit, there was no indication of impairment following the quantitative assessment, as the estimated fair value was well in excess of the corresponding carrying amount.</w:t>
      </w:r>
    </w:p>
    <w:p>
      <w:pPr>
        <w:spacing w:after="0" w:line="21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quantitative impairment test indicated that the carrying amount of the Company's Fiber reporting unit exceeded its estimated fair value. The impairment was due to a number of factors, one of which was a reduction in management’s assumptions for long-term revenue growth as actual demand, particularly related to small cells, has continued to be lower than previous expectations. In the face of this reduced demand, and consistent with the recently concluded operating review of the Fiber business, management implemented operational and strategic changes targeted at reducing future capital investment in the Fiber business by focusing primarily on colocation opportunities which require less capital expenditures than new-build opportunities. Although this more targeted strategy is focused on higher-return projects, the lower capital investment is expected to result in lower overall revenues and operating cash flows in the Fiber business. Following implementation of these changes, and consistent with the ongoing developments surrounding the Company's strategic review of its Fiber business, during the fourth quarter of 2024, management incorporated the anticipated impact of these changes in expectations into its long-term forecasts, which decreased the estimated fair value of the Fiber reporting unit. Additionally, management’s expectations regarding the terminal value of the projections decreased due to several factors, including lower operating cash flows forecasted by management in the terminal year as well as lower exit multiples derived from industry research firms' outlook reports, which management uses in its DCF models. Finally, changes in the macroeconomic environment, including elevated interest rates, resulted in an increase in the discount rate used in the valuation model, which had a negative impact on estimated fair value.</w:t>
      </w:r>
    </w:p>
    <w:p>
      <w:pPr>
        <w:spacing w:after="0" w:line="216"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The impairment charges for the Fiber reporting unit are recorded in "Goodwill impairment charges" on the Company's consolidated statement of operations and comprehensive income (loss).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 in the carrying value of goodwill for the years ended December 31, 2024 and 2023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Towers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Fiber</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5,127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10,085</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(4,958)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(4,958)</w:t>
            </w:r>
          </w:p>
        </w:tc>
      </w:tr>
      <w:tr>
        <w:trPr>
          <w:trHeight w:val="231"/>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5,127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Company's intangible assets.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6"/>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5"/>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060" w:type="dxa"/>
            <w:vAlign w:val="bottom"/>
          </w:tcPr>
          <w:p>
            <w:pPr>
              <w:jc w:val="right"/>
              <w:ind w:right="25"/>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7"/>
              </w:rPr>
              <w:t>Net Book Value</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contracts and tenant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31"/>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related to intangible assets is classified as "Depreciation, amortization and accretion" on the Company's consolidated statement of operations and comprehensive income (loss) and was $397 million, $447 million, and $446 million for the years ended December 31, 2024, 2023 and 2022, respectively.</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annual amortization expense related to intangible assets for the years ending December 31, 2025 to 2029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Ending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3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annual amortization</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bl>
    <w:p>
      <w:pPr>
        <w:spacing w:after="0" w:line="200" w:lineRule="exact"/>
        <w:rPr>
          <w:sz w:val="20"/>
          <w:szCs w:val="20"/>
          <w:color w:val="auto"/>
        </w:rPr>
      </w:pPr>
    </w:p>
    <w:p>
      <w:pPr>
        <w:spacing w:after="0" w:line="345" w:lineRule="exact"/>
        <w:rPr>
          <w:sz w:val="20"/>
          <w:szCs w:val="20"/>
          <w:color w:val="auto"/>
        </w:rPr>
      </w:pPr>
    </w:p>
    <w:p>
      <w:pPr>
        <w:ind w:left="400" w:hanging="395"/>
        <w:spacing w:after="0"/>
        <w:tabs>
          <w:tab w:leader="none" w:pos="4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long-term liabilities</w:t>
      </w:r>
    </w:p>
    <w:p>
      <w:pPr>
        <w:spacing w:after="0" w:line="16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following is a summary of the components of "Other long-term liabilities" as presented on the Company's consolidated balance sheet. See also note 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r>
      <w:tr>
        <w:trPr>
          <w:trHeight w:val="24"/>
        </w:trPr>
        <w:tc>
          <w:tcPr>
            <w:tcW w:w="8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rental revenues</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credits, net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w:t>
            </w:r>
          </w:p>
        </w:tc>
      </w:tr>
      <w:tr>
        <w:trPr>
          <w:trHeight w:val="21"/>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Pursuant to its ground lease, leased facility, and certain pole attachment agreements, the Company has the obligation to perform certain asset retirement activities, including requirements upon contract termination to remove communications infrastructure or remediate the space on which its communications infrastructure is located. The changes in the carrying amount of the Company's asset retirement obligations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68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60" w:type="dxa"/>
            <w:vAlign w:val="bottom"/>
          </w:tcPr>
          <w:p>
            <w:pPr>
              <w:spacing w:after="0"/>
              <w:rPr>
                <w:sz w:val="16"/>
                <w:szCs w:val="16"/>
                <w:color w:val="auto"/>
              </w:rPr>
            </w:pPr>
          </w:p>
        </w:tc>
      </w:tr>
      <w:tr>
        <w:trPr>
          <w:trHeight w:val="24"/>
        </w:trPr>
        <w:tc>
          <w:tcPr>
            <w:tcW w:w="7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4"/>
        </w:trPr>
        <w:tc>
          <w:tcPr>
            <w:tcW w:w="78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 estimated undiscounted future cash outlay for asset retirement obligations was approximately $1.2 billion. See note 2.</w:t>
      </w:r>
    </w:p>
    <w:p>
      <w:pPr>
        <w:spacing w:after="0" w:line="16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$42 million, $45 million and $49 million, respectively, in "Site rental revenues" related to the amortization of below-market tenant leases. The estimated annual amounts related to below-market tenant leases expected to be amortized into site rental revenues for the years ending December 31, 2025 to 2029 are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Ending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3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Below-market tenant leases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accrued liabilities</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Other accrued liabilities included accrued payroll and other accrued compensation of $148 million and $140 million as of December 31, 2024 and 2023, respectively.</w:t>
      </w:r>
    </w:p>
    <w:p>
      <w:pPr>
        <w:spacing w:after="0" w:line="115" w:lineRule="exact"/>
        <w:rPr>
          <w:sz w:val="20"/>
          <w:szCs w:val="20"/>
          <w:color w:val="auto"/>
        </w:rPr>
      </w:pPr>
    </w:p>
    <w:p>
      <w:pPr>
        <w:ind w:left="400" w:hanging="395"/>
        <w:spacing w:after="0"/>
        <w:tabs>
          <w:tab w:leader="none" w:pos="4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Other Obligations</w:t>
      </w:r>
    </w:p>
    <w:p>
      <w:pPr>
        <w:spacing w:after="0" w:line="16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the Company's debt and other obligations as of December 31, 2024.</w:t>
      </w:r>
    </w:p>
    <w:p>
      <w:pPr>
        <w:spacing w:after="0" w:line="179"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 Balance as of December 31,</w:t>
            </w:r>
          </w:p>
        </w:tc>
        <w:tc>
          <w:tcPr>
            <w:tcW w:w="13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16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980" w:type="dxa"/>
            <w:vAlign w:val="bottom"/>
            <w:gridSpan w:val="3"/>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w w:val="89"/>
              </w:rPr>
              <w:t>(a)</w:t>
            </w:r>
          </w:p>
        </w:tc>
        <w:tc>
          <w:tcPr>
            <w:tcW w:w="0" w:type="dxa"/>
            <w:vAlign w:val="bottom"/>
          </w:tcPr>
          <w:p>
            <w:pPr>
              <w:spacing w:after="0"/>
              <w:rPr>
                <w:sz w:val="1"/>
                <w:szCs w:val="1"/>
                <w:color w:val="auto"/>
              </w:rPr>
            </w:pPr>
          </w:p>
        </w:tc>
      </w:tr>
      <w:tr>
        <w:trPr>
          <w:trHeight w:val="89"/>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Original Issue Date</w:t>
            </w:r>
          </w:p>
        </w:tc>
        <w:tc>
          <w:tcPr>
            <w:tcW w:w="16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40" w:type="dxa"/>
            <w:vAlign w:val="bottom"/>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35495" cy="142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tbl>
      <w:tblPr>
        <w:tblLayout w:type="fixed"/>
        <w:tblInd w:w="220" w:type="dxa"/>
        <w:tblCellMar>
          <w:top w:w="0" w:type="dxa"/>
          <w:left w:w="0" w:type="dxa"/>
          <w:bottom w:w="0" w:type="dxa"/>
          <w:right w:w="0" w:type="dxa"/>
        </w:tblCellMar>
      </w:tblP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Secured Notes, Series 2009-1, Class A-2</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July 2009</w:t>
            </w: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Revenue Notes, Series 2015-2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2015</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Tower Revenue Notes, Series 2018-2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July 2018</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Installment purchase liabilities and finance leases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Various</w:t>
            </w:r>
          </w:p>
        </w:tc>
      </w:tr>
      <w:tr>
        <w:trPr>
          <w:trHeight w:val="224"/>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secured debt</w:t>
            </w:r>
          </w:p>
        </w:tc>
        <w:tc>
          <w:tcPr>
            <w:tcW w:w="1220" w:type="dxa"/>
            <w:vAlign w:val="bottom"/>
          </w:tcPr>
          <w:p>
            <w:pPr>
              <w:spacing w:after="0"/>
              <w:rPr>
                <w:sz w:val="19"/>
                <w:szCs w:val="19"/>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2016 Revolver</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2016</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2016 Term Loan 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2016</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Various</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3.200%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 2017</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1.350%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2020</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4.450%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2016</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3.700%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2016</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1.050%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2021</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4.000%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2017</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2.900%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 2022</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3.650%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 2017</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5.000%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2023</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3.800%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2018</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4.800%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Apr. 2023</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4.300%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2019</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5.600%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 2023</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4.900%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 2024</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3.100%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 2019</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3.300%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Apr. 2020</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2.250%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2020</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2.100%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2021</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2.500%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2021</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5.100%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Apr. 2023</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5.800%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 2023</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5.200%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 2024</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2.900%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2021</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4.750%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2017</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5.200%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 2019</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4.000%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 2019</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4.150%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Apr. 2020</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3.250% Senior 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2020</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5"/>
          <w:szCs w:val="15"/>
          <w:color w:val="auto"/>
        </w:rPr>
        <w:t>Aug. 2029</w:t>
      </w:r>
    </w:p>
    <w:p>
      <w:pPr>
        <w:spacing w:after="0" w:line="38"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6"/>
          <w:szCs w:val="16"/>
          <w:color w:val="auto"/>
        </w:rPr>
        <w:t>May 2045</w:t>
      </w:r>
    </w:p>
    <w:p>
      <w:pPr>
        <w:spacing w:after="0" w:line="27" w:lineRule="exact"/>
        <w:rPr>
          <w:sz w:val="20"/>
          <w:szCs w:val="20"/>
          <w:color w:val="auto"/>
        </w:rPr>
      </w:pPr>
    </w:p>
    <w:p>
      <w:pPr>
        <w:ind w:left="514"/>
        <w:spacing w:after="0"/>
        <w:rPr>
          <w:sz w:val="20"/>
          <w:szCs w:val="20"/>
          <w:color w:val="auto"/>
        </w:rPr>
      </w:pPr>
      <w:r>
        <w:rPr>
          <w:rFonts w:ascii="Times New Roman" w:cs="Times New Roman" w:eastAsia="Times New Roman" w:hAnsi="Times New Roman"/>
          <w:sz w:val="16"/>
          <w:szCs w:val="16"/>
          <w:color w:val="auto"/>
        </w:rPr>
        <w:t>July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-115570</wp:posOffset>
            </wp:positionV>
            <wp:extent cx="7135495" cy="133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ind w:left="574" w:hanging="571"/>
        <w:spacing w:after="0" w:line="231" w:lineRule="auto"/>
        <w:tabs>
          <w:tab w:leader="none" w:pos="574" w:val="left"/>
        </w:tabs>
        <w:numPr>
          <w:ilvl w:val="0"/>
          <w:numId w:val="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3175</wp:posOffset>
            </wp:positionV>
            <wp:extent cx="7135495" cy="142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8" w:lineRule="exact"/>
        <w:rPr>
          <w:sz w:val="20"/>
          <w:szCs w:val="20"/>
          <w:color w:val="auto"/>
        </w:rPr>
      </w:pPr>
    </w:p>
    <w:p>
      <w:pPr>
        <w:ind w:left="514"/>
        <w:spacing w:after="0"/>
        <w:rPr>
          <w:sz w:val="20"/>
          <w:szCs w:val="20"/>
          <w:color w:val="auto"/>
        </w:rPr>
      </w:pPr>
      <w:r>
        <w:rPr>
          <w:rFonts w:ascii="Times New Roman" w:cs="Times New Roman" w:eastAsia="Times New Roman" w:hAnsi="Times New Roman"/>
          <w:sz w:val="16"/>
          <w:szCs w:val="16"/>
          <w:color w:val="auto"/>
        </w:rPr>
        <w:t>July 2027</w:t>
      </w:r>
    </w:p>
    <w:p>
      <w:pPr>
        <w:spacing w:after="0" w:line="27" w:lineRule="exact"/>
        <w:rPr>
          <w:sz w:val="20"/>
          <w:szCs w:val="20"/>
          <w:color w:val="auto"/>
        </w:rPr>
      </w:pPr>
    </w:p>
    <w:p>
      <w:pPr>
        <w:ind w:left="514"/>
        <w:spacing w:after="0"/>
        <w:rPr>
          <w:sz w:val="20"/>
          <w:szCs w:val="20"/>
          <w:color w:val="auto"/>
        </w:rPr>
      </w:pPr>
      <w:r>
        <w:rPr>
          <w:rFonts w:ascii="Times New Roman" w:cs="Times New Roman" w:eastAsia="Times New Roman" w:hAnsi="Times New Roman"/>
          <w:sz w:val="16"/>
          <w:szCs w:val="16"/>
          <w:color w:val="auto"/>
        </w:rPr>
        <w:t>July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-115570</wp:posOffset>
            </wp:positionV>
            <wp:extent cx="7135495" cy="133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ind w:left="574" w:hanging="574"/>
        <w:spacing w:after="0" w:line="231" w:lineRule="auto"/>
        <w:tabs>
          <w:tab w:leader="none" w:pos="574" w:val="left"/>
        </w:tabs>
        <w:numPr>
          <w:ilvl w:val="0"/>
          <w:numId w:val="7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Various</w:t>
      </w:r>
    </w:p>
    <w:p>
      <w:pPr>
        <w:spacing w:after="0" w:line="22" w:lineRule="exact"/>
        <w:rPr>
          <w:rFonts w:ascii="Times New Roman" w:cs="Times New Roman" w:eastAsia="Times New Roman" w:hAnsi="Times New Roman"/>
          <w:sz w:val="21"/>
          <w:szCs w:val="21"/>
          <w:color w:val="auto"/>
          <w:vertAlign w:val="superscript"/>
        </w:rPr>
      </w:pPr>
    </w:p>
    <w:p>
      <w:pPr>
        <w:jc w:val="both"/>
        <w:ind w:left="494"/>
        <w:spacing w:after="0" w:line="29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Sept. 2024 July 2025 Feb. 2026 June 2026 July 2026 Mar. 2027 Mar. 2027 Sept. 2027 Jan. 2028 Feb. 2028 Sept.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-1466215</wp:posOffset>
            </wp:positionV>
            <wp:extent cx="7135495" cy="133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-1198880</wp:posOffset>
            </wp:positionV>
            <wp:extent cx="7135495" cy="133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-931545</wp:posOffset>
            </wp:positionV>
            <wp:extent cx="7135495" cy="133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-664210</wp:posOffset>
            </wp:positionV>
            <wp:extent cx="7135495" cy="133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-396875</wp:posOffset>
            </wp:positionV>
            <wp:extent cx="7135495" cy="133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-129540</wp:posOffset>
            </wp:positionV>
            <wp:extent cx="7135495" cy="133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ind w:left="514"/>
        <w:spacing w:after="0"/>
        <w:rPr>
          <w:sz w:val="20"/>
          <w:szCs w:val="20"/>
          <w:color w:val="auto"/>
        </w:rPr>
      </w:pPr>
      <w:r>
        <w:rPr>
          <w:rFonts w:ascii="Times New Roman" w:cs="Times New Roman" w:eastAsia="Times New Roman" w:hAnsi="Times New Roman"/>
          <w:sz w:val="15"/>
          <w:szCs w:val="15"/>
          <w:color w:val="auto"/>
        </w:rPr>
        <w:t>Feb. 2029</w:t>
      </w:r>
    </w:p>
    <w:p>
      <w:pPr>
        <w:spacing w:after="0" w:line="38"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6"/>
          <w:szCs w:val="16"/>
          <w:color w:val="auto"/>
        </w:rPr>
        <w:t>June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-115570</wp:posOffset>
            </wp:positionV>
            <wp:extent cx="7135495" cy="133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jc w:val="both"/>
        <w:ind w:left="494" w:hanging="482"/>
        <w:spacing w:after="0" w:line="278" w:lineRule="auto"/>
        <w:tabs>
          <w:tab w:leader="none" w:pos="484" w:val="left"/>
        </w:tabs>
        <w:numPr>
          <w:ilvl w:val="0"/>
          <w:numId w:val="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Sept. 2029 Nov. 2029 July 2030 Jan. 2031 Apr.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-533400</wp:posOffset>
            </wp:positionV>
            <wp:extent cx="7135495" cy="133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-266065</wp:posOffset>
            </wp:positionV>
            <wp:extent cx="7135495" cy="133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ind w:left="514"/>
        <w:spacing w:after="0"/>
        <w:rPr>
          <w:sz w:val="20"/>
          <w:szCs w:val="20"/>
          <w:color w:val="auto"/>
        </w:rPr>
      </w:pPr>
      <w:r>
        <w:rPr>
          <w:rFonts w:ascii="Times New Roman" w:cs="Times New Roman" w:eastAsia="Times New Roman" w:hAnsi="Times New Roman"/>
          <w:sz w:val="16"/>
          <w:szCs w:val="16"/>
          <w:color w:val="auto"/>
        </w:rPr>
        <w:t>July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-115570</wp:posOffset>
            </wp:positionV>
            <wp:extent cx="7135495" cy="133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6"/>
          <w:szCs w:val="16"/>
          <w:color w:val="auto"/>
        </w:rPr>
        <w:t>May 2033</w:t>
      </w:r>
    </w:p>
    <w:p>
      <w:pPr>
        <w:spacing w:after="0" w:line="27"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5"/>
          <w:szCs w:val="15"/>
          <w:color w:val="auto"/>
        </w:rPr>
        <w:t>Mar.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-108585</wp:posOffset>
            </wp:positionV>
            <wp:extent cx="7135495" cy="133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8" w:lineRule="exact"/>
        <w:rPr>
          <w:sz w:val="20"/>
          <w:szCs w:val="20"/>
          <w:color w:val="auto"/>
        </w:rPr>
      </w:pPr>
    </w:p>
    <w:p>
      <w:pPr>
        <w:jc w:val="both"/>
        <w:ind w:left="494" w:hanging="482"/>
        <w:spacing w:after="0" w:line="285" w:lineRule="auto"/>
        <w:tabs>
          <w:tab w:leader="none" w:pos="484" w:val="left"/>
        </w:tabs>
        <w:numPr>
          <w:ilvl w:val="0"/>
          <w:numId w:val="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Sept. 2034 Apr. 2041 May 2047 Feb. 2049 Nov. 2049 July 2050 Jan.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-810260</wp:posOffset>
            </wp:positionV>
            <wp:extent cx="7135495" cy="133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-542925</wp:posOffset>
            </wp:positionV>
            <wp:extent cx="7135495" cy="133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-275590</wp:posOffset>
            </wp:positionV>
            <wp:extent cx="7135495" cy="133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32</w:t>
      </w:r>
    </w:p>
    <w:p>
      <w:pPr>
        <w:ind w:left="1087" w:hanging="1087"/>
        <w:spacing w:after="0" w:line="223" w:lineRule="auto"/>
        <w:tabs>
          <w:tab w:leader="none" w:pos="1087"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700</w:t>
      </w:r>
    </w:p>
    <w:p>
      <w:pPr>
        <w:ind w:left="1087" w:hanging="1087"/>
        <w:spacing w:after="0" w:line="183" w:lineRule="auto"/>
        <w:tabs>
          <w:tab w:leader="none" w:pos="1087" w:val="left"/>
        </w:tabs>
        <w:numPr>
          <w:ilvl w:val="0"/>
          <w:numId w:val="74"/>
        </w:numPr>
        <w:rPr>
          <w:rFonts w:ascii="Times New Roman" w:cs="Times New Roman" w:eastAsia="Times New Roman" w:hAnsi="Times New Roman"/>
          <w:sz w:val="9"/>
          <w:szCs w:val="9"/>
          <w:color w:val="auto"/>
        </w:rPr>
      </w:pPr>
      <w:r>
        <w:rPr>
          <w:rFonts w:ascii="Times New Roman" w:cs="Times New Roman" w:eastAsia="Times New Roman" w:hAnsi="Times New Roman"/>
          <w:sz w:val="24"/>
          <w:szCs w:val="24"/>
          <w:color w:val="auto"/>
          <w:vertAlign w:val="subscript"/>
        </w:rPr>
        <w:t>747</w:t>
      </w:r>
    </w:p>
    <w:p>
      <w:pPr>
        <w:spacing w:after="0" w:line="1" w:lineRule="exact"/>
        <w:rPr>
          <w:rFonts w:ascii="Times New Roman" w:cs="Times New Roman" w:eastAsia="Times New Roman" w:hAnsi="Times New Roman"/>
          <w:sz w:val="9"/>
          <w:szCs w:val="9"/>
          <w:color w:val="auto"/>
        </w:rPr>
      </w:pPr>
    </w:p>
    <w:p>
      <w:pPr>
        <w:ind w:left="1087" w:hanging="1084"/>
        <w:spacing w:after="0" w:line="189" w:lineRule="auto"/>
        <w:tabs>
          <w:tab w:leader="none" w:pos="1087" w:val="left"/>
        </w:tabs>
        <w:numPr>
          <w:ilvl w:val="0"/>
          <w:numId w:val="74"/>
        </w:numPr>
        <w:rPr>
          <w:rFonts w:ascii="Times New Roman" w:cs="Times New Roman" w:eastAsia="Times New Roman" w:hAnsi="Times New Roman"/>
          <w:sz w:val="9"/>
          <w:szCs w:val="9"/>
          <w:color w:val="auto"/>
        </w:rPr>
      </w:pPr>
      <w:r>
        <w:rPr>
          <w:rFonts w:ascii="Times New Roman" w:cs="Times New Roman" w:eastAsia="Times New Roman" w:hAnsi="Times New Roman"/>
          <w:sz w:val="24"/>
          <w:szCs w:val="24"/>
          <w:color w:val="auto"/>
          <w:vertAlign w:val="subscript"/>
        </w:rPr>
        <w:t>299</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1,778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1,117</w:t>
      </w:r>
    </w:p>
    <w:p>
      <w:pPr>
        <w:ind w:left="967" w:hanging="967"/>
        <w:spacing w:after="0" w:line="231" w:lineRule="auto"/>
        <w:tabs>
          <w:tab w:leader="none" w:pos="967" w:val="left"/>
        </w:tabs>
        <w:numPr>
          <w:ilvl w:val="0"/>
          <w:numId w:val="7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1,341</w:t>
      </w:r>
    </w:p>
    <w:p>
      <w:pPr>
        <w:spacing w:after="0" w:line="22" w:lineRule="exact"/>
        <w:rPr>
          <w:rFonts w:ascii="Times New Roman" w:cs="Times New Roman" w:eastAsia="Times New Roman" w:hAnsi="Times New Roman"/>
          <w:sz w:val="21"/>
          <w:szCs w:val="21"/>
          <w:color w:val="auto"/>
          <w:vertAlign w:val="superscript"/>
        </w:rPr>
      </w:pPr>
    </w:p>
    <w:p>
      <w:pPr>
        <w:ind w:left="116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499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899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498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595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596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742</w:t>
      </w:r>
    </w:p>
    <w:p>
      <w:pPr>
        <w:ind w:left="1087" w:hanging="1076"/>
        <w:spacing w:after="0" w:line="202" w:lineRule="auto"/>
        <w:tabs>
          <w:tab w:leader="none" w:pos="1087" w:val="left"/>
        </w:tabs>
        <w:numPr>
          <w:ilvl w:val="0"/>
          <w:numId w:val="76"/>
        </w:numPr>
        <w:rPr>
          <w:rFonts w:ascii="Times New Roman" w:cs="Times New Roman" w:eastAsia="Times New Roman" w:hAnsi="Times New Roman"/>
          <w:sz w:val="9"/>
          <w:szCs w:val="9"/>
          <w:color w:val="auto"/>
        </w:rPr>
      </w:pPr>
      <w:r>
        <w:rPr>
          <w:rFonts w:ascii="Times New Roman" w:cs="Times New Roman" w:eastAsia="Times New Roman" w:hAnsi="Times New Roman"/>
          <w:sz w:val="24"/>
          <w:szCs w:val="24"/>
          <w:color w:val="auto"/>
          <w:vertAlign w:val="subscript"/>
        </w:rPr>
        <w:t>544</w:t>
      </w:r>
    </w:p>
    <w:p>
      <w:pPr>
        <w:spacing w:after="0" w:line="4" w:lineRule="exact"/>
        <w:rPr>
          <w:rFonts w:ascii="Times New Roman" w:cs="Times New Roman" w:eastAsia="Times New Roman" w:hAnsi="Times New Roman"/>
          <w:sz w:val="9"/>
          <w:szCs w:val="9"/>
          <w:color w:val="auto"/>
        </w:rPr>
      </w:pPr>
    </w:p>
    <w:p>
      <w:pPr>
        <w:ind w:left="1087"/>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547</w:t>
      </w:r>
    </w:p>
    <w:p>
      <w:pPr>
        <w:spacing w:after="0" w:line="26" w:lineRule="exact"/>
        <w:rPr>
          <w:rFonts w:ascii="Times New Roman" w:cs="Times New Roman" w:eastAsia="Times New Roman" w:hAnsi="Times New Roman"/>
          <w:sz w:val="9"/>
          <w:szCs w:val="9"/>
          <w:color w:val="auto"/>
        </w:rPr>
      </w:pPr>
    </w:p>
    <w:p>
      <w:pPr>
        <w:ind w:left="1087"/>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742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1,093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742</w:t>
      </w:r>
    </w:p>
    <w:p>
      <w:pPr>
        <w:ind w:left="1087" w:hanging="1076"/>
        <w:spacing w:after="0" w:line="231" w:lineRule="auto"/>
        <w:tabs>
          <w:tab w:leader="none" w:pos="1087"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689</w:t>
      </w:r>
    </w:p>
    <w:p>
      <w:pPr>
        <w:spacing w:after="0" w:line="22" w:lineRule="exact"/>
        <w:rPr>
          <w:rFonts w:ascii="Times New Roman" w:cs="Times New Roman" w:eastAsia="Times New Roman" w:hAnsi="Times New Roman"/>
          <w:sz w:val="21"/>
          <w:szCs w:val="21"/>
          <w:color w:val="auto"/>
          <w:vertAlign w:val="superscript"/>
        </w:rPr>
      </w:pPr>
    </w:p>
    <w:p>
      <w:pPr>
        <w:ind w:left="96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1,235</w:t>
      </w:r>
    </w:p>
    <w:p>
      <w:pPr>
        <w:spacing w:after="0" w:line="8" w:lineRule="exact"/>
        <w:rPr>
          <w:rFonts w:ascii="Times New Roman" w:cs="Times New Roman" w:eastAsia="Times New Roman" w:hAnsi="Times New Roman"/>
          <w:sz w:val="21"/>
          <w:szCs w:val="21"/>
          <w:color w:val="auto"/>
          <w:vertAlign w:val="superscript"/>
        </w:rPr>
      </w:pPr>
    </w:p>
    <w:p>
      <w:pPr>
        <w:ind w:left="108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345</w:t>
      </w:r>
    </w:p>
    <w:p>
      <w:pPr>
        <w:spacing w:after="0" w:line="26" w:lineRule="exact"/>
        <w:rPr>
          <w:rFonts w:ascii="Times New Roman" w:cs="Times New Roman" w:eastAsia="Times New Roman" w:hAnsi="Times New Roman"/>
          <w:sz w:val="21"/>
          <w:szCs w:val="21"/>
          <w:color w:val="auto"/>
          <w:vertAlign w:val="superscript"/>
        </w:rPr>
      </w:pPr>
    </w:p>
    <w:p>
      <w:pPr>
        <w:ind w:left="108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396</w:t>
      </w:r>
    </w:p>
    <w:p>
      <w:pPr>
        <w:spacing w:after="0" w:line="26" w:lineRule="exact"/>
        <w:rPr>
          <w:rFonts w:ascii="Times New Roman" w:cs="Times New Roman" w:eastAsia="Times New Roman" w:hAnsi="Times New Roman"/>
          <w:sz w:val="21"/>
          <w:szCs w:val="21"/>
          <w:color w:val="auto"/>
          <w:vertAlign w:val="superscript"/>
        </w:rPr>
      </w:pPr>
    </w:p>
    <w:p>
      <w:pPr>
        <w:ind w:left="108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346</w:t>
      </w:r>
    </w:p>
    <w:p>
      <w:pPr>
        <w:spacing w:after="0" w:line="26" w:lineRule="exact"/>
        <w:rPr>
          <w:rFonts w:ascii="Times New Roman" w:cs="Times New Roman" w:eastAsia="Times New Roman" w:hAnsi="Times New Roman"/>
          <w:sz w:val="21"/>
          <w:szCs w:val="21"/>
          <w:color w:val="auto"/>
          <w:vertAlign w:val="superscript"/>
        </w:rPr>
      </w:pPr>
    </w:p>
    <w:p>
      <w:pPr>
        <w:ind w:left="108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490</w:t>
      </w:r>
    </w:p>
    <w:p>
      <w:pPr>
        <w:spacing w:after="0" w:line="26" w:lineRule="exact"/>
        <w:rPr>
          <w:rFonts w:ascii="Times New Roman" w:cs="Times New Roman" w:eastAsia="Times New Roman" w:hAnsi="Times New Roman"/>
          <w:sz w:val="21"/>
          <w:szCs w:val="21"/>
          <w:color w:val="auto"/>
          <w:vertAlign w:val="superscript"/>
        </w:rPr>
      </w:pPr>
    </w:p>
    <w:p>
      <w:pPr>
        <w:ind w:left="1087"/>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891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(d)</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746</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213"/>
        </w:trPr>
        <w:tc>
          <w:tcPr>
            <w:tcW w:w="22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30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(e)</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1,754</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w w:val="99"/>
              </w:rPr>
              <w:t>(f)</w:t>
            </w:r>
          </w:p>
        </w:tc>
        <w:tc>
          <w:tcPr>
            <w:tcW w:w="0" w:type="dxa"/>
            <w:vAlign w:val="bottom"/>
          </w:tcPr>
          <w:p>
            <w:pPr>
              <w:spacing w:after="0"/>
              <w:rPr>
                <w:sz w:val="1"/>
                <w:szCs w:val="1"/>
                <w:color w:val="auto"/>
              </w:rPr>
            </w:pPr>
          </w:p>
        </w:tc>
      </w:tr>
      <w:tr>
        <w:trPr>
          <w:trHeight w:val="192"/>
        </w:trPr>
        <w:tc>
          <w:tcPr>
            <w:tcW w:w="220" w:type="dxa"/>
            <w:vAlign w:val="bottom"/>
            <w:vMerge w:val="continue"/>
          </w:tcPr>
          <w:p>
            <w:pPr>
              <w:spacing w:after="0"/>
              <w:rPr>
                <w:sz w:val="16"/>
                <w:szCs w:val="16"/>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670</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20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99"/>
              </w:rPr>
              <w:t>(f)</w:t>
            </w:r>
          </w:p>
        </w:tc>
        <w:tc>
          <w:tcPr>
            <w:tcW w:w="0" w:type="dxa"/>
            <w:vAlign w:val="bottom"/>
          </w:tcPr>
          <w:p>
            <w:pPr>
              <w:spacing w:after="0"/>
              <w:rPr>
                <w:sz w:val="1"/>
                <w:szCs w:val="1"/>
                <w:color w:val="auto"/>
              </w:rPr>
            </w:pPr>
          </w:p>
        </w:tc>
      </w:tr>
      <w:tr>
        <w:trPr>
          <w:trHeight w:val="211"/>
        </w:trPr>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(h)</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c>
          <w:tcPr>
            <w:tcW w:w="30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4">
            <w:col w:w="4800" w:space="86"/>
            <w:col w:w="1154" w:space="373"/>
            <w:col w:w="1327" w:space="160"/>
            <w:col w:w="33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6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unsecured debt</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22,303</w:t>
            </w: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21,167</w:t>
            </w:r>
          </w:p>
        </w:tc>
        <w:tc>
          <w:tcPr>
            <w:tcW w:w="1940" w:type="dxa"/>
            <w:vAlign w:val="bottom"/>
            <w:tcBorders>
              <w:top w:val="single" w:sz="8" w:color="CCEEFF"/>
            </w:tcBorders>
            <w:shd w:val="clear" w:color="auto" w:fill="CCEEFF"/>
          </w:tcPr>
          <w:p>
            <w:pPr>
              <w:spacing w:after="0"/>
              <w:rPr>
                <w:sz w:val="16"/>
                <w:szCs w:val="16"/>
                <w:color w:val="auto"/>
              </w:rPr>
            </w:pP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 and other obligations</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22,921</w:t>
            </w:r>
          </w:p>
        </w:tc>
        <w:tc>
          <w:tcPr>
            <w:tcW w:w="1940" w:type="dxa"/>
            <w:vAlign w:val="bottom"/>
          </w:tcPr>
          <w:p>
            <w:pPr>
              <w:spacing w:after="0"/>
              <w:rPr>
                <w:sz w:val="17"/>
                <w:szCs w:val="17"/>
                <w:color w:val="auto"/>
              </w:rPr>
            </w:pP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 of debt and other obligations</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835</w:t>
            </w:r>
          </w:p>
        </w:tc>
        <w:tc>
          <w:tcPr>
            <w:tcW w:w="1940" w:type="dxa"/>
            <w:vAlign w:val="bottom"/>
            <w:shd w:val="clear" w:color="auto" w:fill="CCEEFF"/>
          </w:tcPr>
          <w:p>
            <w:pPr>
              <w:spacing w:after="0"/>
              <w:rPr>
                <w:sz w:val="18"/>
                <w:szCs w:val="18"/>
                <w:color w:val="auto"/>
              </w:rPr>
            </w:pPr>
          </w:p>
        </w:tc>
      </w:tr>
      <w:tr>
        <w:trPr>
          <w:trHeight w:val="20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portion of debt and other long-term obligations</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23,471</w:t>
            </w:r>
          </w:p>
        </w:tc>
        <w:tc>
          <w:tcPr>
            <w:tcW w:w="320" w:type="dxa"/>
            <w:vAlign w:val="bottom"/>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22,086</w:t>
            </w:r>
          </w:p>
        </w:tc>
        <w:tc>
          <w:tcPr>
            <w:tcW w:w="194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stated interest rate, as applicable.</w:t>
      </w:r>
    </w:p>
    <w:p>
      <w:pPr>
        <w:spacing w:after="0" w:line="12" w:lineRule="exact"/>
        <w:rPr>
          <w:rFonts w:ascii="Times New Roman" w:cs="Times New Roman" w:eastAsia="Times New Roman" w:hAnsi="Times New Roman"/>
          <w:sz w:val="14"/>
          <w:szCs w:val="14"/>
          <w:color w:val="auto"/>
        </w:rPr>
      </w:pPr>
    </w:p>
    <w:p>
      <w:pPr>
        <w:jc w:val="both"/>
        <w:ind w:left="320" w:hanging="315"/>
        <w:spacing w:after="0" w:line="225" w:lineRule="auto"/>
        <w:tabs>
          <w:tab w:leader="none" w:pos="31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Tower Revenue Notes, Series 2015-2 and Series 2018-2 (collectively, "Tower Revenue Notes") are not paid in full on or prior to an applicable anticipated repayment date, then Excess Cash Flow (as defined in the indenture governing the terms of such notes) of the issuers of such notes will be used to repay principal of the applicable series and class of the Tower Revenue Notes, and additional interest (of an additional approximately 5% per annum) will accrue on the respective Tower Revenue Notes. As of December 31, 2024, the Tower Revenue Notes, Series 2015-2 and 2018-2 have principal amounts of $700 million and $750 million, with anticipated repayment dates in 2025 and 2028, respectively.</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installment purchases primarily relate to land and bear interest rates up to 8% and mature in periods ranging from less than one year to approximately 20 years.</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December 31, 2023, reflects $35 million and $18 million, respectively, in finance lease obligations (primarily related to vehicles).</w:t>
      </w:r>
    </w:p>
    <w:p>
      <w:pPr>
        <w:spacing w:after="0" w:line="21" w:lineRule="exact"/>
        <w:rPr>
          <w:rFonts w:ascii="Times New Roman" w:cs="Times New Roman" w:eastAsia="Times New Roman" w:hAnsi="Times New Roman"/>
          <w:sz w:val="14"/>
          <w:szCs w:val="14"/>
          <w:color w:val="auto"/>
        </w:rPr>
      </w:pPr>
    </w:p>
    <w:p>
      <w:pPr>
        <w:ind w:left="320" w:hanging="315"/>
        <w:spacing w:after="0" w:line="221" w:lineRule="auto"/>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undrawn availability under the senior unsecured revolving credit facility ("2016 Revolver") was $7.0 billion.</w:t>
      </w:r>
    </w:p>
    <w:p>
      <w:pPr>
        <w:jc w:val="both"/>
        <w:ind w:left="320" w:hanging="315"/>
        <w:spacing w:after="0" w:line="223" w:lineRule="auto"/>
        <w:tabs>
          <w:tab w:leader="none" w:pos="31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Both the 2016 Revolver and senior unsecured term loan A facility ("2016 Term Loan A" and, collectively, "2016 Credit Facility") bear interest, at the Company's option, at either (1) Term SOFR plus (i) a credit spread adjustment of 0.10% per annum and (ii) a credit spread ranging from 0.875% to 1.750% per annum or (2) an alternate base rate plus a credit spread ranging from 0.000% to 0.750% per annum, in each case, with the applicable credit spread based on the Company's senior unsecured debt rating. The Company pays a commitment fee ranging from 0.080% to 0.300%, based on the Company's senior unsecured debt rating, per annum on the undrawn available amount under the 2016 Revolver. See further discussion below regarding potential adjustments to such percentages.</w:t>
      </w:r>
    </w:p>
    <w:p>
      <w:pPr>
        <w:spacing w:after="0" w:line="2"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maturities of the Commercial Paper Notes, as defined below, when outstanding, may vary but may not exceed 397 days from the date of issue. There were no Commercial Paper Notes issued or outstanding during the period that had original maturities greater than three months.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2024, the Company repaid in full the 3.200% senior unsecured notes on the contractual maturity date.</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Bonds—Senior Notes</w:t>
      </w:r>
      <w:r>
        <w:rPr>
          <w:rFonts w:ascii="Times New Roman" w:cs="Times New Roman" w:eastAsia="Times New Roman" w:hAnsi="Times New Roman"/>
          <w:sz w:val="14"/>
          <w:szCs w:val="14"/>
          <w:color w:val="auto"/>
        </w:rPr>
        <w:t>" below for further discussion of senior unsecured notes issued during 2024.</w:t>
      </w:r>
    </w:p>
    <w:p>
      <w:pPr>
        <w:spacing w:after="0" w:line="13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governing the Company's 2016 Credit Facility ("2016 Credit Agreement") contains financial maintenance covenants. The Company is currently in compliance with these financial maintenance covenants. In addition, certain of the Company's debt agreements also contain restrictive covenants that place restrictions on CCI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Bank Debt</w:t>
      </w:r>
    </w:p>
    <w:p>
      <w:pPr>
        <w:spacing w:after="0" w:line="16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2016 Credit Facility. </w:t>
      </w:r>
      <w:r>
        <w:rPr>
          <w:rFonts w:ascii="Times New Roman" w:cs="Times New Roman" w:eastAsia="Times New Roman" w:hAnsi="Times New Roman"/>
          <w:sz w:val="18"/>
          <w:szCs w:val="18"/>
          <w:color w:val="auto"/>
        </w:rPr>
        <w:t>In January 2016, the Company established the 2016 Credit Facility, which was originally comprised of (1) a $2.5 billion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maturing in January 2021, (2) a $2.0 billion 2016 Term Loan A maturing in January 2021 and (3) a $1.0 billion senior unsecured 364-day revolving credit facility ("364-Day Facility") maturing in January 2017. The Company used the net proceeds from the 2016 Credit Facility (1) to repay the then outstanding senior credit facility originally established in January 2012 and (2) for general corporate purposes. In February 2016, the Company used a portion of the net proceeds from the February 2016 issuance of $1.5 billion aggregate principal amount of senior unsecured notes offering to repay in full all outstanding borrowings under the then outstanding 364-Day Facility.</w:t>
      </w:r>
    </w:p>
    <w:p>
      <w:pPr>
        <w:spacing w:after="0" w:line="13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February 2017, the Company entered into an amendment to the 2016 Credit Facility to (1) incur additional term loans in an aggregate principal amount of $500 million and (2) extend the maturity of both the 2016 Term Loan A and the 2016 Revolver to January 2022.</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August 2017, the Company entered into an amendment to the 2016 Credit Facility to (1) increase commitments on the 2016 Revolver to $3.5 billion, and (2) extend the maturity of the 2016 Credit Facility to August 2022.</w:t>
      </w:r>
    </w:p>
    <w:p>
      <w:pPr>
        <w:spacing w:after="0" w:line="11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In June 2018, the Company entered into an amendment to the 2016 Credit Facility to (1) increase commitments on the 2016 Revolver to $4.25 billion, and (2) extend the maturity of the 2016 Credit Facility to June 2023.</w:t>
      </w:r>
    </w:p>
    <w:p>
      <w:pPr>
        <w:spacing w:after="0" w:line="11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In June 2019, the Company entered into an amendment to the 2016 Credit Facility to (1) increase commitments on the 2016 Revolver to $5.0 billion, and (2) extend the maturity of the 2016 Credit Facility to June 2024.</w:t>
      </w:r>
    </w:p>
    <w:p>
      <w:pPr>
        <w:spacing w:after="0" w:line="11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June 2021, the Company entered into an amendment to the 2016 Credit Agreement that provided for, among other things, (1) the extension of the maturity date of the 2016 Credit Facility to June 2026, (2) reductions to the interest rate spread ("Spread") and unused commitment fee ("Commitment Fee") percentage upon meeting specified annual sustainability targets ("Targets") and increases to the Spread and Commitment Fee percentage upon the failure to meet specified annual sustainability thresholds ("Thresholds") and (3) the inclusion of "hardwired" LIBOR transition provisions consistent with those published by the Alternative Reference Rate Committee. The Spread and Commitment Fee are subject to an upward adjustment of up to 0.05% and 0.01%, respectively, if the Company fails to achieve the Thresholds. The Spread and Commitment Fee are subject to a downward adjustment of up to 0.05% and 0.01%, respectively, if the Company achieves the Targets. In January of the years 2022 through 2025, the Company submitted the required documentation and received confirmation from its administrative agent that all Targets were met as of the respective prior fiscal year ends, and, as such, the Spread and Commitment Fee percentage reductions were applied in January 2022 and maintained for 2023, 2024 and 2025.</w:t>
      </w:r>
    </w:p>
    <w:p>
      <w:pPr>
        <w:spacing w:after="0" w:line="13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July 2022, the Company entered into an amendment to the 2016 Credit Agreement that provided for, among other things, (1) the extension of the maturity date of the 2016 Credit Facility to July 2027, (2) an increase to the commitments on the 2016 Revolver to $7.0 billion, (3) certain modifications to the specified sustainability metric and (4) the replacement of the LIBOR pricing benchmark with a Term SOFR pricing benchmark.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In April 2019, the Company established a commercial paper program ("CP Program"), pursuant to which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short-term, unsecured commercial paper notes ("Commercial Paper Notes"). Commercial Paper Notes may be issued, repaid and re-issued from time to time, with an aggregate principal amount of Commercial Paper Notes outstanding under the CP Program at any time originally not to exceed $1.0 billion. The net proceeds of the Commercial Paper Notes are expected to be used for general corporate purposes. The maturities of the Commercial Paper Notes, when outstanding, may vary but may not exceed 397 days from the date of issue. There were no Commercial Paper Notes issued or outstanding during the period that had original maturities greater than three months.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2016 Revolver in an amount at least equal to the amount of Commercial Paper Notes outstanding. While any outstanding commercial paper issuances generally have short-term maturities, the Company classifies the outstanding issuances as long-term based on its ability and intent to refinance the outstanding issuances on a long-term basis.</w:t>
      </w:r>
    </w:p>
    <w:p>
      <w:pPr>
        <w:spacing w:after="0" w:line="13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March 2022, the Company increased the size of the CP Program to permit the issuance of Commercial Paper Notes in an aggregate principal amount not to exceed $2.0 billion at any time outstanding. As of December 31, 2024, the Company had net issuances of $1.3 billion under the CP Program.</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Securitized Debt</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Tower Revenue Notes and the Secured Notes, Series 2009-1, Class A-2 ("2009 Securitized Notes") (collectively, "Securitized Debt") are obligations of special purpose entities and their direct and indirect subsidiaries (each an "issuer"), all of which are wholly-owned, indirect subsidiaries of CCI. The Tower Revenue Notes and 2009 Securitized Notes are governed by separate indentures. The 2015 Tower Revenue Notes and 2018 Tower Revenue Notes (each as defined below) are governed by one indenture and consist of multiple series of notes, each with its own anticipated repayment date.</w:t>
      </w:r>
    </w:p>
    <w:p>
      <w:pPr>
        <w:spacing w:after="0" w:line="13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In May 2015, the Company issued $1.0 billion aggregate principal amount of Senior Secured Tower Revenue Notes ("2015 Tower Revenue Notes"), which were issued pursuant to the existing indenture and have similar terms and security as the Company's then outstanding Tower Revenue Notes. The 2015 Tower Revenue Notes originally consisted of (1) $300 million aggregate principal amount of 3.222% senior secured tower revenue notes with an anticipated repayment date of May 2022 and a final maturity date of May 2042 ("Series 2015-1 Notes") and (2) $700 million aggregate principal amount of 3.663% senior secured tower revenue notes with an anticipated repayment date of May 2025 and a final maturity date of May 2045 ("Series 2015-2 Notes"). The Company primarily used the net proceeds of the 2015 Tower Revenue Notes, together with proceeds received from the Company's sale of the formerly 77.6% owned subsidiary that operated towers in Australia ("CCAL"), to (1) repay $250 million aggregate principal amount of previously outstanding August 2010 Tower Revenue Notes, (2) repay all of the then outstanding WCP Secured Wireless Site Contracts Revenue Notes, Series 2010-1 ("WCP Securitized Notes"), (3) repay portions of outstanding borrowings under the 2012 Credit Facility and (4) pay related fees and expenses. In June 2021, the Company used a portion of the net proceeds from the 2.500% senior unsecured notes offering due July 2031 to repay in whole the Series 2015-1 Notes.</w:t>
      </w:r>
    </w:p>
    <w:p>
      <w:pPr>
        <w:spacing w:after="0" w:line="325"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In July 2018, the Company issued $1.0 billion aggregate principal amount of Senior Secured Tower Revenue Notes ("2018 Tower Revenue Notes"), which were issued pursuant to the existing indenture and have similar terms and security as the Company's then outstanding Tower Revenue Notes. The 2018 Tower Revenue Notes originally consisted of (1) $250 million aggregate principal amount of 3.720% senior secured tower revenue notes with an anticipated repayment date of July 2023 and a final maturity of July 2043 ("Series 2018-1 Notes") and (2) $750 million aggregate principal amount of 4.241% senior secured tower revenue notes with an anticipated repayment date of July 2028 and a final maturity of July 2048 ("Series 2018-2 Notes"). The Company used the net proceeds of the 2018 Tower Revenue Notes, together with cash on hand, to repay all of the previously outstanding Tower Revenue Notes, Series 2010-6 and to pay related fees and expenses. In addition to the 2018 Tower Revenue Notes described above, in connection with Exchange Act risk retention requirements ("Risk Retention Rules"), an indirect subsidiary of the Company issued and a majority-owned affiliate of the Company purchased approximately $53 million of the Senior Secured Tower Revenue Notes, Series 2018-1, Class R-2028 to retain an eligible horizontal residual interest (as defined in the Risk Retention Rules) in an amount equal to at least 5% of the fair value of the 2018 Tower Revenue Notes. In March 2022, the Company prepaid the Series 2018-1 Notes.</w:t>
      </w:r>
    </w:p>
    <w:p>
      <w:pPr>
        <w:spacing w:after="0" w:line="10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Securitized Debt is paid solely from the cash flows generated by the operation of the towers held directly and indirectly by the issuers of the respective Securitized Debt. The Securitized Debt is secured by, among other things, (1) a security interest in substantially all of the applicable issuers' assignable personal property, (2) a pledge of the equity interests in each applicable issuer and (3) a security interest in the applicable issuers' leases with tenants to lease tower space (space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licenses). The governing instruments of two indirect subsidiaries ("Crown Atlantic" and "Crown GT") of the issuers of the Tower Revenue Notes generally prevent them from issuing debt and granting liens on their assets without the approval of a subsidiary of Verizon Communications. Consequently, while distributions paid by Crown Atlantic and Crown GT will service the Tower Revenue Notes, the Tower Revenue Notes are not obligations of, nor are the Tower Revenue Notes secured by the cash flows or any other assets of, Crown Atlantic and Crown GT. As of December 31, 2024, the Securitized Debt was collateralized with personal property and equipment with an aggregate net book value of approximately $667 million, exclusive of Crown Atlantic and Crown GT personal property and equipment.</w:t>
      </w:r>
    </w:p>
    <w:p>
      <w:pPr>
        <w:spacing w:after="0" w:line="13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excess cash flows from the issuers of the Securitized Debt, after the payment of principal, interest, reserves, expenses and management fees, are distributed to the Company in accordance with the terms of the indentures. If the Debt Service Coverage Ratio ("DSCR") (as defined in the applicable governing loan agreement) as of the end of any calendar quarter falls to a certain level, then all excess cash flow of the issuers of the applicable debt instrument will be deposited into a reserve account instead of being released to the Company. The funds in the reserve account will not be released to the Company until the DSCR exceeds a certain level for two consecutive calendar quarters. If the DSCR falls below a certain level as of the end of any calendar quarter, then all cash on deposit in the reserve account along with future excess cash flows of the issuers will be applied to prepay the debt with applicable prepayment consideration.</w:t>
      </w:r>
    </w:p>
    <w:p>
      <w:pPr>
        <w:spacing w:after="0" w:line="13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may repay the Securitized Debt in whole or in part at any time, provided in each case that such prepayment is accompanied by any applicable prepayment consideration. The Securitized Debt has covenants and restrictions customary for rated securitizations, including provisions prohibiting the issuers from incurring additional indebtedness or further encumbering their assets. The Company is currently in compliance with these financial maintenance covenants.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Bonds—Senior Notes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August 2024, the Company issued $550 million aggregate principal amount of 4.900% senior unsecured notes due 2029 and $700 million aggregate principal amount of 5.200% senior unsecured notes due 2034 (collectively, "August 2024 Senior Notes"). The Company used the net proceeds from the August 2024 Senior Notes offering to repay a portion of the outstanding indebtedness under the CP Program and pay related fees and expenses.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December 2023, the Company issued $750 million aggregate principal amount of 5.600% senior unsecured notes due June 2029 and $750 million aggregate principal amount of 5.800% senior unsecured notes due March 2034 (collectively, "December 2023 Senior Notes"). The Company used the net proceeds from the December 2023 Senior Notes offering to repay a portion of the outstanding indebtedness under its commercial paper program and pay related fees and expenses.</w:t>
      </w:r>
    </w:p>
    <w:p>
      <w:pPr>
        <w:spacing w:after="0" w:line="13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In April 2023, the Company issued $600 million aggregate principal amount of 4.800% senior unsecured notes due September 2028 and $750 million aggregate principal amount of 5.100% senior unsecured notes due May 2033 (collectively, "April 2023 Senior Notes"). The Company used the net proceeds from the April 2023 Senior Notes offering to repay a portion of the outstanding indebtedness under the 2016 Revolver and pay related fees and expenses.</w:t>
      </w:r>
    </w:p>
    <w:p>
      <w:pPr>
        <w:spacing w:after="0" w:line="9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January 2023, the Company issued $1.0 billion aggregate principal amount of 5.000% senior unsecured notes due January 2028 ("January 2023 Senior Notes"). The Company used the net proceeds from the January 2023 Senior Notes offering to repay a portion of the outstanding indebtedness under the 2016 Revolver and pay related fees and expenses.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March 2022, the Company issued $750 million aggregate principal amount of 2.900% senior unsecured notes due March 2027 ("March 2022 Senior Notes"). The Company used the net proceeds from the March 2022 Senior Notes offering to repay a portion of the outstanding indebtedness under the CP Program and pay related fees and expenses.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Each of the outstanding senior notes listed in the table above (collectively, "Senior Notes") are senior unsecured obligations of the Company and rank equally with all of the Company's existing and future senior unsecured indebtedness, including obligations under the 2016 Credit Facility, and senior to all of the Company's future subordinated indebtedness. The Senior Notes are structurally subordinated to all existing and future liabilities and obligations of the Company's subsidiaries. The Company's subsidiaries are not guarantors of the Senior Notes.</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may redeem any of the Senior Notes in whole or in part at any time at a price equal to 100% of the principal amount to be redeemed, plus a make whole premium, if applicable, and accrued and unpaid interest, if any, to the date of redemption.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Previously Outstanding Indebtedness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Bonds—Senior Notes. </w:t>
      </w:r>
      <w:r>
        <w:rPr>
          <w:rFonts w:ascii="Times New Roman" w:cs="Times New Roman" w:eastAsia="Times New Roman" w:hAnsi="Times New Roman"/>
          <w:sz w:val="18"/>
          <w:szCs w:val="18"/>
          <w:color w:val="auto"/>
        </w:rPr>
        <w:t>In September 2024, the Company repaid in full the previously outstanding 3.200% senior unsecured notes due September 2024.</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Scheduled Principal Payments and Final Maturities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following are the scheduled principal payments and final maturities of the total debt and other long-term obligations of the Company outstanding as of December 31, 2024, which do not consider the principal payments that will commence following the anticipated repayment dates on the Tower Revenue Notes. If the Tower Revenue Notes are not paid in full on or prior to their respective anticipated repayment dates, as applicable, then the Excess Cash Flow (as defined in the indenture) of the issuers of such notes will be used to repay principal of the applicable series and class of the Tower Revenue Notes and additional interest (of an additional approximately 5% per annum) will accrue on the Tower Revenue Notes.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Total Debt and</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tcPr>
          <w:p>
            <w:pPr>
              <w:jc w:val="center"/>
              <w:ind w:right="240"/>
              <w:spacing w:after="0" w:line="59" w:lineRule="exact"/>
              <w:rPr>
                <w:sz w:val="20"/>
                <w:szCs w:val="20"/>
                <w:color w:val="auto"/>
              </w:rPr>
            </w:pPr>
            <w:r>
              <w:rPr>
                <w:rFonts w:ascii="Times New Roman" w:cs="Times New Roman" w:eastAsia="Times New Roman" w:hAnsi="Times New Roman"/>
                <w:sz w:val="6"/>
                <w:szCs w:val="6"/>
                <w:b w:val="1"/>
                <w:bCs w:val="1"/>
                <w:color w:val="auto"/>
              </w:rPr>
              <w:t>Total Cash</w:t>
            </w:r>
          </w:p>
        </w:tc>
        <w:tc>
          <w:tcPr>
            <w:tcW w:w="120" w:type="dxa"/>
            <w:vAlign w:val="bottom"/>
          </w:tcPr>
          <w:p>
            <w:pPr>
              <w:spacing w:after="0"/>
              <w:rPr>
                <w:sz w:val="5"/>
                <w:szCs w:val="5"/>
                <w:color w:val="auto"/>
              </w:rPr>
            </w:pPr>
          </w:p>
        </w:tc>
        <w:tc>
          <w:tcPr>
            <w:tcW w:w="1000" w:type="dxa"/>
            <w:vAlign w:val="bottom"/>
            <w:gridSpan w:val="2"/>
          </w:tcPr>
          <w:p>
            <w:pPr>
              <w:jc w:val="center"/>
              <w:ind w:right="220"/>
              <w:spacing w:after="0" w:line="59" w:lineRule="exact"/>
              <w:rPr>
                <w:sz w:val="20"/>
                <w:szCs w:val="20"/>
                <w:color w:val="auto"/>
              </w:rPr>
            </w:pPr>
            <w:r>
              <w:rPr>
                <w:rFonts w:ascii="Times New Roman" w:cs="Times New Roman" w:eastAsia="Times New Roman" w:hAnsi="Times New Roman"/>
                <w:sz w:val="6"/>
                <w:szCs w:val="6"/>
                <w:b w:val="1"/>
                <w:bCs w:val="1"/>
                <w:color w:val="auto"/>
              </w:rPr>
              <w:t>Unamortized</w:t>
            </w:r>
          </w:p>
        </w:tc>
        <w:tc>
          <w:tcPr>
            <w:tcW w:w="1100" w:type="dxa"/>
            <w:vAlign w:val="bottom"/>
            <w:gridSpan w:val="2"/>
          </w:tcPr>
          <w:p>
            <w:pPr>
              <w:jc w:val="center"/>
              <w:spacing w:after="0" w:line="59" w:lineRule="exact"/>
              <w:rPr>
                <w:sz w:val="20"/>
                <w:szCs w:val="20"/>
                <w:color w:val="auto"/>
              </w:rPr>
            </w:pPr>
            <w:r>
              <w:rPr>
                <w:rFonts w:ascii="Times New Roman" w:cs="Times New Roman" w:eastAsia="Times New Roman" w:hAnsi="Times New Roman"/>
                <w:sz w:val="6"/>
                <w:szCs w:val="6"/>
                <w:b w:val="1"/>
                <w:bCs w:val="1"/>
                <w:color w:val="auto"/>
              </w:rPr>
              <w:t>Other Obligations</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2025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2027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2028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2029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Obligations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Adjustments, Net</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0" w:type="dxa"/>
            <w:vAlign w:val="bottom"/>
          </w:tcPr>
          <w:p>
            <w:pPr>
              <w:spacing w:after="0"/>
              <w:rPr>
                <w:sz w:val="1"/>
                <w:szCs w:val="1"/>
                <w:color w:val="auto"/>
              </w:rPr>
            </w:pPr>
          </w:p>
        </w:tc>
      </w:tr>
      <w:tr>
        <w:trPr>
          <w:trHeight w:val="122"/>
        </w:trPr>
        <w:tc>
          <w:tcPr>
            <w:tcW w:w="184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Scheduled principal payments</w:t>
            </w: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84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and</w:t>
            </w:r>
          </w:p>
        </w:tc>
        <w:tc>
          <w:tcPr>
            <w:tcW w:w="20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 xml:space="preserve">1,951 </w:t>
            </w: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5"/>
                <w:szCs w:val="15"/>
                <w:color w:val="auto"/>
              </w:rPr>
              <w:t xml:space="preserve">    $</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2,787</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3,258</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11,130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24,239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24,081</w:t>
            </w: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final maturities</w:t>
            </w:r>
          </w:p>
        </w:tc>
        <w:tc>
          <w:tcPr>
            <w:tcW w:w="200" w:type="dxa"/>
            <w:vAlign w:val="bottom"/>
            <w:vMerge w:val="continue"/>
            <w:shd w:val="clear" w:color="auto" w:fill="CCEEFF"/>
          </w:tcPr>
          <w:p>
            <w:pPr>
              <w:spacing w:after="0"/>
              <w:rPr>
                <w:sz w:val="17"/>
                <w:szCs w:val="17"/>
                <w:color w:val="auto"/>
              </w:rPr>
            </w:pPr>
          </w:p>
        </w:tc>
        <w:tc>
          <w:tcPr>
            <w:tcW w:w="116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Predominately consists of outstanding indebtedness under the CP Program and the 1.350% senior unsecured notes due July 2025.</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Purchases and Redemptions of Long-Term Debt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summary of the purchases, payments and redemptions of long-term debt during the years ended December 31, 2024,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Cash Paid</w:t>
            </w:r>
            <w:r>
              <w:rPr>
                <w:rFonts w:ascii="Times New Roman" w:cs="Times New Roman" w:eastAsia="Times New Roman" w:hAnsi="Times New Roman"/>
                <w:sz w:val="9"/>
                <w:szCs w:val="9"/>
                <w:b w:val="1"/>
                <w:bCs w:val="1"/>
                <w:color w:val="auto"/>
              </w:rPr>
              <w:t>(a)</w:t>
            </w:r>
          </w:p>
        </w:tc>
        <w:tc>
          <w:tcPr>
            <w:tcW w:w="20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Gains (losses)</w:t>
            </w:r>
            <w:r>
              <w:rPr>
                <w:rFonts w:ascii="Times New Roman" w:cs="Times New Roman" w:eastAsia="Times New Roman" w:hAnsi="Times New Roman"/>
                <w:sz w:val="9"/>
                <w:szCs w:val="9"/>
                <w:b w:val="1"/>
                <w:bCs w:val="1"/>
                <w:color w:val="auto"/>
              </w:rPr>
              <w:t>(b)</w:t>
            </w:r>
          </w:p>
        </w:tc>
      </w:tr>
      <w:tr>
        <w:trPr>
          <w:trHeight w:val="24"/>
        </w:trPr>
        <w:tc>
          <w:tcPr>
            <w:tcW w:w="52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520" w:type="dxa"/>
            <w:vAlign w:val="bottom"/>
            <w:shd w:val="clear" w:color="auto" w:fill="CCEEFF"/>
          </w:tcPr>
          <w:p>
            <w:pPr>
              <w:spacing w:after="0"/>
              <w:rPr>
                <w:sz w:val="16"/>
                <w:szCs w:val="16"/>
                <w:color w:val="auto"/>
              </w:rPr>
            </w:pPr>
          </w:p>
        </w:tc>
        <w:tc>
          <w:tcPr>
            <w:tcW w:w="59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300" w:type="dxa"/>
            <w:vAlign w:val="bottom"/>
            <w:tcBorders>
              <w:bottom w:val="single" w:sz="8" w:color="auto"/>
            </w:tcBorders>
            <w:gridSpan w:val="6"/>
            <w:shd w:val="clear" w:color="auto" w:fill="CCEEFF"/>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2024</w:t>
            </w:r>
          </w:p>
        </w:tc>
        <w:tc>
          <w:tcPr>
            <w:tcW w:w="1320" w:type="dxa"/>
            <w:vAlign w:val="bottom"/>
            <w:tcBorders>
              <w:bottom w:val="single" w:sz="8" w:color="auto"/>
            </w:tcBorders>
            <w:shd w:val="clear" w:color="auto" w:fill="CCEEFF"/>
          </w:tcPr>
          <w:p>
            <w:pPr>
              <w:spacing w:after="0"/>
              <w:rPr>
                <w:sz w:val="16"/>
                <w:szCs w:val="16"/>
                <w:color w:val="auto"/>
              </w:rPr>
            </w:pPr>
          </w:p>
        </w:tc>
      </w:tr>
      <w:tr>
        <w:trPr>
          <w:trHeight w:val="202"/>
        </w:trPr>
        <w:tc>
          <w:tcPr>
            <w:tcW w:w="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7"/>
              </w:rPr>
              <w:t>3.200%</w:t>
            </w:r>
          </w:p>
        </w:tc>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59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gridSpan w:val="6"/>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20" w:type="dxa"/>
            <w:vAlign w:val="bottom"/>
            <w:tcBorders>
              <w:bottom w:val="single" w:sz="8" w:color="CCEEFF"/>
            </w:tcBorders>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2023</w:t>
            </w:r>
          </w:p>
        </w:tc>
        <w:tc>
          <w:tcPr>
            <w:tcW w:w="1320" w:type="dxa"/>
            <w:vAlign w:val="bottom"/>
            <w:tcBorders>
              <w:bottom w:val="single" w:sz="8" w:color="auto"/>
            </w:tcBorders>
          </w:tcPr>
          <w:p>
            <w:pPr>
              <w:spacing w:after="0"/>
              <w:rPr>
                <w:sz w:val="14"/>
                <w:szCs w:val="14"/>
                <w:color w:val="auto"/>
              </w:rPr>
            </w:pPr>
          </w:p>
        </w:tc>
      </w:tr>
      <w:tr>
        <w:trPr>
          <w:trHeight w:val="21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3.150%</w:t>
            </w: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59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2"/>
        </w:trPr>
        <w:tc>
          <w:tcPr>
            <w:tcW w:w="520" w:type="dxa"/>
            <w:vAlign w:val="bottom"/>
            <w:shd w:val="clear" w:color="auto" w:fill="CCEEFF"/>
          </w:tcPr>
          <w:p>
            <w:pPr>
              <w:spacing w:after="0"/>
              <w:rPr>
                <w:sz w:val="16"/>
                <w:szCs w:val="16"/>
                <w:color w:val="auto"/>
              </w:rPr>
            </w:pPr>
          </w:p>
        </w:tc>
        <w:tc>
          <w:tcPr>
            <w:tcW w:w="59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300" w:type="dxa"/>
            <w:vAlign w:val="bottom"/>
            <w:tcBorders>
              <w:bottom w:val="single" w:sz="8" w:color="auto"/>
            </w:tcBorders>
            <w:gridSpan w:val="6"/>
            <w:shd w:val="clear" w:color="auto" w:fill="CCEEFF"/>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2022</w:t>
            </w:r>
          </w:p>
        </w:tc>
        <w:tc>
          <w:tcPr>
            <w:tcW w:w="1320" w:type="dxa"/>
            <w:vAlign w:val="bottom"/>
            <w:tcBorders>
              <w:bottom w:val="single" w:sz="8" w:color="auto"/>
            </w:tcBorders>
            <w:shd w:val="clear" w:color="auto" w:fill="CCEEFF"/>
          </w:tcPr>
          <w:p>
            <w:pPr>
              <w:spacing w:after="0"/>
              <w:rPr>
                <w:sz w:val="16"/>
                <w:szCs w:val="16"/>
                <w:color w:val="auto"/>
              </w:rPr>
            </w:pPr>
          </w:p>
        </w:tc>
      </w:tr>
      <w:tr>
        <w:trPr>
          <w:trHeight w:val="202"/>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Tower Revenue Notes, Series 2018-1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3.849%</w:t>
            </w: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Notes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9"/>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2016 Revolver</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9"/>
        </w:trPr>
        <w:tc>
          <w:tcPr>
            <w:tcW w:w="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59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accrued interest.</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the write-off of the respective deferred financing costs.</w:t>
      </w:r>
    </w:p>
    <w:p>
      <w:pPr>
        <w:spacing w:after="0" w:line="158" w:lineRule="exact"/>
        <w:rPr>
          <w:sz w:val="20"/>
          <w:szCs w:val="20"/>
          <w:color w:val="auto"/>
        </w:rPr>
      </w:pPr>
    </w:p>
    <w:p>
      <w:pPr>
        <w:ind w:left="400" w:hanging="395"/>
        <w:spacing w:after="0"/>
        <w:tabs>
          <w:tab w:leader="none" w:pos="4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Disclosures</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Company's financial instruments, along with the carrying amounts of the related assets (liabilities). See also note 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Level in Fair Value</w:t>
            </w:r>
          </w:p>
        </w:tc>
        <w:tc>
          <w:tcPr>
            <w:tcW w:w="140" w:type="dxa"/>
            <w:vAlign w:val="bottom"/>
          </w:tcPr>
          <w:p>
            <w:pPr>
              <w:spacing w:after="0"/>
              <w:rPr>
                <w:sz w:val="16"/>
                <w:szCs w:val="16"/>
                <w:color w:val="auto"/>
              </w:rPr>
            </w:pPr>
          </w:p>
        </w:tc>
        <w:tc>
          <w:tcPr>
            <w:tcW w:w="30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2920" w:type="dxa"/>
            <w:vAlign w:val="bottom"/>
            <w:gridSpan w:val="4"/>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Hierarchy</w:t>
            </w: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6"/>
                <w:szCs w:val="16"/>
                <w:color w:val="auto"/>
              </w:rPr>
            </w:pPr>
          </w:p>
        </w:tc>
        <w:tc>
          <w:tcPr>
            <w:tcW w:w="12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Restricted cash and cash equivalents, current and</w:t>
            </w:r>
          </w:p>
        </w:tc>
        <w:tc>
          <w:tcPr>
            <w:tcW w:w="136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1"/>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debt and other obligations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hanging="395"/>
        <w:spacing w:after="0"/>
        <w:tabs>
          <w:tab w:leader="none" w:pos="4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(loss) before income taxes by geographic area is summarized in the table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r>
      <w:tr>
        <w:trPr>
          <w:trHeight w:val="211"/>
        </w:trPr>
        <w:tc>
          <w:tcPr>
            <w:tcW w:w="648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Foreign</w:t>
            </w:r>
            <w:r>
              <w:rPr>
                <w:rFonts w:ascii="Times New Roman" w:cs="Times New Roman" w:eastAsia="Times New Roman" w:hAnsi="Times New Roman"/>
                <w:sz w:val="20"/>
                <w:szCs w:val="20"/>
                <w:color w:val="auto"/>
                <w:vertAlign w:val="superscript"/>
              </w:rPr>
              <w:t>(a)</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income (loss) before income taxes from Puerto Rico.</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benefit (provision) for income taxes consists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9"/>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Federal</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State</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10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8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Federal</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w:t>
            </w:r>
          </w:p>
        </w:tc>
        <w:tc>
          <w:tcPr>
            <w:tcW w:w="10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tax benefit (provision)</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6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 reconciliation between the benefit (provision) for income taxes and the amount computed by applying the federal statutory income tax rate to the income (loss) before income taxes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 at statutory rate</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adjustment related to REIT operations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(provision) benefit, net of federal</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2"/>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
        </w:trPr>
        <w:tc>
          <w:tcPr>
            <w:tcW w:w="6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net deferred income tax assets and liabilities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4"/>
        </w:trPr>
        <w:tc>
          <w:tcPr>
            <w:tcW w:w="8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9"/>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Site rental contracts and tenant relationships, net</w:t>
            </w: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6"/>
        </w:trPr>
        <w:tc>
          <w:tcPr>
            <w:tcW w:w="8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2"/>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1"/>
        </w:trPr>
        <w:tc>
          <w:tcPr>
            <w:tcW w:w="81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Net operating loss carryforwards</w:t>
            </w:r>
            <w:r>
              <w:rPr>
                <w:rFonts w:ascii="Times New Roman" w:cs="Times New Roman" w:eastAsia="Times New Roman" w:hAnsi="Times New Roman"/>
                <w:sz w:val="20"/>
                <w:szCs w:val="20"/>
                <w:color w:val="auto"/>
                <w:vertAlign w:val="superscript"/>
              </w:rPr>
              <w:t>(a)</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1"/>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Straight-line rent expense liability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Valuation allowances</w:t>
            </w: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8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deferred income tax assets, net</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income tax assets (liabilities)</w:t>
            </w: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line="287" w:lineRule="auto"/>
        <w:tabs>
          <w:tab w:leader="none" w:pos="31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results from the Company's foreign NOLs. Due to the Company's REIT status, no federal or state NOLs result in the Company recording a deferred income tax asset. See further discussion surrounding the Company's NOL balances below.</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operates as a REIT for U.S. federal income tax purposes.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net deferred income tax assets (liabilities)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30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0"/>
                <w:szCs w:val="10"/>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300" w:type="dxa"/>
            <w:vAlign w:val="bottom"/>
          </w:tcPr>
          <w:p>
            <w:pPr>
              <w:spacing w:after="0"/>
              <w:rPr>
                <w:sz w:val="10"/>
                <w:szCs w:val="10"/>
                <w:color w:val="auto"/>
              </w:rPr>
            </w:pPr>
          </w:p>
        </w:tc>
        <w:tc>
          <w:tcPr>
            <w:tcW w:w="9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Allowance</w:t>
            </w: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Allowance</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w:t>
            </w: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96"/>
              </w:rPr>
              <w:t>(3)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recorded valuation allowances totaling $3 million and $2 million, as of December 31, 2024 and 2023 respectively, related to certain deferred tax assets as management believes that it is not "more likely than not" that the Company will realize the assets.</w:t>
      </w:r>
    </w:p>
    <w:p>
      <w:pPr>
        <w:spacing w:after="0" w:line="117" w:lineRule="exact"/>
        <w:rPr>
          <w:sz w:val="20"/>
          <w:szCs w:val="20"/>
          <w:color w:val="auto"/>
        </w:rPr>
      </w:pPr>
    </w:p>
    <w:p>
      <w:pPr>
        <w:jc w:val="both"/>
        <w:ind w:firstLine="395"/>
        <w:spacing w:after="0" w:line="300" w:lineRule="auto"/>
        <w:rPr>
          <w:sz w:val="20"/>
          <w:szCs w:val="20"/>
          <w:color w:val="auto"/>
        </w:rPr>
      </w:pPr>
      <w:r>
        <w:rPr>
          <w:rFonts w:ascii="Times New Roman" w:cs="Times New Roman" w:eastAsia="Times New Roman" w:hAnsi="Times New Roman"/>
          <w:sz w:val="16"/>
          <w:szCs w:val="16"/>
          <w:color w:val="auto"/>
        </w:rPr>
        <w:t>At December 31, 2024, the Company had U.S. federal and state NOLs of approximately $1.5 billion and $0.4 billion, respectively, which are available to offset future taxable income. These amounts include approximately $237 million of losses related to stock-based compensation. As footnoted above, the</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Company’s federal and state NOLs are valued at a tax rate of 0% for deferred income tax purposes due to the Company’s REIT status. As a result, any expirations of these NOLs will not have any impact on the Company’s Consolidated Balance Sheet or the Consolidated Statement of Operations and Comprehensive Income (Loss). The Company also has foreign NOLs of $3 million. If not utilized, the Company's U.S. federal NOLs expire starting in 2025 and ending in 2036, the remaining state NOLs expire starting in 2025 and ending in 2043, and the foreign NOLs start expiring in 2028 and ending in 2036. The federal NOLs potentially expiring in 2025 are $128 million, and the state NOLs potentially expiring in 2025 are $52 million. The utilization of the NOLs is subject to certain limitations. The Company's U.S. federal and state income tax returns generally remain open to examination by taxing authorities until three years after the applicable NOLs have been used or expired.</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there were no unrecognized tax benefits that would impact the effective tax rate, if recognized.</w:t>
      </w:r>
    </w:p>
    <w:p>
      <w:pPr>
        <w:spacing w:after="0" w:line="16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From time to time, the Company is subject to examinations by various tax authorities in jurisdictions in which the Company has business operations. At this time, the Company is not subject to an Internal Revenue Service examination.</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regularly assesses the likelihood of additional assessments in each of the tax jurisdictions in which it has business operations. The Company has no uncertain tax positions as of December 31, 2024. Additionally, the Company does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believe any such additional assessments arising from examinations or audits will have a material effect on the Company's financial statements.</w:t>
      </w:r>
    </w:p>
    <w:p>
      <w:pPr>
        <w:spacing w:after="0" w:line="16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2024, the Company's deferred tax assets are included in "Other assets, net" and the Company's deferred tax liabilities are included in "Other long-term liabilities" on the Company's consolidated balance sheet.</w:t>
      </w:r>
    </w:p>
    <w:p>
      <w:pPr>
        <w:spacing w:after="0" w:line="115" w:lineRule="exact"/>
        <w:rPr>
          <w:sz w:val="20"/>
          <w:szCs w:val="20"/>
          <w:color w:val="auto"/>
        </w:rPr>
      </w:pPr>
    </w:p>
    <w:p>
      <w:pPr>
        <w:ind w:left="400" w:hanging="395"/>
        <w:spacing w:after="0"/>
        <w:tabs>
          <w:tab w:leader="none" w:pos="4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2021 "At-the-Market" Stock Offering Program</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previously maintained an "at-the-market" stock offering program through which it had the right to issue and sell shares of its common stock having an aggregate gross sales price of up to $750 million ("2021 ATM Program"). The Company terminated its previously outstanding 2021 ATM Program in March 2024 with the entire gross sales price of $750 million remaining unsold.</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2024 "At-the-Market" Stock Offering Program</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March 2024, the Company established a new "at-the-market" stock offering program through which it may issue and sell shares of its common stock having an aggregate gross sales price of up to $750 million ("2024 ATM Program"). Sales under the 2024 ATM Program may be made by means of ordinary brokers' transactions on the New York Stock Exchange ("NYSE") or otherwise at market prices prevailing at the time of sale, at prices related to prevailing market prices or, subject to the Company's specific instructions, at negotiated prices. The Company intends to use the net proceeds from any sales under the 2024 ATM Program for general corporate purposes, which may include (1) the funding of future acquisitions or investments or (2) the repayment or repurchase of any outstanding indebtedness. The Company has not sold any shares of common stock under the 2024 ATM Program.</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2024, the following dividends/distributions were declared or paid: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Dividends Per</w:t>
            </w:r>
          </w:p>
        </w:tc>
        <w:tc>
          <w:tcPr>
            <w:tcW w:w="180" w:type="dxa"/>
            <w:vAlign w:val="bottom"/>
          </w:tcPr>
          <w:p>
            <w:pPr>
              <w:spacing w:after="0"/>
              <w:rPr>
                <w:sz w:val="13"/>
                <w:szCs w:val="13"/>
                <w:color w:val="auto"/>
              </w:rPr>
            </w:pPr>
          </w:p>
        </w:tc>
        <w:tc>
          <w:tcPr>
            <w:tcW w:w="9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3"/>
        </w:trPr>
        <w:tc>
          <w:tcPr>
            <w:tcW w:w="324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Equity Type</w:t>
            </w: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Record Date</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5"/>
              <w:spacing w:after="0" w:line="143" w:lineRule="exact"/>
              <w:rPr>
                <w:sz w:val="20"/>
                <w:szCs w:val="20"/>
                <w:color w:val="auto"/>
              </w:rPr>
            </w:pPr>
            <w:r>
              <w:rPr>
                <w:rFonts w:ascii="Times New Roman" w:cs="Times New Roman" w:eastAsia="Times New Roman" w:hAnsi="Times New Roman"/>
                <w:sz w:val="14"/>
                <w:szCs w:val="14"/>
                <w:b w:val="1"/>
                <w:bCs w:val="1"/>
                <w:color w:val="auto"/>
                <w:w w:val="98"/>
              </w:rPr>
              <w:t>Payment</w:t>
            </w: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6"/>
                <w:szCs w:val="16"/>
                <w:color w:val="auto"/>
              </w:rPr>
            </w:pPr>
          </w:p>
        </w:tc>
        <w:tc>
          <w:tcPr>
            <w:tcW w:w="9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February 21, 2024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15, 2024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May 22, 2024</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June 14, 2024</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June 28,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August 7, 2024</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September 13, 2024</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September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November 6, 2024</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December 13, 2024</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5"/>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dividends accrued for holders of unvested RSUs, which will be paid when and if the RSUs vest.</w:t>
      </w: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also note 17 for a discussion of the Company's common stock dividend declared in March 2025.</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Tax Treatment of Dividends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for income tax purposes, the nature of dividends paid during 2024 on the Company's common stock.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Qualified Taxable</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Non-Taxable</w:t>
            </w: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4"/>
                <w:szCs w:val="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Taxable</w:t>
            </w: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Section 199A</w:t>
            </w:r>
          </w:p>
        </w:tc>
        <w:tc>
          <w:tcPr>
            <w:tcW w:w="140" w:type="dxa"/>
            <w:vAlign w:val="bottom"/>
          </w:tcPr>
          <w:p>
            <w:pPr>
              <w:spacing w:after="0"/>
              <w:rPr>
                <w:sz w:val="4"/>
                <w:szCs w:val="4"/>
                <w:color w:val="auto"/>
              </w:rPr>
            </w:pPr>
          </w:p>
        </w:tc>
        <w:tc>
          <w:tcPr>
            <w:tcW w:w="122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Distribution (per</w:t>
            </w:r>
          </w:p>
        </w:tc>
        <w:tc>
          <w:tcPr>
            <w:tcW w:w="0" w:type="dxa"/>
            <w:vAlign w:val="bottom"/>
          </w:tcPr>
          <w:p>
            <w:pPr>
              <w:spacing w:after="0"/>
              <w:rPr>
                <w:sz w:val="1"/>
                <w:szCs w:val="1"/>
                <w:color w:val="auto"/>
              </w:rPr>
            </w:pPr>
          </w:p>
        </w:tc>
      </w:tr>
      <w:tr>
        <w:trPr>
          <w:trHeight w:val="143"/>
        </w:trPr>
        <w:tc>
          <w:tcPr>
            <w:tcW w:w="20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Equity Type</w:t>
            </w: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3"/>
          </w:tcPr>
          <w:p>
            <w:pPr>
              <w:jc w:val="right"/>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6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4"/>
              </w:rPr>
              <w:t>(a)</w:t>
            </w:r>
          </w:p>
        </w:tc>
        <w:tc>
          <w:tcPr>
            <w:tcW w:w="1440" w:type="dxa"/>
            <w:vAlign w:val="bottom"/>
            <w:gridSpan w:val="3"/>
          </w:tcPr>
          <w:p>
            <w:pPr>
              <w:jc w:val="right"/>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40" w:type="dxa"/>
            <w:vAlign w:val="bottom"/>
          </w:tcPr>
          <w:p>
            <w:pPr>
              <w:spacing w:after="0"/>
              <w:rPr>
                <w:sz w:val="12"/>
                <w:szCs w:val="12"/>
                <w:color w:val="auto"/>
              </w:rPr>
            </w:pPr>
          </w:p>
        </w:tc>
        <w:tc>
          <w:tcPr>
            <w:tcW w:w="122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4"/>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1.565000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0.884582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0.018596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0.865986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0.680418</w:t>
            </w:r>
          </w:p>
        </w:tc>
        <w:tc>
          <w:tcPr>
            <w:tcW w:w="0" w:type="dxa"/>
            <w:vAlign w:val="bottom"/>
          </w:tcPr>
          <w:p>
            <w:pPr>
              <w:spacing w:after="0"/>
              <w:rPr>
                <w:sz w:val="1"/>
                <w:szCs w:val="1"/>
                <w:color w:val="auto"/>
              </w:rPr>
            </w:pPr>
          </w:p>
        </w:tc>
      </w:tr>
      <w:tr>
        <w:trPr>
          <w:trHeight w:val="209"/>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June 28,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1.565000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0.884582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0.018596</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0.865986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0.680418</w:t>
            </w:r>
          </w:p>
        </w:tc>
        <w:tc>
          <w:tcPr>
            <w:tcW w:w="0" w:type="dxa"/>
            <w:vAlign w:val="bottom"/>
          </w:tcPr>
          <w:p>
            <w:pPr>
              <w:spacing w:after="0"/>
              <w:rPr>
                <w:sz w:val="1"/>
                <w:szCs w:val="1"/>
                <w:color w:val="auto"/>
              </w:rPr>
            </w:pPr>
          </w:p>
        </w:tc>
      </w:tr>
      <w:tr>
        <w:trPr>
          <w:trHeight w:val="212"/>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September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1.565000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0.884582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0.018596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0.865986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0.680418</w:t>
            </w:r>
          </w:p>
        </w:tc>
        <w:tc>
          <w:tcPr>
            <w:tcW w:w="0" w:type="dxa"/>
            <w:vAlign w:val="bottom"/>
          </w:tcPr>
          <w:p>
            <w:pPr>
              <w:spacing w:after="0"/>
              <w:rPr>
                <w:sz w:val="1"/>
                <w:szCs w:val="1"/>
                <w:color w:val="auto"/>
              </w:rPr>
            </w:pPr>
          </w:p>
        </w:tc>
      </w:tr>
      <w:tr>
        <w:trPr>
          <w:trHeight w:val="207"/>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1.565000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0.884582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0.018596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0.865986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0.680418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5"/>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taxable dividend and section 199A dividend amounts are included in ordinary taxable dividend 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Purchases of the Company's Common Stock</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purchased 0.3 million, 0.2 million and 0.4 million shares of its common stock, respectively, utilizing $33 million, $30 million and $65 million in cash, respectively. The shares of common stock purchased relate to shares withheld in connection with the payment of withholding taxes upon vesting of RSUs.</w:t>
      </w:r>
    </w:p>
    <w:p>
      <w:pPr>
        <w:spacing w:after="0" w:line="125" w:lineRule="exact"/>
        <w:rPr>
          <w:sz w:val="20"/>
          <w:szCs w:val="20"/>
          <w:color w:val="auto"/>
        </w:rPr>
      </w:pPr>
    </w:p>
    <w:p>
      <w:pPr>
        <w:ind w:left="400" w:right="8820" w:hanging="395"/>
        <w:spacing w:after="0" w:line="481" w:lineRule="auto"/>
        <w:tabs>
          <w:tab w:leader="none" w:pos="386"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Stock-based Compensation </w:t>
      </w:r>
      <w:r>
        <w:rPr>
          <w:rFonts w:ascii="Times New Roman" w:cs="Times New Roman" w:eastAsia="Times New Roman" w:hAnsi="Times New Roman"/>
          <w:sz w:val="16"/>
          <w:szCs w:val="16"/>
          <w:i w:val="1"/>
          <w:iCs w:val="1"/>
          <w:color w:val="auto"/>
        </w:rPr>
        <w:t>Stock Compensation Plans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Pursuant to stockholder approved plans, the Company has granted stock-based awards to certain employees, consultants or non-employee directors of the Company and its subsidiaries or affiliates. Following the stockholder approval of the 2022 Long-Term Incentive Plan ("2022 LTIP"), no further awards can be made under the 2013 Long-Term Incentive Plan ("2013 LTIP"). As of December 31, 2024, the Company had approximately 0.4 million and 0.1 million shares available for issuance under existing and future awards, respectively, pursuant to the 2013 LTIP and approximately 2.2 million and 11.9 million shares available for issuance under existing and future awards, respectively, pursuant to the 2022 LTIP.</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issues RSUs to certain executives and employees. Each RSU represents a contingent right to receive one share of the Company's common stock subject to satisfaction of the applicable vesting terms. The RSUs granted to certain executives and employees include (1) annual awards that contain only service-based conditions, (2) annual performance awards that vest subject to the achievement of certain stock performance-based metrics (as further described below), (3) annual performance awards that vest subject to the achievement of the Company's performance related to its average return on invested capital (as further described below), (4) new hire, promotional or relocation awards that generally contain only service-based vesting conditions and (5) other awards related to specific business initiatives or compensation objectives including retention and merger integration. Generally, such awards vest over periods of approximately three years.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RSU activity during the year ended December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20" w:type="dxa"/>
            <w:vAlign w:val="bottom"/>
          </w:tcPr>
          <w:p>
            <w:pPr>
              <w:spacing w:after="0"/>
              <w:rPr>
                <w:sz w:val="16"/>
                <w:szCs w:val="16"/>
                <w:color w:val="auto"/>
              </w:rPr>
            </w:pPr>
          </w:p>
        </w:tc>
        <w:tc>
          <w:tcPr>
            <w:tcW w:w="1920" w:type="dxa"/>
            <w:vAlign w:val="bottom"/>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4"/>
        </w:trPr>
        <w:tc>
          <w:tcPr>
            <w:tcW w:w="93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4"/>
        </w:trPr>
        <w:tc>
          <w:tcPr>
            <w:tcW w:w="9320" w:type="dxa"/>
            <w:vAlign w:val="bottom"/>
          </w:tcPr>
          <w:p>
            <w:pPr>
              <w:spacing w:after="0"/>
              <w:rPr>
                <w:sz w:val="16"/>
                <w:szCs w:val="16"/>
                <w:color w:val="auto"/>
              </w:rPr>
            </w:pPr>
          </w:p>
        </w:tc>
        <w:tc>
          <w:tcPr>
            <w:tcW w:w="1920" w:type="dxa"/>
            <w:vAlign w:val="bottom"/>
          </w:tcPr>
          <w:p>
            <w:pPr>
              <w:jc w:val="right"/>
              <w:ind w:right="52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7"/>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the beginning of year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end of year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granted approximately 1.4 million RSUs to its executives and certain other employees for the year ended December 31, 2024, approximately 1.6 million RSUs for the year ended December 31, 2023 and approximately 0.9 million RSUs for the year ended December 31, 2022. The weighted-average grant-date fair value per share of the grants for the years ended December 31, 2024, 2023 and 2022 was $107.98, $126.56 and $146.52 per share, respectively. The weighted-average requisite service period for the RSUs granted during 2024 was approximately 2.2 years.</w:t>
      </w:r>
    </w:p>
    <w:p>
      <w:pPr>
        <w:spacing w:after="0" w:line="131"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Of the approximately 1.4 million RSUs granted during the year ended December 31, 2024, (1) approximately 1.2 million RSUs were granted to the Company's executive and certain other employees and generally were subject to time-based vesting conditions, vesting over a three-year period (2) approximately 0.1 million RSUs were granted to the Company's executives and certain other employees and may vest on the third anniversary of the grant date based upon the Company's total stockholder return compared to that of the companies in the Standard &amp; Poor's 500 Index and (3) approximately 0.1 million RSUs were granted to the Company's executives and certain other employees and may vest on the third anniversary of the grant date based upon the Company's average return on invested capital (defined as Adjusted EBITDA (as defined in the Restricted Stock Unit Agreement for 2022 Long-Term Incentive Plan (effective August 1, 2022)) less cash taxes paid, divided by the Company's historical gross investment in (a) property and equipment (excluding the impact of construction in process), (b) site rental contracts and tenant relationships and (c) goodwill) over a three-year performance period. Certain RSU agreements contain provisions that result in forfeiture by the employee of any unvested shares in the event that the Company's common stock does not achieve certain market performance targets. To the extent that the requisite service is rendered, compensation cost for accounting purposes is not reversed; rather, it is recognized regardless of whether or not the market performance target is achieved.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Monte Carlo simulation to determine the grant-date fair value for the RSUs with market conditions granted during the years ended December 31, 2024, 2023 and 2022.</w:t>
      </w:r>
    </w:p>
    <w:p>
      <w:pPr>
        <w:spacing w:after="0" w:line="1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23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recognized aggregate stock-based compensation expense related to RSUs of $111 million, $139 million and $134 million for the years ended December 31, 2024, 2023 and 2022, respectively. The aggregate unrecognized compensation (net of estimated forfeitures) related to RSUs at December 31, 2024 is $71 million and is estimated to be recognized over a weighted-average period of less than one year.</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the RSUs vested during the years ended December 31, 2024, 2023 and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7"/>
              </w:rPr>
              <w:t>Total 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Fair Value on</w:t>
            </w:r>
          </w:p>
        </w:tc>
        <w:tc>
          <w:tcPr>
            <w:tcW w:w="0" w:type="dxa"/>
            <w:vAlign w:val="bottom"/>
          </w:tcPr>
          <w:p>
            <w:pPr>
              <w:spacing w:after="0"/>
              <w:rPr>
                <w:sz w:val="1"/>
                <w:szCs w:val="1"/>
                <w:color w:val="auto"/>
              </w:rPr>
            </w:pPr>
          </w:p>
        </w:tc>
      </w:tr>
      <w:tr>
        <w:trPr>
          <w:trHeight w:val="191"/>
        </w:trPr>
        <w:tc>
          <w:tcPr>
            <w:tcW w:w="7420" w:type="dxa"/>
            <w:vAlign w:val="bottom"/>
            <w:gridSpan w:val="2"/>
            <w:vMerge w:val="continue"/>
          </w:tcPr>
          <w:p>
            <w:pPr>
              <w:spacing w:after="0"/>
              <w:rPr>
                <w:sz w:val="16"/>
                <w:szCs w:val="16"/>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0" w:type="dxa"/>
            <w:vAlign w:val="bottom"/>
          </w:tcPr>
          <w:p>
            <w:pPr>
              <w:spacing w:after="0"/>
              <w:rPr>
                <w:sz w:val="1"/>
                <w:szCs w:val="1"/>
                <w:color w:val="auto"/>
              </w:rPr>
            </w:pPr>
          </w:p>
        </w:tc>
      </w:tr>
      <w:tr>
        <w:trPr>
          <w:trHeight w:val="191"/>
        </w:trPr>
        <w:tc>
          <w:tcPr>
            <w:tcW w:w="7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tcPr>
          <w:p>
            <w:pPr>
              <w:jc w:val="center"/>
              <w:ind w:left="130"/>
              <w:spacing w:after="0"/>
              <w:rPr>
                <w:sz w:val="20"/>
                <w:szCs w:val="20"/>
                <w:color w:val="auto"/>
              </w:rPr>
            </w:pPr>
            <w:r>
              <w:rPr>
                <w:rFonts w:ascii="Times New Roman" w:cs="Times New Roman" w:eastAsia="Times New Roman" w:hAnsi="Times New Roman"/>
                <w:sz w:val="14"/>
                <w:szCs w:val="14"/>
                <w:i w:val="1"/>
                <w:iCs w:val="1"/>
                <w:color w:val="auto"/>
                <w:w w:val="99"/>
              </w:rPr>
              <w:t>(In millions of shares)</w:t>
            </w: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Stock-based Compensation Expense, Net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discloses the components of stock-based compensation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6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9"/>
        </w:trPr>
        <w:tc>
          <w:tcPr>
            <w:tcW w:w="6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Site rental costs of operations</w:t>
            </w: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 costs of operations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2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 net</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400" w:right="8360" w:hanging="395"/>
        <w:spacing w:after="0" w:line="428" w:lineRule="auto"/>
        <w:tabs>
          <w:tab w:leader="none" w:pos="39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Other Matters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consolidated financial position or results of operations. The Company and certain of its subsidiaries are also contingently liable for commitments or performance guarantees arising in the ordinary course of business, including certain letters of credit or surety bonds.</w:t>
      </w:r>
    </w:p>
    <w:p>
      <w:pPr>
        <w:spacing w:after="0" w:line="13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See note 13 for a discussion of operating lease commitments. In addition, as mentioned in note 4, the Company has the option to purchase approximately 54% of its towers at the end of their respective lease terms. The Company has no obligation to exercise such purchase options.</w:t>
      </w:r>
    </w:p>
    <w:p>
      <w:pPr>
        <w:spacing w:after="0" w:line="115" w:lineRule="exact"/>
        <w:rPr>
          <w:sz w:val="20"/>
          <w:szCs w:val="20"/>
          <w:color w:val="auto"/>
        </w:rPr>
      </w:pPr>
    </w:p>
    <w:p>
      <w:pPr>
        <w:ind w:left="400" w:hanging="395"/>
        <w:spacing w:after="0"/>
        <w:tabs>
          <w:tab w:leader="none" w:pos="4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Lessor Tenant Leases</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See note 3 for further information regarding the contractual amounts owed to the Company pursuant to tenant contracts in effect as of December 31, 2024 and other information.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Lessee Operating Leases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Company's operating lease expense are as follows: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cost:</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1"/>
        </w:trPr>
        <w:tc>
          <w:tcPr>
            <w:tcW w:w="644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Operating lease expense</w:t>
            </w:r>
            <w:r>
              <w:rPr>
                <w:rFonts w:ascii="Times New Roman" w:cs="Times New Roman" w:eastAsia="Times New Roman" w:hAnsi="Times New Roman"/>
                <w:sz w:val="20"/>
                <w:szCs w:val="20"/>
                <w:color w:val="auto"/>
                <w:vertAlign w:val="superscript"/>
              </w:rPr>
              <w:t>(a)</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706</w:t>
            </w:r>
          </w:p>
        </w:tc>
        <w:tc>
          <w:tcPr>
            <w:tcW w:w="4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708</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1"/>
        </w:trPr>
        <w:tc>
          <w:tcPr>
            <w:tcW w:w="6440" w:type="dxa"/>
            <w:vAlign w:val="bottom"/>
            <w:shd w:val="clear" w:color="auto" w:fill="CCEEFF"/>
          </w:tcPr>
          <w:p>
            <w:pPr>
              <w:ind w:left="240"/>
              <w:spacing w:after="0" w:line="210" w:lineRule="exact"/>
              <w:rPr>
                <w:sz w:val="20"/>
                <w:szCs w:val="20"/>
                <w:color w:val="auto"/>
              </w:rPr>
            </w:pPr>
            <w:r>
              <w:rPr>
                <w:rFonts w:ascii="Times New Roman" w:cs="Times New Roman" w:eastAsia="Times New Roman" w:hAnsi="Times New Roman"/>
                <w:sz w:val="16"/>
                <w:szCs w:val="16"/>
                <w:color w:val="auto"/>
              </w:rPr>
              <w:t>Variable lease expense</w:t>
            </w:r>
            <w:r>
              <w:rPr>
                <w:rFonts w:ascii="Times New Roman" w:cs="Times New Roman" w:eastAsia="Times New Roman" w:hAnsi="Times New Roman"/>
                <w:sz w:val="20"/>
                <w:szCs w:val="20"/>
                <w:color w:val="auto"/>
                <w:vertAlign w:val="superscript"/>
              </w:rPr>
              <w:t>(b)</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4"/>
        </w:trPr>
        <w:tc>
          <w:tcPr>
            <w:tcW w:w="64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lease expense</w:t>
            </w:r>
            <w:r>
              <w:rPr>
                <w:rFonts w:ascii="Times New Roman" w:cs="Times New Roman" w:eastAsia="Times New Roman" w:hAnsi="Times New Roman"/>
                <w:sz w:val="20"/>
                <w:szCs w:val="20"/>
                <w:color w:val="auto"/>
                <w:vertAlign w:val="superscript"/>
              </w:rPr>
              <w:t>(c)</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0"/>
        </w:trPr>
        <w:tc>
          <w:tcPr>
            <w:tcW w:w="6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operating lease expense related to its ROU assets.</w:t>
      </w:r>
    </w:p>
    <w:p>
      <w:pPr>
        <w:spacing w:after="0" w:line="12"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expense related to contingent payments for operating leases (such as payments based on revenues derived from the communications infrastructure located on the leased asset). Such contingencies are recognized as expense in the period they are resolved.</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those direct operating expenses accounted for pursuant to accounting guidance outside the scope of ASC 842.</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Lessee Finance Leases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vast majority of the Company's finance leases are related to the towers subject to prepaid master lease agreements with AT&amp;T and T-Mobile (including those which T-Mobile assumed in its merger with Sprint), and are recorded as "Property and equipment, net" on the consolidated balance sheet. See note 4 for further discussion of the Company's prepaid master lease agreements.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Company's finance leases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Gross Carrying Value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Gross Carrying Value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1"/>
                <w:szCs w:val="11"/>
                <w:color w:val="auto"/>
              </w:rPr>
            </w:pPr>
          </w:p>
        </w:tc>
        <w:tc>
          <w:tcPr>
            <w:tcW w:w="12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Master Prepaid Leases</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1"/>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year ended December 31, 2024, the Company recorded $191 million to "Depreciation, amortization and accretion" related to finance leases and recorded $182 million in each of the years ended December 31, 2023 and December 31, 2022.</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Lessee Information</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2024, the Company's weighted-average remaining lease term and weighted-average discount rate for operating leases were 15 years and 4.9%, respectively.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the Company's maturities of operating lease liabilities as of December 31, 2024:</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left="253"/>
              <w:spacing w:after="0"/>
              <w:rPr>
                <w:sz w:val="20"/>
                <w:szCs w:val="20"/>
                <w:color w:val="auto"/>
              </w:rPr>
            </w:pPr>
            <w:r>
              <w:rPr>
                <w:rFonts w:ascii="Times New Roman" w:cs="Times New Roman" w:eastAsia="Times New Roman" w:hAnsi="Times New Roman"/>
                <w:sz w:val="12"/>
                <w:szCs w:val="12"/>
                <w:b w:val="1"/>
                <w:bCs w:val="1"/>
                <w:color w:val="auto"/>
              </w:rPr>
              <w:t>Years Ending December 31,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undiscounted</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Less: Imputed</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Total operating lease</w:t>
            </w:r>
          </w:p>
        </w:tc>
      </w:tr>
      <w:tr>
        <w:trPr>
          <w:trHeight w:val="177"/>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w w:val="91"/>
              </w:rPr>
              <w:t>2028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lease payments</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w:t>
            </w:r>
          </w:p>
        </w:tc>
        <w:tc>
          <w:tcPr>
            <w:tcW w:w="220" w:type="dxa"/>
            <w:vAlign w:val="bottom"/>
          </w:tcPr>
          <w:p>
            <w:pPr>
              <w:spacing w:after="0"/>
              <w:rPr>
                <w:sz w:val="15"/>
                <w:szCs w:val="15"/>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211"/>
        </w:trPr>
        <w:tc>
          <w:tcPr>
            <w:tcW w:w="21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Operating leases</w:t>
            </w:r>
            <w:r>
              <w:rPr>
                <w:rFonts w:ascii="Times New Roman" w:cs="Times New Roman" w:eastAsia="Times New Roman" w:hAnsi="Times New Roman"/>
                <w:sz w:val="20"/>
                <w:szCs w:val="20"/>
                <w:color w:val="auto"/>
                <w:vertAlign w:val="superscript"/>
              </w:rPr>
              <w:t>(a)</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547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r>
    </w:tbl>
    <w:p>
      <w:pPr>
        <w:spacing w:after="0" w:line="56" w:lineRule="exact"/>
        <w:rPr>
          <w:sz w:val="20"/>
          <w:szCs w:val="20"/>
          <w:color w:val="auto"/>
        </w:rPr>
      </w:pPr>
    </w:p>
    <w:p>
      <w:pPr>
        <w:ind w:left="320" w:hanging="315"/>
        <w:spacing w:after="0" w:line="287" w:lineRule="auto"/>
        <w:tabs>
          <w:tab w:leader="none" w:pos="31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for operating leases (such as payments based on revenues derived from the communications infrastructure located on the leased asset) as such arrangements are excluded from the Company's operating lease liability. Such contingencies are recognized as expense in the period they are resolved.</w:t>
      </w:r>
    </w:p>
    <w:p>
      <w:pPr>
        <w:spacing w:after="0" w:line="117" w:lineRule="exact"/>
        <w:rPr>
          <w:sz w:val="20"/>
          <w:szCs w:val="20"/>
          <w:color w:val="auto"/>
        </w:rPr>
      </w:pPr>
    </w:p>
    <w:p>
      <w:pPr>
        <w:ind w:left="400" w:right="6700" w:hanging="395"/>
        <w:spacing w:after="0" w:line="428" w:lineRule="auto"/>
        <w:tabs>
          <w:tab w:leader="none" w:pos="396"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Operating Segments and Concentrations of Credit Risk </w:t>
      </w:r>
      <w:r>
        <w:rPr>
          <w:rFonts w:ascii="Times New Roman" w:cs="Times New Roman" w:eastAsia="Times New Roman" w:hAnsi="Times New Roman"/>
          <w:sz w:val="18"/>
          <w:szCs w:val="18"/>
          <w:i w:val="1"/>
          <w:iCs w:val="1"/>
          <w:color w:val="auto"/>
        </w:rPr>
        <w:t>Reportable Segments</w:t>
      </w:r>
    </w:p>
    <w:p>
      <w:pPr>
        <w:spacing w:after="0" w:line="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Company's operating segments, which are also its reportable segments, consist of (1) Towers and (2) Fiber. The Towers segment provides access, including space or capacity, to the Company's more than 40,000 towers geographically dispersed throughout the U.S. The Towers segment also reflects certain ancillary services relating to the Company's towers, predominately consisting of site development services and installation services. See note 16 to the Company's consolidated financial statements for a discussion of the Company's 2023 Restructuring Plan, which included discontinuing installation services as a Towers product offering and note 17 for a discussion of the sale of the Fiber segment which is expected to close in the first half of 2026. The Fiber segment provides access, including space or capacity, to the Company's approximately (1)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105,000 small cells either currently generating revenue or under contract and (2) 90,000 route miles of fiber primarily supporting small cells and fiber solutions geographically dispersed throughout the U.S.</w:t>
      </w:r>
    </w:p>
    <w:p>
      <w:pPr>
        <w:spacing w:after="0" w:line="196"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The Company’s President and Chief Executive Officer functions as the chief operating decision maker ("CODM"). The measurement of profit or loss primarily used by the CODM to evaluate the performance of the Company's operating segments is segment operating profit (loss). The CODM uses segment operating profit (loss) to evaluate budget-to-actual variances to assist in deciding whether to (1) reinvest capital into the Company's operating segments by constructing new assets, acquire new assets or land interests (which primarily relate to land assets under towers), or make improvements and structural enhancements to our existing infrastructure, (2) return cash generated to stockholders in the form of dividends, (3) purchase shares of our common stock, or (4) repurchase, repay, or redeem the Company's debt. The CODM also uses segment operating profit (loss) in the evaluation of pricing of new projects and new tenant agreements. Additionally, the Company CODM reviews segment adjusted site rental gross margin and segment adjusted services and other gross margin. The CODM uses segment adjusted site rental gross margin and segment adjusted services and other gross margin to (1) evaluate the economic productivity of the Company's operating segments, (2) identify underlying business trends that are impacting the Company's segment performance, (3) assist in making resource allocation decisions and (4) aid in the preparation of the annual operating budget for the Company's operating segments.</w:t>
      </w:r>
    </w:p>
    <w:p>
      <w:pPr>
        <w:spacing w:after="0" w:line="200" w:lineRule="exact"/>
        <w:rPr>
          <w:sz w:val="20"/>
          <w:szCs w:val="20"/>
          <w:color w:val="auto"/>
        </w:rPr>
      </w:pPr>
    </w:p>
    <w:p>
      <w:pPr>
        <w:spacing w:after="0" w:line="20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 defines segment operating profit (loss) as segment site rental revenues plus segment services and other revenues, less segment site rental costs of operations, segment services and other costs of operations, and segment selling, general and administrative expenses, each of which excludes stock-based compensation, net, and prepaid lease purchase price adjustments, which are recorded in the respective consolidated figures. The Company defines segment adjusted site rental gross margin as segment site rental revenues less segment site rental costs of operations, excluding stock-based compensation expense, net and amortization of prepaid lease purchase price adjustments recorded in consolidated site rental costs of operations. The Company defines segment adjusted services and other gross margin as segment services and other revenues less segment services and other costs of operations, excluding stock-based compensation expense, net recorded in consolidated services and other costs of operations. All of these measurements are exclusive of depreciation, amortization and accretion, which are shown separately.</w:t>
      </w:r>
    </w:p>
    <w:p>
      <w:pPr>
        <w:spacing w:after="0" w:line="138" w:lineRule="exact"/>
        <w:rPr>
          <w:sz w:val="20"/>
          <w:szCs w:val="20"/>
          <w:color w:val="auto"/>
        </w:rPr>
      </w:pPr>
    </w:p>
    <w:p>
      <w:pPr>
        <w:jc w:val="both"/>
        <w:ind w:firstLine="395"/>
        <w:spacing w:after="0" w:line="277" w:lineRule="auto"/>
        <w:rPr>
          <w:sz w:val="20"/>
          <w:szCs w:val="20"/>
          <w:color w:val="auto"/>
        </w:rPr>
      </w:pPr>
      <w:r>
        <w:rPr>
          <w:rFonts w:ascii="Times New Roman" w:cs="Times New Roman" w:eastAsia="Times New Roman" w:hAnsi="Times New Roman"/>
          <w:sz w:val="16"/>
          <w:szCs w:val="16"/>
          <w:color w:val="auto"/>
        </w:rPr>
        <w:t>Costs that are directly attributable to Towers and Fiber are assigned to those respective segments. Additionally, certain costs are shared across segments and are reflected in the Company's segment measures through allocations that management believes to be reasonable. The "Other Non-Segment Items" column, which does not meet the criteria to be classified as a reportable segment, (1) represents amounts excluded from specific segments, such as restructuring charges (credits), asset write-down charges, goodwill impairment, acquisition and integration costs, depreciation, amortization and accretion, amortization of prepaid lease purchase price adjustments, interest expense and amortization of deferred financing costs, net, gains (losses) on retirement of long-term obligations, interest income, other income (expense), stock-based compensation expense, net and certain selling, general and administrative expenses, and (2) reconciles segment operating profit (loss) to income (loss) before income taxes, as the amounts are not utilized in assessing each segment’s performance. The "Other Non-Segment Items" total assets balance includes corporate assets such as cash and cash equivalents and restricted cash and cash equivalents which have not been allocated to specific segments. For both the Towers and Fiber segments, other segment costs of operations primarily consists of (1) utilities, (2) property taxes,</w:t>
      </w:r>
    </w:p>
    <w:p>
      <w:pPr>
        <w:spacing w:after="0" w:line="1" w:lineRule="exact"/>
        <w:rPr>
          <w:sz w:val="20"/>
          <w:szCs w:val="20"/>
          <w:color w:val="auto"/>
        </w:rPr>
      </w:pPr>
    </w:p>
    <w:p>
      <w:pPr>
        <w:jc w:val="both"/>
        <w:ind w:firstLine="5"/>
        <w:spacing w:after="0" w:line="246" w:lineRule="auto"/>
        <w:tabs>
          <w:tab w:leader="none" w:pos="2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costs related to ancillary services performed and (4) various other insignificant expenses. Other segment selling, general and administrative expenses primarily contains an allocation of corporate facilities expense relating to employees operating for each respective segment and external selling costs in the Fiber segment. There are no significant revenues resulting from transactions between the Company's operating segments.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2024 Segment Results and Significant Segment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220" w:type="dxa"/>
            <w:vAlign w:val="bottom"/>
          </w:tcPr>
          <w:p>
            <w:pPr>
              <w:spacing w:after="0"/>
              <w:rPr>
                <w:sz w:val="11"/>
                <w:szCs w:val="11"/>
                <w:color w:val="auto"/>
              </w:rPr>
            </w:pPr>
          </w:p>
        </w:tc>
        <w:tc>
          <w:tcPr>
            <w:tcW w:w="112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Other Non-Segment</w:t>
            </w:r>
          </w:p>
        </w:tc>
        <w:tc>
          <w:tcPr>
            <w:tcW w:w="320" w:type="dxa"/>
            <w:vAlign w:val="bottom"/>
          </w:tcPr>
          <w:p>
            <w:pPr>
              <w:spacing w:after="0"/>
              <w:rPr>
                <w:sz w:val="11"/>
                <w:szCs w:val="11"/>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services and other revenues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site rental costs of operations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services and other costs of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Segment costs of operations</w:t>
            </w:r>
            <w:r>
              <w:rPr>
                <w:rFonts w:ascii="Times New Roman" w:cs="Times New Roman" w:eastAsia="Times New Roman" w:hAnsi="Times New Roman"/>
                <w:sz w:val="20"/>
                <w:szCs w:val="20"/>
                <w:color w:val="auto"/>
                <w:vertAlign w:val="superscript"/>
              </w:rPr>
              <w:t>(a)(b)</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site rental gross margin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adjusted services and other gross margin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selling, general and administrative expenses</w:t>
            </w:r>
            <w:r>
              <w:rPr>
                <w:rFonts w:ascii="Times New Roman" w:cs="Times New Roman" w:eastAsia="Times New Roman" w:hAnsi="Times New Roman"/>
                <w:sz w:val="20"/>
                <w:szCs w:val="20"/>
                <w:color w:val="auto"/>
                <w:vertAlign w:val="superscript"/>
              </w:rPr>
              <w:t>(b)</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(income) expenses to reconcile to income (loss) before income taxes</w:t>
            </w:r>
            <w:r>
              <w:rPr>
                <w:rFonts w:ascii="Times New Roman" w:cs="Times New Roman" w:eastAsia="Times New Roman" w:hAnsi="Times New Roman"/>
                <w:sz w:val="20"/>
                <w:szCs w:val="20"/>
                <w:color w:val="auto"/>
                <w:vertAlign w:val="superscript"/>
              </w:rPr>
              <w:t>(c)</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(at year end)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11,283</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(at year end)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Fiber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Other Non-Segment</w:t>
            </w:r>
          </w:p>
        </w:tc>
        <w:tc>
          <w:tcPr>
            <w:tcW w:w="320" w:type="dxa"/>
            <w:vAlign w:val="bottom"/>
          </w:tcPr>
          <w:p>
            <w:pPr>
              <w:spacing w:after="0"/>
              <w:rPr>
                <w:sz w:val="11"/>
                <w:szCs w:val="11"/>
                <w:color w:val="auto"/>
              </w:rPr>
            </w:pPr>
          </w:p>
        </w:tc>
        <w:tc>
          <w:tcPr>
            <w:tcW w:w="104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costs of operations: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expense</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compensation expense</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Repairs and maintenance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segment costs of operations expense</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segment costs of operations</w:t>
            </w:r>
            <w:r>
              <w:rPr>
                <w:rFonts w:ascii="Times New Roman" w:cs="Times New Roman" w:eastAsia="Times New Roman" w:hAnsi="Times New Roman"/>
                <w:sz w:val="20"/>
                <w:szCs w:val="20"/>
                <w:color w:val="auto"/>
                <w:vertAlign w:val="superscript"/>
              </w:rPr>
              <w:t>(a)(b)</w:t>
            </w: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1,060</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selling, general and administrative expenses: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compensation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segment selling, general and administrative expenses</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188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segment selling, general and administrative expenses</w:t>
            </w:r>
            <w:r>
              <w:rPr>
                <w:rFonts w:ascii="Times New Roman" w:cs="Times New Roman" w:eastAsia="Times New Roman" w:hAnsi="Times New Roman"/>
                <w:sz w:val="20"/>
                <w:szCs w:val="20"/>
                <w:color w:val="auto"/>
                <w:vertAlign w:val="superscript"/>
              </w:rPr>
              <w:t>(b)</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348</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1" w:lineRule="exact"/>
        <w:rPr>
          <w:rFonts w:ascii="Times New Roman" w:cs="Times New Roman" w:eastAsia="Times New Roman" w:hAnsi="Times New Roman"/>
          <w:sz w:val="14"/>
          <w:szCs w:val="14"/>
          <w:color w:val="auto"/>
        </w:rPr>
      </w:pPr>
    </w:p>
    <w:p>
      <w:pPr>
        <w:jc w:val="both"/>
        <w:ind w:left="320" w:hanging="315"/>
        <w:spacing w:after="0" w:line="255" w:lineRule="auto"/>
        <w:tabs>
          <w:tab w:leader="none" w:pos="31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costs of operations for the year ended December 31, 2024 excludes (1) stock-based compensation expense, net of $25 million and (2) prepaid lease purchase price adjustments of $16 million. For the year ended December 31, 2024, segment selling, general and administrative expenses and other selling, general and administrative expenses exclude stock-based compensation expense, net of $106 million.</w:t>
      </w:r>
    </w:p>
    <w:p>
      <w:pPr>
        <w:ind w:left="320" w:hanging="315"/>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consolidated statement of operations and comprehensive income (loss) for further information.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2023 Segment Results and Significant Segment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220" w:type="dxa"/>
            <w:vAlign w:val="bottom"/>
          </w:tcPr>
          <w:p>
            <w:pPr>
              <w:spacing w:after="0"/>
              <w:rPr>
                <w:sz w:val="11"/>
                <w:szCs w:val="11"/>
                <w:color w:val="auto"/>
              </w:rPr>
            </w:pPr>
          </w:p>
        </w:tc>
        <w:tc>
          <w:tcPr>
            <w:tcW w:w="112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Other Non-Segment</w:t>
            </w:r>
          </w:p>
        </w:tc>
        <w:tc>
          <w:tcPr>
            <w:tcW w:w="320" w:type="dxa"/>
            <w:vAlign w:val="bottom"/>
          </w:tcPr>
          <w:p>
            <w:pPr>
              <w:spacing w:after="0"/>
              <w:rPr>
                <w:sz w:val="11"/>
                <w:szCs w:val="11"/>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services and other revenues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site rental costs of operations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services and other costs of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Segment costs of operations</w:t>
            </w:r>
            <w:r>
              <w:rPr>
                <w:rFonts w:ascii="Times New Roman" w:cs="Times New Roman" w:eastAsia="Times New Roman" w:hAnsi="Times New Roman"/>
                <w:sz w:val="20"/>
                <w:szCs w:val="20"/>
                <w:color w:val="auto"/>
                <w:vertAlign w:val="superscript"/>
              </w:rPr>
              <w:t>(a)(b)</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site rental gross margin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adjusted services and other gross margin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selling, general and administrative expenses</w:t>
            </w:r>
            <w:r>
              <w:rPr>
                <w:rFonts w:ascii="Times New Roman" w:cs="Times New Roman" w:eastAsia="Times New Roman" w:hAnsi="Times New Roman"/>
                <w:sz w:val="20"/>
                <w:szCs w:val="20"/>
                <w:color w:val="auto"/>
                <w:vertAlign w:val="superscript"/>
              </w:rPr>
              <w:t>(b)</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1"/>
        </w:trPr>
        <w:tc>
          <w:tcPr>
            <w:tcW w:w="558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Other (income) expenses to reconcile to income (loss) before income taxes</w:t>
            </w:r>
            <w:r>
              <w:rPr>
                <w:rFonts w:ascii="Times New Roman" w:cs="Times New Roman" w:eastAsia="Times New Roman" w:hAnsi="Times New Roman"/>
                <w:sz w:val="20"/>
                <w:szCs w:val="20"/>
                <w:color w:val="auto"/>
                <w:vertAlign w:val="superscript"/>
              </w:rPr>
              <w:t>(c)</w:t>
            </w:r>
          </w:p>
        </w:tc>
        <w:tc>
          <w:tcPr>
            <w:tcW w:w="2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2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400" w:type="dxa"/>
            <w:vAlign w:val="bottom"/>
            <w:tcBorders>
              <w:top w:val="single" w:sz="8" w:color="CCEEFF"/>
              <w:bottom w:val="single" w:sz="8" w:color="CCEEFF"/>
            </w:tcBorders>
            <w:gridSpan w:val="2"/>
            <w:vMerge w:val="restart"/>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CCEEFF"/>
              <w:bottom w:val="single" w:sz="8" w:color="CCEEFF"/>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(at year end)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16,308</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0" w:type="dxa"/>
            <w:vAlign w:val="bottom"/>
          </w:tcPr>
          <w:p>
            <w:pPr>
              <w:spacing w:after="0"/>
              <w:rPr>
                <w:sz w:val="1"/>
                <w:szCs w:val="1"/>
                <w:color w:val="auto"/>
              </w:rPr>
            </w:pPr>
          </w:p>
        </w:tc>
      </w:tr>
      <w:tr>
        <w:trPr>
          <w:trHeight w:val="20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goodwill (at year end)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Fiber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Other Non-Segment</w:t>
            </w:r>
          </w:p>
        </w:tc>
        <w:tc>
          <w:tcPr>
            <w:tcW w:w="320" w:type="dxa"/>
            <w:vAlign w:val="bottom"/>
          </w:tcPr>
          <w:p>
            <w:pPr>
              <w:spacing w:after="0"/>
              <w:rPr>
                <w:sz w:val="11"/>
                <w:szCs w:val="11"/>
                <w:color w:val="auto"/>
              </w:rPr>
            </w:pPr>
          </w:p>
        </w:tc>
        <w:tc>
          <w:tcPr>
            <w:tcW w:w="104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costs of operations: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expense</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compensation expense</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Repairs and maintenance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segment costs of operations expense</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segment costs of operations</w:t>
            </w:r>
            <w:r>
              <w:rPr>
                <w:rFonts w:ascii="Times New Roman" w:cs="Times New Roman" w:eastAsia="Times New Roman" w:hAnsi="Times New Roman"/>
                <w:sz w:val="20"/>
                <w:szCs w:val="20"/>
                <w:color w:val="auto"/>
                <w:vertAlign w:val="superscript"/>
              </w:rPr>
              <w:t>(a)(b)</w:t>
            </w: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1,237</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selling, general and administrative expenses: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compensation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segment selling, general and administrative expenses</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162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segment selling, general and administrative expenses</w:t>
            </w:r>
            <w:r>
              <w:rPr>
                <w:rFonts w:ascii="Times New Roman" w:cs="Times New Roman" w:eastAsia="Times New Roman" w:hAnsi="Times New Roman"/>
                <w:sz w:val="20"/>
                <w:szCs w:val="20"/>
                <w:color w:val="auto"/>
                <w:vertAlign w:val="superscript"/>
              </w:rPr>
              <w:t>(b)</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333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1" w:lineRule="exact"/>
        <w:rPr>
          <w:rFonts w:ascii="Times New Roman" w:cs="Times New Roman" w:eastAsia="Times New Roman" w:hAnsi="Times New Roman"/>
          <w:sz w:val="14"/>
          <w:szCs w:val="14"/>
          <w:color w:val="auto"/>
        </w:rPr>
      </w:pPr>
    </w:p>
    <w:p>
      <w:pPr>
        <w:jc w:val="both"/>
        <w:ind w:left="320" w:hanging="315"/>
        <w:spacing w:after="0" w:line="255" w:lineRule="auto"/>
        <w:tabs>
          <w:tab w:leader="none" w:pos="31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costs of operations for the year ended December 31, 2023 excludes (1) stock-based compensation expense, net of $29 million and (2) prepaid lease purchase price adjustments of $16 million. For the year ended December 31, 2023, segment selling, general and administrative expenses and other selling, general and administrative expenses exclude stock-based compensation expense, net of $128 million.</w:t>
      </w:r>
    </w:p>
    <w:p>
      <w:pPr>
        <w:ind w:left="320" w:hanging="315"/>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consolidated statement of operations and comprehensive income (loss) for further information.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2022 Segment Results and Significant Segment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220" w:type="dxa"/>
            <w:vAlign w:val="bottom"/>
          </w:tcPr>
          <w:p>
            <w:pPr>
              <w:spacing w:after="0"/>
              <w:rPr>
                <w:sz w:val="11"/>
                <w:szCs w:val="11"/>
                <w:color w:val="auto"/>
              </w:rPr>
            </w:pPr>
          </w:p>
        </w:tc>
        <w:tc>
          <w:tcPr>
            <w:tcW w:w="112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Other Non-Segment</w:t>
            </w:r>
          </w:p>
        </w:tc>
        <w:tc>
          <w:tcPr>
            <w:tcW w:w="320" w:type="dxa"/>
            <w:vAlign w:val="bottom"/>
          </w:tcPr>
          <w:p>
            <w:pPr>
              <w:spacing w:after="0"/>
              <w:rPr>
                <w:sz w:val="11"/>
                <w:szCs w:val="11"/>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site rental revenues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services and other revenues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site rental costs of operations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services and other costs of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Segment costs of operations</w:t>
            </w:r>
            <w:r>
              <w:rPr>
                <w:rFonts w:ascii="Times New Roman" w:cs="Times New Roman" w:eastAsia="Times New Roman" w:hAnsi="Times New Roman"/>
                <w:sz w:val="20"/>
                <w:szCs w:val="20"/>
                <w:color w:val="auto"/>
                <w:vertAlign w:val="superscript"/>
              </w:rPr>
              <w:t>(a)(b)</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site rental gross margin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adjusted services and other gross margin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Segment selling, general and administrative expenses</w:t>
            </w:r>
            <w:r>
              <w:rPr>
                <w:rFonts w:ascii="Times New Roman" w:cs="Times New Roman" w:eastAsia="Times New Roman" w:hAnsi="Times New Roman"/>
                <w:sz w:val="20"/>
                <w:szCs w:val="20"/>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 (loss)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selling, general and administrative expenses</w:t>
            </w:r>
            <w:r>
              <w:rPr>
                <w:rFonts w:ascii="Times New Roman" w:cs="Times New Roman" w:eastAsia="Times New Roman" w:hAnsi="Times New Roman"/>
                <w:sz w:val="20"/>
                <w:szCs w:val="20"/>
                <w:color w:val="auto"/>
                <w:vertAlign w:val="superscript"/>
              </w:rPr>
              <w:t>(b)</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(income) expenses to reconcile to income (loss) before income taxes</w:t>
            </w:r>
            <w:r>
              <w:rPr>
                <w:rFonts w:ascii="Times New Roman" w:cs="Times New Roman" w:eastAsia="Times New Roman" w:hAnsi="Times New Roman"/>
                <w:sz w:val="20"/>
                <w:szCs w:val="20"/>
                <w:color w:val="auto"/>
                <w:vertAlign w:val="superscript"/>
              </w:rPr>
              <w:t>(c)</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(at year end)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38,921</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(at year end)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Fiber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Other Non-Segment</w:t>
            </w:r>
          </w:p>
        </w:tc>
        <w:tc>
          <w:tcPr>
            <w:tcW w:w="320" w:type="dxa"/>
            <w:vAlign w:val="bottom"/>
          </w:tcPr>
          <w:p>
            <w:pPr>
              <w:spacing w:after="0"/>
              <w:rPr>
                <w:sz w:val="11"/>
                <w:szCs w:val="11"/>
                <w:color w:val="auto"/>
              </w:rPr>
            </w:pPr>
          </w:p>
        </w:tc>
        <w:tc>
          <w:tcPr>
            <w:tcW w:w="104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costs of operations: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expense</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compensation expense</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Repairs and maintenance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segment costs of operations expense</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segment costs of operations</w:t>
            </w:r>
            <w:r>
              <w:rPr>
                <w:rFonts w:ascii="Times New Roman" w:cs="Times New Roman" w:eastAsia="Times New Roman" w:hAnsi="Times New Roman"/>
                <w:sz w:val="20"/>
                <w:szCs w:val="20"/>
                <w:color w:val="auto"/>
                <w:vertAlign w:val="superscript"/>
              </w:rPr>
              <w:t>(a)(b)</w:t>
            </w: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1,365</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selling, general and administrative expenses: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compensation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segment selling, general and administrative expenses</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134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Total segment selling, general and administrative expenses</w:t>
            </w:r>
            <w:r>
              <w:rPr>
                <w:rFonts w:ascii="Times New Roman" w:cs="Times New Roman" w:eastAsia="Times New Roman" w:hAnsi="Times New Roman"/>
                <w:sz w:val="20"/>
                <w:szCs w:val="20"/>
                <w:color w:val="auto"/>
                <w:vertAlign w:val="superscript"/>
              </w:rPr>
              <w:t>(b)</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317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w:t>
      </w:r>
    </w:p>
    <w:p>
      <w:pPr>
        <w:spacing w:after="0" w:line="21" w:lineRule="exact"/>
        <w:rPr>
          <w:rFonts w:ascii="Times New Roman" w:cs="Times New Roman" w:eastAsia="Times New Roman" w:hAnsi="Times New Roman"/>
          <w:sz w:val="14"/>
          <w:szCs w:val="14"/>
          <w:color w:val="auto"/>
        </w:rPr>
      </w:pPr>
    </w:p>
    <w:p>
      <w:pPr>
        <w:jc w:val="both"/>
        <w:ind w:left="320" w:hanging="315"/>
        <w:spacing w:after="0" w:line="255" w:lineRule="auto"/>
        <w:tabs>
          <w:tab w:leader="none" w:pos="31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costs of operations for the year ended December 31, 2022 excludes (1) stock-based compensation expense, net of $28 million and (2) prepaid lease purchase price adjustments of $16 million. For the year ended December 31, 2022, segment selling, general and administrative expenses and other selling, general and administrative expenses exclude stock-based compensation expense, net of $128 million.</w:t>
      </w:r>
    </w:p>
    <w:p>
      <w:pPr>
        <w:ind w:left="320" w:hanging="315"/>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consolidated statement of operations and comprehensive income (loss) for further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Major Tenants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percentage of the consolidated revenues for those tenants accounting for more than 10% of the Company's consolidated revenues.</w:t>
      </w:r>
    </w:p>
    <w:p>
      <w:pPr>
        <w:spacing w:after="0" w:line="1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Pr>
          <w:p>
            <w:pPr>
              <w:spacing w:after="0"/>
              <w:rPr>
                <w:sz w:val="17"/>
                <w:szCs w:val="17"/>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T-Mobile</w:t>
            </w: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0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AT&amp;T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2"/>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Verizon Wireless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
        </w:trPr>
        <w:tc>
          <w:tcPr>
            <w:tcW w:w="6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and cash equivalents, restricted cash and cash equivalents and trade receivables. The Company mitigates its risk with respect to cash and cash equivalents by maintaining such deposits at high credit quality financial institutions and monitoring the credit ratings of those institutions. The Company's restricted cash and cash equivalents are predominately held and directed by a trustee (see note 2).</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derives the largest portion of its revenues from tenants in the wireless industry. The Company also has a concentration in its volume of business with T-Mobile, AT&amp;T and Verizon Wireless or their agents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129" w:lineRule="exact"/>
        <w:rPr>
          <w:sz w:val="20"/>
          <w:szCs w:val="20"/>
          <w:color w:val="auto"/>
        </w:rPr>
      </w:pPr>
    </w:p>
    <w:p>
      <w:pPr>
        <w:ind w:left="400" w:hanging="395"/>
        <w:spacing w:after="0"/>
        <w:tabs>
          <w:tab w:leader="none" w:pos="4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6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supplemental cash flow information during the years ended December 31, 2024, 2023 and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0" w:type="dxa"/>
            <w:vAlign w:val="bottom"/>
          </w:tcPr>
          <w:p>
            <w:pPr>
              <w:spacing w:after="0"/>
              <w:rPr>
                <w:sz w:val="16"/>
                <w:szCs w:val="16"/>
                <w:color w:val="auto"/>
              </w:rPr>
            </w:pPr>
          </w:p>
        </w:tc>
      </w:tr>
      <w:tr>
        <w:trPr>
          <w:trHeight w:val="24"/>
        </w:trPr>
        <w:tc>
          <w:tcPr>
            <w:tcW w:w="7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1"/>
        </w:trPr>
        <w:tc>
          <w:tcPr>
            <w:tcW w:w="712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Cash payments related to operating lease liabilities</w:t>
            </w:r>
            <w:r>
              <w:rPr>
                <w:rFonts w:ascii="Times New Roman" w:cs="Times New Roman" w:eastAsia="Times New Roman" w:hAnsi="Times New Roman"/>
                <w:sz w:val="20"/>
                <w:szCs w:val="20"/>
                <w:color w:val="auto"/>
                <w:vertAlign w:val="superscript"/>
              </w:rPr>
              <w:t>(a)</w:t>
            </w:r>
          </w:p>
        </w:tc>
        <w:tc>
          <w:tcPr>
            <w:tcW w:w="900" w:type="dxa"/>
            <w:vAlign w:val="bottom"/>
          </w:tcPr>
          <w:p>
            <w:pPr>
              <w:jc w:val="right"/>
              <w:ind w:right="74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1"/>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09"/>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paid</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ROU assets recorded in exchange for operating lease liabilities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2"/>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Increase (decrease) in accounts payable for purchases of property and equipment</w:t>
            </w: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 under finance leases and installment land purchases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56" w:lineRule="exact"/>
        <w:rPr>
          <w:sz w:val="20"/>
          <w:szCs w:val="20"/>
          <w:color w:val="auto"/>
        </w:rPr>
      </w:pPr>
    </w:p>
    <w:p>
      <w:pPr>
        <w:ind w:left="320" w:hanging="315"/>
        <w:spacing w:after="0"/>
        <w:tabs>
          <w:tab w:leader="none" w:pos="3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pursuant to operating leases, which are recorded as expense in the period such contingencies are resolved.</w:t>
      </w:r>
    </w:p>
    <w:p>
      <w:pPr>
        <w:spacing w:after="0" w:line="17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reconciliation of cash and cash equivalents and restricted cash and cash equivalents reported within various lines on the consolidated balance sheet to amounts reported in the consolidated statement of cash flows is shown below.</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current</w:t>
            </w:r>
          </w:p>
        </w:tc>
        <w:tc>
          <w:tcPr>
            <w:tcW w:w="90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reported within other assets, net</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389" w:lineRule="exact"/>
        <w:rPr>
          <w:sz w:val="20"/>
          <w:szCs w:val="20"/>
          <w:color w:val="auto"/>
        </w:rPr>
      </w:pPr>
    </w:p>
    <w:p>
      <w:pPr>
        <w:ind w:left="400" w:hanging="395"/>
        <w:spacing w:after="0"/>
        <w:tabs>
          <w:tab w:leader="none" w:pos="4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2023 Restructuring Plan</w:t>
      </w:r>
    </w:p>
    <w:p>
      <w:pPr>
        <w:spacing w:after="0" w:line="16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In July 2023, the Company initiated the 2023 Restructuring Plan as part of its efforts to reduce costs to better align the Company's operational needs with lower tower activity. The 2023 Restructuring Plan included reducing the Company's total employee headcount by approximately 15%, discontinuing installation services as a Towers product offering while continuing to offer site development services on Company towers, and consolidating office space.</w:t>
      </w:r>
    </w:p>
    <w:p>
      <w:pPr>
        <w:spacing w:after="0" w:line="127" w:lineRule="exact"/>
        <w:rPr>
          <w:sz w:val="20"/>
          <w:szCs w:val="20"/>
          <w:color w:val="auto"/>
        </w:rPr>
      </w:pPr>
    </w:p>
    <w:p>
      <w:pPr>
        <w:jc w:val="both"/>
        <w:ind w:right="100" w:firstLine="395"/>
        <w:spacing w:after="0" w:line="289" w:lineRule="auto"/>
        <w:rPr>
          <w:sz w:val="20"/>
          <w:szCs w:val="20"/>
          <w:color w:val="auto"/>
        </w:rPr>
      </w:pPr>
      <w:r>
        <w:rPr>
          <w:rFonts w:ascii="Times New Roman" w:cs="Times New Roman" w:eastAsia="Times New Roman" w:hAnsi="Times New Roman"/>
          <w:sz w:val="16"/>
          <w:szCs w:val="16"/>
          <w:color w:val="auto"/>
        </w:rPr>
        <w:t>The 2023 Restructuring Plan included charges related to the (1) employee headcount reduction, including severance, stock-based compensation and other one-time termination benefits and (2) office space consolidation, which included remaining obligations under facility leases and non-cash charges for accelerated depreciation. The actions associated with the 2023 Restructuring Plan were substantially completed and related charges were recorded by June 30, 2024. The payments for the employee headcount reduction were completed in 2024, while payments for the office space consolidation are expected to be completed in 2032. The following tables summarize the activities related to the 2023 Restructuring Plan for the years ended December 31, 2024 and 2023:</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2"/>
                <w:szCs w:val="12"/>
                <w:b w:val="1"/>
                <w:bCs w:val="1"/>
                <w:color w:val="auto"/>
                <w:w w:val="98"/>
              </w:rPr>
              <w:t>Employee</w:t>
            </w: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Office Space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b w:val="1"/>
                <w:bCs w:val="1"/>
                <w:color w:val="auto"/>
              </w:rPr>
              <w:t>Employee</w:t>
            </w: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Office Space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Headcount</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Headcount</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Reduction</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Consolidation</w:t>
            </w: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Reduction</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Consolidation</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as of the beginning of the respective year</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 (credits)</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6"/>
              </w:rPr>
              <w:t>(6)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as of the end of the respective year</w:t>
            </w: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2024 Restructuring Plan</w:t>
      </w:r>
    </w:p>
    <w:p>
      <w:pPr>
        <w:spacing w:after="0" w:line="16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In June 2024, the Company initiated the 2024 Restructuring Plan as part of its efforts to drive operational efficiencies and reduce operating costs and capital expenditures, with a primary focus on the Company's Fiber segment. As a result, the Company announced a reduction of the Company's total employee headcount by more than 10% and the closing of certain offices.</w:t>
      </w:r>
    </w:p>
    <w:p>
      <w:pPr>
        <w:spacing w:after="0" w:line="127" w:lineRule="exact"/>
        <w:rPr>
          <w:sz w:val="20"/>
          <w:szCs w:val="20"/>
          <w:color w:val="auto"/>
        </w:rPr>
      </w:pPr>
    </w:p>
    <w:p>
      <w:pPr>
        <w:jc w:val="both"/>
        <w:ind w:right="100" w:firstLine="395"/>
        <w:spacing w:after="0" w:line="249" w:lineRule="auto"/>
        <w:rPr>
          <w:sz w:val="20"/>
          <w:szCs w:val="20"/>
          <w:color w:val="auto"/>
        </w:rPr>
      </w:pPr>
      <w:r>
        <w:rPr>
          <w:rFonts w:ascii="Times New Roman" w:cs="Times New Roman" w:eastAsia="Times New Roman" w:hAnsi="Times New Roman"/>
          <w:sz w:val="18"/>
          <w:szCs w:val="18"/>
          <w:color w:val="auto"/>
        </w:rPr>
        <w:t>The 2024 Restructuring Plan includes charges related to the (1) employee headcount reduction, including severance, stock-based compensation and other one-time termination benefits and (2) office closures, which includes remaining obligations under facility leases and non-cash charges for accelerated depreciation. The actions associated with the 2024 Restructuring Plan were substantially completed and the related charges were recorded by December 31, 2024, while the payments are expected to be completed for the employee headcount reduction in 2025 and office closures in 2033. The Company may incur other charges or cash expenditures not currently contemplated due to unanticipated events that may occur, including in connection with the implementation of the 2024 Restructuring Plan.</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2024 Restructuring Plan for the year ended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18"/>
        </w:trPr>
        <w:tc>
          <w:tcPr>
            <w:tcW w:w="6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right"/>
              <w:ind w:right="166"/>
              <w:spacing w:after="0" w:line="118" w:lineRule="exact"/>
              <w:rPr>
                <w:sz w:val="20"/>
                <w:szCs w:val="20"/>
                <w:color w:val="auto"/>
              </w:rPr>
            </w:pPr>
            <w:r>
              <w:rPr>
                <w:rFonts w:ascii="Times New Roman" w:cs="Times New Roman" w:eastAsia="Times New Roman" w:hAnsi="Times New Roman"/>
                <w:sz w:val="12"/>
                <w:szCs w:val="12"/>
                <w:b w:val="1"/>
                <w:bCs w:val="1"/>
                <w:color w:val="auto"/>
              </w:rPr>
              <w:t>Employee Headcount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77"/>
        </w:trPr>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Reduction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Office Space Consolidation</w:t>
            </w:r>
          </w:p>
        </w:tc>
        <w:tc>
          <w:tcPr>
            <w:tcW w:w="380" w:type="dxa"/>
            <w:vAlign w:val="bottom"/>
          </w:tcPr>
          <w:p>
            <w:pPr>
              <w:spacing w:after="0"/>
              <w:rPr>
                <w:sz w:val="15"/>
                <w:szCs w:val="15"/>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1"/>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as of December 31, 2023</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center"/>
              <w:ind w:left="112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 (credits)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left="1124"/>
              <w:spacing w:after="0"/>
              <w:rPr>
                <w:sz w:val="20"/>
                <w:szCs w:val="20"/>
                <w:color w:val="auto"/>
              </w:rPr>
            </w:pPr>
            <w:r>
              <w:rPr>
                <w:rFonts w:ascii="Times New Roman" w:cs="Times New Roman" w:eastAsia="Times New Roman" w:hAnsi="Times New Roman"/>
                <w:sz w:val="16"/>
                <w:szCs w:val="16"/>
                <w:color w:val="auto"/>
                <w:w w:val="99"/>
              </w:rPr>
              <w:t>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104"/>
              <w:spacing w:after="0"/>
              <w:rPr>
                <w:sz w:val="20"/>
                <w:szCs w:val="20"/>
                <w:color w:val="auto"/>
              </w:rPr>
            </w:pPr>
            <w:r>
              <w:rPr>
                <w:rFonts w:ascii="Times New Roman" w:cs="Times New Roman" w:eastAsia="Times New Roman" w:hAnsi="Times New Roman"/>
                <w:sz w:val="16"/>
                <w:szCs w:val="16"/>
                <w:color w:val="auto"/>
                <w:w w:val="97"/>
              </w:rPr>
              <w:t>(10)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left="1104"/>
              <w:spacing w:after="0"/>
              <w:rPr>
                <w:sz w:val="20"/>
                <w:szCs w:val="20"/>
                <w:color w:val="auto"/>
              </w:rPr>
            </w:pPr>
            <w:r>
              <w:rPr>
                <w:rFonts w:ascii="Times New Roman" w:cs="Times New Roman" w:eastAsia="Times New Roman" w:hAnsi="Times New Roman"/>
                <w:sz w:val="16"/>
                <w:szCs w:val="16"/>
                <w:color w:val="auto"/>
                <w:w w:val="97"/>
              </w:rPr>
              <w:t>(12)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1"/>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as of December 31, 2024</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center"/>
              <w:ind w:left="1124"/>
              <w:spacing w:after="0"/>
              <w:rPr>
                <w:sz w:val="20"/>
                <w:szCs w:val="20"/>
                <w:color w:val="auto"/>
              </w:rPr>
            </w:pPr>
            <w:r>
              <w:rPr>
                <w:rFonts w:ascii="Times New Roman" w:cs="Times New Roman" w:eastAsia="Times New Roman" w:hAnsi="Times New Roman"/>
                <w:sz w:val="16"/>
                <w:szCs w:val="16"/>
                <w:color w:val="auto"/>
                <w:w w:val="99"/>
              </w:rPr>
              <w:t>39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2024, the liability for restructuring charges is included in "Other accrued liabilities" and "Other long-term liabilities" on the consolidated balance sheet, and the corresponding expense is included in "Restructuring charges" on the consolidated statements of operations and comprehensive income (loss).</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does not allocate restructuring charges between its operating segments. If charges related to the Restructuring Plans were allocated to operating segments, for the year ended December 31, 2024, $13 million and $64 million of the aforementioned charge would have been allocated to the Company's Towers and Fiber segments, respectively, with the remaining $32 million allocated to Other. Similarly, for the year ended December 31, 2023, $44 million and $18 million of the aforementioned charge would have been allocated to the Company's Towers and Fiber segment, respectively, with the remaining $23 million allocated to Other.</w:t>
      </w:r>
    </w:p>
    <w:p>
      <w:pPr>
        <w:spacing w:after="0" w:line="131" w:lineRule="exact"/>
        <w:rPr>
          <w:sz w:val="20"/>
          <w:szCs w:val="20"/>
          <w:color w:val="auto"/>
        </w:rPr>
      </w:pPr>
    </w:p>
    <w:p>
      <w:pPr>
        <w:ind w:left="400" w:right="9100" w:hanging="395"/>
        <w:spacing w:after="0" w:line="481" w:lineRule="auto"/>
        <w:tabs>
          <w:tab w:leader="none" w:pos="396"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Subsequent Events </w:t>
      </w:r>
      <w:r>
        <w:rPr>
          <w:rFonts w:ascii="Times New Roman" w:cs="Times New Roman" w:eastAsia="Times New Roman" w:hAnsi="Times New Roman"/>
          <w:sz w:val="16"/>
          <w:szCs w:val="16"/>
          <w:i w:val="1"/>
          <w:iCs w:val="1"/>
          <w:color w:val="auto"/>
        </w:rPr>
        <w:t>Common Stock Dividend</w:t>
      </w:r>
    </w:p>
    <w:p>
      <w:pPr>
        <w:spacing w:after="0" w:line="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February 26, 2025, the Company's board of directors declared a quarterly cash dividend of $1.565 per common share. The quarterly dividend will be payable on March 31, 2025, to common stockholders of record as of March 14, 2025.</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Strategic Fiber Transaction</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On March 13, 2025, the Company signed the Strategic Fiber Agreement to sell its Fiber Business, with Zayo acquiring the fiber solutions business and EQT acquiring the small cell business. Under the Strategic Fiber Agreement, the Company will receive $8.5 billion in aggregate, subject to certain closing adjustments. The Fiber Business did not meet the criteria for assets held for sale as of December 31, 2024, and therefore remains presented as a component of continuing operations. In subsequent periods, the Fiber Business will be presented as a discontinued operation, and its net assets will be classified as held for sale and comparable prior periods will be recast to reflect this change. Upon classification as held for sale in the first quarter of 2025, the Company expects to recognize a loss of between $700 million and $800 million, inclusive of estimated transaction fees. This Strategic Fiber transaction is expected to close in the first half of 2026, subject to certain closing conditions and regulatory approvals.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4" w:name="page95"/>
    <w:bookmarkEnd w:id="94"/>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 Conclusion Regarding the Effectiveness of Disclosure Controls and Procedures</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connection with the preparation of the 2024 Form 10-K,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as amended ("Exchange Act")). Based upon their evaluation, the CEO and CFO concluded that as of December 31, 2024, the Company's disclosure controls and procedures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34" w:lineRule="exact"/>
        <w:rPr>
          <w:sz w:val="20"/>
          <w:szCs w:val="20"/>
          <w:color w:val="auto"/>
        </w:rPr>
      </w:pPr>
    </w:p>
    <w:p>
      <w:pPr>
        <w:ind w:left="800" w:hanging="400"/>
        <w:spacing w:after="0" w:line="254" w:lineRule="auto"/>
        <w:tabs>
          <w:tab w:leader="none" w:pos="7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jc w:val="both"/>
        <w:ind w:left="800" w:hanging="400"/>
        <w:spacing w:after="0" w:line="244" w:lineRule="auto"/>
        <w:tabs>
          <w:tab w:leader="none" w:pos="7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 of management and directors of the Company; and</w:t>
      </w:r>
    </w:p>
    <w:p>
      <w:pPr>
        <w:ind w:left="800" w:hanging="400"/>
        <w:spacing w:after="0" w:line="248" w:lineRule="auto"/>
        <w:tabs>
          <w:tab w:leader="none" w:pos="7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December 31, 2024. Based on the Company's assessment, management has concluded that the Company's internal control over financial reporting was effective as of December 31, 2024 to provide reasonable assurance regarding the reliability of financial reporting and the preparation of financial statements for external reporting purposes in accordance with generally accepted accounting principles in the United States of America.</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appears in Part II, Item 8 of the 2024 Form 10-K.</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 Limitations on the Effectiveness of Controls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95" w:name="page96"/>
    <w:bookmarkEnd w:id="9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i w:val="1"/>
          <w:iCs w:val="1"/>
          <w:color w:val="auto"/>
        </w:rPr>
        <w:t>Disclosure Regarding Foreign Jurisdictions that Prevent Inspections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420"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and Executive Officers of the Registrant</w:t>
      </w:r>
    </w:p>
    <w:p>
      <w:pPr>
        <w:spacing w:after="0" w:line="16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under "Executive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Executive Officers,"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Nominees for Director," "Other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Delinquent Section 16(a) Reports," if applicable,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Board Committees" and "Other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Available Information" in the 2025 Proxy Statement and is incorporated herein by reference.</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or other disposition of our securities by directors, officers, employees, contingent workers, contractors and consultants, which we believe are reasonably designed to promote compliance with insider trading laws, rules and regulations and applicable NYSE listing standards. A copy of our Insider Trading Policy is filed as Exhibit 19 to this 2024 Form 10-K.</w:t>
      </w:r>
    </w:p>
    <w:p>
      <w:pPr>
        <w:spacing w:after="0" w:line="1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under "Executive Compensation," except as to the information required pursuant to Item 402(v) of Regulation S-K relating to pay versus performance,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Board Compensation,"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Director Compensation Table for 2024" and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Board Committees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Compensation Committee Interlocks and Insider Participation" in the 2025 Proxy Statement and is incorporated herein by reference.</w:t>
      </w:r>
    </w:p>
    <w:p>
      <w:pPr>
        <w:spacing w:after="0" w:line="1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information required to be furnished pursuant to this item will be set forth under "Other Matters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Beneficial Ownership of Common Stock" in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Proxy Statement and is incorporated herein by reference.</w:t>
      </w:r>
    </w:p>
    <w:p>
      <w:pPr>
        <w:spacing w:after="0" w:line="1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equity compensation plans under which equity securities of the registrant are authorized for issuance as of December 31,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3"/>
                <w:szCs w:val="13"/>
                <w:color w:val="auto"/>
              </w:rPr>
            </w:pPr>
          </w:p>
        </w:tc>
        <w:tc>
          <w:tcPr>
            <w:tcW w:w="1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Weighted-average exercise</w:t>
            </w:r>
          </w:p>
        </w:tc>
        <w:tc>
          <w:tcPr>
            <w:tcW w:w="1580" w:type="dxa"/>
            <w:vAlign w:val="bottom"/>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remaining available for future</w:t>
            </w:r>
          </w:p>
        </w:tc>
        <w:tc>
          <w:tcPr>
            <w:tcW w:w="0" w:type="dxa"/>
            <w:vAlign w:val="bottom"/>
          </w:tcPr>
          <w:p>
            <w:pPr>
              <w:spacing w:after="0"/>
              <w:rPr>
                <w:sz w:val="1"/>
                <w:szCs w:val="1"/>
                <w:color w:val="auto"/>
              </w:rPr>
            </w:pPr>
          </w:p>
        </w:tc>
      </w:tr>
      <w:tr>
        <w:trPr>
          <w:trHeight w:val="145"/>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r>
              <w:rPr>
                <w:rFonts w:ascii="Times New Roman" w:cs="Times New Roman" w:eastAsia="Times New Roman" w:hAnsi="Times New Roman"/>
                <w:sz w:val="18"/>
                <w:szCs w:val="18"/>
                <w:b w:val="1"/>
                <w:bCs w:val="1"/>
                <w:color w:val="auto"/>
                <w:vertAlign w:val="superscript"/>
              </w:rPr>
              <w:t>(a)</w:t>
            </w:r>
          </w:p>
        </w:tc>
        <w:tc>
          <w:tcPr>
            <w:tcW w:w="19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194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8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80" w:type="dxa"/>
            <w:vAlign w:val="bottom"/>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(In millions of shares)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i w:val="1"/>
                <w:iCs w:val="1"/>
                <w:color w:val="auto"/>
                <w:w w:val="99"/>
              </w:rPr>
              <w:t>(In dollars per share)</w:t>
            </w:r>
          </w:p>
        </w:tc>
        <w:tc>
          <w:tcPr>
            <w:tcW w:w="100" w:type="dxa"/>
            <w:vAlign w:val="bottom"/>
          </w:tcPr>
          <w:p>
            <w:pPr>
              <w:spacing w:after="0"/>
              <w:rPr>
                <w:sz w:val="16"/>
                <w:szCs w:val="16"/>
                <w:color w:val="auto"/>
              </w:rPr>
            </w:pPr>
          </w:p>
        </w:tc>
        <w:tc>
          <w:tcPr>
            <w:tcW w:w="1580" w:type="dxa"/>
            <w:vAlign w:val="bottom"/>
            <w:tcBorders>
              <w:top w:val="single" w:sz="8" w:color="auto"/>
            </w:tcBorders>
          </w:tcPr>
          <w:p>
            <w:pPr>
              <w:jc w:val="center"/>
              <w:ind w:left="227"/>
              <w:spacing w:after="0"/>
              <w:rPr>
                <w:sz w:val="20"/>
                <w:szCs w:val="20"/>
                <w:color w:val="auto"/>
              </w:rPr>
            </w:pPr>
            <w:r>
              <w:rPr>
                <w:rFonts w:ascii="Times New Roman" w:cs="Times New Roman" w:eastAsia="Times New Roman" w:hAnsi="Times New Roman"/>
                <w:sz w:val="14"/>
                <w:szCs w:val="14"/>
                <w:i w:val="1"/>
                <w:iCs w:val="1"/>
                <w:color w:val="auto"/>
                <w:w w:val="99"/>
              </w:rPr>
              <w:t>(In millions of shares)</w:t>
            </w:r>
          </w:p>
        </w:tc>
        <w:tc>
          <w:tcPr>
            <w:tcW w:w="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0" w:type="dxa"/>
            <w:vAlign w:val="bottom"/>
          </w:tcPr>
          <w:p>
            <w:pPr>
              <w:spacing w:after="0"/>
              <w:rPr>
                <w:sz w:val="1"/>
                <w:szCs w:val="1"/>
                <w:color w:val="auto"/>
              </w:rPr>
            </w:pPr>
          </w:p>
        </w:tc>
      </w:tr>
      <w:tr>
        <w:trPr>
          <w:trHeight w:val="20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to the consolidated financial statements for more detailed information regarding the registrant's equity compensation plan.</w:t>
      </w:r>
    </w:p>
    <w:p>
      <w:pPr>
        <w:spacing w:after="0" w:line="12" w:lineRule="exact"/>
        <w:rPr>
          <w:rFonts w:ascii="Times New Roman" w:cs="Times New Roman" w:eastAsia="Times New Roman" w:hAnsi="Times New Roman"/>
          <w:sz w:val="14"/>
          <w:szCs w:val="14"/>
          <w:color w:val="auto"/>
        </w:rPr>
      </w:pPr>
    </w:p>
    <w:p>
      <w:pPr>
        <w:jc w:val="both"/>
        <w:ind w:left="320" w:hanging="315"/>
        <w:spacing w:after="0" w:line="259" w:lineRule="auto"/>
        <w:tabs>
          <w:tab w:leader="none" w:pos="31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2013 Long-Term Incentive Plan ("2013 LTIP") and the 2022 Long-Term Incentive Plan ("2022 LTIP"). Of the shares remaining available for future issuance, 0.4 million and 2.2 million shares may be issued pursuant to outstanding RSUs granted under the 2013 LTIP and the 2022 LTIP, respectively. Following the adoption of the 2022 LTIP, no further awards may be granted under the 2013 LTIP.</w:t>
      </w:r>
    </w:p>
    <w:p>
      <w:pPr>
        <w:spacing w:after="0" w:line="1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w:t>
      </w:r>
    </w:p>
    <w:p>
      <w:pPr>
        <w:spacing w:after="0" w:line="163"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under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Certain Relationships and Related Transactions" and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Board Independence" in the 2025 Proxy Statement and is incorporated herein by reference.</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Accounting Fees and Services</w:t>
      </w:r>
    </w:p>
    <w:p>
      <w:pPr>
        <w:spacing w:after="0" w:line="16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under "Ratification of Appointment of Independent Registered Public Accountants" in the 2025 Proxy Statement and is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list of financial statements filed as part of this report is submitted as a separate section, the index to which is located on page 56.</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Schedule II—Valuation and Qualifying Accounts for the years ended December 31, 2024, 2023 and 2022, which is located on page 109.</w:t>
      </w:r>
    </w:p>
    <w:p>
      <w:pPr>
        <w:spacing w:after="0" w:line="372" w:lineRule="exact"/>
        <w:rPr>
          <w:sz w:val="20"/>
          <w:szCs w:val="20"/>
          <w:color w:val="auto"/>
        </w:rPr>
      </w:pPr>
    </w:p>
    <w:p>
      <w:pPr>
        <w:ind w:left="420" w:right="520" w:firstLine="395"/>
        <w:spacing w:after="0" w:line="239" w:lineRule="auto"/>
        <w:rPr>
          <w:sz w:val="20"/>
          <w:szCs w:val="20"/>
          <w:color w:val="auto"/>
        </w:rPr>
      </w:pPr>
      <w:r>
        <w:rPr>
          <w:rFonts w:ascii="Times New Roman" w:cs="Times New Roman" w:eastAsia="Times New Roman" w:hAnsi="Times New Roman"/>
          <w:sz w:val="18"/>
          <w:szCs w:val="18"/>
          <w:color w:val="auto"/>
        </w:rPr>
        <w:t>Schedule III—Schedule of Real Estate and Accumulated Depreciation for the years ended December 31, 2024, 2023 and 2022, which is located on page 110.</w:t>
      </w:r>
    </w:p>
    <w:p>
      <w:pPr>
        <w:spacing w:after="0" w:line="233" w:lineRule="exact"/>
        <w:rPr>
          <w:sz w:val="20"/>
          <w:szCs w:val="20"/>
          <w:color w:val="auto"/>
        </w:rPr>
      </w:pPr>
    </w:p>
    <w:p>
      <w:pPr>
        <w:ind w:left="400" w:firstLine="395"/>
        <w:spacing w:after="0" w:line="268"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because the required information is contained in the financial statements or notes thereto included in this 2024 Form 10-K.</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0"/>
                <w:szCs w:val="10"/>
                <w:color w:val="auto"/>
              </w:rPr>
            </w:pPr>
          </w:p>
        </w:tc>
        <w:tc>
          <w:tcPr>
            <w:tcW w:w="58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760" w:type="dxa"/>
            <w:vAlign w:val="bottom"/>
            <w:tcBorders>
              <w:top w:val="single" w:sz="8" w:color="auto"/>
            </w:tcBorders>
            <w:gridSpan w:val="25"/>
            <w:shd w:val="clear" w:color="auto" w:fill="CCEEFF"/>
          </w:tcPr>
          <w:p>
            <w:pPr>
              <w:spacing w:after="0" w:line="183"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Agreement and Plan of Merger by and between Crown Castle International Corp.</w:t>
              </w:r>
            </w:hyperlink>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September 23,</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920" w:type="dxa"/>
            <w:vAlign w:val="bottom"/>
            <w:tcBorders>
              <w:top w:val="single" w:sz="8" w:color="0000FF"/>
              <w:bottom w:val="single" w:sz="8" w:color="0000FF"/>
            </w:tcBorders>
            <w:gridSpan w:val="5"/>
            <w:shd w:val="clear" w:color="auto" w:fill="CCEEFF"/>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and Crown Castle REIT Inc., dated September 19, 2014</w:t>
              </w:r>
            </w:hyperlink>
          </w:p>
        </w:tc>
        <w:tc>
          <w:tcPr>
            <w:tcW w:w="178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Stock Purchase Agreement, dated as of April 29, 2015, by and among Quanta</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8, 2015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Services, Inc., Crown Castle International Corp. and CC SCN Fiber LLC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500" w:type="dxa"/>
            <w:vAlign w:val="bottom"/>
            <w:tcBorders>
              <w:bottom w:val="single" w:sz="8" w:color="0000FF"/>
            </w:tcBorders>
            <w:gridSpan w:val="14"/>
            <w:shd w:val="clear" w:color="auto" w:fill="CCEEFF"/>
          </w:tcPr>
          <w:p>
            <w:pPr>
              <w:spacing w:after="0" w:line="184"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Agreement for the Sale and Purchase of the Shares of Crown Castle Australia</w:t>
              </w:r>
            </w:hyperlink>
          </w:p>
        </w:tc>
        <w:tc>
          <w:tcPr>
            <w:tcW w:w="340" w:type="dxa"/>
            <w:vAlign w:val="bottom"/>
            <w:tcBorders>
              <w:bottom w:val="single" w:sz="8" w:color="CCEEFF"/>
            </w:tcBorders>
            <w:gridSpan w:val="1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7, 2015</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Holdings Pty Ltd, dated May 14, 2015, by and among Crown Castle International</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20" w:type="dxa"/>
            <w:vAlign w:val="bottom"/>
            <w:tcBorders>
              <w:top w:val="single" w:sz="8" w:color="0000FF"/>
            </w:tcBorders>
            <w:gridSpan w:val="23"/>
            <w:shd w:val="clear" w:color="auto" w:fill="CCEEFF"/>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Corp., Crown Castle Operating LLC, The Trust Company (Nominees) Limited,</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580" w:type="dxa"/>
            <w:vAlign w:val="bottom"/>
            <w:tcBorders>
              <w:top w:val="single" w:sz="8" w:color="0000FF"/>
            </w:tcBorders>
            <w:gridSpan w:val="17"/>
            <w:shd w:val="clear" w:color="auto" w:fill="CCEEFF"/>
          </w:tcPr>
          <w:p>
            <w:pPr>
              <w:spacing w:after="0" w:line="16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Todd International Investments Limited, Oceania Capital Limited, Birdsong</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8"/>
            <w:shd w:val="clear" w:color="auto" w:fill="CCEEFF"/>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Capital Limited, Baytown Investments Limited, Heritage PTC LLC, David</w:t>
              </w:r>
            </w:hyperlink>
          </w:p>
        </w:tc>
        <w:tc>
          <w:tcPr>
            <w:tcW w:w="520" w:type="dxa"/>
            <w:vAlign w:val="bottom"/>
            <w:tcBorders>
              <w:top w:val="single" w:sz="8" w:color="CCEEFF"/>
            </w:tcBorders>
            <w:gridSpan w:val="18"/>
            <w:shd w:val="clear" w:color="auto" w:fill="CCEEFF"/>
          </w:tcPr>
          <w:p>
            <w:pPr>
              <w:jc w:val="center"/>
              <w:ind w:right="120"/>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Lloyd</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0000FF"/>
            </w:tcBorders>
            <w:gridSpan w:val="24"/>
            <w:shd w:val="clear" w:color="auto" w:fill="CCEEFF"/>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CCA Limited, Turri Finance Pty Ltd and Turri Bidco Pty Ltd</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 and Plan of Merger, dated as of July 18, 2017, by and among Crown</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19, 2017</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Castle International Corp., LTS Group Holdings, LLC, Berkshire Fund VII-A</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(LTS) Acquisition Partners, Berkshire Fund VIII-A (LTS) Acquisition Partners,</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19"/>
          </w:tcPr>
          <w:p>
            <w:pPr>
              <w:spacing w:after="0" w:line="164"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LTS Berkshire Fund VII-A Blocker Corporation, LTS Berkshire Fund VIII-A</w:t>
              </w:r>
            </w:hyperlink>
          </w:p>
        </w:tc>
        <w:tc>
          <w:tcPr>
            <w:tcW w:w="4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Blocker Corporation, LTS Co-Invest Blocker LLC, LTS Co-Invest Blocker II</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LLC, LTS Rollover Blocker LLC, LTS BF VII-A Blocker Merger Sub, Inc.,</w:t>
              </w:r>
            </w:hyperlink>
          </w:p>
        </w:tc>
        <w:tc>
          <w:tcPr>
            <w:tcW w:w="420" w:type="dxa"/>
            <w:vAlign w:val="bottom"/>
            <w:gridSpan w:val="16"/>
          </w:tcPr>
          <w:p>
            <w:pPr>
              <w:jc w:val="center"/>
              <w:ind w:right="180"/>
              <w:spacing w:after="0" w:line="152" w:lineRule="exact"/>
              <w:rPr>
                <w:rFonts w:ascii="Times New Roman" w:cs="Times New Roman" w:eastAsia="Times New Roman" w:hAnsi="Times New Roman"/>
                <w:sz w:val="16"/>
                <w:szCs w:val="16"/>
                <w:color w:val="0000FF"/>
                <w:w w:val="84"/>
              </w:rPr>
            </w:pPr>
            <w:hyperlink r:id="rId138">
              <w:r>
                <w:rPr>
                  <w:rFonts w:ascii="Times New Roman" w:cs="Times New Roman" w:eastAsia="Times New Roman" w:hAnsi="Times New Roman"/>
                  <w:sz w:val="16"/>
                  <w:szCs w:val="16"/>
                  <w:color w:val="0000FF"/>
                  <w:w w:val="84"/>
                </w:rPr>
                <w:t>LTS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tcBorders>
            <w:gridSpan w:val="21"/>
          </w:tcPr>
          <w:p>
            <w:pPr>
              <w:spacing w:after="0" w:line="164"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BF VIII-A Blocker Merger Sub, Inc., LTS Co-Invest Blocker Merger Sub, Inc.,</w:t>
              </w:r>
            </w:hyperlink>
          </w:p>
        </w:tc>
        <w:tc>
          <w:tcPr>
            <w:tcW w:w="180" w:type="dxa"/>
            <w:vAlign w:val="bottom"/>
            <w:gridSpan w:val="5"/>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LTS Co-Invest Blocker II Merger Sub, Inc., LTS Rollover Blocker Merger Sub,</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18"/>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Inc., LTS Group Holdings Merger Sub, Inc. and BSR LLC, as equityholders’</w:t>
              </w:r>
            </w:hyperlink>
          </w:p>
        </w:tc>
        <w:tc>
          <w:tcPr>
            <w:tcW w:w="24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5"/>
              </w:rPr>
            </w:pPr>
            <w:hyperlink r:id="rId138">
              <w:r>
                <w:rPr>
                  <w:rFonts w:ascii="Times New Roman" w:cs="Times New Roman" w:eastAsia="Times New Roman" w:hAnsi="Times New Roman"/>
                  <w:sz w:val="18"/>
                  <w:szCs w:val="18"/>
                  <w:color w:val="0000FF"/>
                  <w:w w:val="95"/>
                </w:rPr>
                <w:t>representative</w:t>
              </w:r>
            </w:hyperlink>
          </w:p>
        </w:tc>
        <w:tc>
          <w:tcPr>
            <w:tcW w:w="4420" w:type="dxa"/>
            <w:vAlign w:val="bottom"/>
            <w:tcBorders>
              <w:top w:val="single" w:sz="8" w:color="0000FF"/>
            </w:tcBorders>
            <w:gridSpan w:val="7"/>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gridSpan w:val="9"/>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12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0000FF"/>
            </w:tcBorders>
            <w:gridSpan w:val="15"/>
            <w:shd w:val="clear" w:color="auto" w:fill="CCEEFF"/>
          </w:tcPr>
          <w:p>
            <w:pPr>
              <w:spacing w:after="0" w:line="194"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Restated Certificate of Incorporation of Crown Castle Inc., dated July 25, 2023</w:t>
              </w:r>
            </w:hyperlink>
          </w:p>
        </w:tc>
        <w:tc>
          <w:tcPr>
            <w:tcW w:w="300" w:type="dxa"/>
            <w:vAlign w:val="bottom"/>
            <w:tcBorders>
              <w:bottom w:val="single" w:sz="8" w:color="CCEEFF"/>
            </w:tcBorders>
            <w:gridSpan w:val="11"/>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August 2, 2023</w:t>
            </w:r>
          </w:p>
        </w:tc>
        <w:tc>
          <w:tcPr>
            <w:tcW w:w="7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Amended and Restated By-laws of Crown Castle Inc., dated November</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38" w:lineRule="exact"/>
              <w:rPr>
                <w:rFonts w:ascii="Times New Roman" w:cs="Times New Roman" w:eastAsia="Times New Roman" w:hAnsi="Times New Roman"/>
                <w:sz w:val="15"/>
                <w:szCs w:val="15"/>
                <w:color w:val="0000FF"/>
              </w:rPr>
            </w:pPr>
            <w:hyperlink r:id="rId140">
              <w:r>
                <w:rPr>
                  <w:rFonts w:ascii="Times New Roman" w:cs="Times New Roman" w:eastAsia="Times New Roman" w:hAnsi="Times New Roman"/>
                  <w:sz w:val="15"/>
                  <w:szCs w:val="15"/>
                  <w:color w:val="0000FF"/>
                </w:rPr>
                <w:t>6, 2024</w:t>
              </w:r>
            </w:hyperlink>
          </w:p>
        </w:tc>
        <w:tc>
          <w:tcPr>
            <w:tcW w:w="4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ind w:left="20"/>
              <w:spacing w:after="0" w:line="131" w:lineRule="exact"/>
              <w:rPr>
                <w:sz w:val="20"/>
                <w:szCs w:val="20"/>
                <w:color w:val="auto"/>
              </w:rPr>
            </w:pPr>
            <w:r>
              <w:rPr>
                <w:rFonts w:ascii="Times New Roman" w:cs="Times New Roman" w:eastAsia="Times New Roman" w:hAnsi="Times New Roman"/>
                <w:sz w:val="15"/>
                <w:szCs w:val="15"/>
                <w:color w:val="auto"/>
              </w:rPr>
              <w:t>001-16441</w:t>
            </w:r>
          </w:p>
        </w:tc>
        <w:tc>
          <w:tcPr>
            <w:tcW w:w="100" w:type="dxa"/>
            <w:vAlign w:val="bottom"/>
          </w:tcPr>
          <w:p>
            <w:pPr>
              <w:spacing w:after="0"/>
              <w:rPr>
                <w:sz w:val="13"/>
                <w:szCs w:val="13"/>
                <w:color w:val="auto"/>
              </w:rPr>
            </w:pPr>
          </w:p>
        </w:tc>
        <w:tc>
          <w:tcPr>
            <w:tcW w:w="1260" w:type="dxa"/>
            <w:vAlign w:val="bottom"/>
          </w:tcPr>
          <w:p>
            <w:pPr>
              <w:ind w:left="20"/>
              <w:spacing w:after="0" w:line="131" w:lineRule="exact"/>
              <w:rPr>
                <w:sz w:val="20"/>
                <w:szCs w:val="20"/>
                <w:color w:val="auto"/>
              </w:rPr>
            </w:pPr>
            <w:r>
              <w:rPr>
                <w:rFonts w:ascii="Times New Roman" w:cs="Times New Roman" w:eastAsia="Times New Roman" w:hAnsi="Times New Roman"/>
                <w:sz w:val="15"/>
                <w:szCs w:val="15"/>
                <w:color w:val="auto"/>
              </w:rPr>
              <w:t>2024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Second Amended and Restated By-laws of Crown Castle Inc.,</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26,</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dated February 26, 2025</w:t>
              </w:r>
            </w:hyperlink>
          </w:p>
        </w:tc>
        <w:tc>
          <w:tcPr>
            <w:tcW w:w="340" w:type="dxa"/>
            <w:vAlign w:val="bottom"/>
            <w:tcBorders>
              <w:top w:val="single" w:sz="8" w:color="CCEEFF"/>
            </w:tcBorders>
            <w:gridSpan w:val="1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tcBorders>
              <w:bottom w:val="single" w:sz="8" w:color="0000FF"/>
            </w:tcBorders>
            <w:gridSpan w:val="4"/>
          </w:tcPr>
          <w:p>
            <w:pPr>
              <w:spacing w:after="0" w:line="184" w:lineRule="exact"/>
              <w:rPr>
                <w:rFonts w:ascii="Times New Roman" w:cs="Times New Roman" w:eastAsia="Times New Roman" w:hAnsi="Times New Roman"/>
                <w:sz w:val="18"/>
                <w:szCs w:val="18"/>
                <w:color w:val="0000FF"/>
                <w:w w:val="96"/>
              </w:rPr>
            </w:pPr>
            <w:hyperlink r:id="rId142">
              <w:r>
                <w:rPr>
                  <w:rFonts w:ascii="Times New Roman" w:cs="Times New Roman" w:eastAsia="Times New Roman" w:hAnsi="Times New Roman"/>
                  <w:sz w:val="18"/>
                  <w:szCs w:val="18"/>
                  <w:color w:val="0000FF"/>
                  <w:w w:val="96"/>
                </w:rPr>
                <w:t>Specimen of Common Stock Certificate</w:t>
              </w:r>
            </w:hyperlink>
          </w:p>
        </w:tc>
        <w:tc>
          <w:tcPr>
            <w:tcW w:w="3040" w:type="dxa"/>
            <w:vAlign w:val="bottom"/>
            <w:gridSpan w:val="2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16,</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gridSpan w:val="8"/>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0"/>
                <w:szCs w:val="10"/>
                <w:color w:val="auto"/>
              </w:rPr>
            </w:pPr>
          </w:p>
        </w:tc>
        <w:tc>
          <w:tcPr>
            <w:tcW w:w="584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0"/>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780" w:type="dxa"/>
            <w:vAlign w:val="bottom"/>
            <w:tcBorders>
              <w:top w:val="single" w:sz="8" w:color="auto"/>
            </w:tcBorders>
            <w:gridSpan w:val="29"/>
            <w:shd w:val="clear" w:color="auto" w:fill="CCEEFF"/>
          </w:tcPr>
          <w:p>
            <w:pPr>
              <w:spacing w:after="0" w:line="183"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Indenture, dated as of June 1, 2005, by and among JPMorgan Chase Bank, N.A.,</w:t>
              </w:r>
            </w:hyperlink>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June 9, 2005</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80" w:type="dxa"/>
            <w:vAlign w:val="bottom"/>
            <w:tcBorders>
              <w:top w:val="single" w:sz="8" w:color="0000FF"/>
            </w:tcBorders>
            <w:gridSpan w:val="24"/>
            <w:shd w:val="clear" w:color="auto" w:fill="CCEEFF"/>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as Indenture Trustee, and Crown Castle Towers LLC, Crown Castle South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20" w:type="dxa"/>
            <w:vAlign w:val="bottom"/>
            <w:tcBorders>
              <w:top w:val="single" w:sz="8" w:color="0000FF"/>
            </w:tcBorders>
            <w:gridSpan w:val="21"/>
            <w:shd w:val="clear" w:color="auto" w:fill="CCEEFF"/>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Crown Communications Inc., Crown Castle PT Inc., Crown Communication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380" w:type="dxa"/>
            <w:vAlign w:val="bottom"/>
            <w:tcBorders>
              <w:top w:val="single" w:sz="8" w:color="0000FF"/>
            </w:tcBorders>
            <w:gridSpan w:val="11"/>
            <w:shd w:val="clear" w:color="auto" w:fill="CCEEFF"/>
          </w:tcPr>
          <w:p>
            <w:pPr>
              <w:spacing w:after="0" w:line="16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New York, Inc. and Crown Castle International Corp. de Puerto Rico,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88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collectively as Issuers, relating to the Senior Secured Tower Revenue</w:t>
              </w:r>
            </w:hyperlink>
          </w:p>
        </w:tc>
        <w:tc>
          <w:tcPr>
            <w:tcW w:w="460" w:type="dxa"/>
            <w:vAlign w:val="bottom"/>
            <w:tcBorders>
              <w:top w:val="single" w:sz="8" w:color="CCEEFF"/>
              <w:bottom w:val="single" w:sz="8" w:color="0000FF"/>
            </w:tcBorders>
            <w:gridSpan w:val="5"/>
            <w:shd w:val="clear" w:color="auto" w:fill="CCEEFF"/>
          </w:tcPr>
          <w:p>
            <w:pPr>
              <w:ind w:left="20"/>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Notes</w:t>
              </w:r>
            </w:hyperlink>
          </w:p>
        </w:tc>
        <w:tc>
          <w:tcPr>
            <w:tcW w:w="500" w:type="dxa"/>
            <w:vAlign w:val="bottom"/>
            <w:tcBorders>
              <w:top w:val="single" w:sz="8" w:color="CCEEFF"/>
              <w:bottom w:val="single" w:sz="8" w:color="CCEEFF"/>
            </w:tcBorders>
            <w:gridSpan w:val="21"/>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0"/>
          </w:tcPr>
          <w:p>
            <w:pPr>
              <w:spacing w:after="0" w:line="18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Indenture Supplement, dated December 1, 2023, by and among Crown Castle</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Borders>
              <w:top w:val="single" w:sz="8" w:color="0000FF"/>
              <w:bottom w:val="single" w:sz="8" w:color="0000FF"/>
            </w:tcBorders>
            <w:gridSpan w:val="14"/>
          </w:tcPr>
          <w:p>
            <w:pPr>
              <w:spacing w:after="0" w:line="184"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Towers LLC, Crown Castle South LLC, Crown Communication LLC, Crown</w:t>
              </w:r>
            </w:hyperlink>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tcBorders>
              <w:bottom w:val="single" w:sz="8" w:color="0000FF"/>
            </w:tcBorders>
            <w:gridSpan w:val="19"/>
          </w:tcPr>
          <w:p>
            <w:pPr>
              <w:spacing w:after="0" w:line="177"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Castle Towers 05 LLC, Crown Castle PR LLC, Crown Castle MU LLC, Crown</w:t>
              </w:r>
            </w:hyperlink>
          </w:p>
        </w:tc>
        <w:tc>
          <w:tcPr>
            <w:tcW w:w="26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0"/>
          </w:tcPr>
          <w:p>
            <w:pPr>
              <w:spacing w:after="0" w:line="190"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Castle MUPA LLC and The Bank of New York Mellon (as successor to The</w:t>
              </w:r>
            </w:hyperlink>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Borders>
              <w:top w:val="single" w:sz="8" w:color="0000FF"/>
              <w:bottom w:val="single" w:sz="8" w:color="0000FF"/>
            </w:tcBorders>
            <w:gridSpan w:val="9"/>
          </w:tcPr>
          <w:p>
            <w:pPr>
              <w:spacing w:after="0" w:line="177"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Bank of New York, as successor to JPMorgan Chase Bank, N.A.), as trustee.</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0"/>
            <w:shd w:val="clear" w:color="auto" w:fill="CCEEFF"/>
          </w:tcPr>
          <w:p>
            <w:pPr>
              <w:spacing w:after="0" w:line="184"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Indenture Supplement, dated as of September 26, 2006, by and among JPMorgan</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September 29,</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760" w:type="dxa"/>
            <w:vAlign w:val="bottom"/>
            <w:tcBorders>
              <w:top w:val="single" w:sz="8" w:color="0000FF"/>
            </w:tcBorders>
            <w:gridSpan w:val="28"/>
            <w:shd w:val="clear" w:color="auto" w:fill="CCEEFF"/>
          </w:tcPr>
          <w:p>
            <w:pPr>
              <w:spacing w:after="0" w:line="184"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Chase Bank, N.A., as Indenture Trustee, and Crown Castle Towers LLC, Crown</w:t>
              </w:r>
            </w:hyperlink>
          </w:p>
        </w:tc>
        <w:tc>
          <w:tcPr>
            <w:tcW w:w="80" w:type="dxa"/>
            <w:vAlign w:val="bottom"/>
            <w:tcBorders>
              <w:top w:val="single" w:sz="8" w:color="CCEEFF"/>
            </w:tcBorders>
            <w:gridSpan w:val="2"/>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560" w:type="dxa"/>
            <w:vAlign w:val="bottom"/>
            <w:tcBorders>
              <w:top w:val="single" w:sz="8" w:color="0000FF"/>
              <w:bottom w:val="single" w:sz="8" w:color="0000FF"/>
              <w:right w:val="single" w:sz="8" w:color="CCEEFF"/>
            </w:tcBorders>
            <w:gridSpan w:val="18"/>
            <w:shd w:val="clear" w:color="auto" w:fill="CCEEFF"/>
          </w:tcPr>
          <w:p>
            <w:pPr>
              <w:spacing w:after="0" w:line="177"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Castle South LLC, Crown Communication Inc., Crown Castle PT Inc., Crown</w:t>
              </w:r>
            </w:hyperlink>
          </w:p>
        </w:tc>
        <w:tc>
          <w:tcPr>
            <w:tcW w:w="8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0"/>
            <w:shd w:val="clear" w:color="auto" w:fill="CCEEFF"/>
          </w:tcPr>
          <w:p>
            <w:pPr>
              <w:spacing w:after="0" w:line="190"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Communication New York, Inc. and Crown Castle International Corp. de Puerto</w:t>
              </w:r>
            </w:hyperlink>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23"/>
            <w:shd w:val="clear" w:color="auto" w:fill="CCEEFF"/>
          </w:tcPr>
          <w:p>
            <w:pPr>
              <w:spacing w:after="0" w:line="177"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Rico, collectively, as Issuers, relating to the Senior Secured Tower Revenue</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0000FF"/>
              <w:bottom w:val="single" w:sz="8" w:color="0000FF"/>
            </w:tcBorders>
            <w:shd w:val="clear" w:color="auto" w:fill="CCEEFF"/>
          </w:tcPr>
          <w:p>
            <w:pPr>
              <w:spacing w:after="0" w:line="177" w:lineRule="exact"/>
              <w:rPr>
                <w:rFonts w:ascii="Times New Roman" w:cs="Times New Roman" w:eastAsia="Times New Roman" w:hAnsi="Times New Roman"/>
                <w:sz w:val="18"/>
                <w:szCs w:val="18"/>
                <w:color w:val="0000FF"/>
                <w:w w:val="95"/>
              </w:rPr>
            </w:pPr>
            <w:hyperlink r:id="rId147">
              <w:r>
                <w:rPr>
                  <w:rFonts w:ascii="Times New Roman" w:cs="Times New Roman" w:eastAsia="Times New Roman" w:hAnsi="Times New Roman"/>
                  <w:sz w:val="18"/>
                  <w:szCs w:val="18"/>
                  <w:color w:val="0000FF"/>
                  <w:w w:val="95"/>
                </w:rPr>
                <w:t>Notes, Series 2005-1</w:t>
              </w:r>
            </w:hyperlink>
          </w:p>
        </w:tc>
        <w:tc>
          <w:tcPr>
            <w:tcW w:w="3860" w:type="dxa"/>
            <w:vAlign w:val="bottom"/>
            <w:tcBorders>
              <w:top w:val="single" w:sz="8" w:color="0000FF"/>
              <w:bottom w:val="single" w:sz="8" w:color="CCEEFF"/>
            </w:tcBorders>
            <w:gridSpan w:val="7"/>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5"/>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tcBorders>
              <w:bottom w:val="single" w:sz="8" w:color="0000FF"/>
            </w:tcBorders>
            <w:gridSpan w:val="13"/>
          </w:tcPr>
          <w:p>
            <w:pPr>
              <w:spacing w:after="0" w:line="184"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Indenture Supplement, dated as of November 29, 2006, relating to the Senior</w:t>
              </w:r>
            </w:hyperlink>
          </w:p>
        </w:tc>
        <w:tc>
          <w:tcPr>
            <w:tcW w:w="420" w:type="dxa"/>
            <w:vAlign w:val="bottom"/>
            <w:gridSpan w:val="17"/>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30"/>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Secured Tower Revenue Notes, Series 2006-1, by and among The Bank of New</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York (as successor to JPMorgan Chase Bank, N.A.), as Indenture Trustee, and</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16"/>
          </w:tcPr>
          <w:p>
            <w:pPr>
              <w:spacing w:after="0" w:line="164" w:lineRule="exact"/>
              <w:rPr>
                <w:rFonts w:ascii="Times New Roman" w:cs="Times New Roman" w:eastAsia="Times New Roman" w:hAnsi="Times New Roman"/>
                <w:sz w:val="18"/>
                <w:szCs w:val="18"/>
                <w:color w:val="0000FF"/>
                <w:w w:val="96"/>
              </w:rPr>
            </w:pPr>
            <w:hyperlink r:id="rId148">
              <w:r>
                <w:rPr>
                  <w:rFonts w:ascii="Times New Roman" w:cs="Times New Roman" w:eastAsia="Times New Roman" w:hAnsi="Times New Roman"/>
                  <w:sz w:val="18"/>
                  <w:szCs w:val="18"/>
                  <w:color w:val="0000FF"/>
                  <w:w w:val="96"/>
                </w:rPr>
                <w:t>Crown Castle Towers LLC, Crown Castle South LLC, Crown Communication</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gridSpan w:val="18"/>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Inc., Crown Castle PT Inc., Crown Communication New York, Inc., Crown</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Castle International Corp. de Puerto Rico, Crown Castle Towers 05 LLC,</w:t>
              </w:r>
            </w:hyperlink>
          </w:p>
        </w:tc>
        <w:tc>
          <w:tcPr>
            <w:tcW w:w="540" w:type="dxa"/>
            <w:vAlign w:val="bottom"/>
            <w:gridSpan w:val="23"/>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Crown</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25"/>
          </w:tcPr>
          <w:p>
            <w:pPr>
              <w:spacing w:after="0" w:line="16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Castle PR LLC, Crown Castle MU LLC and Crown Castle MUPA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collectively as Issuers</w:t>
              </w:r>
            </w:hyperlink>
          </w:p>
        </w:tc>
        <w:tc>
          <w:tcPr>
            <w:tcW w:w="14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40" w:type="dxa"/>
            <w:vAlign w:val="bottom"/>
            <w:gridSpan w:val="30"/>
            <w:shd w:val="clear" w:color="auto" w:fill="CCEEFF"/>
          </w:tcPr>
          <w:p>
            <w:pPr>
              <w:spacing w:after="0" w:line="18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Supplement, dated as of January 15, 2010, relating to the Senior</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20, 2010</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Secured Tower Revenue Notes, Series 2010-1, by and among The Bank of</w:t>
              </w:r>
            </w:hyperlink>
          </w:p>
        </w:tc>
        <w:tc>
          <w:tcPr>
            <w:tcW w:w="640" w:type="dxa"/>
            <w:vAlign w:val="bottom"/>
            <w:tcBorders>
              <w:top w:val="single" w:sz="8" w:color="CCEEFF"/>
            </w:tcBorders>
            <w:gridSpan w:val="24"/>
            <w:shd w:val="clear" w:color="auto" w:fill="CCEEFF"/>
          </w:tcPr>
          <w:p>
            <w:pPr>
              <w:ind w:left="60"/>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New</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600" w:type="dxa"/>
            <w:vAlign w:val="bottom"/>
            <w:tcBorders>
              <w:top w:val="single" w:sz="8" w:color="0000FF"/>
              <w:bottom w:val="single" w:sz="8" w:color="0000FF"/>
            </w:tcBorders>
            <w:gridSpan w:val="20"/>
            <w:shd w:val="clear" w:color="auto" w:fill="CCEEFF"/>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York Mellon (as successor to The Bank of New York as successor to J.P. Morgan</w:t>
              </w:r>
            </w:hyperlink>
          </w:p>
        </w:tc>
        <w:tc>
          <w:tcPr>
            <w:tcW w:w="120" w:type="dxa"/>
            <w:vAlign w:val="bottom"/>
            <w:tcBorders>
              <w:top w:val="single" w:sz="8" w:color="CCEEFF"/>
              <w:bottom w:val="single" w:sz="8" w:color="0000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720" w:type="dxa"/>
            <w:vAlign w:val="bottom"/>
            <w:tcBorders>
              <w:bottom w:val="single" w:sz="8" w:color="0000FF"/>
            </w:tcBorders>
            <w:gridSpan w:val="26"/>
            <w:shd w:val="clear" w:color="auto" w:fill="CCEEFF"/>
          </w:tcPr>
          <w:p>
            <w:pPr>
              <w:spacing w:after="0" w:line="164"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Chase Bank, N.A.), as Indenture Trustee, and Crown Castle Towers LLC, Crown</w:t>
              </w:r>
            </w:hyperlink>
          </w:p>
        </w:tc>
        <w:tc>
          <w:tcPr>
            <w:tcW w:w="20" w:type="dxa"/>
            <w:vAlign w:val="bottom"/>
            <w:tcBorders>
              <w:bottom w:val="single" w:sz="8" w:color="0000FF"/>
            </w:tcBorders>
            <w:shd w:val="clear" w:color="auto" w:fill="CCEEFF"/>
          </w:tcPr>
          <w:p>
            <w:pPr>
              <w:spacing w:after="0"/>
              <w:rPr>
                <w:sz w:val="14"/>
                <w:szCs w:val="14"/>
                <w:color w:val="auto"/>
              </w:rPr>
            </w:pPr>
          </w:p>
        </w:tc>
        <w:tc>
          <w:tcPr>
            <w:tcW w:w="100" w:type="dxa"/>
            <w:vAlign w:val="bottom"/>
            <w:tcBorders>
              <w:bottom w:val="single" w:sz="8" w:color="CCEEFF"/>
            </w:tcBorders>
            <w:gridSpan w:val="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740" w:type="dxa"/>
            <w:vAlign w:val="bottom"/>
            <w:gridSpan w:val="27"/>
            <w:shd w:val="clear" w:color="auto" w:fill="CCEEFF"/>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Castle South LLC, Crown Communication Inc., Crown Castle PT Inc., Crown</w:t>
              </w:r>
            </w:hyperlink>
          </w:p>
        </w:tc>
        <w:tc>
          <w:tcPr>
            <w:tcW w:w="100" w:type="dxa"/>
            <w:vAlign w:val="bottom"/>
            <w:gridSpan w:val="3"/>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00" w:type="dxa"/>
            <w:vAlign w:val="bottom"/>
            <w:tcBorders>
              <w:top w:val="single" w:sz="8" w:color="0000FF"/>
              <w:bottom w:val="single" w:sz="8" w:color="0000FF"/>
            </w:tcBorders>
            <w:gridSpan w:val="12"/>
            <w:shd w:val="clear" w:color="auto" w:fill="CCEEFF"/>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Communication New York, Inc., Crown Castle International Corp. de Puerto</w:t>
              </w:r>
            </w:hyperlink>
          </w:p>
        </w:tc>
        <w:tc>
          <w:tcPr>
            <w:tcW w:w="10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gridSpan w:val="1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40" w:type="dxa"/>
            <w:vAlign w:val="bottom"/>
            <w:gridSpan w:val="30"/>
            <w:shd w:val="clear" w:color="auto" w:fill="CCEEFF"/>
          </w:tcPr>
          <w:p>
            <w:pPr>
              <w:spacing w:after="0" w:line="16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Rico, Crown Castle Towers 05 LLC, Crown Castle PR LLC, Crown Castle MU</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19"/>
            <w:shd w:val="clear" w:color="auto" w:fill="CCEEFF"/>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LLC and Crown Castle MUPA LLC, collectively as Issuers</w:t>
              </w:r>
            </w:hyperlink>
          </w:p>
        </w:tc>
        <w:tc>
          <w:tcPr>
            <w:tcW w:w="260" w:type="dxa"/>
            <w:vAlign w:val="bottom"/>
            <w:tcBorders>
              <w:top w:val="single" w:sz="8" w:color="CCEEFF"/>
            </w:tcBorders>
            <w:gridSpan w:val="11"/>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0"/>
          </w:tcPr>
          <w:p>
            <w:pPr>
              <w:spacing w:after="0" w:line="18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Indenture Supplement, dated as of January 15, 2010, relating to the Senior</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20, 2010</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Secured Tower Revenue Notes, Series 2010-2, by and among The Bank of</w:t>
              </w:r>
            </w:hyperlink>
          </w:p>
        </w:tc>
        <w:tc>
          <w:tcPr>
            <w:tcW w:w="640" w:type="dxa"/>
            <w:vAlign w:val="bottom"/>
            <w:gridSpan w:val="24"/>
          </w:tcPr>
          <w:p>
            <w:pPr>
              <w:ind w:left="60"/>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New</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York Mellon (as successor to The Bank of New York as successor to JPMorgan</w:t>
              </w:r>
            </w:hyperlink>
          </w:p>
        </w:tc>
        <w:tc>
          <w:tcPr>
            <w:tcW w:w="24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tcBorders>
              <w:top w:val="single" w:sz="8" w:color="0000FF"/>
            </w:tcBorders>
            <w:gridSpan w:val="18"/>
          </w:tcPr>
          <w:p>
            <w:pPr>
              <w:spacing w:after="0" w:line="164"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Chase Bank, N.A.), as Indenture Trustee, and Crown Castle Towers LLC, Crown</w:t>
              </w:r>
            </w:hyperlink>
          </w:p>
        </w:tc>
        <w:tc>
          <w:tcPr>
            <w:tcW w:w="280" w:type="dxa"/>
            <w:vAlign w:val="bottom"/>
            <w:gridSpan w:val="1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Castle South LLC, Crown Communication Inc., Crown Castle PT Inc., Crown</w:t>
              </w:r>
            </w:hyperlink>
          </w:p>
        </w:tc>
        <w:tc>
          <w:tcPr>
            <w:tcW w:w="1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Communication New York, Inc., Crown Castle International Corp. de Puerto</w:t>
              </w:r>
            </w:hyperlink>
          </w:p>
        </w:tc>
        <w:tc>
          <w:tcPr>
            <w:tcW w:w="100" w:type="dxa"/>
            <w:vAlign w:val="bottom"/>
            <w:tcBorders>
              <w:top w:val="single" w:sz="8" w:color="0000FF"/>
            </w:tcBorders>
            <w:gridSpan w:val="5"/>
          </w:tcPr>
          <w:p>
            <w:pPr>
              <w:spacing w:after="0"/>
              <w:rPr>
                <w:sz w:val="13"/>
                <w:szCs w:val="13"/>
                <w:color w:val="auto"/>
              </w:rPr>
            </w:pPr>
          </w:p>
        </w:tc>
        <w:tc>
          <w:tcPr>
            <w:tcW w:w="340" w:type="dxa"/>
            <w:vAlign w:val="bottom"/>
            <w:gridSpan w:val="1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30"/>
          </w:tcPr>
          <w:p>
            <w:pPr>
              <w:spacing w:after="0" w:line="16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Rico, Crown Castle Towers 05 LLC, Crown Castle PR LLC, Crown Castle MU</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LLC and Crown Castle MUPA LLC, collectively as Issuers</w:t>
              </w:r>
            </w:hyperlink>
          </w:p>
        </w:tc>
        <w:tc>
          <w:tcPr>
            <w:tcW w:w="26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3"/>
            <w:shd w:val="clear" w:color="auto" w:fill="0000FF"/>
          </w:tcPr>
          <w:p>
            <w:pPr>
              <w:spacing w:after="0" w:line="20" w:lineRule="exact"/>
              <w:rPr>
                <w:sz w:val="1"/>
                <w:szCs w:val="1"/>
                <w:color w:val="auto"/>
              </w:rPr>
            </w:pPr>
          </w:p>
        </w:tc>
        <w:tc>
          <w:tcPr>
            <w:tcW w:w="1680" w:type="dxa"/>
            <w:vAlign w:val="bottom"/>
            <w:gridSpan w:val="2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gridSpan w:val="3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Indenture Supplement, dated as of January 15, 2010, relating to the Senior</w:t>
              </w:r>
            </w:hyperlink>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 2010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Secured Tower Revenue Notes, Series 2010-3, by and among The Bank of</w:t>
              </w:r>
            </w:hyperlink>
          </w:p>
        </w:tc>
        <w:tc>
          <w:tcPr>
            <w:tcW w:w="640" w:type="dxa"/>
            <w:vAlign w:val="bottom"/>
            <w:gridSpan w:val="24"/>
          </w:tcPr>
          <w:p>
            <w:pPr>
              <w:ind w:left="60"/>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New</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York Mellon (as successor to The Bank of New York as successor to JPMorgan</w:t>
              </w:r>
            </w:hyperlink>
          </w:p>
        </w:tc>
        <w:tc>
          <w:tcPr>
            <w:tcW w:w="24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10730" cy="927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10730" cy="927735"/>
                    </a:xfrm>
                    <a:prstGeom prst="rect">
                      <a:avLst/>
                    </a:prstGeom>
                    <a:noFill/>
                  </pic:spPr>
                </pic:pic>
              </a:graphicData>
            </a:graphic>
          </wp:anchor>
        </w:drawing>
      </w:r>
    </w:p>
    <w:p>
      <w:pPr>
        <w:ind w:left="1240" w:right="4280"/>
        <w:spacing w:after="0" w:line="229" w:lineRule="auto"/>
        <w:rPr>
          <w:rFonts w:ascii="Times New Roman" w:cs="Times New Roman" w:eastAsia="Times New Roman" w:hAnsi="Times New Roman"/>
          <w:sz w:val="16"/>
          <w:szCs w:val="16"/>
          <w:u w:val="single" w:color="auto"/>
          <w:color w:val="0000FF"/>
        </w:rPr>
      </w:pPr>
      <w:hyperlink r:id="rId151">
        <w:r>
          <w:rPr>
            <w:rFonts w:ascii="Times New Roman" w:cs="Times New Roman" w:eastAsia="Times New Roman" w:hAnsi="Times New Roman"/>
            <w:sz w:val="16"/>
            <w:szCs w:val="16"/>
            <w:u w:val="single" w:color="auto"/>
            <w:color w:val="0000FF"/>
          </w:rPr>
          <w:t>Chase Bank, N.A.), as Indenture Trustee, and Crown Castle Towers LLC, Crown</w:t>
        </w:r>
      </w:hyperlink>
      <w:r>
        <w:rPr>
          <w:rFonts w:ascii="Times New Roman" w:cs="Times New Roman" w:eastAsia="Times New Roman" w:hAnsi="Times New Roman"/>
          <w:sz w:val="16"/>
          <w:szCs w:val="16"/>
          <w:u w:val="single" w:color="auto"/>
          <w:color w:val="0000FF"/>
        </w:rPr>
        <w:t xml:space="preserve"> </w:t>
      </w:r>
      <w:hyperlink r:id="rId151">
        <w:r>
          <w:rPr>
            <w:rFonts w:ascii="Times New Roman" w:cs="Times New Roman" w:eastAsia="Times New Roman" w:hAnsi="Times New Roman"/>
            <w:sz w:val="16"/>
            <w:szCs w:val="16"/>
            <w:u w:val="single" w:color="auto"/>
            <w:color w:val="0000FF"/>
          </w:rPr>
          <w:t>Castle South LLC, Crown Communication Inc., Crown Castle PT Inc., Crown</w:t>
        </w:r>
      </w:hyperlink>
      <w:r>
        <w:rPr>
          <w:rFonts w:ascii="Times New Roman" w:cs="Times New Roman" w:eastAsia="Times New Roman" w:hAnsi="Times New Roman"/>
          <w:sz w:val="16"/>
          <w:szCs w:val="16"/>
          <w:u w:val="single" w:color="auto"/>
          <w:color w:val="0000FF"/>
        </w:rPr>
        <w:t xml:space="preserve"> </w:t>
      </w:r>
      <w:hyperlink r:id="rId151">
        <w:r>
          <w:rPr>
            <w:rFonts w:ascii="Times New Roman" w:cs="Times New Roman" w:eastAsia="Times New Roman" w:hAnsi="Times New Roman"/>
            <w:sz w:val="16"/>
            <w:szCs w:val="16"/>
            <w:u w:val="single" w:color="auto"/>
            <w:color w:val="0000FF"/>
          </w:rPr>
          <w:t>Communication New York, Inc., Crown Castle International Corp. de Puerto</w:t>
        </w:r>
      </w:hyperlink>
    </w:p>
    <w:p>
      <w:pPr>
        <w:ind w:left="1240"/>
        <w:spacing w:after="0" w:line="199"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Rico, Crown Castle Towers 05 LLC, Crown Castle PR LLC, Crown Castle MU</w:t>
        </w:r>
      </w:hyperlink>
    </w:p>
    <w:p>
      <w:pPr>
        <w:spacing w:after="0" w:line="1" w:lineRule="exact"/>
        <w:rPr>
          <w:rFonts w:ascii="Times New Roman" w:cs="Times New Roman" w:eastAsia="Times New Roman" w:hAnsi="Times New Roman"/>
          <w:sz w:val="16"/>
          <w:szCs w:val="16"/>
          <w:u w:val="single" w:color="auto"/>
          <w:color w:val="0000FF"/>
        </w:rPr>
      </w:pPr>
    </w:p>
    <w:p>
      <w:pPr>
        <w:ind w:left="124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LLC and Crown Castle MUPA LLC, collectively as Issuers</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15" w:lineRule="exact"/>
        <w:rPr>
          <w:rFonts w:ascii="Times New Roman" w:cs="Times New Roman" w:eastAsia="Times New Roman" w:hAnsi="Times New Roman"/>
          <w:sz w:val="16"/>
          <w:szCs w:val="16"/>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4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840" w:type="dxa"/>
            <w:vAlign w:val="bottom"/>
            <w:gridSpan w:val="18"/>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5740" w:type="dxa"/>
            <w:vAlign w:val="bottom"/>
            <w:tcBorders>
              <w:top w:val="single" w:sz="8" w:color="auto"/>
            </w:tcBorders>
            <w:gridSpan w:val="17"/>
          </w:tcPr>
          <w:p>
            <w:pPr>
              <w:spacing w:after="0" w:line="183"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Indenture Supplement, dated as of June 30, 2014, by and among The Bank of</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5"/>
                <w:szCs w:val="15"/>
                <w:color w:val="auto"/>
              </w:rPr>
            </w:pPr>
          </w:p>
        </w:tc>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July 1, 2014</w:t>
            </w:r>
          </w:p>
        </w:tc>
        <w:tc>
          <w:tcPr>
            <w:tcW w:w="100" w:type="dxa"/>
            <w:vAlign w:val="bottom"/>
          </w:tcPr>
          <w:p>
            <w:pPr>
              <w:spacing w:after="0"/>
              <w:rPr>
                <w:sz w:val="15"/>
                <w:szCs w:val="15"/>
                <w:color w:val="auto"/>
              </w:rPr>
            </w:pPr>
          </w:p>
        </w:tc>
        <w:tc>
          <w:tcPr>
            <w:tcW w:w="7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New York Mellon (as successor to The Bank of New York as successor to</w:t>
              </w:r>
            </w:hyperlink>
          </w:p>
        </w:tc>
        <w:tc>
          <w:tcPr>
            <w:tcW w:w="24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JPMorgan Chase Bank, N.A.), as Indenture Trustee, and Crown Castle Towers</w:t>
              </w:r>
            </w:hyperlink>
          </w:p>
        </w:tc>
        <w:tc>
          <w:tcPr>
            <w:tcW w:w="34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18"/>
          </w:tcPr>
          <w:p>
            <w:pPr>
              <w:spacing w:after="0" w:line="16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LLC, Crown Castle South LLC, Crown Communication LLC, Crown Castle PT</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Inc., Crown Communication New York, Inc., Crown Castle International Corp.</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de Puerto Rico, Crown Castle Towers 05 LLC, Crown Castle PR LLC, Crown</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9"/>
          </w:tcPr>
          <w:p>
            <w:pPr>
              <w:spacing w:after="0" w:line="164" w:lineRule="exact"/>
              <w:rPr>
                <w:rFonts w:ascii="Times New Roman" w:cs="Times New Roman" w:eastAsia="Times New Roman" w:hAnsi="Times New Roman"/>
                <w:sz w:val="18"/>
                <w:szCs w:val="18"/>
                <w:color w:val="0000FF"/>
                <w:w w:val="96"/>
              </w:rPr>
            </w:pPr>
            <w:hyperlink r:id="rId154">
              <w:r>
                <w:rPr>
                  <w:rFonts w:ascii="Times New Roman" w:cs="Times New Roman" w:eastAsia="Times New Roman" w:hAnsi="Times New Roman"/>
                  <w:sz w:val="18"/>
                  <w:szCs w:val="18"/>
                  <w:color w:val="0000FF"/>
                  <w:w w:val="96"/>
                </w:rPr>
                <w:t>Castle MU LLC and Crown Castle MUPA LLC, relating to the Senior Secured</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40" w:type="dxa"/>
            <w:vAlign w:val="bottom"/>
            <w:gridSpan w:val="12"/>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Tower Revenue Notes</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Indenture Supplement, dated as of May 15, 2015, by and among The Bank of</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21, 2015</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New York Mellon (as successor to The Bank of New York as successor to</w:t>
              </w:r>
            </w:hyperlink>
          </w:p>
        </w:tc>
        <w:tc>
          <w:tcPr>
            <w:tcW w:w="24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JPMorgan Chase Bank, N.A.), as Indenture Trustee, and Crown Castle Towers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00" w:type="dxa"/>
            <w:vAlign w:val="bottom"/>
            <w:tcBorders>
              <w:top w:val="single" w:sz="8" w:color="0000FF"/>
            </w:tcBorders>
            <w:gridSpan w:val="10"/>
            <w:shd w:val="clear" w:color="auto" w:fill="CCEEFF"/>
          </w:tcPr>
          <w:p>
            <w:pPr>
              <w:spacing w:after="0" w:line="164"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Towers 05 LLC, Crown Castle PR LLC, Crown Castle MU LLC and Crown</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Castle MUPA LLC, collectively as Issuers, relating to the Senior Secured Tower</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120" w:type="dxa"/>
            <w:vAlign w:val="bottom"/>
            <w:tcBorders>
              <w:top w:val="single" w:sz="8" w:color="0000FF"/>
              <w:bottom w:val="single" w:sz="8" w:color="0000FF"/>
            </w:tcBorders>
            <w:gridSpan w:val="2"/>
            <w:shd w:val="clear" w:color="auto" w:fill="CCEEFF"/>
          </w:tcPr>
          <w:p>
            <w:pPr>
              <w:spacing w:after="0" w:line="164" w:lineRule="exact"/>
              <w:rPr>
                <w:rFonts w:ascii="Times New Roman" w:cs="Times New Roman" w:eastAsia="Times New Roman" w:hAnsi="Times New Roman"/>
                <w:sz w:val="18"/>
                <w:szCs w:val="18"/>
                <w:color w:val="0000FF"/>
                <w:w w:val="96"/>
              </w:rPr>
            </w:pPr>
            <w:hyperlink r:id="rId155">
              <w:r>
                <w:rPr>
                  <w:rFonts w:ascii="Times New Roman" w:cs="Times New Roman" w:eastAsia="Times New Roman" w:hAnsi="Times New Roman"/>
                  <w:sz w:val="18"/>
                  <w:szCs w:val="18"/>
                  <w:color w:val="0000FF"/>
                  <w:w w:val="96"/>
                </w:rPr>
                <w:t>Revenue Notes, Series 2015-1</w:t>
              </w:r>
            </w:hyperlink>
          </w:p>
        </w:tc>
        <w:tc>
          <w:tcPr>
            <w:tcW w:w="352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Indenture Supplement, dated as of May 15, 2015, by and among The Bank of</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21, 2015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New York Mellon (as successor to The Bank of New York as successor to</w:t>
              </w:r>
            </w:hyperlink>
          </w:p>
        </w:tc>
        <w:tc>
          <w:tcPr>
            <w:tcW w:w="240" w:type="dxa"/>
            <w:vAlign w:val="bottom"/>
            <w:tcBorders>
              <w:top w:val="single" w:sz="8" w:color="0000FF"/>
            </w:tcBorders>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JPMorgan Chase Bank, N.A.), as Indenture Trustee, and Crown Castle Towers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Borders>
              <w:top w:val="single" w:sz="8" w:color="0000FF"/>
            </w:tcBorders>
            <w:gridSpan w:val="10"/>
          </w:tcPr>
          <w:p>
            <w:pPr>
              <w:spacing w:after="0" w:line="164"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LLC, Crown Castle South LLC, Crown Communication LLC, Crown Castle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6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Towers 05 LLC, Crown Castle PR LLC, Crown Castle MU LLC and Crown</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Castle MUPA LLC, collectively as Issuers, relating to the Senior Secured Tower</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56">
              <w:r>
                <w:rPr>
                  <w:rFonts w:ascii="Times New Roman" w:cs="Times New Roman" w:eastAsia="Times New Roman" w:hAnsi="Times New Roman"/>
                  <w:sz w:val="18"/>
                  <w:szCs w:val="18"/>
                  <w:color w:val="0000FF"/>
                  <w:w w:val="96"/>
                </w:rPr>
                <w:t>Revenue Notes, Series 2015-2</w:t>
              </w:r>
            </w:hyperlink>
          </w:p>
        </w:tc>
        <w:tc>
          <w:tcPr>
            <w:tcW w:w="3520" w:type="dxa"/>
            <w:vAlign w:val="bottom"/>
            <w:tcBorders>
              <w:top w:val="single" w:sz="8" w:color="0000FF"/>
            </w:tcBorders>
            <w:gridSpan w:val="14"/>
          </w:tcPr>
          <w:p>
            <w:pPr>
              <w:spacing w:after="0"/>
              <w:rPr>
                <w:sz w:val="15"/>
                <w:szCs w:val="15"/>
                <w:color w:val="auto"/>
              </w:rPr>
            </w:pPr>
          </w:p>
        </w:tc>
        <w:tc>
          <w:tcPr>
            <w:tcW w:w="2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9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Indenture Supplement, dated as of July 11, 2018, by and among The Bank of</w:t>
              </w:r>
            </w:hyperlink>
          </w:p>
        </w:tc>
        <w:tc>
          <w:tcPr>
            <w:tcW w:w="7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July 16, 2018</w:t>
            </w:r>
          </w:p>
        </w:tc>
        <w:tc>
          <w:tcPr>
            <w:tcW w:w="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New York Mellon (as successor to The Bank of New York as successor to</w:t>
              </w:r>
            </w:hyperlink>
          </w:p>
        </w:tc>
        <w:tc>
          <w:tcPr>
            <w:tcW w:w="20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JPMorgan Chase Bank, N.A.), as Indenture Trustee, and Crown Castle Towers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00" w:type="dxa"/>
            <w:vAlign w:val="bottom"/>
            <w:tcBorders>
              <w:top w:val="single" w:sz="8" w:color="0000FF"/>
            </w:tcBorders>
            <w:gridSpan w:val="10"/>
            <w:shd w:val="clear" w:color="auto" w:fill="CCEEFF"/>
          </w:tcPr>
          <w:p>
            <w:pPr>
              <w:spacing w:after="0" w:line="164"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60" w:type="dxa"/>
            <w:vAlign w:val="bottom"/>
            <w:tcBorders>
              <w:top w:val="single" w:sz="8" w:color="CCEEFF"/>
            </w:tcBorders>
            <w:gridSpan w:val="4"/>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Towers 05 LLC, Crown Castle PR LLC, Crown Castle MU LLC and Crown</w:t>
              </w:r>
            </w:hyperlink>
          </w:p>
        </w:tc>
        <w:tc>
          <w:tcPr>
            <w:tcW w:w="16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Castle MUPA LLC, collectively as Issuers, relating to the Senior Secured Tower</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160" w:type="dxa"/>
            <w:vAlign w:val="bottom"/>
            <w:tcBorders>
              <w:top w:val="single" w:sz="8" w:color="0000FF"/>
              <w:bottom w:val="single" w:sz="8" w:color="0000FF"/>
            </w:tcBorders>
            <w:gridSpan w:val="3"/>
            <w:shd w:val="clear" w:color="auto" w:fill="CCEEFF"/>
          </w:tcPr>
          <w:p>
            <w:pPr>
              <w:spacing w:after="0" w:line="164" w:lineRule="exact"/>
              <w:rPr>
                <w:rFonts w:ascii="Times New Roman" w:cs="Times New Roman" w:eastAsia="Times New Roman" w:hAnsi="Times New Roman"/>
                <w:sz w:val="18"/>
                <w:szCs w:val="18"/>
                <w:color w:val="0000FF"/>
                <w:w w:val="96"/>
              </w:rPr>
            </w:pPr>
            <w:hyperlink r:id="rId157">
              <w:r>
                <w:rPr>
                  <w:rFonts w:ascii="Times New Roman" w:cs="Times New Roman" w:eastAsia="Times New Roman" w:hAnsi="Times New Roman"/>
                  <w:sz w:val="18"/>
                  <w:szCs w:val="18"/>
                  <w:color w:val="0000FF"/>
                  <w:w w:val="96"/>
                </w:rPr>
                <w:t>Revenue Notes, Series 2018-1, Class C-2023</w:t>
              </w:r>
            </w:hyperlink>
          </w:p>
        </w:tc>
        <w:tc>
          <w:tcPr>
            <w:tcW w:w="24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Indenture Supplement, dated as of July 11, 2018, by and among The Bank of</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16, 2018</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New York Mellon (as successor to The Bank of New York as successor to</w:t>
              </w:r>
            </w:hyperlink>
          </w:p>
        </w:tc>
        <w:tc>
          <w:tcPr>
            <w:tcW w:w="200" w:type="dxa"/>
            <w:vAlign w:val="bottom"/>
            <w:tcBorders>
              <w:top w:val="single" w:sz="8" w:color="0000FF"/>
            </w:tcBorders>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JPMorgan Chase Bank, N.A.), as Indenture Trustee, and Crown Castle Towers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Borders>
              <w:top w:val="single" w:sz="8" w:color="0000FF"/>
            </w:tcBorders>
            <w:gridSpan w:val="10"/>
          </w:tcPr>
          <w:p>
            <w:pPr>
              <w:spacing w:after="0" w:line="164"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LLC, Crown Castle South LLC, Crown Communication LLC, Crown Castle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6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Towers 05 LLC, Crown Castle PR LLC, Crown Castle MU LLC and Crown</w:t>
              </w:r>
            </w:hyperlink>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Castle MUPA LLC, collectively as Issuers, relating to the Senior Secured Tower</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8">
              <w:r>
                <w:rPr>
                  <w:rFonts w:ascii="Times New Roman" w:cs="Times New Roman" w:eastAsia="Times New Roman" w:hAnsi="Times New Roman"/>
                  <w:sz w:val="18"/>
                  <w:szCs w:val="18"/>
                  <w:color w:val="0000FF"/>
                  <w:w w:val="96"/>
                </w:rPr>
                <w:t>Revenue Notes, Series 2018-2, Class C-2028</w:t>
              </w:r>
            </w:hyperlink>
          </w:p>
        </w:tc>
        <w:tc>
          <w:tcPr>
            <w:tcW w:w="2480" w:type="dxa"/>
            <w:vAlign w:val="bottom"/>
            <w:tcBorders>
              <w:top w:val="single" w:sz="8" w:color="0000FF"/>
            </w:tcBorders>
            <w:gridSpan w:val="13"/>
          </w:tcPr>
          <w:p>
            <w:pPr>
              <w:spacing w:after="0"/>
              <w:rPr>
                <w:sz w:val="15"/>
                <w:szCs w:val="15"/>
                <w:color w:val="auto"/>
              </w:rPr>
            </w:pPr>
          </w:p>
        </w:tc>
        <w:tc>
          <w:tcPr>
            <w:tcW w:w="2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9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Indenture Supplement, dated as of July 11, 2018, by and among The Bank of</w:t>
              </w:r>
            </w:hyperlink>
          </w:p>
        </w:tc>
        <w:tc>
          <w:tcPr>
            <w:tcW w:w="7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July 16, 2018</w:t>
            </w:r>
          </w:p>
        </w:tc>
        <w:tc>
          <w:tcPr>
            <w:tcW w:w="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New York Mellon (as successor to The Bank of New York as successor to</w:t>
              </w:r>
            </w:hyperlink>
          </w:p>
        </w:tc>
        <w:tc>
          <w:tcPr>
            <w:tcW w:w="20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JPMorgan Chase Bank, N.A.), as Indenture Trustee, and Crown Castle Towers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00" w:type="dxa"/>
            <w:vAlign w:val="bottom"/>
            <w:tcBorders>
              <w:top w:val="single" w:sz="8" w:color="0000FF"/>
            </w:tcBorders>
            <w:gridSpan w:val="10"/>
            <w:shd w:val="clear" w:color="auto" w:fill="CCEEFF"/>
          </w:tcPr>
          <w:p>
            <w:pPr>
              <w:spacing w:after="0" w:line="164"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LLC, Crown Castle South LLC, Crown Communication LLC, Crown Castle</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60" w:type="dxa"/>
            <w:vAlign w:val="bottom"/>
            <w:tcBorders>
              <w:top w:val="single" w:sz="8" w:color="CCEEFF"/>
            </w:tcBorders>
            <w:gridSpan w:val="4"/>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Towers 05 LLC, Crown Castle PR LLC, Crown Castle MU LLC and Crown</w:t>
              </w:r>
            </w:hyperlink>
          </w:p>
        </w:tc>
        <w:tc>
          <w:tcPr>
            <w:tcW w:w="16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1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Castle MUPA LLC, collectively as Issuers, relating to the Senior Secured Tower</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160" w:type="dxa"/>
            <w:vAlign w:val="bottom"/>
            <w:tcBorders>
              <w:top w:val="single" w:sz="8" w:color="0000FF"/>
              <w:bottom w:val="single" w:sz="8" w:color="0000FF"/>
            </w:tcBorders>
            <w:gridSpan w:val="3"/>
            <w:shd w:val="clear" w:color="auto" w:fill="CCEEFF"/>
          </w:tcPr>
          <w:p>
            <w:pPr>
              <w:spacing w:after="0" w:line="164"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Revenue Notes, Series 2018-1, Class R-2028</w:t>
              </w:r>
            </w:hyperlink>
          </w:p>
        </w:tc>
        <w:tc>
          <w:tcPr>
            <w:tcW w:w="24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Indenture dated July 31, 2009, between Pinnacle Towers Acquisition Holdings</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LLC, GS Savings Inc., GoldenState Towers, LLC, Pinnacle Towers Acquisition</w:t>
              </w:r>
            </w:hyperlink>
          </w:p>
        </w:tc>
        <w:tc>
          <w:tcPr>
            <w:tcW w:w="60" w:type="dxa"/>
            <w:vAlign w:val="bottom"/>
            <w:tcBorders>
              <w:bottom w:val="single" w:sz="8" w:color="0000FF"/>
            </w:tcBorders>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gridSpan w:val="14"/>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LLC, Tower Ventures III, LLC and TVHT, LLC, as Issuers, Global Signal</w:t>
              </w:r>
            </w:hyperlink>
          </w:p>
        </w:tc>
        <w:tc>
          <w:tcPr>
            <w:tcW w:w="26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40"/>
        <w:spacing w:after="0" w:line="200"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Holdings III, LLC, as Guarantor, and The Bank of New York Mellon Trust</w:t>
        </w:r>
      </w:hyperlink>
    </w:p>
    <w:p>
      <w:pPr>
        <w:ind w:left="124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Company, N.A., as Indenture Trustee, relating to Senior Secured Notes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840" w:type="dxa"/>
            <w:vAlign w:val="bottom"/>
            <w:gridSpan w:val="26"/>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5740" w:type="dxa"/>
            <w:vAlign w:val="bottom"/>
            <w:tcBorders>
              <w:top w:val="single" w:sz="8" w:color="auto"/>
            </w:tcBorders>
            <w:gridSpan w:val="25"/>
            <w:shd w:val="clear" w:color="auto" w:fill="CCEEFF"/>
          </w:tcPr>
          <w:p>
            <w:pPr>
              <w:spacing w:after="0" w:line="183"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Indenture Supplement dated July 31, 2009, between Pinnacle Towers Acquisition</w:t>
              </w:r>
            </w:hyperlink>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August 4, 2009</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420" w:type="dxa"/>
            <w:vAlign w:val="bottom"/>
            <w:tcBorders>
              <w:top w:val="single" w:sz="8" w:color="0000FF"/>
              <w:bottom w:val="single" w:sz="8" w:color="0000FF"/>
            </w:tcBorders>
            <w:gridSpan w:val="13"/>
            <w:shd w:val="clear" w:color="auto" w:fill="CCEEFF"/>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Holdings LLC, GS Savings Inc., GoldenState Towers, LLC, Pinnacle Towers</w:t>
              </w:r>
            </w:hyperlink>
          </w:p>
        </w:tc>
        <w:tc>
          <w:tcPr>
            <w:tcW w:w="28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Acquisition LLC, Tower Ventures III, LLC and TVHT, LLC, as Issuers, Global</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60" w:type="dxa"/>
            <w:vAlign w:val="bottom"/>
            <w:tcBorders>
              <w:top w:val="single" w:sz="8" w:color="0000FF"/>
            </w:tcBorders>
            <w:gridSpan w:val="18"/>
            <w:shd w:val="clear" w:color="auto" w:fill="CCEEFF"/>
          </w:tcPr>
          <w:p>
            <w:pPr>
              <w:spacing w:after="0" w:line="16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Signal Holdings III, LLC, as Guarantor, and The Bank of New York Mellon</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320" w:type="dxa"/>
            <w:vAlign w:val="bottom"/>
            <w:tcBorders>
              <w:top w:val="single" w:sz="8" w:color="0000FF"/>
              <w:bottom w:val="single" w:sz="8" w:color="0000FF"/>
            </w:tcBorders>
            <w:gridSpan w:val="11"/>
            <w:shd w:val="clear" w:color="auto" w:fill="CCEEFF"/>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Trust Company, N.A., as Indenture Trustee, relating to Senior Secured Notes,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20" w:type="dxa"/>
            <w:vAlign w:val="bottom"/>
            <w:gridSpan w:val="13"/>
            <w:shd w:val="clear" w:color="auto" w:fill="CCEEFF"/>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Series 2009-1, Class A-2</w:t>
              </w:r>
            </w:hyperlink>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Indenture dated April 15, 2014, between Crown Castle International Corp. and</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15, 2014</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The Bank of New York Mellon Trust Company, N.A., as trustee</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Supplemental Indenture dated December 15, 2014, between Crown</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16,</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Castle REIT Inc., Crown Castle International Corp. and The Bank of New</w:t>
              </w:r>
            </w:hyperlink>
          </w:p>
        </w:tc>
        <w:tc>
          <w:tcPr>
            <w:tcW w:w="560" w:type="dxa"/>
            <w:vAlign w:val="bottom"/>
            <w:tcBorders>
              <w:top w:val="single" w:sz="8" w:color="CCEEFF"/>
            </w:tcBorders>
            <w:gridSpan w:val="16"/>
            <w:shd w:val="clear" w:color="auto" w:fill="CCEEFF"/>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York</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80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Mellon Trust Company, N.A., as trustee</w:t>
              </w:r>
            </w:hyperlink>
          </w:p>
        </w:tc>
        <w:tc>
          <w:tcPr>
            <w:tcW w:w="278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Third Supplemental Indenture dated December 15, 2014, between Crown Castle</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16,</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REIT Inc., Crown Castle International Corp. and The Bank of New York Mellon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gridSpan w:val="23"/>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Trust Company, N.A., as trustee</w:t>
              </w:r>
            </w:hyperlink>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Fourth Supplemental Indenture dated February 8, 2016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8, 2016</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16"/>
            <w:shd w:val="clear" w:color="auto" w:fill="CCEEFF"/>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International Corp. and The Bank of New York Mellon Trust Company, N.A.,</w:t>
              </w:r>
            </w:hyperlink>
          </w:p>
        </w:tc>
        <w:tc>
          <w:tcPr>
            <w:tcW w:w="340" w:type="dxa"/>
            <w:vAlign w:val="bottom"/>
            <w:tcBorders>
              <w:top w:val="single" w:sz="8" w:color="CCEEFF"/>
            </w:tcBorders>
            <w:gridSpan w:val="10"/>
            <w:shd w:val="clear" w:color="auto" w:fill="CCEEFF"/>
          </w:tcPr>
          <w:p>
            <w:pPr>
              <w:jc w:val="right"/>
              <w:ind w:right="200"/>
              <w:spacing w:after="0" w:line="152" w:lineRule="exact"/>
              <w:rPr>
                <w:rFonts w:ascii="Times New Roman" w:cs="Times New Roman" w:eastAsia="Times New Roman" w:hAnsi="Times New Roman"/>
                <w:sz w:val="16"/>
                <w:szCs w:val="16"/>
                <w:color w:val="0000FF"/>
                <w:w w:val="89"/>
              </w:rPr>
            </w:pPr>
            <w:hyperlink r:id="rId166">
              <w:r>
                <w:rPr>
                  <w:rFonts w:ascii="Times New Roman" w:cs="Times New Roman" w:eastAsia="Times New Roman" w:hAnsi="Times New Roman"/>
                  <w:sz w:val="16"/>
                  <w:szCs w:val="16"/>
                  <w:color w:val="0000FF"/>
                  <w:w w:val="89"/>
                </w:rPr>
                <w:t>as</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trustee, to the Indenture dated April 15, 2014, between Crown Castle</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6"/>
            <w:shd w:val="clear" w:color="auto" w:fill="CCEEFF"/>
          </w:tcPr>
          <w:p>
            <w:pPr>
              <w:spacing w:after="0" w:line="20" w:lineRule="exact"/>
              <w:rPr>
                <w:sz w:val="1"/>
                <w:szCs w:val="1"/>
                <w:color w:val="auto"/>
              </w:rPr>
            </w:pPr>
          </w:p>
        </w:tc>
        <w:tc>
          <w:tcPr>
            <w:tcW w:w="200" w:type="dxa"/>
            <w:vAlign w:val="bottom"/>
            <w:gridSpan w:val="5"/>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6"/>
            <w:shd w:val="clear" w:color="auto" w:fill="CCEEFF"/>
          </w:tcPr>
          <w:p>
            <w:pPr>
              <w:spacing w:after="0" w:line="164"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International Corp. and The Bank of New York Mellon Trust Company, N.A., as</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500" w:type="dxa"/>
            <w:vAlign w:val="bottom"/>
            <w:tcBorders>
              <w:top w:val="single" w:sz="8" w:color="0000FF"/>
              <w:bottom w:val="single" w:sz="8" w:color="0000FF"/>
            </w:tcBorders>
            <w:gridSpan w:val="5"/>
            <w:shd w:val="clear" w:color="auto" w:fill="CCEEFF"/>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trustee, relating to 4.450% Senior Notes due 2026</w:t>
              </w:r>
            </w:hyperlink>
          </w:p>
        </w:tc>
        <w:tc>
          <w:tcPr>
            <w:tcW w:w="216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Fifth Supplemental Indenture dated May 6, 2016, between Crown Castle</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6, 2016</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International Corp. and The Bank of New York Mellon Trust Company,</w:t>
              </w:r>
            </w:hyperlink>
          </w:p>
        </w:tc>
        <w:tc>
          <w:tcPr>
            <w:tcW w:w="740" w:type="dxa"/>
            <w:vAlign w:val="bottom"/>
            <w:gridSpan w:val="18"/>
          </w:tcPr>
          <w:p>
            <w:pPr>
              <w:jc w:val="right"/>
              <w:ind w:right="200"/>
              <w:spacing w:after="0" w:line="152" w:lineRule="exact"/>
              <w:rPr>
                <w:rFonts w:ascii="Times New Roman" w:cs="Times New Roman" w:eastAsia="Times New Roman" w:hAnsi="Times New Roman"/>
                <w:sz w:val="16"/>
                <w:szCs w:val="16"/>
                <w:color w:val="0000FF"/>
                <w:w w:val="99"/>
              </w:rPr>
            </w:pPr>
            <w:hyperlink r:id="rId167">
              <w:r>
                <w:rPr>
                  <w:rFonts w:ascii="Times New Roman" w:cs="Times New Roman" w:eastAsia="Times New Roman" w:hAnsi="Times New Roman"/>
                  <w:sz w:val="16"/>
                  <w:szCs w:val="16"/>
                  <w:color w:val="0000FF"/>
                  <w:w w:val="99"/>
                </w:rPr>
                <w:t>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trustee, to the Indenture dated April 15, 2014, between Crown Castle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8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26"/>
          </w:tcPr>
          <w:p>
            <w:pPr>
              <w:spacing w:after="0" w:line="164"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International Corp. and The Bank of New York Mellon Trust Company, 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trustee, relating to 3.700% Senior Notes due 2026</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Seventh Supplemental Indenture dated February 2, 2017,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 2017</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1"/>
            <w:shd w:val="clear" w:color="auto" w:fill="CCEEFF"/>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International Corp. and The Bank of New York Mellon Trust Company, N.A., as</w:t>
              </w:r>
            </w:hyperlink>
          </w:p>
        </w:tc>
        <w:tc>
          <w:tcPr>
            <w:tcW w:w="200" w:type="dxa"/>
            <w:vAlign w:val="bottom"/>
            <w:tcBorders>
              <w:top w:val="single" w:sz="8" w:color="CCEEFF"/>
            </w:tcBorders>
            <w:gridSpan w:val="5"/>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trustee, to the Indenture dated April 15, 2014, between Crown Castle</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8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6"/>
            <w:shd w:val="clear" w:color="auto" w:fill="CCEEFF"/>
          </w:tcPr>
          <w:p>
            <w:pPr>
              <w:spacing w:after="0" w:line="20" w:lineRule="exact"/>
              <w:rPr>
                <w:sz w:val="1"/>
                <w:szCs w:val="1"/>
                <w:color w:val="auto"/>
              </w:rPr>
            </w:pPr>
          </w:p>
        </w:tc>
        <w:tc>
          <w:tcPr>
            <w:tcW w:w="200" w:type="dxa"/>
            <w:vAlign w:val="bottom"/>
            <w:gridSpan w:val="5"/>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6"/>
            <w:shd w:val="clear" w:color="auto" w:fill="CCEEFF"/>
          </w:tcPr>
          <w:p>
            <w:pPr>
              <w:spacing w:after="0" w:line="164"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International Corp. and The Bank of New York Mellon Trust Company, N.A., as</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500" w:type="dxa"/>
            <w:vAlign w:val="bottom"/>
            <w:tcBorders>
              <w:top w:val="single" w:sz="8" w:color="0000FF"/>
              <w:bottom w:val="single" w:sz="8" w:color="0000FF"/>
            </w:tcBorders>
            <w:gridSpan w:val="5"/>
            <w:shd w:val="clear" w:color="auto" w:fill="CCEEFF"/>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trustee, relating to 4.000% Senior Notes due 2027</w:t>
              </w:r>
            </w:hyperlink>
          </w:p>
        </w:tc>
        <w:tc>
          <w:tcPr>
            <w:tcW w:w="216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6"/>
                <w:szCs w:val="16"/>
                <w:color w:val="auto"/>
              </w:rPr>
            </w:pPr>
          </w:p>
        </w:tc>
        <w:tc>
          <w:tcPr>
            <w:tcW w:w="5220" w:type="dxa"/>
            <w:vAlign w:val="bottom"/>
            <w:tcBorders>
              <w:bottom w:val="single" w:sz="8" w:color="0000FF"/>
            </w:tcBorders>
            <w:gridSpan w:val="9"/>
          </w:tcPr>
          <w:p>
            <w:pPr>
              <w:spacing w:after="0" w:line="184" w:lineRule="exact"/>
              <w:rPr>
                <w:rFonts w:ascii="Times New Roman" w:cs="Times New Roman" w:eastAsia="Times New Roman" w:hAnsi="Times New Roman"/>
                <w:sz w:val="18"/>
                <w:szCs w:val="18"/>
                <w:color w:val="0000FF"/>
                <w:w w:val="96"/>
              </w:rPr>
            </w:pPr>
            <w:hyperlink r:id="rId169">
              <w:r>
                <w:rPr>
                  <w:rFonts w:ascii="Times New Roman" w:cs="Times New Roman" w:eastAsia="Times New Roman" w:hAnsi="Times New Roman"/>
                  <w:sz w:val="18"/>
                  <w:szCs w:val="18"/>
                  <w:color w:val="0000FF"/>
                  <w:w w:val="96"/>
                </w:rPr>
                <w:t>Eighth Supplemental Indenture dated May 1, 2017, between Crown Castle</w:t>
              </w:r>
            </w:hyperlink>
          </w:p>
        </w:tc>
        <w:tc>
          <w:tcPr>
            <w:tcW w:w="620" w:type="dxa"/>
            <w:vAlign w:val="bottom"/>
            <w:gridSpan w:val="17"/>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 2017</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26"/>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trustee, to the Indenture dated April 15, 2014, between Crown Castle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8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26"/>
          </w:tcPr>
          <w:p>
            <w:pPr>
              <w:spacing w:after="0" w:line="164"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International Corp. and The Bank of New York Mellon Trust Company, 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trustee, relating to 4.750% Senior Notes due 2047</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340" w:type="dxa"/>
            <w:vAlign w:val="bottom"/>
            <w:tcBorders>
              <w:bottom w:val="single" w:sz="8" w:color="0000FF"/>
            </w:tcBorders>
            <w:gridSpan w:val="12"/>
            <w:shd w:val="clear" w:color="auto" w:fill="CCEEFF"/>
          </w:tcPr>
          <w:p>
            <w:pPr>
              <w:spacing w:after="0" w:line="184" w:lineRule="exact"/>
              <w:rPr>
                <w:rFonts w:ascii="Times New Roman" w:cs="Times New Roman" w:eastAsia="Times New Roman" w:hAnsi="Times New Roman"/>
                <w:sz w:val="18"/>
                <w:szCs w:val="18"/>
                <w:color w:val="0000FF"/>
                <w:w w:val="96"/>
              </w:rPr>
            </w:pPr>
            <w:hyperlink r:id="rId170">
              <w:r>
                <w:rPr>
                  <w:rFonts w:ascii="Times New Roman" w:cs="Times New Roman" w:eastAsia="Times New Roman" w:hAnsi="Times New Roman"/>
                  <w:sz w:val="18"/>
                  <w:szCs w:val="18"/>
                  <w:color w:val="0000FF"/>
                  <w:w w:val="96"/>
                </w:rPr>
                <w:t>Ninth Supplemental Indenture dated August 1, 2017, between Crown Castle</w:t>
              </w:r>
            </w:hyperlink>
          </w:p>
        </w:tc>
        <w:tc>
          <w:tcPr>
            <w:tcW w:w="500" w:type="dxa"/>
            <w:vAlign w:val="bottom"/>
            <w:tcBorders>
              <w:bottom w:val="single" w:sz="8" w:color="CCEEFF"/>
            </w:tcBorders>
            <w:gridSpan w:val="14"/>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2017</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26"/>
            <w:shd w:val="clear" w:color="auto" w:fill="CCEEFF"/>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trustee, to the Indenture dated April 15, 2014, between Crown Castle</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80" w:type="dxa"/>
            <w:vAlign w:val="bottom"/>
            <w:tcBorders>
              <w:right w:val="single" w:sz="8" w:color="0000FF"/>
            </w:tcBorders>
            <w:gridSpan w:val="6"/>
            <w:shd w:val="clear" w:color="auto" w:fill="0000FF"/>
          </w:tcPr>
          <w:p>
            <w:pPr>
              <w:spacing w:after="0" w:line="20" w:lineRule="exact"/>
              <w:rPr>
                <w:sz w:val="1"/>
                <w:szCs w:val="1"/>
                <w:color w:val="auto"/>
              </w:rPr>
            </w:pPr>
          </w:p>
        </w:tc>
        <w:tc>
          <w:tcPr>
            <w:tcW w:w="640" w:type="dxa"/>
            <w:vAlign w:val="bottom"/>
            <w:gridSpan w:val="7"/>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6"/>
            <w:shd w:val="clear" w:color="auto" w:fill="CCEEFF"/>
          </w:tcPr>
          <w:p>
            <w:pPr>
              <w:spacing w:after="0" w:line="20" w:lineRule="exact"/>
              <w:rPr>
                <w:sz w:val="1"/>
                <w:szCs w:val="1"/>
                <w:color w:val="auto"/>
              </w:rPr>
            </w:pPr>
          </w:p>
        </w:tc>
        <w:tc>
          <w:tcPr>
            <w:tcW w:w="200" w:type="dxa"/>
            <w:vAlign w:val="bottom"/>
            <w:gridSpan w:val="5"/>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6"/>
            <w:shd w:val="clear" w:color="auto" w:fill="CCEEFF"/>
          </w:tcPr>
          <w:p>
            <w:pPr>
              <w:spacing w:after="0" w:line="164"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International Corp. and The Bank of New York Mellon Trust Company, N.A., as</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660" w:type="dxa"/>
            <w:vAlign w:val="bottom"/>
            <w:tcBorders>
              <w:top w:val="single" w:sz="8" w:color="0000FF"/>
              <w:bottom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trustee, relating to 3.200% Senior Notes due 2024 and 3.650% Senior Notes due</w:t>
              </w:r>
            </w:hyperlink>
          </w:p>
        </w:tc>
        <w:tc>
          <w:tcPr>
            <w:tcW w:w="1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740" w:type="dxa"/>
            <w:vAlign w:val="bottom"/>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2027</w:t>
              </w:r>
            </w:hyperlink>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6"/>
                <w:szCs w:val="16"/>
                <w:color w:val="auto"/>
              </w:rPr>
            </w:pPr>
          </w:p>
        </w:tc>
        <w:tc>
          <w:tcPr>
            <w:tcW w:w="5840" w:type="dxa"/>
            <w:vAlign w:val="bottom"/>
            <w:gridSpan w:val="26"/>
          </w:tcPr>
          <w:p>
            <w:pPr>
              <w:spacing w:after="0" w:line="18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Tenth Supplemental Indenture dated January 16, 2018, between Crown Castle</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17, 2018</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6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International Corp. and The Bank of New York Mellon Trust Company, N.A.,</w:t>
              </w:r>
            </w:hyperlink>
          </w:p>
        </w:tc>
        <w:tc>
          <w:tcPr>
            <w:tcW w:w="20" w:type="dxa"/>
            <w:vAlign w:val="bottom"/>
          </w:tcPr>
          <w:p>
            <w:pPr>
              <w:spacing w:after="0"/>
              <w:rPr>
                <w:sz w:val="13"/>
                <w:szCs w:val="13"/>
                <w:color w:val="auto"/>
              </w:rPr>
            </w:pPr>
          </w:p>
        </w:tc>
        <w:tc>
          <w:tcPr>
            <w:tcW w:w="360" w:type="dxa"/>
            <w:vAlign w:val="bottom"/>
            <w:gridSpan w:val="11"/>
          </w:tcPr>
          <w:p>
            <w:pPr>
              <w:jc w:val="right"/>
              <w:ind w:right="200"/>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trustee, to the Indenture dated April 15, 2014, between Crown Castle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26"/>
          </w:tcPr>
          <w:p>
            <w:pPr>
              <w:spacing w:after="0" w:line="164"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International Corp. and The Bank of New York Mellon Trust Company, 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trustee, relating to 3.150% Senior Notes due 2023 and 3.800% Senior Notes due</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2028</w:t>
              </w:r>
            </w:hyperlink>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6"/>
            <w:shd w:val="clear" w:color="auto" w:fill="CCEEFF"/>
          </w:tcPr>
          <w:p>
            <w:pPr>
              <w:spacing w:after="0" w:line="18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Indenture dated February 11, 2019, between Crown Castle International Corp.</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11,</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820" w:type="dxa"/>
            <w:vAlign w:val="bottom"/>
            <w:tcBorders>
              <w:top w:val="single" w:sz="8" w:color="0000FF"/>
              <w:bottom w:val="single" w:sz="8" w:color="0000FF"/>
              <w:right w:val="single" w:sz="8" w:color="CCEEFF"/>
            </w:tcBorders>
            <w:gridSpan w:val="7"/>
            <w:shd w:val="clear" w:color="auto" w:fill="CCEEFF"/>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and The Bank of New York Mellon Trust Company, N.A., as trustee</w:t>
              </w:r>
            </w:hyperlink>
          </w:p>
        </w:tc>
        <w:tc>
          <w:tcPr>
            <w:tcW w:w="66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360" w:type="dxa"/>
            <w:vAlign w:val="bottom"/>
            <w:tcBorders>
              <w:top w:val="single" w:sz="8" w:color="CCEEFF"/>
              <w:bottom w:val="single" w:sz="8" w:color="CCEEFF"/>
            </w:tcBorders>
            <w:gridSpan w:val="11"/>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7"/>
          </w:tcPr>
          <w:p>
            <w:pPr>
              <w:ind w:left="42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4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840" w:type="dxa"/>
            <w:vAlign w:val="bottom"/>
            <w:gridSpan w:val="18"/>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5"/>
                <w:szCs w:val="15"/>
                <w:color w:val="auto"/>
              </w:rPr>
            </w:pPr>
          </w:p>
        </w:tc>
        <w:tc>
          <w:tcPr>
            <w:tcW w:w="5740" w:type="dxa"/>
            <w:vAlign w:val="bottom"/>
            <w:tcBorders>
              <w:top w:val="single" w:sz="8" w:color="auto"/>
            </w:tcBorders>
            <w:gridSpan w:val="17"/>
          </w:tcPr>
          <w:p>
            <w:pPr>
              <w:spacing w:after="0" w:line="183"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Supplemental Indenture dated February 11, 2019, between Crown Castle</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5"/>
                <w:szCs w:val="15"/>
                <w:color w:val="auto"/>
              </w:rPr>
            </w:pPr>
          </w:p>
        </w:tc>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February 11,</w:t>
            </w:r>
          </w:p>
        </w:tc>
        <w:tc>
          <w:tcPr>
            <w:tcW w:w="100" w:type="dxa"/>
            <w:vAlign w:val="bottom"/>
          </w:tcPr>
          <w:p>
            <w:pPr>
              <w:spacing w:after="0"/>
              <w:rPr>
                <w:sz w:val="15"/>
                <w:szCs w:val="15"/>
                <w:color w:val="auto"/>
              </w:rPr>
            </w:pPr>
          </w:p>
        </w:tc>
        <w:tc>
          <w:tcPr>
            <w:tcW w:w="7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International Corp. and The Bank of New York Mellon Trust Company, N.A.,</w:t>
              </w:r>
            </w:hyperlink>
          </w:p>
        </w:tc>
        <w:tc>
          <w:tcPr>
            <w:tcW w:w="360" w:type="dxa"/>
            <w:vAlign w:val="bottom"/>
            <w:gridSpan w:val="7"/>
          </w:tcPr>
          <w:p>
            <w:pPr>
              <w:jc w:val="right"/>
              <w:ind w:right="200"/>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5"/>
          </w:tcPr>
          <w:p>
            <w:pPr>
              <w:spacing w:after="0" w:line="164"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gridSpan w:val="13"/>
          </w:tcPr>
          <w:p>
            <w:pPr>
              <w:jc w:val="right"/>
              <w:ind w:right="200"/>
              <w:spacing w:after="0" w:line="164" w:lineRule="exact"/>
              <w:rPr>
                <w:rFonts w:ascii="Times New Roman" w:cs="Times New Roman" w:eastAsia="Times New Roman" w:hAnsi="Times New Roman"/>
                <w:sz w:val="18"/>
                <w:szCs w:val="18"/>
                <w:color w:val="0000FF"/>
                <w:w w:val="91"/>
              </w:rPr>
            </w:pPr>
            <w:hyperlink r:id="rId175">
              <w:r>
                <w:rPr>
                  <w:rFonts w:ascii="Times New Roman" w:cs="Times New Roman" w:eastAsia="Times New Roman" w:hAnsi="Times New Roman"/>
                  <w:sz w:val="18"/>
                  <w:szCs w:val="18"/>
                  <w:color w:val="0000FF"/>
                  <w:w w:val="91"/>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trustee, relating to 4.300% Senior Notes due 2029 and 5.200% Senior Notes due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2049</w:t>
              </w:r>
            </w:hyperlink>
          </w:p>
        </w:tc>
        <w:tc>
          <w:tcPr>
            <w:tcW w:w="22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Second Supplemental Indenture dated August 15, 2019,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15, 2019</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5"/>
            <w:shd w:val="clear" w:color="auto" w:fill="CCEEFF"/>
          </w:tcPr>
          <w:p>
            <w:pPr>
              <w:spacing w:after="0" w:line="164" w:lineRule="exact"/>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tcBorders>
              <w:top w:val="single" w:sz="8" w:color="CCEEFF"/>
            </w:tcBorders>
            <w:gridSpan w:val="13"/>
            <w:shd w:val="clear" w:color="auto" w:fill="CCEEFF"/>
          </w:tcPr>
          <w:p>
            <w:pPr>
              <w:jc w:val="right"/>
              <w:ind w:right="200"/>
              <w:spacing w:after="0" w:line="164" w:lineRule="exact"/>
              <w:rPr>
                <w:rFonts w:ascii="Times New Roman" w:cs="Times New Roman" w:eastAsia="Times New Roman" w:hAnsi="Times New Roman"/>
                <w:sz w:val="18"/>
                <w:szCs w:val="18"/>
                <w:color w:val="0000FF"/>
                <w:w w:val="91"/>
              </w:rPr>
            </w:pPr>
            <w:hyperlink r:id="rId176">
              <w:r>
                <w:rPr>
                  <w:rFonts w:ascii="Times New Roman" w:cs="Times New Roman" w:eastAsia="Times New Roman" w:hAnsi="Times New Roman"/>
                  <w:sz w:val="18"/>
                  <w:szCs w:val="18"/>
                  <w:color w:val="0000FF"/>
                  <w:w w:val="91"/>
                </w:rPr>
                <w:t>N.A., as</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trustee, relating to 3.100% Senior Notes due 2029 and 4.000% Senior Notes due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640" w:type="dxa"/>
            <w:vAlign w:val="bottom"/>
            <w:tcBorders>
              <w:top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2049</w:t>
              </w:r>
            </w:hyperlink>
          </w:p>
        </w:tc>
        <w:tc>
          <w:tcPr>
            <w:tcW w:w="224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58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right w:val="single" w:sz="8" w:color="CCEE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6"/>
                <w:szCs w:val="16"/>
                <w:color w:val="auto"/>
              </w:rPr>
            </w:pPr>
          </w:p>
        </w:tc>
        <w:tc>
          <w:tcPr>
            <w:tcW w:w="5200" w:type="dxa"/>
            <w:vAlign w:val="bottom"/>
            <w:tcBorders>
              <w:bottom w:val="single" w:sz="8" w:color="0000FF"/>
            </w:tcBorders>
            <w:gridSpan w:val="6"/>
          </w:tcPr>
          <w:p>
            <w:pPr>
              <w:spacing w:after="0" w:line="184"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Third Supplemental Indenture dated April 3, 2020, between Crown Castle</w:t>
              </w:r>
            </w:hyperlink>
          </w:p>
        </w:tc>
        <w:tc>
          <w:tcPr>
            <w:tcW w:w="640" w:type="dxa"/>
            <w:vAlign w:val="bottom"/>
            <w:gridSpan w:val="1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3, 2020</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5"/>
          </w:tcPr>
          <w:p>
            <w:pPr>
              <w:spacing w:after="0" w:line="164"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gridSpan w:val="13"/>
          </w:tcPr>
          <w:p>
            <w:pPr>
              <w:jc w:val="right"/>
              <w:ind w:right="200"/>
              <w:spacing w:after="0" w:line="164" w:lineRule="exact"/>
              <w:rPr>
                <w:rFonts w:ascii="Times New Roman" w:cs="Times New Roman" w:eastAsia="Times New Roman" w:hAnsi="Times New Roman"/>
                <w:sz w:val="18"/>
                <w:szCs w:val="18"/>
                <w:color w:val="0000FF"/>
                <w:w w:val="91"/>
              </w:rPr>
            </w:pPr>
            <w:hyperlink r:id="rId177">
              <w:r>
                <w:rPr>
                  <w:rFonts w:ascii="Times New Roman" w:cs="Times New Roman" w:eastAsia="Times New Roman" w:hAnsi="Times New Roman"/>
                  <w:sz w:val="18"/>
                  <w:szCs w:val="18"/>
                  <w:color w:val="0000FF"/>
                  <w:w w:val="91"/>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trustee, relating to 3.300% Senior Notes due 2030 and 4.150% Senior Notes due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2050</w:t>
              </w:r>
            </w:hyperlink>
          </w:p>
        </w:tc>
        <w:tc>
          <w:tcPr>
            <w:tcW w:w="22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Fourth Supplemental Indenture dated June 15, 2020,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15, 2020</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5"/>
            <w:shd w:val="clear" w:color="auto" w:fill="CCEEFF"/>
          </w:tcPr>
          <w:p>
            <w:pPr>
              <w:spacing w:after="0" w:line="164"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tcBorders>
              <w:top w:val="single" w:sz="8" w:color="CCEEFF"/>
            </w:tcBorders>
            <w:gridSpan w:val="13"/>
            <w:shd w:val="clear" w:color="auto" w:fill="CCEEFF"/>
          </w:tcPr>
          <w:p>
            <w:pPr>
              <w:jc w:val="right"/>
              <w:ind w:right="200"/>
              <w:spacing w:after="0" w:line="164" w:lineRule="exact"/>
              <w:rPr>
                <w:rFonts w:ascii="Times New Roman" w:cs="Times New Roman" w:eastAsia="Times New Roman" w:hAnsi="Times New Roman"/>
                <w:sz w:val="18"/>
                <w:szCs w:val="18"/>
                <w:color w:val="0000FF"/>
                <w:w w:val="91"/>
              </w:rPr>
            </w:pPr>
            <w:hyperlink r:id="rId178">
              <w:r>
                <w:rPr>
                  <w:rFonts w:ascii="Times New Roman" w:cs="Times New Roman" w:eastAsia="Times New Roman" w:hAnsi="Times New Roman"/>
                  <w:sz w:val="18"/>
                  <w:szCs w:val="18"/>
                  <w:color w:val="0000FF"/>
                  <w:w w:val="91"/>
                </w:rPr>
                <w:t>N.A., as</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trustee, relating to 1.350% Senior Notes due 2025, 2.250% Senior Notes due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880" w:type="dxa"/>
            <w:vAlign w:val="bottom"/>
            <w:tcBorders>
              <w:top w:val="single" w:sz="8" w:color="0000FF"/>
              <w:bottom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2031 and 3.250% Senior Notes due 2051</w:t>
              </w:r>
            </w:hyperlink>
          </w:p>
        </w:tc>
        <w:tc>
          <w:tcPr>
            <w:tcW w:w="250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6"/>
                <w:szCs w:val="16"/>
                <w:color w:val="auto"/>
              </w:rPr>
            </w:pPr>
          </w:p>
        </w:tc>
        <w:tc>
          <w:tcPr>
            <w:tcW w:w="5560" w:type="dxa"/>
            <w:vAlign w:val="bottom"/>
            <w:tcBorders>
              <w:bottom w:val="single" w:sz="8" w:color="0000FF"/>
            </w:tcBorders>
            <w:gridSpan w:val="12"/>
          </w:tcPr>
          <w:p>
            <w:pPr>
              <w:spacing w:after="0" w:line="184"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Fifth Supplemental Indenture, dated February 16, 2021, between Crown Castle</w:t>
              </w:r>
            </w:hyperlink>
          </w:p>
        </w:tc>
        <w:tc>
          <w:tcPr>
            <w:tcW w:w="280" w:type="dxa"/>
            <w:vAlign w:val="bottom"/>
            <w:gridSpan w:val="6"/>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16,</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18"/>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5"/>
          </w:tcPr>
          <w:p>
            <w:pPr>
              <w:spacing w:after="0" w:line="164"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gridSpan w:val="13"/>
          </w:tcPr>
          <w:p>
            <w:pPr>
              <w:jc w:val="right"/>
              <w:ind w:right="200"/>
              <w:spacing w:after="0" w:line="164" w:lineRule="exact"/>
              <w:rPr>
                <w:rFonts w:ascii="Times New Roman" w:cs="Times New Roman" w:eastAsia="Times New Roman" w:hAnsi="Times New Roman"/>
                <w:sz w:val="18"/>
                <w:szCs w:val="18"/>
                <w:color w:val="0000FF"/>
                <w:w w:val="91"/>
              </w:rPr>
            </w:pPr>
            <w:hyperlink r:id="rId179">
              <w:r>
                <w:rPr>
                  <w:rFonts w:ascii="Times New Roman" w:cs="Times New Roman" w:eastAsia="Times New Roman" w:hAnsi="Times New Roman"/>
                  <w:sz w:val="18"/>
                  <w:szCs w:val="18"/>
                  <w:color w:val="0000FF"/>
                  <w:w w:val="91"/>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trustee, relating to 1.050% Senior Notes due 2026, 2.100% Senior Notes due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2031 and 2.900% Senior Notes due 2041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Sixth Supplemental Indenture dated June 29, 2021,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29, 2021</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International Corp. and The Bank of New York Mellon Trust Company, N.A., as</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5"/>
            <w:shd w:val="clear" w:color="auto" w:fill="CCEEFF"/>
          </w:tcPr>
          <w:p>
            <w:pPr>
              <w:spacing w:after="0" w:line="164"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tcBorders>
              <w:top w:val="single" w:sz="8" w:color="CCEEFF"/>
            </w:tcBorders>
            <w:gridSpan w:val="13"/>
            <w:shd w:val="clear" w:color="auto" w:fill="CCEEFF"/>
          </w:tcPr>
          <w:p>
            <w:pPr>
              <w:jc w:val="right"/>
              <w:ind w:right="200"/>
              <w:spacing w:after="0" w:line="164" w:lineRule="exact"/>
              <w:rPr>
                <w:rFonts w:ascii="Times New Roman" w:cs="Times New Roman" w:eastAsia="Times New Roman" w:hAnsi="Times New Roman"/>
                <w:sz w:val="18"/>
                <w:szCs w:val="18"/>
                <w:color w:val="0000FF"/>
                <w:w w:val="91"/>
              </w:rPr>
            </w:pPr>
            <w:hyperlink r:id="rId180">
              <w:r>
                <w:rPr>
                  <w:rFonts w:ascii="Times New Roman" w:cs="Times New Roman" w:eastAsia="Times New Roman" w:hAnsi="Times New Roman"/>
                  <w:sz w:val="18"/>
                  <w:szCs w:val="18"/>
                  <w:color w:val="0000FF"/>
                  <w:w w:val="91"/>
                </w:rPr>
                <w:t>N.A., as</w:t>
              </w:r>
            </w:hyperlink>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50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trustee, relating to 2.500% Senior Notes due 2031</w:t>
              </w:r>
            </w:hyperlink>
          </w:p>
        </w:tc>
        <w:tc>
          <w:tcPr>
            <w:tcW w:w="214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Seventh Supplemental Indenture dated March 4, 2022, between Crown Castle</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4, 2022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6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International Corp. and The Bank of New York Mellon Trust Company, N.A.,</w:t>
              </w:r>
            </w:hyperlink>
          </w:p>
        </w:tc>
        <w:tc>
          <w:tcPr>
            <w:tcW w:w="380" w:type="dxa"/>
            <w:vAlign w:val="bottom"/>
            <w:gridSpan w:val="8"/>
          </w:tcPr>
          <w:p>
            <w:pPr>
              <w:jc w:val="right"/>
              <w:ind w:right="200"/>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as</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trustee, to the Indenture dated February 11, 2019, between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5"/>
          </w:tcPr>
          <w:p>
            <w:pPr>
              <w:spacing w:after="0" w:line="164" w:lineRule="exact"/>
              <w:rPr>
                <w:rFonts w:ascii="Times New Roman" w:cs="Times New Roman" w:eastAsia="Times New Roman" w:hAnsi="Times New Roman"/>
                <w:sz w:val="18"/>
                <w:szCs w:val="18"/>
                <w:color w:val="0000FF"/>
                <w:w w:val="97"/>
              </w:rPr>
            </w:pPr>
            <w:hyperlink r:id="rId181">
              <w:r>
                <w:rPr>
                  <w:rFonts w:ascii="Times New Roman" w:cs="Times New Roman" w:eastAsia="Times New Roman" w:hAnsi="Times New Roman"/>
                  <w:sz w:val="18"/>
                  <w:szCs w:val="18"/>
                  <w:color w:val="0000FF"/>
                  <w:w w:val="97"/>
                </w:rPr>
                <w:t>International Corp. and The Bank of New York Mellon Trust Company,</w:t>
              </w:r>
            </w:hyperlink>
          </w:p>
        </w:tc>
        <w:tc>
          <w:tcPr>
            <w:tcW w:w="760" w:type="dxa"/>
            <w:vAlign w:val="bottom"/>
            <w:gridSpan w:val="13"/>
          </w:tcPr>
          <w:p>
            <w:pPr>
              <w:jc w:val="right"/>
              <w:ind w:right="200"/>
              <w:spacing w:after="0" w:line="164" w:lineRule="exact"/>
              <w:rPr>
                <w:rFonts w:ascii="Times New Roman" w:cs="Times New Roman" w:eastAsia="Times New Roman" w:hAnsi="Times New Roman"/>
                <w:sz w:val="18"/>
                <w:szCs w:val="18"/>
                <w:color w:val="0000FF"/>
                <w:w w:val="91"/>
              </w:rPr>
            </w:pPr>
            <w:hyperlink r:id="rId181">
              <w:r>
                <w:rPr>
                  <w:rFonts w:ascii="Times New Roman" w:cs="Times New Roman" w:eastAsia="Times New Roman" w:hAnsi="Times New Roman"/>
                  <w:sz w:val="18"/>
                  <w:szCs w:val="18"/>
                  <w:color w:val="0000FF"/>
                  <w:w w:val="91"/>
                </w:rPr>
                <w:t>N.A., as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trustee, relating to 2.900% Senior Notes due 2027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Eighth Supplemental Indenture dated January 11, 2023, between Crown Castle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11, 2023</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560" w:type="dxa"/>
            <w:vAlign w:val="bottom"/>
            <w:tcBorders>
              <w:top w:val="single" w:sz="8" w:color="0000FF"/>
              <w:bottom w:val="single" w:sz="8" w:color="0000FF"/>
              <w:right w:val="single" w:sz="8" w:color="CCEEFF"/>
            </w:tcBorders>
            <w:gridSpan w:val="12"/>
            <w:shd w:val="clear" w:color="auto" w:fill="CCEEFF"/>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Inc. and The Bank of New York Mellon Trust Company, N.A., as trustee, to the</w:t>
              </w:r>
            </w:hyperlink>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Indenture dated February 11, 2019, between the Company and The Bank of New</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15"/>
            <w:shd w:val="clear" w:color="auto" w:fill="CCEEFF"/>
          </w:tcPr>
          <w:p>
            <w:pPr>
              <w:spacing w:after="0" w:line="16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York Mellon Trust Company, N.A., as trustee, relating to 5.00% Senior Notes</w:t>
              </w:r>
            </w:hyperlink>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9"/>
            <w:shd w:val="clear" w:color="auto" w:fill="CCEEFF"/>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due 2028</w:t>
              </w:r>
            </w:hyperlink>
          </w:p>
        </w:tc>
        <w:tc>
          <w:tcPr>
            <w:tcW w:w="12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6"/>
                <w:szCs w:val="16"/>
                <w:color w:val="auto"/>
              </w:rPr>
            </w:pPr>
          </w:p>
        </w:tc>
        <w:tc>
          <w:tcPr>
            <w:tcW w:w="5840" w:type="dxa"/>
            <w:vAlign w:val="bottom"/>
            <w:gridSpan w:val="18"/>
          </w:tcPr>
          <w:p>
            <w:pPr>
              <w:spacing w:after="0" w:line="18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Ninth Supplemental Indenture dated April 26, 2023, between the Crown Castle</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26, 2023</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Inc. and The Bank of New York Mellon Trust Company, N.A., as trustee, to the</w:t>
              </w:r>
            </w:hyperlink>
          </w:p>
        </w:tc>
        <w:tc>
          <w:tcPr>
            <w:tcW w:w="12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bottom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Indenture dated February 11, 2019, between the Company and The Bank of New</w:t>
              </w:r>
            </w:hyperlink>
          </w:p>
        </w:tc>
        <w:tc>
          <w:tcPr>
            <w:tcW w:w="1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240"/>
        <w:spacing w:after="0" w:line="200"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York Mellon Trust Company, N.A., as trustee, relating to 4.800% Senior Notes</w:t>
        </w:r>
      </w:hyperlink>
    </w:p>
    <w:p>
      <w:pPr>
        <w:ind w:left="124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due 2028 and 5.100% Senior Notes due 2033</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0"/>
                <w:szCs w:val="10"/>
                <w:color w:val="auto"/>
              </w:rPr>
            </w:pPr>
          </w:p>
        </w:tc>
        <w:tc>
          <w:tcPr>
            <w:tcW w:w="584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9"/>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740" w:type="dxa"/>
            <w:vAlign w:val="bottom"/>
            <w:tcBorders>
              <w:top w:val="single" w:sz="8" w:color="auto"/>
            </w:tcBorders>
            <w:gridSpan w:val="38"/>
            <w:shd w:val="clear" w:color="auto" w:fill="CCEEFF"/>
          </w:tcPr>
          <w:p>
            <w:pPr>
              <w:spacing w:after="0" w:line="183"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Tenth Supplemental Indenture dated December 6, 2023, between Crown Castle</w:t>
              </w:r>
            </w:hyperlink>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December 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40" w:type="dxa"/>
            <w:vAlign w:val="bottom"/>
            <w:tcBorders>
              <w:top w:val="single" w:sz="8" w:color="0000FF"/>
              <w:bottom w:val="single" w:sz="8" w:color="0000FF"/>
            </w:tcBorders>
            <w:gridSpan w:val="32"/>
            <w:shd w:val="clear" w:color="auto" w:fill="CCEEFF"/>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Inc. and The Bank of New York Mellon Trust Company, N.A., as trustee, to the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40" w:type="dxa"/>
            <w:vAlign w:val="bottom"/>
            <w:gridSpan w:val="39"/>
            <w:shd w:val="clear" w:color="auto" w:fill="CCEEFF"/>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Indenture dated February 11, 2019, between the Company and The Bank of New</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0000FF"/>
            </w:tcBorders>
            <w:gridSpan w:val="36"/>
            <w:shd w:val="clear" w:color="auto" w:fill="CCEEFF"/>
          </w:tcPr>
          <w:p>
            <w:pPr>
              <w:spacing w:after="0" w:line="164"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York Mellon Trust Company, N.A., as trustee, relating to 5.600% Senior Notes</w:t>
              </w:r>
            </w:hyperlink>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20" w:type="dxa"/>
            <w:vAlign w:val="bottom"/>
            <w:tcBorders>
              <w:top w:val="single" w:sz="8" w:color="0000FF"/>
            </w:tcBorders>
            <w:gridSpan w:val="31"/>
            <w:shd w:val="clear" w:color="auto" w:fill="CCEEFF"/>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due 2029 and 5.800% Senior Notes due 2034</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39"/>
          </w:tcPr>
          <w:p>
            <w:pPr>
              <w:spacing w:after="0" w:line="184"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Eleventh Supplemental Indenture dated August 12, 2024, between the Company</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12, 2024</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and The Bank of New York Mellon Trust Company, N.A., as trustee, to the</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Indenture dated February 11, 2019, between the Company and The Bank of</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14"/>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New</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top w:val="single" w:sz="8" w:color="0000FF"/>
            </w:tcBorders>
            <w:gridSpan w:val="36"/>
          </w:tcPr>
          <w:p>
            <w:pPr>
              <w:spacing w:after="0" w:line="164"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York Mellon Trust Company, N.A., as trustee, relating to 4.900% Senior Notes</w:t>
              </w:r>
            </w:hyperlink>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due 2029 and 5.200% Senior Notes due 2034</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1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4.38</w:t>
            </w: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0000FF"/>
            </w:tcBorders>
            <w:gridSpan w:val="15"/>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w w:val="96"/>
              </w:rPr>
              <w:t>Description of the Company's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20" w:type="dxa"/>
            <w:vAlign w:val="bottom"/>
            <w:tcBorders>
              <w:top w:val="single" w:sz="8" w:color="CCEEFF"/>
            </w:tcBorders>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1"/>
                <w:szCs w:val="21"/>
                <w:color w:val="auto"/>
              </w:rPr>
              <w:t>†</w:t>
            </w:r>
          </w:p>
        </w:tc>
        <w:tc>
          <w:tcPr>
            <w:tcW w:w="20" w:type="dxa"/>
            <w:vAlign w:val="bottom"/>
            <w:tcBorders>
              <w:top w:val="single" w:sz="8" w:color="CCEEFF"/>
            </w:tcBorders>
          </w:tcPr>
          <w:p>
            <w:pPr>
              <w:spacing w:after="0"/>
              <w:rPr>
                <w:sz w:val="16"/>
                <w:szCs w:val="16"/>
                <w:color w:val="auto"/>
              </w:rPr>
            </w:pPr>
          </w:p>
        </w:tc>
        <w:tc>
          <w:tcPr>
            <w:tcW w:w="4840" w:type="dxa"/>
            <w:vAlign w:val="bottom"/>
            <w:tcBorders>
              <w:top w:val="single" w:sz="8" w:color="CCEEFF"/>
              <w:bottom w:val="single" w:sz="8" w:color="0000FF"/>
            </w:tcBorders>
            <w:gridSpan w:val="20"/>
          </w:tcPr>
          <w:p>
            <w:pPr>
              <w:spacing w:after="0" w:line="164" w:lineRule="exact"/>
              <w:rPr>
                <w:rFonts w:ascii="Times New Roman" w:cs="Times New Roman" w:eastAsia="Times New Roman" w:hAnsi="Times New Roman"/>
                <w:sz w:val="18"/>
                <w:szCs w:val="18"/>
                <w:color w:val="0000FF"/>
                <w:w w:val="96"/>
              </w:rPr>
            </w:pPr>
            <w:hyperlink r:id="rId187">
              <w:r>
                <w:rPr>
                  <w:rFonts w:ascii="Times New Roman" w:cs="Times New Roman" w:eastAsia="Times New Roman" w:hAnsi="Times New Roman"/>
                  <w:sz w:val="18"/>
                  <w:szCs w:val="18"/>
                  <w:color w:val="0000FF"/>
                  <w:w w:val="96"/>
                </w:rPr>
                <w:t>Amended and Restated Severance Agreement between Crown Castle</w:t>
              </w:r>
            </w:hyperlink>
          </w:p>
        </w:tc>
        <w:tc>
          <w:tcPr>
            <w:tcW w:w="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CCEEFF"/>
            </w:tcBorders>
            <w:gridSpan w:val="3"/>
          </w:tcPr>
          <w:p>
            <w:pPr>
              <w:spacing w:after="0"/>
              <w:rPr>
                <w:sz w:val="16"/>
                <w:szCs w:val="16"/>
                <w:color w:val="auto"/>
              </w:rPr>
            </w:pPr>
          </w:p>
        </w:tc>
        <w:tc>
          <w:tcPr>
            <w:tcW w:w="6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CCEEFF"/>
            </w:tcBorders>
            <w:gridSpan w:val="2"/>
          </w:tcPr>
          <w:p>
            <w:pPr>
              <w:spacing w:after="0"/>
              <w:rPr>
                <w:sz w:val="16"/>
                <w:szCs w:val="16"/>
                <w:color w:val="auto"/>
              </w:rPr>
            </w:pPr>
          </w:p>
        </w:tc>
        <w:tc>
          <w:tcPr>
            <w:tcW w:w="760" w:type="dxa"/>
            <w:vAlign w:val="bottom"/>
            <w:tcBorders>
              <w:top w:val="single" w:sz="8" w:color="CCEEFF"/>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20"/>
          </w:tcPr>
          <w:p>
            <w:pPr>
              <w:spacing w:after="0" w:line="15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International Corp. and Jay A. Brown, effective as of June 1, 2016</w:t>
              </w:r>
            </w:hyperlink>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6"/>
                <w:szCs w:val="16"/>
                <w:color w:val="auto"/>
              </w:rPr>
            </w:pPr>
          </w:p>
        </w:tc>
        <w:tc>
          <w:tcPr>
            <w:tcW w:w="5840" w:type="dxa"/>
            <w:vAlign w:val="bottom"/>
            <w:gridSpan w:val="39"/>
            <w:shd w:val="clear" w:color="auto" w:fill="CCEEFF"/>
          </w:tcPr>
          <w:p>
            <w:pPr>
              <w:spacing w:after="0" w:line="184"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Letter Agreement between Crown Castle Inc. and Jay A. Brown, dated January</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23,</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16, 2024</w:t>
              </w:r>
            </w:hyperlink>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5460" w:type="dxa"/>
            <w:vAlign w:val="bottom"/>
            <w:tcBorders>
              <w:bottom w:val="single" w:sz="8" w:color="0000FF"/>
            </w:tcBorders>
            <w:gridSpan w:val="29"/>
          </w:tcPr>
          <w:p>
            <w:pPr>
              <w:spacing w:after="0" w:line="164" w:lineRule="exact"/>
              <w:rPr>
                <w:rFonts w:ascii="Times New Roman" w:cs="Times New Roman" w:eastAsia="Times New Roman" w:hAnsi="Times New Roman"/>
                <w:sz w:val="18"/>
                <w:szCs w:val="18"/>
                <w:color w:val="0000FF"/>
                <w:w w:val="96"/>
              </w:rPr>
            </w:pPr>
            <w:hyperlink r:id="rId189">
              <w:r>
                <w:rPr>
                  <w:rFonts w:ascii="Times New Roman" w:cs="Times New Roman" w:eastAsia="Times New Roman" w:hAnsi="Times New Roman"/>
                  <w:sz w:val="18"/>
                  <w:szCs w:val="18"/>
                  <w:color w:val="0000FF"/>
                  <w:w w:val="96"/>
                </w:rPr>
                <w:t>Form of Severance Agreement between Crown Castle International Corp. and</w:t>
              </w:r>
            </w:hyperlink>
          </w:p>
        </w:tc>
        <w:tc>
          <w:tcPr>
            <w:tcW w:w="20" w:type="dxa"/>
            <w:vAlign w:val="bottom"/>
          </w:tcPr>
          <w:p>
            <w:pPr>
              <w:spacing w:after="0"/>
              <w:rPr>
                <w:sz w:val="16"/>
                <w:szCs w:val="16"/>
                <w:color w:val="auto"/>
              </w:rPr>
            </w:pPr>
          </w:p>
        </w:tc>
        <w:tc>
          <w:tcPr>
            <w:tcW w:w="180" w:type="dxa"/>
            <w:vAlign w:val="bottom"/>
            <w:gridSpan w:val="5"/>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15, 2008</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29"/>
          </w:tcPr>
          <w:p>
            <w:pPr>
              <w:spacing w:after="0" w:line="15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Philip M. Kelley</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0000FF"/>
            </w:tcBorders>
            <w:gridSpan w:val="21"/>
            <w:shd w:val="clear" w:color="auto" w:fill="CCEEFF"/>
          </w:tcPr>
          <w:p>
            <w:pPr>
              <w:spacing w:after="0" w:line="164" w:lineRule="exact"/>
              <w:rPr>
                <w:rFonts w:ascii="Times New Roman" w:cs="Times New Roman" w:eastAsia="Times New Roman" w:hAnsi="Times New Roman"/>
                <w:sz w:val="18"/>
                <w:szCs w:val="18"/>
                <w:color w:val="0000FF"/>
                <w:w w:val="97"/>
              </w:rPr>
            </w:pPr>
            <w:hyperlink r:id="rId190">
              <w:r>
                <w:rPr>
                  <w:rFonts w:ascii="Times New Roman" w:cs="Times New Roman" w:eastAsia="Times New Roman" w:hAnsi="Times New Roman"/>
                  <w:sz w:val="18"/>
                  <w:szCs w:val="18"/>
                  <w:color w:val="0000FF"/>
                  <w:w w:val="97"/>
                </w:rPr>
                <w:t>Form of Amendment to Severance Agreement between Crown Castle</w:t>
              </w:r>
            </w:hyperlink>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CCEEFF"/>
            </w:tcBorders>
            <w:gridSpan w:val="5"/>
            <w:shd w:val="clear" w:color="auto" w:fill="CCEEFF"/>
          </w:tcPr>
          <w:p>
            <w:pPr>
              <w:spacing w:after="0"/>
              <w:rPr>
                <w:sz w:val="16"/>
                <w:szCs w:val="16"/>
                <w:color w:val="auto"/>
              </w:rPr>
            </w:pP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8, 2009</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40" w:type="dxa"/>
            <w:vAlign w:val="bottom"/>
            <w:gridSpan w:val="39"/>
            <w:shd w:val="clear" w:color="auto" w:fill="CCEEFF"/>
          </w:tcPr>
          <w:p>
            <w:pPr>
              <w:spacing w:after="0" w:line="15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International Corp. and certain senior officers, including Philip M. Kelley,</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effective April 6, 2009</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4880" w:type="dxa"/>
            <w:vAlign w:val="bottom"/>
            <w:tcBorders>
              <w:bottom w:val="single" w:sz="8" w:color="0000FF"/>
            </w:tcBorders>
            <w:gridSpan w:val="21"/>
          </w:tcPr>
          <w:p>
            <w:pPr>
              <w:spacing w:after="0" w:line="164"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Form of Amendment to Severance Agreement between Crown Castle</w:t>
              </w:r>
            </w:hyperlink>
          </w:p>
        </w:tc>
        <w:tc>
          <w:tcPr>
            <w:tcW w:w="4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80" w:type="dxa"/>
            <w:vAlign w:val="bottom"/>
            <w:gridSpan w:val="5"/>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21"/>
          </w:tcPr>
          <w:p>
            <w:pPr>
              <w:spacing w:after="0" w:line="15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International Corp. and certain executive officers, including Philip M.</w:t>
              </w:r>
            </w:hyperlink>
          </w:p>
        </w:tc>
        <w:tc>
          <w:tcPr>
            <w:tcW w:w="960" w:type="dxa"/>
            <w:vAlign w:val="bottom"/>
            <w:gridSpan w:val="18"/>
          </w:tcPr>
          <w:p>
            <w:pPr>
              <w:ind w:left="60"/>
              <w:spacing w:after="0" w:line="15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Kelley</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460" w:type="dxa"/>
            <w:vAlign w:val="bottom"/>
            <w:tcBorders>
              <w:bottom w:val="single" w:sz="8" w:color="0000FF"/>
            </w:tcBorders>
            <w:gridSpan w:val="29"/>
            <w:shd w:val="clear" w:color="auto" w:fill="CCEEFF"/>
          </w:tcPr>
          <w:p>
            <w:pPr>
              <w:spacing w:after="0" w:line="164" w:lineRule="exact"/>
              <w:rPr>
                <w:rFonts w:ascii="Times New Roman" w:cs="Times New Roman" w:eastAsia="Times New Roman" w:hAnsi="Times New Roman"/>
                <w:sz w:val="18"/>
                <w:szCs w:val="18"/>
                <w:color w:val="0000FF"/>
                <w:w w:val="96"/>
              </w:rPr>
            </w:pPr>
            <w:hyperlink r:id="rId192">
              <w:r>
                <w:rPr>
                  <w:rFonts w:ascii="Times New Roman" w:cs="Times New Roman" w:eastAsia="Times New Roman" w:hAnsi="Times New Roman"/>
                  <w:sz w:val="18"/>
                  <w:szCs w:val="18"/>
                  <w:color w:val="0000FF"/>
                  <w:w w:val="96"/>
                </w:rPr>
                <w:t>Form of Severance Agreement between Crown Castle International Corp. and</w:t>
              </w:r>
            </w:hyperlink>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5"/>
            <w:shd w:val="clear" w:color="auto" w:fill="CCEEFF"/>
          </w:tcPr>
          <w:p>
            <w:pPr>
              <w:spacing w:after="0"/>
              <w:rPr>
                <w:sz w:val="16"/>
                <w:szCs w:val="16"/>
                <w:color w:val="auto"/>
              </w:rPr>
            </w:pP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22,</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60" w:type="dxa"/>
            <w:vAlign w:val="bottom"/>
            <w:gridSpan w:val="29"/>
            <w:shd w:val="clear" w:color="auto" w:fill="CCEEFF"/>
          </w:tcPr>
          <w:p>
            <w:pPr>
              <w:spacing w:after="0" w:line="15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each of Daniel K. Schlanger, Michael J. Kavanagh, Christopher D. Levendos,</w:t>
              </w:r>
            </w:hyperlink>
          </w:p>
        </w:tc>
        <w:tc>
          <w:tcPr>
            <w:tcW w:w="20" w:type="dxa"/>
            <w:vAlign w:val="bottom"/>
            <w:shd w:val="clear" w:color="auto" w:fill="CCEEFF"/>
          </w:tcPr>
          <w:p>
            <w:pPr>
              <w:spacing w:after="0"/>
              <w:rPr>
                <w:sz w:val="13"/>
                <w:szCs w:val="13"/>
                <w:color w:val="auto"/>
              </w:rPr>
            </w:pPr>
          </w:p>
        </w:tc>
        <w:tc>
          <w:tcPr>
            <w:tcW w:w="180" w:type="dxa"/>
            <w:vAlign w:val="bottom"/>
            <w:gridSpan w:val="5"/>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28"/>
            <w:shd w:val="clear" w:color="auto" w:fill="CCEEFF"/>
          </w:tcPr>
          <w:p>
            <w:pPr>
              <w:spacing w:after="0" w:line="15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Catherine Piche, Edward B. Adams, Jr., and Edmond Chan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5340" w:type="dxa"/>
            <w:vAlign w:val="bottom"/>
            <w:tcBorders>
              <w:bottom w:val="single" w:sz="8" w:color="0000FF"/>
            </w:tcBorders>
            <w:gridSpan w:val="25"/>
          </w:tcPr>
          <w:p>
            <w:pPr>
              <w:spacing w:after="0" w:line="164" w:lineRule="exact"/>
              <w:rPr>
                <w:sz w:val="20"/>
                <w:szCs w:val="20"/>
                <w:color w:val="auto"/>
              </w:rPr>
            </w:pPr>
            <w:r>
              <w:rPr>
                <w:rFonts w:ascii="Times New Roman" w:cs="Times New Roman" w:eastAsia="Times New Roman" w:hAnsi="Times New Roman"/>
                <w:sz w:val="18"/>
                <w:szCs w:val="18"/>
                <w:color w:val="0000FF"/>
                <w:w w:val="97"/>
              </w:rPr>
              <w:t>Severance Agreement between Crown Castle Inc. and Steven J. Moskowitz,</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180" w:type="dxa"/>
            <w:vAlign w:val="bottom"/>
            <w:gridSpan w:val="5"/>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gridSpan w:val="25"/>
          </w:tcPr>
          <w:p>
            <w:pPr>
              <w:spacing w:after="0" w:line="152" w:lineRule="exact"/>
              <w:rPr>
                <w:sz w:val="20"/>
                <w:szCs w:val="20"/>
                <w:color w:val="auto"/>
              </w:rPr>
            </w:pPr>
            <w:r>
              <w:rPr>
                <w:rFonts w:ascii="Times New Roman" w:cs="Times New Roman" w:eastAsia="Times New Roman" w:hAnsi="Times New Roman"/>
                <w:sz w:val="16"/>
                <w:szCs w:val="16"/>
                <w:color w:val="0000FF"/>
              </w:rPr>
              <w:t>effective April 11, 2024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400" w:type="dxa"/>
            <w:vAlign w:val="bottom"/>
            <w:tcBorders>
              <w:bottom w:val="single" w:sz="8" w:color="0000FF"/>
            </w:tcBorders>
            <w:gridSpan w:val="27"/>
            <w:shd w:val="clear" w:color="auto" w:fill="CCEEFF"/>
          </w:tcPr>
          <w:p>
            <w:pPr>
              <w:spacing w:after="0" w:line="164" w:lineRule="exact"/>
              <w:rPr>
                <w:rFonts w:ascii="Times New Roman" w:cs="Times New Roman" w:eastAsia="Times New Roman" w:hAnsi="Times New Roman"/>
                <w:sz w:val="18"/>
                <w:szCs w:val="18"/>
                <w:color w:val="0000FF"/>
                <w:w w:val="96"/>
              </w:rPr>
            </w:pPr>
            <w:hyperlink r:id="rId193">
              <w:r>
                <w:rPr>
                  <w:rFonts w:ascii="Times New Roman" w:cs="Times New Roman" w:eastAsia="Times New Roman" w:hAnsi="Times New Roman"/>
                  <w:sz w:val="18"/>
                  <w:szCs w:val="18"/>
                  <w:color w:val="0000FF"/>
                  <w:w w:val="96"/>
                </w:rPr>
                <w:t>Letter Agreement between Crown Castle Inc. and Daniel K. Schlanger, dated</w:t>
              </w:r>
            </w:hyperlink>
          </w:p>
        </w:tc>
        <w:tc>
          <w:tcPr>
            <w:tcW w:w="8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gridSpan w:val="5"/>
            <w:shd w:val="clear" w:color="auto" w:fill="CCEEFF"/>
          </w:tcPr>
          <w:p>
            <w:pPr>
              <w:spacing w:after="0"/>
              <w:rPr>
                <w:sz w:val="16"/>
                <w:szCs w:val="16"/>
                <w:color w:val="auto"/>
              </w:rPr>
            </w:pP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23,</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January 23, 2024</w:t>
              </w:r>
            </w:hyperlink>
          </w:p>
        </w:tc>
        <w:tc>
          <w:tcPr>
            <w:tcW w:w="4200" w:type="dxa"/>
            <w:vAlign w:val="bottom"/>
            <w:tcBorders>
              <w:bottom w:val="single" w:sz="8" w:color="CCEEFF"/>
            </w:tcBorders>
            <w:gridSpan w:val="23"/>
            <w:shd w:val="clear" w:color="auto" w:fill="CCEEFF"/>
          </w:tcPr>
          <w:p>
            <w:pPr>
              <w:spacing w:after="0"/>
              <w:rPr>
                <w:sz w:val="15"/>
                <w:szCs w:val="15"/>
                <w:color w:val="auto"/>
              </w:rPr>
            </w:pPr>
          </w:p>
        </w:tc>
        <w:tc>
          <w:tcPr>
            <w:tcW w:w="80" w:type="dxa"/>
            <w:vAlign w:val="bottom"/>
            <w:tcBorders>
              <w:bottom w:val="single" w:sz="8" w:color="CCEEFF"/>
            </w:tcBorders>
            <w:gridSpan w:val="3"/>
            <w:shd w:val="clear" w:color="auto" w:fill="CCEEFF"/>
          </w:tcPr>
          <w:p>
            <w:pPr>
              <w:spacing w:after="0"/>
              <w:rPr>
                <w:sz w:val="15"/>
                <w:szCs w:val="15"/>
                <w:color w:val="auto"/>
              </w:rPr>
            </w:pPr>
          </w:p>
        </w:tc>
        <w:tc>
          <w:tcPr>
            <w:tcW w:w="180" w:type="dxa"/>
            <w:vAlign w:val="bottom"/>
            <w:tcBorders>
              <w:bottom w:val="single" w:sz="8" w:color="CCEEFF"/>
            </w:tcBorders>
            <w:gridSpan w:val="5"/>
            <w:shd w:val="clear" w:color="auto" w:fill="CCEEFF"/>
          </w:tcPr>
          <w:p>
            <w:pPr>
              <w:spacing w:after="0"/>
              <w:rPr>
                <w:sz w:val="15"/>
                <w:szCs w:val="15"/>
                <w:color w:val="auto"/>
              </w:rPr>
            </w:pP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4620" w:type="dxa"/>
            <w:vAlign w:val="bottom"/>
            <w:tcBorders>
              <w:bottom w:val="single" w:sz="8" w:color="0000FF"/>
            </w:tcBorders>
            <w:gridSpan w:val="18"/>
          </w:tcPr>
          <w:p>
            <w:pPr>
              <w:spacing w:after="0" w:line="164" w:lineRule="exact"/>
              <w:rPr>
                <w:rFonts w:ascii="Times New Roman" w:cs="Times New Roman" w:eastAsia="Times New Roman" w:hAnsi="Times New Roman"/>
                <w:sz w:val="18"/>
                <w:szCs w:val="18"/>
                <w:color w:val="0000FF"/>
                <w:w w:val="96"/>
              </w:rPr>
            </w:pPr>
            <w:hyperlink r:id="rId194">
              <w:r>
                <w:rPr>
                  <w:rFonts w:ascii="Times New Roman" w:cs="Times New Roman" w:eastAsia="Times New Roman" w:hAnsi="Times New Roman"/>
                  <w:sz w:val="18"/>
                  <w:szCs w:val="18"/>
                  <w:color w:val="0000FF"/>
                  <w:w w:val="96"/>
                </w:rPr>
                <w:t>Crown Castle International Corp. 2013 Long-Term Incentive Plan</w:t>
              </w:r>
            </w:hyperlink>
          </w:p>
        </w:tc>
        <w:tc>
          <w:tcPr>
            <w:tcW w:w="680" w:type="dxa"/>
            <w:vAlign w:val="bottom"/>
            <w:gridSpan w:val="6"/>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4"/>
          </w:tcPr>
          <w:p>
            <w:pPr>
              <w:spacing w:after="0"/>
              <w:rPr>
                <w:sz w:val="16"/>
                <w:szCs w:val="16"/>
                <w:color w:val="auto"/>
              </w:rPr>
            </w:pPr>
          </w:p>
        </w:tc>
        <w:tc>
          <w:tcPr>
            <w:tcW w:w="180" w:type="dxa"/>
            <w:vAlign w:val="bottom"/>
            <w:gridSpan w:val="5"/>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DEF</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8, 2013</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App. 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14A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720" w:type="dxa"/>
            <w:vAlign w:val="bottom"/>
            <w:tcBorders>
              <w:bottom w:val="single" w:sz="8" w:color="0000FF"/>
            </w:tcBorders>
            <w:gridSpan w:val="37"/>
            <w:shd w:val="clear" w:color="auto" w:fill="CCEEFF"/>
          </w:tcPr>
          <w:p>
            <w:pPr>
              <w:spacing w:after="0" w:line="164" w:lineRule="exact"/>
              <w:rPr>
                <w:rFonts w:ascii="Times New Roman" w:cs="Times New Roman" w:eastAsia="Times New Roman" w:hAnsi="Times New Roman"/>
                <w:sz w:val="18"/>
                <w:szCs w:val="18"/>
                <w:color w:val="0000FF"/>
                <w:w w:val="96"/>
              </w:rPr>
            </w:pPr>
            <w:hyperlink r:id="rId195">
              <w:r>
                <w:rPr>
                  <w:rFonts w:ascii="Times New Roman" w:cs="Times New Roman" w:eastAsia="Times New Roman" w:hAnsi="Times New Roman"/>
                  <w:sz w:val="18"/>
                  <w:szCs w:val="18"/>
                  <w:color w:val="0000FF"/>
                  <w:w w:val="96"/>
                </w:rPr>
                <w:t>First Amendment to Crown Castle International Corp. 2013 Long-Term Incentive</w:t>
              </w:r>
            </w:hyperlink>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4, 2016</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0000FF"/>
            </w:tcBorders>
            <w:gridSpan w:val="5"/>
            <w:shd w:val="clear" w:color="auto" w:fill="CCEEFF"/>
          </w:tcPr>
          <w:p>
            <w:pPr>
              <w:spacing w:after="0" w:line="15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Plan, as amended</w:t>
              </w:r>
            </w:hyperlink>
          </w:p>
        </w:tc>
        <w:tc>
          <w:tcPr>
            <w:tcW w:w="4500" w:type="dxa"/>
            <w:vAlign w:val="bottom"/>
            <w:tcBorders>
              <w:bottom w:val="single" w:sz="8" w:color="CCEEFF"/>
            </w:tcBorders>
            <w:gridSpan w:val="32"/>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5360" w:type="dxa"/>
            <w:vAlign w:val="bottom"/>
            <w:tcBorders>
              <w:bottom w:val="single" w:sz="8" w:color="0000FF"/>
            </w:tcBorders>
            <w:gridSpan w:val="26"/>
          </w:tcPr>
          <w:p>
            <w:pPr>
              <w:spacing w:after="0" w:line="164" w:lineRule="exact"/>
              <w:rPr>
                <w:rFonts w:ascii="Times New Roman" w:cs="Times New Roman" w:eastAsia="Times New Roman" w:hAnsi="Times New Roman"/>
                <w:sz w:val="18"/>
                <w:szCs w:val="18"/>
                <w:color w:val="0000FF"/>
                <w:w w:val="96"/>
              </w:rPr>
            </w:pPr>
            <w:hyperlink r:id="rId196">
              <w:r>
                <w:rPr>
                  <w:rFonts w:ascii="Times New Roman" w:cs="Times New Roman" w:eastAsia="Times New Roman" w:hAnsi="Times New Roman"/>
                  <w:sz w:val="18"/>
                  <w:szCs w:val="18"/>
                  <w:color w:val="0000FF"/>
                  <w:w w:val="96"/>
                </w:rPr>
                <w:t>Amendment to Crown Castle International Corp. 2013 Long-Term Incentive</w:t>
              </w:r>
            </w:hyperlink>
          </w:p>
        </w:tc>
        <w:tc>
          <w:tcPr>
            <w:tcW w:w="120" w:type="dxa"/>
            <w:vAlign w:val="bottom"/>
            <w:gridSpan w:val="4"/>
          </w:tcPr>
          <w:p>
            <w:pPr>
              <w:spacing w:after="0"/>
              <w:rPr>
                <w:sz w:val="16"/>
                <w:szCs w:val="16"/>
                <w:color w:val="auto"/>
              </w:rPr>
            </w:pPr>
          </w:p>
        </w:tc>
        <w:tc>
          <w:tcPr>
            <w:tcW w:w="180" w:type="dxa"/>
            <w:vAlign w:val="bottom"/>
            <w:gridSpan w:val="5"/>
          </w:tcPr>
          <w:p>
            <w:pPr>
              <w:spacing w:after="0"/>
              <w:rPr>
                <w:sz w:val="16"/>
                <w:szCs w:val="16"/>
                <w:color w:val="auto"/>
              </w:rPr>
            </w:pPr>
          </w:p>
        </w:tc>
        <w:tc>
          <w:tcPr>
            <w:tcW w:w="180" w:type="dxa"/>
            <w:vAlign w:val="bottom"/>
            <w:gridSpan w:val="4"/>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20, 2022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26"/>
          </w:tcPr>
          <w:p>
            <w:pPr>
              <w:spacing w:after="0" w:line="152"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Plan, as amended</w:t>
              </w:r>
            </w:hyperlink>
          </w:p>
        </w:tc>
        <w:tc>
          <w:tcPr>
            <w:tcW w:w="120" w:type="dxa"/>
            <w:vAlign w:val="bottom"/>
            <w:gridSpan w:val="4"/>
          </w:tcPr>
          <w:p>
            <w:pPr>
              <w:spacing w:after="0"/>
              <w:rPr>
                <w:sz w:val="13"/>
                <w:szCs w:val="13"/>
                <w:color w:val="auto"/>
              </w:rPr>
            </w:pPr>
          </w:p>
        </w:tc>
        <w:tc>
          <w:tcPr>
            <w:tcW w:w="180" w:type="dxa"/>
            <w:vAlign w:val="bottom"/>
            <w:gridSpan w:val="5"/>
          </w:tcPr>
          <w:p>
            <w:pPr>
              <w:spacing w:after="0"/>
              <w:rPr>
                <w:sz w:val="13"/>
                <w:szCs w:val="13"/>
                <w:color w:val="auto"/>
              </w:rPr>
            </w:pPr>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0000FF"/>
            </w:tcBorders>
            <w:gridSpan w:val="24"/>
            <w:shd w:val="clear" w:color="auto" w:fill="CCEEFF"/>
          </w:tcPr>
          <w:p>
            <w:pPr>
              <w:spacing w:after="0" w:line="164" w:lineRule="exact"/>
              <w:rPr>
                <w:rFonts w:ascii="Times New Roman" w:cs="Times New Roman" w:eastAsia="Times New Roman" w:hAnsi="Times New Roman"/>
                <w:sz w:val="18"/>
                <w:szCs w:val="18"/>
                <w:color w:val="0000FF"/>
                <w:w w:val="96"/>
              </w:rPr>
            </w:pPr>
            <w:hyperlink r:id="rId197">
              <w:r>
                <w:rPr>
                  <w:rFonts w:ascii="Times New Roman" w:cs="Times New Roman" w:eastAsia="Times New Roman" w:hAnsi="Times New Roman"/>
                  <w:sz w:val="18"/>
                  <w:szCs w:val="18"/>
                  <w:color w:val="0000FF"/>
                  <w:w w:val="96"/>
                </w:rPr>
                <w:t>Form of 2013 Long-Term Incentive Plan Restricted Stock Units Agreement</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18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gridSpan w:val="4"/>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27,</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0000FF"/>
            </w:tcBorders>
            <w:gridSpan w:val="13"/>
            <w:shd w:val="clear" w:color="auto" w:fill="CCEEFF"/>
          </w:tcPr>
          <w:p>
            <w:pPr>
              <w:spacing w:after="0" w:line="15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(effective as of February 21, 2018)</w:t>
              </w:r>
            </w:hyperlink>
          </w:p>
        </w:tc>
        <w:tc>
          <w:tcPr>
            <w:tcW w:w="2860" w:type="dxa"/>
            <w:vAlign w:val="bottom"/>
            <w:tcBorders>
              <w:bottom w:val="single" w:sz="8" w:color="CCEEFF"/>
            </w:tcBorders>
            <w:gridSpan w:val="11"/>
            <w:shd w:val="clear" w:color="auto" w:fill="CCEEFF"/>
          </w:tcPr>
          <w:p>
            <w:pPr>
              <w:spacing w:after="0"/>
              <w:rPr>
                <w:sz w:val="15"/>
                <w:szCs w:val="15"/>
                <w:color w:val="auto"/>
              </w:rPr>
            </w:pPr>
          </w:p>
        </w:tc>
        <w:tc>
          <w:tcPr>
            <w:tcW w:w="180" w:type="dxa"/>
            <w:vAlign w:val="bottom"/>
            <w:tcBorders>
              <w:bottom w:val="single" w:sz="8" w:color="CCEEFF"/>
            </w:tcBorders>
            <w:gridSpan w:val="6"/>
            <w:shd w:val="clear" w:color="auto" w:fill="CCEEFF"/>
          </w:tcPr>
          <w:p>
            <w:pPr>
              <w:spacing w:after="0"/>
              <w:rPr>
                <w:sz w:val="15"/>
                <w:szCs w:val="15"/>
                <w:color w:val="auto"/>
              </w:rPr>
            </w:pPr>
          </w:p>
        </w:tc>
        <w:tc>
          <w:tcPr>
            <w:tcW w:w="180" w:type="dxa"/>
            <w:vAlign w:val="bottom"/>
            <w:tcBorders>
              <w:bottom w:val="single" w:sz="8" w:color="CCEEFF"/>
            </w:tcBorders>
            <w:gridSpan w:val="5"/>
            <w:shd w:val="clear" w:color="auto" w:fill="CCEEFF"/>
          </w:tcPr>
          <w:p>
            <w:pPr>
              <w:spacing w:after="0"/>
              <w:rPr>
                <w:sz w:val="15"/>
                <w:szCs w:val="15"/>
                <w:color w:val="auto"/>
              </w:rPr>
            </w:pPr>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4620" w:type="dxa"/>
            <w:vAlign w:val="bottom"/>
            <w:tcBorders>
              <w:bottom w:val="single" w:sz="8" w:color="0000FF"/>
            </w:tcBorders>
            <w:gridSpan w:val="18"/>
          </w:tcPr>
          <w:p>
            <w:pPr>
              <w:spacing w:after="0" w:line="164" w:lineRule="exact"/>
              <w:rPr>
                <w:rFonts w:ascii="Times New Roman" w:cs="Times New Roman" w:eastAsia="Times New Roman" w:hAnsi="Times New Roman"/>
                <w:sz w:val="18"/>
                <w:szCs w:val="18"/>
                <w:color w:val="0000FF"/>
                <w:w w:val="96"/>
              </w:rPr>
            </w:pPr>
            <w:hyperlink r:id="rId198">
              <w:r>
                <w:rPr>
                  <w:rFonts w:ascii="Times New Roman" w:cs="Times New Roman" w:eastAsia="Times New Roman" w:hAnsi="Times New Roman"/>
                  <w:sz w:val="18"/>
                  <w:szCs w:val="18"/>
                  <w:color w:val="0000FF"/>
                  <w:w w:val="96"/>
                </w:rPr>
                <w:t>Crown Castle International Corp. 2022 Long-Term Incentive Plan</w:t>
              </w:r>
            </w:hyperlink>
          </w:p>
        </w:tc>
        <w:tc>
          <w:tcPr>
            <w:tcW w:w="860" w:type="dxa"/>
            <w:vAlign w:val="bottom"/>
            <w:gridSpan w:val="12"/>
          </w:tcPr>
          <w:p>
            <w:pPr>
              <w:spacing w:after="0"/>
              <w:rPr>
                <w:sz w:val="16"/>
                <w:szCs w:val="16"/>
                <w:color w:val="auto"/>
              </w:rPr>
            </w:pPr>
          </w:p>
        </w:tc>
        <w:tc>
          <w:tcPr>
            <w:tcW w:w="180" w:type="dxa"/>
            <w:vAlign w:val="bottom"/>
            <w:gridSpan w:val="5"/>
          </w:tcPr>
          <w:p>
            <w:pPr>
              <w:spacing w:after="0"/>
              <w:rPr>
                <w:sz w:val="16"/>
                <w:szCs w:val="16"/>
                <w:color w:val="auto"/>
              </w:rPr>
            </w:pPr>
          </w:p>
        </w:tc>
        <w:tc>
          <w:tcPr>
            <w:tcW w:w="180" w:type="dxa"/>
            <w:vAlign w:val="bottom"/>
            <w:gridSpan w:val="4"/>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DEF</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4, 2022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App. 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14A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720" w:type="dxa"/>
            <w:vAlign w:val="bottom"/>
            <w:tcBorders>
              <w:bottom w:val="single" w:sz="8" w:color="0000FF"/>
            </w:tcBorders>
            <w:gridSpan w:val="37"/>
            <w:shd w:val="clear" w:color="auto" w:fill="CCEEFF"/>
          </w:tcPr>
          <w:p>
            <w:pPr>
              <w:spacing w:after="0" w:line="164" w:lineRule="exact"/>
              <w:rPr>
                <w:rFonts w:ascii="Times New Roman" w:cs="Times New Roman" w:eastAsia="Times New Roman" w:hAnsi="Times New Roman"/>
                <w:sz w:val="18"/>
                <w:szCs w:val="18"/>
                <w:color w:val="0000FF"/>
                <w:w w:val="96"/>
              </w:rPr>
            </w:pPr>
            <w:hyperlink r:id="rId199">
              <w:r>
                <w:rPr>
                  <w:rFonts w:ascii="Times New Roman" w:cs="Times New Roman" w:eastAsia="Times New Roman" w:hAnsi="Times New Roman"/>
                  <w:sz w:val="18"/>
                  <w:szCs w:val="18"/>
                  <w:color w:val="0000FF"/>
                  <w:w w:val="96"/>
                </w:rPr>
                <w:t>First Amendment to Crown Castle International Corp. 2022 Long-Term Incentive</w:t>
              </w:r>
            </w:hyperlink>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720" w:type="dxa"/>
            <w:vAlign w:val="bottom"/>
            <w:gridSpan w:val="37"/>
            <w:shd w:val="clear" w:color="auto" w:fill="CCEEFF"/>
          </w:tcPr>
          <w:p>
            <w:pPr>
              <w:spacing w:after="0" w:line="15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Plan</w:t>
              </w:r>
            </w:hyperlink>
          </w:p>
        </w:tc>
        <w:tc>
          <w:tcPr>
            <w:tcW w:w="120" w:type="dxa"/>
            <w:vAlign w:val="bottom"/>
            <w:gridSpan w:val="2"/>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5480" w:type="dxa"/>
            <w:vAlign w:val="bottom"/>
            <w:tcBorders>
              <w:bottom w:val="single" w:sz="8" w:color="0000FF"/>
            </w:tcBorders>
            <w:gridSpan w:val="30"/>
          </w:tcPr>
          <w:p>
            <w:pPr>
              <w:spacing w:after="0" w:line="164" w:lineRule="exact"/>
              <w:rPr>
                <w:rFonts w:ascii="Times New Roman" w:cs="Times New Roman" w:eastAsia="Times New Roman" w:hAnsi="Times New Roman"/>
                <w:sz w:val="18"/>
                <w:szCs w:val="18"/>
                <w:color w:val="0000FF"/>
                <w:w w:val="96"/>
              </w:rPr>
            </w:pPr>
            <w:hyperlink r:id="rId200">
              <w:r>
                <w:rPr>
                  <w:rFonts w:ascii="Times New Roman" w:cs="Times New Roman" w:eastAsia="Times New Roman" w:hAnsi="Times New Roman"/>
                  <w:sz w:val="18"/>
                  <w:szCs w:val="18"/>
                  <w:color w:val="0000FF"/>
                  <w:w w:val="96"/>
                </w:rPr>
                <w:t>Form of Restricted Stock Unit Agreement for 2022 Long-Term Incentive Plan</w:t>
              </w:r>
            </w:hyperlink>
          </w:p>
        </w:tc>
        <w:tc>
          <w:tcPr>
            <w:tcW w:w="180" w:type="dxa"/>
            <w:vAlign w:val="bottom"/>
            <w:gridSpan w:val="5"/>
          </w:tcPr>
          <w:p>
            <w:pPr>
              <w:spacing w:after="0"/>
              <w:rPr>
                <w:sz w:val="16"/>
                <w:szCs w:val="16"/>
                <w:color w:val="auto"/>
              </w:rPr>
            </w:pPr>
          </w:p>
        </w:tc>
        <w:tc>
          <w:tcPr>
            <w:tcW w:w="180" w:type="dxa"/>
            <w:vAlign w:val="bottom"/>
            <w:gridSpan w:val="4"/>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20, 2022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30"/>
          </w:tcPr>
          <w:p>
            <w:pPr>
              <w:spacing w:after="0" w:line="15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(effective May 19, 2022)</w:t>
              </w:r>
            </w:hyperlink>
          </w:p>
        </w:tc>
        <w:tc>
          <w:tcPr>
            <w:tcW w:w="180" w:type="dxa"/>
            <w:vAlign w:val="bottom"/>
            <w:gridSpan w:val="5"/>
          </w:tcPr>
          <w:p>
            <w:pPr>
              <w:spacing w:after="0"/>
              <w:rPr>
                <w:sz w:val="13"/>
                <w:szCs w:val="13"/>
                <w:color w:val="auto"/>
              </w:rPr>
            </w:pPr>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480" w:type="dxa"/>
            <w:vAlign w:val="bottom"/>
            <w:tcBorders>
              <w:bottom w:val="single" w:sz="8" w:color="0000FF"/>
            </w:tcBorders>
            <w:gridSpan w:val="30"/>
            <w:shd w:val="clear" w:color="auto" w:fill="CCEEFF"/>
          </w:tcPr>
          <w:p>
            <w:pPr>
              <w:spacing w:after="0" w:line="164" w:lineRule="exact"/>
              <w:rPr>
                <w:rFonts w:ascii="Times New Roman" w:cs="Times New Roman" w:eastAsia="Times New Roman" w:hAnsi="Times New Roman"/>
                <w:sz w:val="18"/>
                <w:szCs w:val="18"/>
                <w:color w:val="0000FF"/>
                <w:w w:val="96"/>
              </w:rPr>
            </w:pPr>
            <w:hyperlink r:id="rId201">
              <w:r>
                <w:rPr>
                  <w:rFonts w:ascii="Times New Roman" w:cs="Times New Roman" w:eastAsia="Times New Roman" w:hAnsi="Times New Roman"/>
                  <w:sz w:val="18"/>
                  <w:szCs w:val="18"/>
                  <w:color w:val="0000FF"/>
                  <w:w w:val="96"/>
                </w:rPr>
                <w:t>Form of Restricted Stock Unit Agreement for 2022 Long-Term Incentive Plan</w:t>
              </w:r>
            </w:hyperlink>
          </w:p>
        </w:tc>
        <w:tc>
          <w:tcPr>
            <w:tcW w:w="18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gridSpan w:val="4"/>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80" w:type="dxa"/>
            <w:vAlign w:val="bottom"/>
            <w:gridSpan w:val="30"/>
            <w:shd w:val="clear" w:color="auto" w:fill="CCEEFF"/>
          </w:tcPr>
          <w:p>
            <w:pPr>
              <w:spacing w:after="0" w:line="152"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(effective August 1, 2022)</w:t>
              </w:r>
            </w:hyperlink>
          </w:p>
        </w:tc>
        <w:tc>
          <w:tcPr>
            <w:tcW w:w="180" w:type="dxa"/>
            <w:vAlign w:val="bottom"/>
            <w:gridSpan w:val="5"/>
            <w:shd w:val="clear" w:color="auto" w:fill="CCEEFF"/>
          </w:tcPr>
          <w:p>
            <w:pPr>
              <w:spacing w:after="0"/>
              <w:rPr>
                <w:sz w:val="13"/>
                <w:szCs w:val="13"/>
                <w:color w:val="auto"/>
              </w:rPr>
            </w:pPr>
          </w:p>
        </w:tc>
        <w:tc>
          <w:tcPr>
            <w:tcW w:w="180" w:type="dxa"/>
            <w:vAlign w:val="bottom"/>
            <w:gridSpan w:val="4"/>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5480" w:type="dxa"/>
            <w:vAlign w:val="bottom"/>
            <w:tcBorders>
              <w:bottom w:val="single" w:sz="8" w:color="0000FF"/>
            </w:tcBorders>
            <w:gridSpan w:val="30"/>
          </w:tcPr>
          <w:p>
            <w:pPr>
              <w:spacing w:after="0" w:line="164" w:lineRule="exact"/>
              <w:rPr>
                <w:rFonts w:ascii="Times New Roman" w:cs="Times New Roman" w:eastAsia="Times New Roman" w:hAnsi="Times New Roman"/>
                <w:sz w:val="18"/>
                <w:szCs w:val="18"/>
                <w:color w:val="0000FF"/>
                <w:w w:val="96"/>
              </w:rPr>
            </w:pPr>
            <w:hyperlink r:id="rId202">
              <w:r>
                <w:rPr>
                  <w:rFonts w:ascii="Times New Roman" w:cs="Times New Roman" w:eastAsia="Times New Roman" w:hAnsi="Times New Roman"/>
                  <w:sz w:val="18"/>
                  <w:szCs w:val="18"/>
                  <w:color w:val="0000FF"/>
                  <w:w w:val="96"/>
                </w:rPr>
                <w:t>Form of Restricted Stock Unit Agreement for 2022 Long-Term Incentive Plan</w:t>
              </w:r>
            </w:hyperlink>
          </w:p>
        </w:tc>
        <w:tc>
          <w:tcPr>
            <w:tcW w:w="180" w:type="dxa"/>
            <w:vAlign w:val="bottom"/>
            <w:gridSpan w:val="5"/>
          </w:tcPr>
          <w:p>
            <w:pPr>
              <w:spacing w:after="0"/>
              <w:rPr>
                <w:sz w:val="16"/>
                <w:szCs w:val="16"/>
                <w:color w:val="auto"/>
              </w:rPr>
            </w:pPr>
          </w:p>
        </w:tc>
        <w:tc>
          <w:tcPr>
            <w:tcW w:w="180" w:type="dxa"/>
            <w:vAlign w:val="bottom"/>
            <w:gridSpan w:val="4"/>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 2024</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30"/>
          </w:tcPr>
          <w:p>
            <w:pPr>
              <w:spacing w:after="0" w:line="152"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(effective January 1, 2024)</w:t>
              </w:r>
            </w:hyperlink>
          </w:p>
        </w:tc>
        <w:tc>
          <w:tcPr>
            <w:tcW w:w="180" w:type="dxa"/>
            <w:vAlign w:val="bottom"/>
            <w:gridSpan w:val="5"/>
          </w:tcPr>
          <w:p>
            <w:pPr>
              <w:spacing w:after="0"/>
              <w:rPr>
                <w:sz w:val="13"/>
                <w:szCs w:val="13"/>
                <w:color w:val="auto"/>
              </w:rPr>
            </w:pPr>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480" w:type="dxa"/>
            <w:vAlign w:val="bottom"/>
            <w:tcBorders>
              <w:bottom w:val="single" w:sz="8" w:color="0000FF"/>
            </w:tcBorders>
            <w:gridSpan w:val="30"/>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w w:val="96"/>
              </w:rPr>
              <w:t>Form of Restricted Stock Unit Agreement for 2022 Long-Term Incentive Plan</w:t>
            </w:r>
          </w:p>
        </w:tc>
        <w:tc>
          <w:tcPr>
            <w:tcW w:w="18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gridSpan w:val="4"/>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0000FF"/>
            </w:tcBorders>
            <w:gridSpan w:val="12"/>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(effective February 26, 2025)</w:t>
            </w:r>
          </w:p>
        </w:tc>
        <w:tc>
          <w:tcPr>
            <w:tcW w:w="3420" w:type="dxa"/>
            <w:vAlign w:val="bottom"/>
            <w:tcBorders>
              <w:bottom w:val="single" w:sz="8" w:color="CCEEFF"/>
            </w:tcBorders>
            <w:gridSpan w:val="18"/>
            <w:shd w:val="clear" w:color="auto" w:fill="CCEEFF"/>
          </w:tcPr>
          <w:p>
            <w:pPr>
              <w:spacing w:after="0"/>
              <w:rPr>
                <w:sz w:val="15"/>
                <w:szCs w:val="15"/>
                <w:color w:val="auto"/>
              </w:rPr>
            </w:pPr>
          </w:p>
        </w:tc>
        <w:tc>
          <w:tcPr>
            <w:tcW w:w="180" w:type="dxa"/>
            <w:vAlign w:val="bottom"/>
            <w:tcBorders>
              <w:bottom w:val="single" w:sz="8" w:color="CCEEFF"/>
            </w:tcBorders>
            <w:gridSpan w:val="5"/>
            <w:shd w:val="clear" w:color="auto" w:fill="CCEEFF"/>
          </w:tcPr>
          <w:p>
            <w:pPr>
              <w:spacing w:after="0"/>
              <w:rPr>
                <w:sz w:val="15"/>
                <w:szCs w:val="15"/>
                <w:color w:val="auto"/>
              </w:rPr>
            </w:pPr>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tc>
        <w:tc>
          <w:tcPr>
            <w:tcW w:w="20" w:type="dxa"/>
            <w:vAlign w:val="bottom"/>
          </w:tcPr>
          <w:p>
            <w:pPr>
              <w:spacing w:after="0"/>
              <w:rPr>
                <w:sz w:val="16"/>
                <w:szCs w:val="16"/>
                <w:color w:val="auto"/>
              </w:rPr>
            </w:pPr>
          </w:p>
        </w:tc>
        <w:tc>
          <w:tcPr>
            <w:tcW w:w="5660" w:type="dxa"/>
            <w:vAlign w:val="bottom"/>
            <w:tcBorders>
              <w:bottom w:val="single" w:sz="8" w:color="0000FF"/>
            </w:tcBorders>
            <w:gridSpan w:val="35"/>
          </w:tcPr>
          <w:p>
            <w:pPr>
              <w:spacing w:after="0" w:line="164"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Amended and Restated Crown Castle Inc. Extended Service Separation Program</w:t>
              </w:r>
            </w:hyperlink>
          </w:p>
        </w:tc>
        <w:tc>
          <w:tcPr>
            <w:tcW w:w="180" w:type="dxa"/>
            <w:vAlign w:val="bottom"/>
            <w:gridSpan w:val="4"/>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23,</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35"/>
          </w:tcPr>
          <w:p>
            <w:pPr>
              <w:spacing w:after="0" w:line="152"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(effective October 17, 2023)</w:t>
              </w:r>
            </w:hyperlink>
          </w:p>
        </w:tc>
        <w:tc>
          <w:tcPr>
            <w:tcW w:w="1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10.20</w:t>
            </w:r>
            <w:r>
              <w:rPr>
                <w:rFonts w:ascii="Times New Roman" w:cs="Times New Roman" w:eastAsia="Times New Roman" w:hAnsi="Times New Roman"/>
                <w:sz w:val="21"/>
                <w:szCs w:val="2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3680" w:type="dxa"/>
            <w:vAlign w:val="bottom"/>
            <w:tcBorders>
              <w:bottom w:val="single" w:sz="8" w:color="0000FF"/>
            </w:tcBorders>
            <w:gridSpan w:val="16"/>
            <w:shd w:val="clear" w:color="auto" w:fill="CCEEFF"/>
          </w:tcPr>
          <w:p>
            <w:pPr>
              <w:spacing w:after="0" w:line="164" w:lineRule="exact"/>
              <w:rPr>
                <w:rFonts w:ascii="Times New Roman" w:cs="Times New Roman" w:eastAsia="Times New Roman" w:hAnsi="Times New Roman"/>
                <w:sz w:val="18"/>
                <w:szCs w:val="18"/>
                <w:color w:val="0000FF"/>
                <w:w w:val="96"/>
              </w:rPr>
            </w:pPr>
            <w:hyperlink r:id="rId204">
              <w:r>
                <w:rPr>
                  <w:rFonts w:ascii="Times New Roman" w:cs="Times New Roman" w:eastAsia="Times New Roman" w:hAnsi="Times New Roman"/>
                  <w:sz w:val="18"/>
                  <w:szCs w:val="18"/>
                  <w:color w:val="0000FF"/>
                  <w:w w:val="96"/>
                </w:rPr>
                <w:t>Crown Castle Inc. 2024 EMT Annual Incentive Plan</w:t>
              </w:r>
            </w:hyperlink>
          </w:p>
        </w:tc>
        <w:tc>
          <w:tcPr>
            <w:tcW w:w="2160" w:type="dxa"/>
            <w:vAlign w:val="bottom"/>
            <w:tcBorders>
              <w:bottom w:val="single" w:sz="8" w:color="CCEEFF"/>
            </w:tcBorders>
            <w:gridSpan w:val="23"/>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9,</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19"/>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8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880" w:type="dxa"/>
            <w:vAlign w:val="bottom"/>
            <w:gridSpan w:val="39"/>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p>
        </w:tc>
        <w:tc>
          <w:tcPr>
            <w:tcW w:w="120" w:type="dxa"/>
            <w:vAlign w:val="bottom"/>
          </w:tcPr>
          <w:p>
            <w:pPr>
              <w:spacing w:after="0"/>
              <w:rPr>
                <w:sz w:val="16"/>
                <w:szCs w:val="16"/>
                <w:color w:val="auto"/>
              </w:rPr>
            </w:pPr>
          </w:p>
        </w:tc>
        <w:tc>
          <w:tcPr>
            <w:tcW w:w="3680" w:type="dxa"/>
            <w:vAlign w:val="bottom"/>
            <w:tcBorders>
              <w:top w:val="single" w:sz="8" w:color="auto"/>
              <w:bottom w:val="single" w:sz="8" w:color="0000FF"/>
            </w:tcBorders>
            <w:gridSpan w:val="4"/>
          </w:tcPr>
          <w:p>
            <w:pPr>
              <w:spacing w:after="0" w:line="164" w:lineRule="exact"/>
              <w:rPr>
                <w:rFonts w:ascii="Times New Roman" w:cs="Times New Roman" w:eastAsia="Times New Roman" w:hAnsi="Times New Roman"/>
                <w:sz w:val="18"/>
                <w:szCs w:val="18"/>
                <w:color w:val="0000FF"/>
                <w:w w:val="96"/>
              </w:rPr>
            </w:pPr>
            <w:hyperlink r:id="rId207">
              <w:r>
                <w:rPr>
                  <w:rFonts w:ascii="Times New Roman" w:cs="Times New Roman" w:eastAsia="Times New Roman" w:hAnsi="Times New Roman"/>
                  <w:sz w:val="18"/>
                  <w:szCs w:val="18"/>
                  <w:color w:val="0000FF"/>
                  <w:w w:val="96"/>
                </w:rPr>
                <w:t>Crown Castle Inc. 2025 EMT Annual Incentive Plan</w:t>
              </w:r>
            </w:hyperlink>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6"/>
                <w:szCs w:val="16"/>
                <w:color w:val="auto"/>
              </w:rPr>
            </w:pPr>
          </w:p>
        </w:tc>
        <w:tc>
          <w:tcPr>
            <w:tcW w:w="112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26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26,</w:t>
            </w:r>
          </w:p>
        </w:tc>
        <w:tc>
          <w:tcPr>
            <w:tcW w:w="100" w:type="dxa"/>
            <w:vAlign w:val="bottom"/>
          </w:tcPr>
          <w:p>
            <w:pPr>
              <w:spacing w:after="0"/>
              <w:rPr>
                <w:sz w:val="16"/>
                <w:szCs w:val="16"/>
                <w:color w:val="auto"/>
              </w:rPr>
            </w:pPr>
          </w:p>
        </w:tc>
        <w:tc>
          <w:tcPr>
            <w:tcW w:w="78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right w:val="single" w:sz="8" w:color="CCEEFF"/>
            </w:tcBorders>
            <w:shd w:val="clear" w:color="auto" w:fill="CCEEFF"/>
          </w:tcPr>
          <w:p>
            <w:pPr>
              <w:spacing w:after="0"/>
              <w:rPr>
                <w:sz w:val="16"/>
                <w:szCs w:val="16"/>
                <w:color w:val="auto"/>
              </w:rPr>
            </w:pPr>
          </w:p>
        </w:tc>
        <w:tc>
          <w:tcPr>
            <w:tcW w:w="5880" w:type="dxa"/>
            <w:vAlign w:val="bottom"/>
            <w:gridSpan w:val="39"/>
            <w:shd w:val="clear" w:color="auto" w:fill="CCEEFF"/>
          </w:tcPr>
          <w:p>
            <w:pPr>
              <w:spacing w:after="0" w:line="184"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Global Lease Agreement dated March 31, 1999 between Crown Atlantic</w:t>
              </w:r>
            </w:hyperlink>
          </w:p>
        </w:tc>
        <w:tc>
          <w:tcPr>
            <w:tcW w:w="7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12, 1999</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1"/>
            <w:shd w:val="clear" w:color="auto" w:fill="CCEEFF"/>
          </w:tcPr>
          <w:p>
            <w:pPr>
              <w:spacing w:after="0" w:line="152"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Company, LLC and Cellco Partnership</w:t>
              </w:r>
            </w:hyperlink>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6"/>
                <w:szCs w:val="16"/>
                <w:color w:val="auto"/>
              </w:rPr>
            </w:pPr>
          </w:p>
        </w:tc>
        <w:tc>
          <w:tcPr>
            <w:tcW w:w="5880" w:type="dxa"/>
            <w:vAlign w:val="bottom"/>
            <w:gridSpan w:val="39"/>
          </w:tcPr>
          <w:p>
            <w:pPr>
              <w:spacing w:after="0" w:line="184"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Agreement to Sublease dated June 1, 1999 by and among BellSouth Mobility</w:t>
              </w:r>
            </w:hyperlink>
          </w:p>
        </w:tc>
        <w:tc>
          <w:tcPr>
            <w:tcW w:w="7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9, 1999</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Inc., BellSouth Telecommunications Inc., the Transferring Entities (as defined</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gridSpan w:val="19"/>
          </w:tcPr>
          <w:p>
            <w:pPr>
              <w:spacing w:after="0" w:line="152"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therein), Crown Castle International Corp. and Crown Castle South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right w:val="single" w:sz="8" w:color="CCEEFF"/>
            </w:tcBorders>
            <w:shd w:val="clear" w:color="auto" w:fill="CCEEFF"/>
          </w:tcPr>
          <w:p>
            <w:pPr>
              <w:spacing w:after="0"/>
              <w:rPr>
                <w:sz w:val="16"/>
                <w:szCs w:val="16"/>
                <w:color w:val="auto"/>
              </w:rPr>
            </w:pPr>
          </w:p>
        </w:tc>
        <w:tc>
          <w:tcPr>
            <w:tcW w:w="5880" w:type="dxa"/>
            <w:vAlign w:val="bottom"/>
            <w:gridSpan w:val="39"/>
            <w:shd w:val="clear" w:color="auto" w:fill="CCEEFF"/>
          </w:tcPr>
          <w:p>
            <w:pPr>
              <w:spacing w:after="0" w:line="184"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Sublease dated June 1, 1999 by and among BellSouth Mobility Inc., Certain BMI</w:t>
              </w:r>
            </w:hyperlink>
          </w:p>
        </w:tc>
        <w:tc>
          <w:tcPr>
            <w:tcW w:w="7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9, 1999</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800" w:type="dxa"/>
            <w:vAlign w:val="bottom"/>
            <w:tcBorders>
              <w:top w:val="single" w:sz="8" w:color="0000FF"/>
            </w:tcBorders>
            <w:gridSpan w:val="35"/>
            <w:shd w:val="clear" w:color="auto" w:fill="CCEEFF"/>
          </w:tcPr>
          <w:p>
            <w:pPr>
              <w:spacing w:after="0" w:line="152"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Affiliates, Crown Castle International Corp. and Crown Castle South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6"/>
                <w:szCs w:val="16"/>
                <w:color w:val="auto"/>
              </w:rPr>
            </w:pPr>
          </w:p>
        </w:tc>
        <w:tc>
          <w:tcPr>
            <w:tcW w:w="5880" w:type="dxa"/>
            <w:vAlign w:val="bottom"/>
            <w:gridSpan w:val="39"/>
          </w:tcPr>
          <w:p>
            <w:pPr>
              <w:spacing w:after="0" w:line="184"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Agreement to Sublease dated August 1, 1999 by and among BellSouth Personal</w:t>
              </w:r>
            </w:hyperlink>
          </w:p>
        </w:tc>
        <w:tc>
          <w:tcPr>
            <w:tcW w:w="7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30, 2000</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Communications, Inc., BellSouth Carolinas PCS, L.P., Crown Castle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International Corp. and Crown Castle South Inc.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4600" w:type="dxa"/>
            <w:vAlign w:val="bottom"/>
            <w:tcBorders>
              <w:bottom w:val="single" w:sz="8" w:color="0000FF"/>
            </w:tcBorders>
            <w:gridSpan w:val="5"/>
            <w:shd w:val="clear" w:color="auto" w:fill="CCEEFF"/>
          </w:tcPr>
          <w:p>
            <w:pPr>
              <w:spacing w:after="0" w:line="184"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Sublease dated August 1, 1999 by and among BellSouth Personal</w:t>
              </w:r>
            </w:hyperlink>
          </w:p>
        </w:tc>
        <w:tc>
          <w:tcPr>
            <w:tcW w:w="1280" w:type="dxa"/>
            <w:vAlign w:val="bottom"/>
            <w:tcBorders>
              <w:bottom w:val="single" w:sz="8" w:color="CCEEFF"/>
            </w:tcBorders>
            <w:gridSpan w:val="34"/>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000-24737</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30, 2000</w:t>
            </w:r>
          </w:p>
        </w:tc>
        <w:tc>
          <w:tcPr>
            <w:tcW w:w="7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80" w:type="dxa"/>
            <w:vAlign w:val="bottom"/>
            <w:gridSpan w:val="39"/>
            <w:shd w:val="clear" w:color="auto" w:fill="CCEEFF"/>
          </w:tcPr>
          <w:p>
            <w:pPr>
              <w:spacing w:after="0" w:line="152"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Communications, Inc., BellSouth Carolinas PCS, L.P., Crown Castle</w:t>
              </w:r>
            </w:hyperlink>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400" w:type="dxa"/>
            <w:vAlign w:val="bottom"/>
            <w:tcBorders>
              <w:top w:val="single" w:sz="8" w:color="0000FF"/>
              <w:bottom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International Corp. and Crown Castle South Inc.</w:t>
              </w:r>
            </w:hyperlink>
          </w:p>
        </w:tc>
        <w:tc>
          <w:tcPr>
            <w:tcW w:w="14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right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6"/>
                <w:szCs w:val="16"/>
                <w:color w:val="auto"/>
              </w:rPr>
            </w:pPr>
          </w:p>
        </w:tc>
        <w:tc>
          <w:tcPr>
            <w:tcW w:w="5880" w:type="dxa"/>
            <w:vAlign w:val="bottom"/>
            <w:gridSpan w:val="39"/>
          </w:tcPr>
          <w:p>
            <w:pPr>
              <w:spacing w:after="0" w:line="184"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Management Agreement, dated as of June 8, 2005, by and among Crown Castle</w:t>
              </w:r>
            </w:hyperlink>
          </w:p>
        </w:tc>
        <w:tc>
          <w:tcPr>
            <w:tcW w:w="7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9, 2005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USA Inc., as Manager, and Crown Castle Towers LLC, Crown Castle South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80" w:type="dxa"/>
            <w:vAlign w:val="bottom"/>
            <w:gridSpan w:val="39"/>
          </w:tcPr>
          <w:p>
            <w:pPr>
              <w:spacing w:after="0" w:line="152"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LLC, Crown Communication Inc., Crown Castle PT Inc., Crown Communication</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tcBorders>
              <w:top w:val="single" w:sz="8" w:color="0000FF"/>
            </w:tcBorders>
            <w:gridSpan w:val="37"/>
          </w:tcPr>
          <w:p>
            <w:pPr>
              <w:spacing w:after="0" w:line="164"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New York, Inc., Crown Castle International Corp. de Puerto Rico, Crown Castle</w:t>
              </w:r>
            </w:hyperlink>
          </w:p>
        </w:tc>
        <w:tc>
          <w:tcPr>
            <w:tcW w:w="4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GT Holding Sub LLC and Crown Castle Atlantic LLC, collectively as Owners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right w:val="single" w:sz="8" w:color="CCEEFF"/>
            </w:tcBorders>
            <w:shd w:val="clear" w:color="auto" w:fill="CCEEFF"/>
          </w:tcPr>
          <w:p>
            <w:pPr>
              <w:spacing w:after="0"/>
              <w:rPr>
                <w:sz w:val="16"/>
                <w:szCs w:val="16"/>
                <w:color w:val="auto"/>
              </w:rPr>
            </w:pPr>
          </w:p>
        </w:tc>
        <w:tc>
          <w:tcPr>
            <w:tcW w:w="5880" w:type="dxa"/>
            <w:vAlign w:val="bottom"/>
            <w:gridSpan w:val="39"/>
            <w:shd w:val="clear" w:color="auto" w:fill="CCEEFF"/>
          </w:tcPr>
          <w:p>
            <w:pPr>
              <w:spacing w:after="0" w:line="184"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Series 2005-1 Management Agreement Amendment, dated September 26, 2006,</w:t>
              </w:r>
            </w:hyperlink>
          </w:p>
        </w:tc>
        <w:tc>
          <w:tcPr>
            <w:tcW w:w="7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September 29,</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bottom w:val="single" w:sz="8" w:color="0000FF"/>
            </w:tcBorders>
            <w:gridSpan w:val="20"/>
            <w:shd w:val="clear" w:color="auto" w:fill="CCEEFF"/>
          </w:tcPr>
          <w:p>
            <w:pPr>
              <w:spacing w:after="0" w:line="15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by and among Crown Castle USA Inc., as Manager, and Crown Castle Towers</w:t>
              </w:r>
            </w:hyperlink>
          </w:p>
        </w:tc>
        <w:tc>
          <w:tcPr>
            <w:tcW w:w="22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80" w:type="dxa"/>
            <w:vAlign w:val="bottom"/>
            <w:gridSpan w:val="39"/>
            <w:shd w:val="clear" w:color="auto" w:fill="CCEEFF"/>
          </w:tcPr>
          <w:p>
            <w:pPr>
              <w:spacing w:after="0" w:line="15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LLC, Crown Castle South LLC, Crown Communication Inc., Crown Castle PT</w:t>
              </w:r>
            </w:hyperlink>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580" w:type="dxa"/>
            <w:vAlign w:val="bottom"/>
            <w:tcBorders>
              <w:top w:val="single" w:sz="8" w:color="0000FF"/>
            </w:tcBorders>
            <w:gridSpan w:val="24"/>
            <w:shd w:val="clear" w:color="auto" w:fill="CCEEFF"/>
          </w:tcPr>
          <w:p>
            <w:pPr>
              <w:spacing w:after="0" w:line="164" w:lineRule="exact"/>
              <w:rPr>
                <w:rFonts w:ascii="Times New Roman" w:cs="Times New Roman" w:eastAsia="Times New Roman" w:hAnsi="Times New Roman"/>
                <w:sz w:val="18"/>
                <w:szCs w:val="18"/>
                <w:color w:val="0000FF"/>
                <w:w w:val="97"/>
              </w:rPr>
            </w:pPr>
            <w:hyperlink r:id="rId212">
              <w:r>
                <w:rPr>
                  <w:rFonts w:ascii="Times New Roman" w:cs="Times New Roman" w:eastAsia="Times New Roman" w:hAnsi="Times New Roman"/>
                  <w:sz w:val="18"/>
                  <w:szCs w:val="18"/>
                  <w:color w:val="0000FF"/>
                  <w:w w:val="97"/>
                </w:rPr>
                <w:t>Inc., Crown Communication New York, Inc., Crown Castle International Corp.</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560" w:type="dxa"/>
            <w:vAlign w:val="bottom"/>
            <w:tcBorders>
              <w:top w:val="single" w:sz="8" w:color="0000FF"/>
              <w:bottom w:val="single" w:sz="8" w:color="0000FF"/>
            </w:tcBorders>
            <w:gridSpan w:val="23"/>
            <w:shd w:val="clear" w:color="auto" w:fill="CCEEFF"/>
          </w:tcPr>
          <w:p>
            <w:pPr>
              <w:spacing w:after="0" w:line="15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de Puerto Rico, Crown Castle GT Holding Sub LLC and Crown Castle Atlantic</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640" w:type="dxa"/>
            <w:vAlign w:val="bottom"/>
            <w:gridSpan w:val="27"/>
            <w:shd w:val="clear" w:color="auto" w:fill="CCEEFF"/>
          </w:tcPr>
          <w:p>
            <w:pPr>
              <w:spacing w:after="0" w:line="15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LLC, collectively, as Owners</w:t>
              </w:r>
            </w:hyperlink>
          </w:p>
        </w:tc>
        <w:tc>
          <w:tcPr>
            <w:tcW w:w="60" w:type="dxa"/>
            <w:vAlign w:val="bottom"/>
            <w:gridSpan w:val="3"/>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6"/>
                <w:szCs w:val="16"/>
                <w:color w:val="auto"/>
              </w:rPr>
            </w:pPr>
          </w:p>
        </w:tc>
        <w:tc>
          <w:tcPr>
            <w:tcW w:w="5880" w:type="dxa"/>
            <w:vAlign w:val="bottom"/>
            <w:gridSpan w:val="39"/>
          </w:tcPr>
          <w:p>
            <w:pPr>
              <w:spacing w:after="0" w:line="184"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Joinder and Amendment to Management Agreement, dated as of November 29,</w:t>
              </w:r>
            </w:hyperlink>
          </w:p>
        </w:tc>
        <w:tc>
          <w:tcPr>
            <w:tcW w:w="7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2006, by and among Crown Castle USA Inc., as Manager, and Crown Castle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Towers LLC, Crown Castle South LLC, Crown Communication Inc., Crown</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9"/>
          </w:tcPr>
          <w:p>
            <w:pPr>
              <w:spacing w:after="0" w:line="164" w:lineRule="exact"/>
              <w:rPr>
                <w:rFonts w:ascii="Times New Roman" w:cs="Times New Roman" w:eastAsia="Times New Roman" w:hAnsi="Times New Roman"/>
                <w:sz w:val="18"/>
                <w:szCs w:val="18"/>
                <w:color w:val="0000FF"/>
                <w:w w:val="96"/>
              </w:rPr>
            </w:pPr>
            <w:hyperlink r:id="rId213">
              <w:r>
                <w:rPr>
                  <w:rFonts w:ascii="Times New Roman" w:cs="Times New Roman" w:eastAsia="Times New Roman" w:hAnsi="Times New Roman"/>
                  <w:sz w:val="18"/>
                  <w:szCs w:val="18"/>
                  <w:color w:val="0000FF"/>
                  <w:w w:val="96"/>
                </w:rPr>
                <w:t>Castle PT Inc., Crown Communication New York, Inc., Crown Castle</w:t>
              </w:r>
            </w:hyperlink>
          </w:p>
        </w:tc>
        <w:tc>
          <w:tcPr>
            <w:tcW w:w="480" w:type="dxa"/>
            <w:vAlign w:val="bottom"/>
            <w:tcBorders>
              <w:top w:val="single" w:sz="8" w:color="0000FF"/>
            </w:tcBorders>
            <w:gridSpan w:val="7"/>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80" w:type="dxa"/>
            <w:vAlign w:val="bottom"/>
            <w:gridSpan w:val="39"/>
          </w:tcPr>
          <w:p>
            <w:pPr>
              <w:spacing w:after="0" w:line="152"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International Corp. de Puerto Rico, Crown Castle Towers 05 LLC, Crown Castle</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tcBorders>
              <w:top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PR LLC, Crown Castle MU LLC, Crown Castle MUPA LLC, Crown Castle GT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00" w:type="dxa"/>
            <w:vAlign w:val="bottom"/>
            <w:tcBorders>
              <w:top w:val="single" w:sz="8" w:color="0000FF"/>
            </w:tcBorders>
            <w:gridSpan w:val="30"/>
          </w:tcPr>
          <w:p>
            <w:pPr>
              <w:spacing w:after="0" w:line="164"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Holding Sub LLC and Crown Castle Atlantic LLC, collectively as Owners</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right w:val="single" w:sz="8" w:color="CCEEFF"/>
            </w:tcBorders>
            <w:shd w:val="clear" w:color="auto" w:fill="CCEEFF"/>
          </w:tcPr>
          <w:p>
            <w:pPr>
              <w:spacing w:after="0"/>
              <w:rPr>
                <w:sz w:val="16"/>
                <w:szCs w:val="16"/>
                <w:color w:val="auto"/>
              </w:rPr>
            </w:pPr>
          </w:p>
        </w:tc>
        <w:tc>
          <w:tcPr>
            <w:tcW w:w="5880" w:type="dxa"/>
            <w:vAlign w:val="bottom"/>
            <w:gridSpan w:val="39"/>
            <w:shd w:val="clear" w:color="auto" w:fill="CCEEFF"/>
          </w:tcPr>
          <w:p>
            <w:pPr>
              <w:spacing w:after="0" w:line="194"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Cash Management Agreement, dated as of June 8, 2005, by and among Crown</w:t>
              </w:r>
            </w:hyperlink>
          </w:p>
        </w:tc>
        <w:tc>
          <w:tcPr>
            <w:tcW w:w="7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June 9, 2005</w:t>
            </w:r>
          </w:p>
        </w:tc>
        <w:tc>
          <w:tcPr>
            <w:tcW w:w="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20" w:type="dxa"/>
            <w:vAlign w:val="bottom"/>
            <w:tcBorders>
              <w:top w:val="single" w:sz="8" w:color="0000FF"/>
            </w:tcBorders>
            <w:gridSpan w:val="21"/>
            <w:shd w:val="clear" w:color="auto" w:fill="CCEEFF"/>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Castle Towers LLC, Crown Castle South LLC, Crown Communication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4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Crown Castle PT Inc., Crown Communication New York, Inc. and Crown</w:t>
              </w:r>
            </w:hyperlink>
          </w:p>
        </w:tc>
        <w:tc>
          <w:tcPr>
            <w:tcW w:w="540" w:type="dxa"/>
            <w:vAlign w:val="bottom"/>
            <w:tcBorders>
              <w:top w:val="single" w:sz="8" w:color="CCEEFF"/>
            </w:tcBorders>
            <w:gridSpan w:val="24"/>
            <w:shd w:val="clear" w:color="auto" w:fill="CCEEFF"/>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Castle</w:t>
              </w:r>
            </w:hyperlink>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780" w:type="dxa"/>
            <w:vAlign w:val="bottom"/>
            <w:tcBorders>
              <w:top w:val="single" w:sz="8" w:color="0000FF"/>
            </w:tcBorders>
            <w:gridSpan w:val="34"/>
            <w:shd w:val="clear" w:color="auto" w:fill="CCEEFF"/>
          </w:tcPr>
          <w:p>
            <w:pPr>
              <w:spacing w:after="0" w:line="164"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International Corp. de Puerto Rico, as Issuers, JPMorgan Chase Bank, N.A., as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4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Indenture Trustee, Crown Castle USA Inc., as Manager, Crown Castle GT</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9"/>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20" w:type="dxa"/>
            <w:vAlign w:val="bottom"/>
            <w:tcBorders>
              <w:top w:val="single" w:sz="8" w:color="0000FF"/>
              <w:right w:val="single" w:sz="8" w:color="CCEEFF"/>
            </w:tcBorders>
            <w:gridSpan w:val="13"/>
            <w:shd w:val="clear" w:color="auto" w:fill="CCEEFF"/>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Holding Sub LLC, as Member of Crown Castle GT Company LLC, and</w:t>
              </w:r>
            </w:hyperlink>
          </w:p>
        </w:tc>
        <w:tc>
          <w:tcPr>
            <w:tcW w:w="660" w:type="dxa"/>
            <w:vAlign w:val="bottom"/>
            <w:tcBorders>
              <w:top w:val="single" w:sz="8" w:color="CCEEFF"/>
            </w:tcBorders>
            <w:gridSpan w:val="26"/>
            <w:shd w:val="clear" w:color="auto" w:fill="CCEEFF"/>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Crown</w:t>
              </w:r>
            </w:hyperlink>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600" w:type="dxa"/>
            <w:vAlign w:val="bottom"/>
            <w:tcBorders>
              <w:top w:val="single" w:sz="8" w:color="0000FF"/>
            </w:tcBorders>
            <w:gridSpan w:val="25"/>
            <w:shd w:val="clear" w:color="auto" w:fill="CCEEFF"/>
          </w:tcPr>
          <w:p>
            <w:pPr>
              <w:spacing w:after="0" w:line="164"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Castle Atlantic LLC, as Member of Crown Atlantic Company LLC</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6"/>
                <w:szCs w:val="16"/>
                <w:color w:val="auto"/>
              </w:rPr>
            </w:pPr>
          </w:p>
        </w:tc>
        <w:tc>
          <w:tcPr>
            <w:tcW w:w="5880" w:type="dxa"/>
            <w:vAlign w:val="bottom"/>
            <w:gridSpan w:val="39"/>
          </w:tcPr>
          <w:p>
            <w:pPr>
              <w:spacing w:after="0" w:line="184"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Joinder to Cash Management Agreement, dated as of November 29, 2006, by and</w:t>
              </w:r>
            </w:hyperlink>
          </w:p>
        </w:tc>
        <w:tc>
          <w:tcPr>
            <w:tcW w:w="7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tcBorders>
              <w:top w:val="single" w:sz="8" w:color="0000FF"/>
            </w:tcBorders>
            <w:gridSpan w:val="36"/>
          </w:tcPr>
          <w:p>
            <w:pPr>
              <w:spacing w:after="0" w:line="15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among Crown Castle Towers LLC, Crown Castle South LLC, Crown</w:t>
              </w:r>
            </w:hyperlink>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Communication Inc., Crown Castle PT Inc., Crown Communication</w:t>
              </w:r>
            </w:hyperlink>
          </w:p>
        </w:tc>
        <w:tc>
          <w:tcPr>
            <w:tcW w:w="820" w:type="dxa"/>
            <w:vAlign w:val="bottom"/>
            <w:tcBorders>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New York,</w:t>
              </w:r>
            </w:hyperlink>
          </w:p>
        </w:tc>
        <w:tc>
          <w:tcPr>
            <w:tcW w:w="220" w:type="dxa"/>
            <w:vAlign w:val="bottom"/>
            <w:gridSpan w:val="11"/>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240" w:right="4300"/>
        <w:spacing w:after="0" w:line="229" w:lineRule="auto"/>
        <w:rPr>
          <w:rFonts w:ascii="Times New Roman" w:cs="Times New Roman" w:eastAsia="Times New Roman" w:hAnsi="Times New Roman"/>
          <w:sz w:val="16"/>
          <w:szCs w:val="16"/>
          <w:u w:val="single" w:color="auto"/>
          <w:color w:val="0000FF"/>
        </w:rPr>
      </w:pPr>
      <w:hyperlink r:id="rId215">
        <w:r>
          <w:rPr>
            <w:rFonts w:ascii="Times New Roman" w:cs="Times New Roman" w:eastAsia="Times New Roman" w:hAnsi="Times New Roman"/>
            <w:sz w:val="16"/>
            <w:szCs w:val="16"/>
            <w:u w:val="single" w:color="auto"/>
            <w:color w:val="0000FF"/>
          </w:rPr>
          <w:t>Inc. and Crown Castle International Corp. de Puerto Rico, Crown Castle Towers</w:t>
        </w:r>
      </w:hyperlink>
      <w:r>
        <w:rPr>
          <w:rFonts w:ascii="Times New Roman" w:cs="Times New Roman" w:eastAsia="Times New Roman" w:hAnsi="Times New Roman"/>
          <w:sz w:val="16"/>
          <w:szCs w:val="16"/>
          <w:u w:val="single" w:color="auto"/>
          <w:color w:val="0000FF"/>
        </w:rPr>
        <w:t xml:space="preserve"> </w:t>
      </w:r>
      <w:hyperlink r:id="rId215">
        <w:r>
          <w:rPr>
            <w:rFonts w:ascii="Times New Roman" w:cs="Times New Roman" w:eastAsia="Times New Roman" w:hAnsi="Times New Roman"/>
            <w:sz w:val="16"/>
            <w:szCs w:val="16"/>
            <w:u w:val="single" w:color="auto"/>
            <w:color w:val="0000FF"/>
          </w:rPr>
          <w:t>05 LLC, Crown Castle PR LLC, Crown Castle MU LLC, Crown Castle MUPA</w:t>
        </w:r>
      </w:hyperlink>
      <w:r>
        <w:rPr>
          <w:rFonts w:ascii="Times New Roman" w:cs="Times New Roman" w:eastAsia="Times New Roman" w:hAnsi="Times New Roman"/>
          <w:sz w:val="16"/>
          <w:szCs w:val="16"/>
          <w:u w:val="single" w:color="auto"/>
          <w:color w:val="0000FF"/>
        </w:rPr>
        <w:t xml:space="preserve"> </w:t>
      </w:r>
      <w:hyperlink r:id="rId215">
        <w:r>
          <w:rPr>
            <w:rFonts w:ascii="Times New Roman" w:cs="Times New Roman" w:eastAsia="Times New Roman" w:hAnsi="Times New Roman"/>
            <w:sz w:val="16"/>
            <w:szCs w:val="16"/>
            <w:u w:val="single" w:color="auto"/>
            <w:color w:val="0000FF"/>
          </w:rPr>
          <w:t>LLC, as Issuers, The Bank of New York (as successor to JPMorgan Chase Bank,</w:t>
        </w:r>
      </w:hyperlink>
    </w:p>
    <w:p>
      <w:pPr>
        <w:spacing w:after="0" w:line="1" w:lineRule="exact"/>
        <w:rPr>
          <w:rFonts w:ascii="Times New Roman" w:cs="Times New Roman" w:eastAsia="Times New Roman" w:hAnsi="Times New Roman"/>
          <w:sz w:val="16"/>
          <w:szCs w:val="16"/>
          <w:u w:val="single" w:color="auto"/>
          <w:color w:val="0000FF"/>
        </w:rPr>
      </w:pPr>
    </w:p>
    <w:p>
      <w:pPr>
        <w:ind w:left="1240" w:right="4360"/>
        <w:spacing w:after="0" w:line="239" w:lineRule="auto"/>
        <w:rPr>
          <w:rFonts w:ascii="Times New Roman" w:cs="Times New Roman" w:eastAsia="Times New Roman" w:hAnsi="Times New Roman"/>
          <w:sz w:val="16"/>
          <w:szCs w:val="16"/>
          <w:u w:val="single" w:color="auto"/>
          <w:color w:val="0000FF"/>
        </w:rPr>
      </w:pPr>
      <w:hyperlink r:id="rId215">
        <w:r>
          <w:rPr>
            <w:rFonts w:ascii="Times New Roman" w:cs="Times New Roman" w:eastAsia="Times New Roman" w:hAnsi="Times New Roman"/>
            <w:sz w:val="16"/>
            <w:szCs w:val="16"/>
            <w:u w:val="single" w:color="auto"/>
            <w:color w:val="0000FF"/>
          </w:rPr>
          <w:t>N.A.), as Indenture Trustee, Crown Castle USA Inc., as Manager, Crown Castle</w:t>
        </w:r>
      </w:hyperlink>
      <w:r>
        <w:rPr>
          <w:rFonts w:ascii="Times New Roman" w:cs="Times New Roman" w:eastAsia="Times New Roman" w:hAnsi="Times New Roman"/>
          <w:sz w:val="16"/>
          <w:szCs w:val="16"/>
          <w:u w:val="single" w:color="auto"/>
          <w:color w:val="0000FF"/>
        </w:rPr>
        <w:t xml:space="preserve"> </w:t>
      </w:r>
      <w:hyperlink r:id="rId215">
        <w:r>
          <w:rPr>
            <w:rFonts w:ascii="Times New Roman" w:cs="Times New Roman" w:eastAsia="Times New Roman" w:hAnsi="Times New Roman"/>
            <w:sz w:val="16"/>
            <w:szCs w:val="16"/>
            <w:u w:val="single" w:color="auto"/>
            <w:color w:val="0000FF"/>
          </w:rPr>
          <w:t>GT Holding Sub LLC, as Member of Crown Castle GT Company LLC, and</w:t>
        </w:r>
      </w:hyperlink>
      <w:r>
        <w:rPr>
          <w:rFonts w:ascii="Times New Roman" w:cs="Times New Roman" w:eastAsia="Times New Roman" w:hAnsi="Times New Roman"/>
          <w:sz w:val="16"/>
          <w:szCs w:val="16"/>
          <w:u w:val="single" w:color="auto"/>
          <w:color w:val="0000FF"/>
        </w:rPr>
        <w:t xml:space="preserve"> </w:t>
      </w:r>
      <w:hyperlink r:id="rId215">
        <w:r>
          <w:rPr>
            <w:rFonts w:ascii="Times New Roman" w:cs="Times New Roman" w:eastAsia="Times New Roman" w:hAnsi="Times New Roman"/>
            <w:sz w:val="16"/>
            <w:szCs w:val="16"/>
            <w:u w:val="single" w:color="auto"/>
            <w:color w:val="0000FF"/>
          </w:rPr>
          <w:t>Crown Castle Atlantic LLC, as Member of Crown Atlantic Company LLC</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15" w:lineRule="exact"/>
        <w:rPr>
          <w:rFonts w:ascii="Times New Roman" w:cs="Times New Roman" w:eastAsia="Times New Roman" w:hAnsi="Times New Roman"/>
          <w:sz w:val="16"/>
          <w:szCs w:val="16"/>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920" w:type="dxa"/>
            <w:vAlign w:val="bottom"/>
            <w:gridSpan w:val="4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920" w:type="dxa"/>
            <w:vAlign w:val="bottom"/>
            <w:gridSpan w:val="4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5900" w:type="dxa"/>
            <w:vAlign w:val="bottom"/>
            <w:tcBorders>
              <w:top w:val="single" w:sz="8" w:color="auto"/>
            </w:tcBorders>
            <w:gridSpan w:val="41"/>
            <w:shd w:val="clear" w:color="auto" w:fill="CCEEFF"/>
          </w:tcPr>
          <w:p>
            <w:pPr>
              <w:spacing w:after="0" w:line="183"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Servicing Agreement, dated as of June 8, 2005, by and among Midland Loan</w:t>
              </w:r>
            </w:hyperlink>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June 9, 2005</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00" w:type="dxa"/>
            <w:vAlign w:val="bottom"/>
            <w:tcBorders>
              <w:top w:val="single" w:sz="8" w:color="0000FF"/>
            </w:tcBorders>
            <w:gridSpan w:val="17"/>
            <w:shd w:val="clear" w:color="auto" w:fill="CCEEFF"/>
          </w:tcPr>
          <w:p>
            <w:pPr>
              <w:spacing w:after="0" w:line="15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Services, Inc., as Servicer, and JPMorgan Chase Bank, N.A., as Indenture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Trustee</w:t>
              </w:r>
            </w:hyperlink>
          </w:p>
        </w:tc>
        <w:tc>
          <w:tcPr>
            <w:tcW w:w="466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6"/>
                <w:szCs w:val="16"/>
                <w:color w:val="auto"/>
              </w:rPr>
            </w:pPr>
          </w:p>
        </w:tc>
        <w:tc>
          <w:tcPr>
            <w:tcW w:w="5920" w:type="dxa"/>
            <w:vAlign w:val="bottom"/>
            <w:gridSpan w:val="42"/>
          </w:tcPr>
          <w:p>
            <w:pPr>
              <w:spacing w:after="0" w:line="184"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Master Lease and Sublease, dated as of May 26, 2005, by and among STC One</w:t>
              </w:r>
            </w:hyperlink>
          </w:p>
        </w:tc>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LLC, as lessor, Sprint Telephony PCS L.P., as Sprint Collocator, Global Signal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Acquisitions II LLC, as lessee, and Global Signal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42"/>
            <w:shd w:val="clear" w:color="auto" w:fill="CCEEFF"/>
          </w:tcPr>
          <w:p>
            <w:pPr>
              <w:spacing w:after="0" w:line="184"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Master Lease and Sublease, dated as of May 26, 2005, by and among STC Two</w:t>
              </w:r>
            </w:hyperlink>
          </w:p>
        </w:tc>
        <w:tc>
          <w:tcPr>
            <w:tcW w:w="6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620" w:type="dxa"/>
            <w:vAlign w:val="bottom"/>
            <w:tcBorders>
              <w:top w:val="single" w:sz="8" w:color="0000FF"/>
              <w:bottom w:val="single" w:sz="8" w:color="0000FF"/>
            </w:tcBorders>
            <w:gridSpan w:val="27"/>
            <w:shd w:val="clear" w:color="auto" w:fill="CCEEFF"/>
          </w:tcPr>
          <w:p>
            <w:pPr>
              <w:spacing w:after="0" w:line="152"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LLC, as lessor, SprintCom, Inc., as Sprint Collocator, Global Signal Acquisitions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38"/>
            <w:shd w:val="clear" w:color="auto" w:fill="CCEEFF"/>
          </w:tcPr>
          <w:p>
            <w:pPr>
              <w:spacing w:after="0" w:line="152"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II LLC, as lessee, and Global Signal Inc.</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6"/>
                <w:szCs w:val="16"/>
                <w:color w:val="auto"/>
              </w:rPr>
            </w:pPr>
          </w:p>
        </w:tc>
        <w:tc>
          <w:tcPr>
            <w:tcW w:w="5920" w:type="dxa"/>
            <w:vAlign w:val="bottom"/>
            <w:gridSpan w:val="42"/>
          </w:tcPr>
          <w:p>
            <w:pPr>
              <w:spacing w:after="0" w:line="184"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Master Lease and Sublease, dated as of May 26, 2005, by and among STC Three</w:t>
              </w:r>
            </w:hyperlink>
          </w:p>
        </w:tc>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0" w:type="dxa"/>
            <w:vAlign w:val="bottom"/>
            <w:tcBorders>
              <w:top w:val="single" w:sz="8" w:color="0000FF"/>
            </w:tcBorders>
            <w:gridSpan w:val="36"/>
          </w:tcPr>
          <w:p>
            <w:pPr>
              <w:spacing w:after="0" w:line="152"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LLC, as lessor, American PCS Communications, LLC, as Sprint Collocator,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Global Signal Acquisitions II LLC, as lessee, and Global Signal Inc.</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42"/>
            <w:shd w:val="clear" w:color="auto" w:fill="CCEEFF"/>
          </w:tcPr>
          <w:p>
            <w:pPr>
              <w:spacing w:after="0" w:line="184"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Master Lease and Sublease, dated as of May 26, 2005, by and among STC Four</w:t>
              </w:r>
            </w:hyperlink>
          </w:p>
        </w:tc>
        <w:tc>
          <w:tcPr>
            <w:tcW w:w="6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31"/>
            <w:shd w:val="clear" w:color="auto" w:fill="CCEEFF"/>
          </w:tcPr>
          <w:p>
            <w:pPr>
              <w:spacing w:after="0" w:line="15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LLC, as lessor, PhillieCo, L.P., as Sprint Collocator, Global Signal Acquisitions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80" w:type="dxa"/>
            <w:vAlign w:val="bottom"/>
            <w:tcBorders>
              <w:top w:val="single" w:sz="8" w:color="0000FF"/>
            </w:tcBorders>
            <w:gridSpan w:val="30"/>
            <w:shd w:val="clear" w:color="auto" w:fill="CCEEFF"/>
          </w:tcPr>
          <w:p>
            <w:pPr>
              <w:spacing w:after="0" w:line="15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II LLC, as lessee, and Global Signal Inc.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6"/>
                <w:szCs w:val="16"/>
                <w:color w:val="auto"/>
              </w:rPr>
            </w:pPr>
          </w:p>
        </w:tc>
        <w:tc>
          <w:tcPr>
            <w:tcW w:w="5920" w:type="dxa"/>
            <w:vAlign w:val="bottom"/>
            <w:gridSpan w:val="42"/>
          </w:tcPr>
          <w:p>
            <w:pPr>
              <w:spacing w:after="0" w:line="184"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Master Lease and Sublease, dated as of May 26, 2005, by and among STC Five</w:t>
              </w:r>
            </w:hyperlink>
          </w:p>
        </w:tc>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LLC, as lessor, Sprint Spectrum L.P., as Sprint Collocator, Global Signal</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Acquisitions II LLC, as lessee, and Global Signal Inc.</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42"/>
            <w:shd w:val="clear" w:color="auto" w:fill="CCEEFF"/>
          </w:tcPr>
          <w:p>
            <w:pPr>
              <w:spacing w:after="0" w:line="184"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Master Lease and Sublease, dated as of May 26, 2005, by and among STC Six</w:t>
              </w:r>
            </w:hyperlink>
          </w:p>
        </w:tc>
        <w:tc>
          <w:tcPr>
            <w:tcW w:w="6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bottom w:val="single" w:sz="8" w:color="0000FF"/>
            </w:tcBorders>
            <w:gridSpan w:val="21"/>
            <w:shd w:val="clear" w:color="auto" w:fill="CCEEFF"/>
          </w:tcPr>
          <w:p>
            <w:pPr>
              <w:spacing w:after="0" w:line="15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Company, Sprint Spectrum L.P., as Sprint Collocator, Global Signal Acquisitions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20" w:type="dxa"/>
            <w:vAlign w:val="bottom"/>
            <w:gridSpan w:val="37"/>
            <w:shd w:val="clear" w:color="auto" w:fill="CCEEFF"/>
          </w:tcPr>
          <w:p>
            <w:pPr>
              <w:spacing w:after="0" w:line="15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II LLC, as lessee, and Global Signal Inc.</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6"/>
                <w:szCs w:val="16"/>
                <w:color w:val="auto"/>
              </w:rPr>
            </w:pPr>
          </w:p>
        </w:tc>
        <w:tc>
          <w:tcPr>
            <w:tcW w:w="5920" w:type="dxa"/>
            <w:vAlign w:val="bottom"/>
            <w:gridSpan w:val="42"/>
          </w:tcPr>
          <w:p>
            <w:pPr>
              <w:spacing w:after="0" w:line="184"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Management Agreement, dated as of July 31, 2009, by and among Crown Castle</w:t>
              </w:r>
            </w:hyperlink>
          </w:p>
        </w:tc>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USA Inc., as Manager, and Pinnacle Towers Acquisition Holdings LLC, and the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Borders>
              <w:top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direct and indirect subsidiaries of Pinnacle Towers Acquisition Holdings LLC,</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tcBorders>
              <w:top w:val="single" w:sz="8" w:color="0000FF"/>
            </w:tcBorders>
            <w:gridSpan w:val="23"/>
          </w:tcPr>
          <w:p>
            <w:pPr>
              <w:spacing w:after="0" w:line="164"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collectively, as Owners</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42"/>
            <w:shd w:val="clear" w:color="auto" w:fill="CCEEFF"/>
          </w:tcPr>
          <w:p>
            <w:pPr>
              <w:spacing w:after="0" w:line="194"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Cash Management Agreement, dated as of July 31, 2009, by and among Pinnacle</w:t>
              </w:r>
            </w:hyperlink>
          </w:p>
        </w:tc>
        <w:tc>
          <w:tcPr>
            <w:tcW w:w="6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860" w:type="dxa"/>
            <w:vAlign w:val="bottom"/>
            <w:tcBorders>
              <w:top w:val="single" w:sz="8" w:color="0000FF"/>
            </w:tcBorders>
            <w:gridSpan w:val="39"/>
            <w:shd w:val="clear" w:color="auto" w:fill="CCEEFF"/>
          </w:tcPr>
          <w:p>
            <w:pPr>
              <w:spacing w:after="0" w:line="15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Towers Acquisition Holdings LLC, Pinnacle Towers Acquisition LLC, GS</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920" w:type="dxa"/>
            <w:vAlign w:val="bottom"/>
            <w:gridSpan w:val="42"/>
            <w:shd w:val="clear" w:color="auto" w:fill="CCEEFF"/>
          </w:tcPr>
          <w:p>
            <w:pPr>
              <w:spacing w:after="0" w:line="15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Savings Inc., GoldenState Towers, LLC, Tower Ventures III, LLC and TVHT,</w:t>
              </w:r>
            </w:hyperlink>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20"/>
            <w:shd w:val="clear" w:color="auto" w:fill="CCEEFF"/>
          </w:tcPr>
          <w:p>
            <w:pPr>
              <w:spacing w:after="0" w:line="164"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LLC, as Issuers, The Bank of New York Mellon Trust Company, N.A., as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11"/>
            <w:shd w:val="clear" w:color="auto" w:fill="CCEEFF"/>
          </w:tcPr>
          <w:p>
            <w:pPr>
              <w:spacing w:after="0" w:line="15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Indenture Trustee, and Crown Castle USA Inc., as Manager</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6"/>
                <w:szCs w:val="16"/>
                <w:color w:val="auto"/>
              </w:rPr>
            </w:pPr>
          </w:p>
        </w:tc>
        <w:tc>
          <w:tcPr>
            <w:tcW w:w="5920" w:type="dxa"/>
            <w:vAlign w:val="bottom"/>
            <w:gridSpan w:val="42"/>
          </w:tcPr>
          <w:p>
            <w:pPr>
              <w:spacing w:after="0" w:line="184"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Servicing Agreement, dated as of July 31, 2009, by and among Midland Loan</w:t>
              </w:r>
            </w:hyperlink>
          </w:p>
        </w:tc>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4, 2009</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Services, Inc., as Servicer, and The Bank of New York Mellon Trust Company,</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gridSpan w:val="25"/>
          </w:tcPr>
          <w:p>
            <w:pPr>
              <w:spacing w:after="0" w:line="15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N.A., as Indenture Trustee</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10.42</w:t>
            </w: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42"/>
            <w:shd w:val="clear" w:color="auto" w:fill="CCEEFF"/>
          </w:tcPr>
          <w:p>
            <w:pPr>
              <w:spacing w:after="0" w:line="184"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Management Agreement, dated as of December 24, 2012, by and among Crown</w:t>
              </w:r>
            </w:hyperlink>
          </w:p>
        </w:tc>
        <w:tc>
          <w:tcPr>
            <w:tcW w:w="6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28,</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720" w:type="dxa"/>
            <w:vAlign w:val="bottom"/>
            <w:tcBorders>
              <w:top w:val="single" w:sz="8" w:color="0000FF"/>
            </w:tcBorders>
            <w:gridSpan w:val="32"/>
            <w:shd w:val="clear" w:color="auto" w:fill="CCEEFF"/>
          </w:tcPr>
          <w:p>
            <w:pPr>
              <w:spacing w:after="0" w:line="15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Castle USA Inc., as Manager, and CC Holdings GS V LLC, Global Signal</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2012</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80" w:type="dxa"/>
            <w:vAlign w:val="bottom"/>
            <w:tcBorders>
              <w:right w:val="single" w:sz="8" w:color="CCEEFF"/>
            </w:tcBorders>
            <w:gridSpan w:val="10"/>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140" w:type="dxa"/>
            <w:vAlign w:val="bottom"/>
            <w:gridSpan w:val="7"/>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920" w:type="dxa"/>
            <w:vAlign w:val="bottom"/>
            <w:gridSpan w:val="42"/>
            <w:shd w:val="clear" w:color="auto" w:fill="CCEEFF"/>
          </w:tcPr>
          <w:p>
            <w:pPr>
              <w:spacing w:after="0" w:line="15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Acquisitions LLC, Global Signal Acquisitions II LLC, Pinnacle Towers LLC and</w:t>
              </w:r>
            </w:hyperlink>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880" w:type="dxa"/>
            <w:vAlign w:val="bottom"/>
            <w:tcBorders>
              <w:top w:val="single" w:sz="8" w:color="0000FF"/>
            </w:tcBorders>
            <w:gridSpan w:val="40"/>
            <w:shd w:val="clear" w:color="auto" w:fill="CCEEFF"/>
          </w:tcPr>
          <w:p>
            <w:pPr>
              <w:spacing w:after="0" w:line="164"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the direct and indirect subsidiaries of Pinnacle Towers LLC, collectively, as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Owners</w:t>
              </w:r>
            </w:hyperlink>
          </w:p>
        </w:tc>
        <w:tc>
          <w:tcPr>
            <w:tcW w:w="476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6"/>
                <w:szCs w:val="16"/>
                <w:color w:val="auto"/>
              </w:rPr>
            </w:pPr>
          </w:p>
        </w:tc>
        <w:tc>
          <w:tcPr>
            <w:tcW w:w="5920" w:type="dxa"/>
            <w:vAlign w:val="bottom"/>
            <w:gridSpan w:val="42"/>
          </w:tcPr>
          <w:p>
            <w:pPr>
              <w:spacing w:after="0" w:line="184"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Master Prepaid Lease, dated as of November 30, 2012, by and among T-Mobile</w:t>
              </w:r>
            </w:hyperlink>
          </w:p>
        </w:tc>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USA Tower LLC, T-Mobile West Tower LLC, T-Mobile USA, Inc. and CCTMO</w:t>
              </w:r>
            </w:hyperlink>
          </w:p>
        </w:tc>
        <w:tc>
          <w:tcPr>
            <w:tcW w:w="120" w:type="dxa"/>
            <w:vAlign w:val="bottom"/>
            <w:tcBorders>
              <w:bottom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gridSpan w:val="35"/>
          </w:tcPr>
          <w:p>
            <w:pPr>
              <w:spacing w:after="0" w:line="152"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LLC</w:t>
              </w:r>
            </w:hyperlink>
          </w:p>
        </w:tc>
        <w:tc>
          <w:tcPr>
            <w:tcW w:w="14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0" w:type="dxa"/>
            <w:vAlign w:val="bottom"/>
            <w:gridSpan w:val="1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8"/>
                <w:szCs w:val="18"/>
                <w:color w:val="auto"/>
              </w:rPr>
            </w:pPr>
          </w:p>
        </w:tc>
        <w:tc>
          <w:tcPr>
            <w:tcW w:w="5920" w:type="dxa"/>
            <w:vAlign w:val="bottom"/>
            <w:gridSpan w:val="42"/>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MPL Site Master Lease Agreement, dated as of November 30, 2012, by and</w:t>
              </w:r>
            </w:hyperlink>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12,</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15"/>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20" w:type="dxa"/>
            <w:vAlign w:val="bottom"/>
            <w:gridSpan w:val="42"/>
          </w:tcPr>
          <w:p>
            <w:pPr>
              <w:spacing w:after="0" w:line="15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among T-Mobile Central LLC, T-Mobile South LLC, Powertel/Memphis, Inc.,</w:t>
              </w:r>
            </w:hyperlink>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VoiceStream Pittsburgh, L.P., T-Mobile West LLC, T-Mobile Northeast LLC,</w:t>
              </w:r>
            </w:hyperlink>
          </w:p>
        </w:tc>
        <w:tc>
          <w:tcPr>
            <w:tcW w:w="100" w:type="dxa"/>
            <w:vAlign w:val="bottom"/>
            <w:tcBorders>
              <w:top w:val="single" w:sz="8" w:color="0000FF"/>
            </w:tcBorders>
            <w:gridSpan w:val="4"/>
          </w:tcPr>
          <w:p>
            <w:pPr>
              <w:spacing w:after="0"/>
              <w:rPr>
                <w:sz w:val="13"/>
                <w:szCs w:val="13"/>
                <w:color w:val="auto"/>
              </w:rPr>
            </w:pPr>
          </w:p>
        </w:tc>
        <w:tc>
          <w:tcPr>
            <w:tcW w:w="400" w:type="dxa"/>
            <w:vAlign w:val="bottom"/>
            <w:gridSpan w:val="20"/>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10730" cy="593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0">
                      <a:extLst>
                        <a:ext uri="{28A0092B-C50C-407E-A947-70E740481C1C}"/>
                      </a:extLst>
                    </a:blip>
                    <a:srcRect/>
                    <a:stretch>
                      <a:fillRect/>
                    </a:stretch>
                  </pic:blipFill>
                  <pic:spPr bwMode="auto">
                    <a:xfrm>
                      <a:off x="0" y="0"/>
                      <a:ext cx="7110730" cy="593090"/>
                    </a:xfrm>
                    <a:prstGeom prst="rect">
                      <a:avLst/>
                    </a:prstGeom>
                    <a:noFill/>
                  </pic:spPr>
                </pic:pic>
              </a:graphicData>
            </a:graphic>
          </wp:anchor>
        </w:drawing>
      </w:r>
    </w:p>
    <w:p>
      <w:pPr>
        <w:ind w:left="1240"/>
        <w:spacing w:after="0" w:line="200"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Wireless Alliance, LLC, SunCom Wireless Operating Company, L.L.C., T-</w:t>
        </w:r>
      </w:hyperlink>
    </w:p>
    <w:p>
      <w:pPr>
        <w:ind w:left="124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Mobile USA, Inc. and CCTMO LLC</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4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840" w:type="dxa"/>
            <w:vAlign w:val="bottom"/>
            <w:gridSpan w:val="2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5"/>
                <w:szCs w:val="15"/>
                <w:color w:val="auto"/>
              </w:rPr>
            </w:pPr>
          </w:p>
        </w:tc>
        <w:tc>
          <w:tcPr>
            <w:tcW w:w="5300" w:type="dxa"/>
            <w:vAlign w:val="bottom"/>
            <w:tcBorders>
              <w:top w:val="single" w:sz="8" w:color="auto"/>
              <w:bottom w:val="single" w:sz="8" w:color="0000FF"/>
            </w:tcBorders>
            <w:gridSpan w:val="12"/>
          </w:tcPr>
          <w:p>
            <w:pPr>
              <w:spacing w:after="0" w:line="183" w:lineRule="exact"/>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Sale Site Master Lease Agreement, dated as of November 30, 2012, by and</w:t>
              </w:r>
            </w:hyperlink>
          </w:p>
        </w:tc>
        <w:tc>
          <w:tcPr>
            <w:tcW w:w="440" w:type="dxa"/>
            <w:vAlign w:val="bottom"/>
            <w:tcBorders>
              <w:top w:val="single" w:sz="8" w:color="auto"/>
            </w:tcBorders>
            <w:gridSpan w:val="10"/>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5"/>
                <w:szCs w:val="15"/>
                <w:color w:val="auto"/>
              </w:rPr>
            </w:pPr>
          </w:p>
        </w:tc>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February 12,</w:t>
            </w:r>
          </w:p>
        </w:tc>
        <w:tc>
          <w:tcPr>
            <w:tcW w:w="100" w:type="dxa"/>
            <w:vAlign w:val="bottom"/>
          </w:tcPr>
          <w:p>
            <w:pPr>
              <w:spacing w:after="0"/>
              <w:rPr>
                <w:sz w:val="15"/>
                <w:szCs w:val="15"/>
                <w:color w:val="auto"/>
              </w:rPr>
            </w:pPr>
          </w:p>
        </w:tc>
        <w:tc>
          <w:tcPr>
            <w:tcW w:w="7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gridSpan w:val="23"/>
          </w:tcPr>
          <w:p>
            <w:pPr>
              <w:spacing w:after="0" w:line="15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among T-Mobile Central LLC, T-Mobile South LLC, Powertel/Memphis, Inc.,</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VoiceStream Pittsburgh, L.P., T-Mobile West LLC, T-Mobile Northeast LLC,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Wireless Alliance, LLC, SunCom Wireless Operating Company, L.L.C., T-</w:t>
              </w:r>
            </w:hyperlink>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6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Mobile USA, Inc., T3 Tower 1 LLC and T3 Tower 2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Management Agreement, dated as of November 30, 2012, by and among</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12,</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8"/>
            <w:shd w:val="clear" w:color="auto" w:fill="CCEEFF"/>
          </w:tcPr>
          <w:p>
            <w:pPr>
              <w:spacing w:after="0" w:line="15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SunCom Wireless Operating Company, L.L.C., Cook Inlet/VS GSM IV</w:t>
              </w:r>
            </w:hyperlink>
          </w:p>
        </w:tc>
        <w:tc>
          <w:tcPr>
            <w:tcW w:w="740" w:type="dxa"/>
            <w:vAlign w:val="bottom"/>
            <w:tcBorders>
              <w:top w:val="single" w:sz="8" w:color="CCEEFF"/>
            </w:tcBorders>
            <w:gridSpan w:val="15"/>
            <w:shd w:val="clear" w:color="auto" w:fill="CCEEFF"/>
          </w:tcPr>
          <w:p>
            <w:pPr>
              <w:spacing w:after="0" w:line="15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PCS</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2013</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360" w:type="dxa"/>
            <w:vAlign w:val="bottom"/>
            <w:tcBorders>
              <w:top w:val="single" w:sz="8" w:color="0000FF"/>
              <w:bottom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Holdings, LLC, T-Mobile Central LLC, T-Mobile South LLC,</w:t>
              </w:r>
            </w:hyperlink>
          </w:p>
        </w:tc>
        <w:tc>
          <w:tcPr>
            <w:tcW w:w="1020" w:type="dxa"/>
            <w:vAlign w:val="bottom"/>
            <w:tcBorders>
              <w:top w:val="single" w:sz="8" w:color="0000FF"/>
              <w:bottom w:val="single" w:sz="8" w:color="CCEEFF"/>
            </w:tcBorders>
            <w:gridSpan w:val="9"/>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40" w:type="dxa"/>
            <w:vAlign w:val="bottom"/>
            <w:gridSpan w:val="23"/>
            <w:shd w:val="clear" w:color="auto" w:fill="CCEEFF"/>
          </w:tcPr>
          <w:p>
            <w:pPr>
              <w:spacing w:after="0" w:line="164"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Powertel/Memphis, Inc., VoiceStream Pittsburgh, L.P., T-Mobile West LLC, T-</w:t>
              </w:r>
            </w:hyperlink>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40" w:type="dxa"/>
            <w:vAlign w:val="bottom"/>
            <w:tcBorders>
              <w:top w:val="single" w:sz="8" w:color="0000FF"/>
            </w:tcBorders>
            <w:gridSpan w:val="19"/>
            <w:shd w:val="clear" w:color="auto" w:fill="CCEEFF"/>
          </w:tcPr>
          <w:p>
            <w:pPr>
              <w:spacing w:after="0" w:line="15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Mobile Northeast LLC, Wireless Alliance, LLC, SunCom Wireless Property</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Company, L.L.C., T-Mobile USA Tower LLC, T-Mobile West Tower LLC,</w:t>
              </w:r>
            </w:hyperlink>
          </w:p>
        </w:tc>
        <w:tc>
          <w:tcPr>
            <w:tcW w:w="10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280" w:type="dxa"/>
            <w:vAlign w:val="bottom"/>
            <w:tcBorders>
              <w:top w:val="single" w:sz="8" w:color="0000FF"/>
            </w:tcBorders>
            <w:gridSpan w:val="11"/>
            <w:shd w:val="clear" w:color="auto" w:fill="CCEEFF"/>
          </w:tcPr>
          <w:p>
            <w:pPr>
              <w:spacing w:after="0" w:line="164"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CCTMO LLC, T3 Tower 1 LLC and T3 Tower 2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6"/>
                <w:szCs w:val="16"/>
                <w:color w:val="auto"/>
              </w:rPr>
            </w:pPr>
          </w:p>
        </w:tc>
        <w:tc>
          <w:tcPr>
            <w:tcW w:w="5840" w:type="dxa"/>
            <w:vAlign w:val="bottom"/>
            <w:gridSpan w:val="23"/>
          </w:tcPr>
          <w:p>
            <w:pPr>
              <w:spacing w:after="0" w:line="184"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Master Agreement dated as of October 18, 2013, among AT&amp;T Inc. and Crown</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21, 2013</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Castle International Corp.</w:t>
              </w:r>
            </w:hyperlink>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Master Prepaid Lease, dated as of December 16, 2013, by and among CCATT</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480" w:type="dxa"/>
            <w:vAlign w:val="bottom"/>
            <w:tcBorders>
              <w:top w:val="single" w:sz="8" w:color="0000FF"/>
              <w:bottom w:val="single" w:sz="8" w:color="0000FF"/>
            </w:tcBorders>
            <w:gridSpan w:val="7"/>
            <w:shd w:val="clear" w:color="auto" w:fill="CCEEFF"/>
          </w:tcPr>
          <w:p>
            <w:pPr>
              <w:spacing w:after="0" w:line="152"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LLC, AT&amp;T Mobility LLC and the AT&amp;T Lessors party thereto</w:t>
              </w:r>
            </w:hyperlink>
          </w:p>
        </w:tc>
        <w:tc>
          <w:tcPr>
            <w:tcW w:w="98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6"/>
                <w:szCs w:val="16"/>
                <w:color w:val="auto"/>
              </w:rPr>
            </w:pPr>
          </w:p>
        </w:tc>
        <w:tc>
          <w:tcPr>
            <w:tcW w:w="5840" w:type="dxa"/>
            <w:vAlign w:val="bottom"/>
            <w:gridSpan w:val="23"/>
          </w:tcPr>
          <w:p>
            <w:pPr>
              <w:spacing w:after="0" w:line="184"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MPL Site Master Lease Agreement, dated as of December 16, 2013, by and</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among CCATT LLC, AT&amp;T Mobility LLC and the AT&amp;T Collocators party</w:t>
              </w:r>
            </w:hyperlink>
          </w:p>
        </w:tc>
        <w:tc>
          <w:tcPr>
            <w:tcW w:w="40" w:type="dxa"/>
            <w:vAlign w:val="bottom"/>
            <w:tcBorders>
              <w:bottom w:val="single" w:sz="8" w:color="0000FF"/>
            </w:tcBorders>
          </w:tcPr>
          <w:p>
            <w:pPr>
              <w:spacing w:after="0"/>
              <w:rPr>
                <w:sz w:val="13"/>
                <w:szCs w:val="13"/>
                <w:color w:val="auto"/>
              </w:rPr>
            </w:pPr>
          </w:p>
        </w:tc>
        <w:tc>
          <w:tcPr>
            <w:tcW w:w="300" w:type="dxa"/>
            <w:vAlign w:val="bottom"/>
            <w:gridSpan w:val="8"/>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gridSpan w:val="13"/>
          </w:tcPr>
          <w:p>
            <w:pPr>
              <w:spacing w:after="0" w:line="15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thereto</w:t>
              </w:r>
            </w:hyperlink>
          </w:p>
        </w:tc>
        <w:tc>
          <w:tcPr>
            <w:tcW w:w="300" w:type="dxa"/>
            <w:vAlign w:val="bottom"/>
            <w:gridSpan w:val="8"/>
          </w:tcPr>
          <w:p>
            <w:pPr>
              <w:spacing w:after="0"/>
              <w:rPr>
                <w:sz w:val="13"/>
                <w:szCs w:val="13"/>
                <w:color w:val="auto"/>
              </w:rPr>
            </w:pPr>
          </w:p>
        </w:tc>
        <w:tc>
          <w:tcPr>
            <w:tcW w:w="2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Sale Site Master Lease Agreement, dated as of December 16, 2013, by and</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40" w:type="dxa"/>
            <w:vAlign w:val="bottom"/>
            <w:tcBorders>
              <w:top w:val="single" w:sz="8" w:color="0000FF"/>
            </w:tcBorders>
            <w:gridSpan w:val="9"/>
            <w:shd w:val="clear" w:color="auto" w:fill="CCEEFF"/>
          </w:tcPr>
          <w:p>
            <w:pPr>
              <w:spacing w:after="0" w:line="15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among AT&amp;T Mobility LLC, the AT&amp;T Collocators party thereto and the</w:t>
              </w:r>
            </w:hyperlink>
          </w:p>
        </w:tc>
        <w:tc>
          <w:tcPr>
            <w:tcW w:w="600" w:type="dxa"/>
            <w:vAlign w:val="bottom"/>
            <w:tcBorders>
              <w:top w:val="single" w:sz="8" w:color="CCEE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Tower</w:t>
              </w:r>
            </w:hyperlink>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2014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1"/>
            <w:shd w:val="clear" w:color="auto" w:fill="CCEEFF"/>
          </w:tcPr>
          <w:p>
            <w:pPr>
              <w:spacing w:after="0" w:line="15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Operators party thereto</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997" w:right="379" w:bottom="1440" w:gutter="0" w:footer="0" w:header="0"/>
        </w:sectPr>
      </w:pPr>
    </w:p>
    <w:tbl>
      <w:tblPr>
        <w:tblLayout w:type="fixed"/>
        <w:tblInd w:w="20" w:type="dxa"/>
        <w:tblCellMar>
          <w:top w:w="0" w:type="dxa"/>
          <w:left w:w="0" w:type="dxa"/>
          <w:bottom w:w="0" w:type="dxa"/>
          <w:right w:w="0" w:type="dxa"/>
        </w:tblCellMar>
      </w:tblPr>
      <w:tr>
        <w:trPr>
          <w:trHeight w:val="184"/>
        </w:trPr>
        <w:tc>
          <w:tcPr>
            <w:tcW w:w="1220" w:type="dxa"/>
            <w:vAlign w:val="bottom"/>
          </w:tcPr>
          <w:p>
            <w:pPr>
              <w:jc w:val="right"/>
              <w:ind w:right="732"/>
              <w:spacing w:after="0" w:line="184" w:lineRule="exact"/>
              <w:rPr>
                <w:sz w:val="20"/>
                <w:szCs w:val="20"/>
                <w:color w:val="auto"/>
              </w:rPr>
            </w:pPr>
            <w:r>
              <w:rPr>
                <w:rFonts w:ascii="Times New Roman" w:cs="Times New Roman" w:eastAsia="Times New Roman" w:hAnsi="Times New Roman"/>
                <w:sz w:val="18"/>
                <w:szCs w:val="18"/>
                <w:color w:val="auto"/>
                <w:w w:val="93"/>
              </w:rPr>
              <w:t>10.51</w:t>
            </w:r>
          </w:p>
        </w:tc>
        <w:tc>
          <w:tcPr>
            <w:tcW w:w="5780" w:type="dxa"/>
            <w:vAlign w:val="bottom"/>
            <w:gridSpan w:val="21"/>
          </w:tcPr>
          <w:p>
            <w:pPr>
              <w:spacing w:after="0" w:line="184" w:lineRule="exact"/>
              <w:rPr>
                <w:rFonts w:ascii="Times New Roman" w:cs="Times New Roman" w:eastAsia="Times New Roman" w:hAnsi="Times New Roman"/>
                <w:sz w:val="18"/>
                <w:szCs w:val="18"/>
                <w:color w:val="0000FF"/>
                <w:w w:val="98"/>
              </w:rPr>
            </w:pPr>
            <w:hyperlink r:id="rId238">
              <w:r>
                <w:rPr>
                  <w:rFonts w:ascii="Times New Roman" w:cs="Times New Roman" w:eastAsia="Times New Roman" w:hAnsi="Times New Roman"/>
                  <w:sz w:val="18"/>
                  <w:szCs w:val="18"/>
                  <w:color w:val="0000FF"/>
                  <w:w w:val="98"/>
                </w:rPr>
                <w:t>Management Agreement, dated as of December 16, 2013, by and among CCATT</w:t>
              </w:r>
            </w:hyperlink>
          </w:p>
        </w:tc>
        <w:tc>
          <w:tcPr>
            <w:tcW w:w="4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1"/>
              </w:rPr>
              <w:t>10-K</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6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LLC, the Sale Site Subsidiaries party thereto, the AT&amp;T Newcos party thereto</w:t>
              </w:r>
            </w:hyperlink>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and the AT&amp;T Contributors party thereto</w:t>
              </w:r>
            </w:hyperlink>
          </w:p>
        </w:tc>
        <w:tc>
          <w:tcPr>
            <w:tcW w:w="26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93"/>
              </w:rPr>
              <w:t>10.52</w:t>
            </w:r>
          </w:p>
        </w:tc>
        <w:tc>
          <w:tcPr>
            <w:tcW w:w="5780" w:type="dxa"/>
            <w:vAlign w:val="bottom"/>
            <w:gridSpan w:val="2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Credit Agreement dated as of January 21, 2016, among Crown Castle</w:t>
              </w:r>
            </w:hyperlink>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488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International Corp., the lenders and issuing banks party thereto and</w:t>
              </w:r>
            </w:hyperlink>
          </w:p>
        </w:tc>
        <w:tc>
          <w:tcPr>
            <w:tcW w:w="900" w:type="dxa"/>
            <w:vAlign w:val="bottom"/>
            <w:gridSpan w:val="15"/>
          </w:tcPr>
          <w:p>
            <w:pPr>
              <w:spacing w:after="0" w:line="15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JPMorgan</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46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Chase Bank, N.A., as administrative agent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w w:val="93"/>
              </w:rPr>
              <w:t>10.53</w:t>
            </w:r>
          </w:p>
        </w:tc>
        <w:tc>
          <w:tcPr>
            <w:tcW w:w="1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20" w:type="dxa"/>
            <w:vAlign w:val="bottom"/>
            <w:vMerge w:val="continue"/>
          </w:tcPr>
          <w:p>
            <w:pPr>
              <w:spacing w:after="0"/>
              <w:rPr>
                <w:sz w:val="22"/>
                <w:szCs w:val="22"/>
                <w:color w:val="auto"/>
              </w:rPr>
            </w:pPr>
          </w:p>
        </w:tc>
        <w:tc>
          <w:tcPr>
            <w:tcW w:w="5780" w:type="dxa"/>
            <w:vAlign w:val="bottom"/>
            <w:gridSpan w:val="21"/>
            <w:vMerge w:val="restart"/>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Amendment No. 1 dated as of February 13, 2017, among Crown Castle</w:t>
              </w:r>
            </w:hyperlink>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5780" w:type="dxa"/>
            <w:vAlign w:val="bottom"/>
            <w:gridSpan w:val="21"/>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5780" w:type="dxa"/>
            <w:vAlign w:val="bottom"/>
            <w:gridSpan w:val="21"/>
          </w:tcPr>
          <w:p>
            <w:pPr>
              <w:spacing w:after="0" w:line="164"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International Corp., the lenders and issuing banks party thereto, and JPMorgan</w:t>
              </w:r>
            </w:hyperlink>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77"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20" w:type="dxa"/>
            <w:vAlign w:val="bottom"/>
          </w:tcPr>
          <w:p>
            <w:pPr>
              <w:spacing w:after="0"/>
              <w:rPr>
                <w:sz w:val="13"/>
                <w:szCs w:val="13"/>
                <w:color w:val="auto"/>
              </w:rPr>
            </w:pPr>
          </w:p>
        </w:tc>
        <w:tc>
          <w:tcPr>
            <w:tcW w:w="5780" w:type="dxa"/>
            <w:vAlign w:val="bottom"/>
            <w:gridSpan w:val="21"/>
          </w:tcPr>
          <w:p>
            <w:pPr>
              <w:spacing w:after="0" w:line="15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5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January 21, 2016, by and among Crown Castle International Corp., the lenders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552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and issuing banks from time to time party thereto and JPMorgan Chase Bank,</w:t>
              </w:r>
            </w:hyperlink>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N.A., as administrative agent</w:t>
              </w:r>
            </w:hyperlink>
          </w:p>
        </w:tc>
        <w:tc>
          <w:tcPr>
            <w:tcW w:w="34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93"/>
              </w:rPr>
              <w:t>10.54</w:t>
            </w:r>
          </w:p>
        </w:tc>
        <w:tc>
          <w:tcPr>
            <w:tcW w:w="5780" w:type="dxa"/>
            <w:vAlign w:val="bottom"/>
            <w:gridSpan w:val="21"/>
            <w:vMerge w:val="restart"/>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Amendment No. 2 dated as of August 29, 2017, among Crown Castle</w:t>
              </w:r>
            </w:hyperlink>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5780" w:type="dxa"/>
            <w:vAlign w:val="bottom"/>
            <w:gridSpan w:val="21"/>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4900" w:type="dxa"/>
            <w:vAlign w:val="bottom"/>
            <w:tcBorders>
              <w:top w:val="single" w:sz="8" w:color="0000FF"/>
            </w:tcBorders>
            <w:gridSpan w:val="7"/>
          </w:tcPr>
          <w:p>
            <w:pPr>
              <w:spacing w:after="0" w:line="164"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International Corp., the lenders and issuing banks party thereto, and</w:t>
              </w:r>
            </w:hyperlink>
          </w:p>
        </w:tc>
        <w:tc>
          <w:tcPr>
            <w:tcW w:w="880" w:type="dxa"/>
            <w:vAlign w:val="bottom"/>
            <w:gridSpan w:val="14"/>
          </w:tcPr>
          <w:p>
            <w:pPr>
              <w:jc w:val="right"/>
              <w:ind w:right="280"/>
              <w:spacing w:after="0" w:line="164" w:lineRule="exact"/>
              <w:rPr>
                <w:rFonts w:ascii="Times New Roman" w:cs="Times New Roman" w:eastAsia="Times New Roman" w:hAnsi="Times New Roman"/>
                <w:sz w:val="18"/>
                <w:szCs w:val="18"/>
                <w:color w:val="0000FF"/>
                <w:w w:val="78"/>
              </w:rPr>
            </w:pPr>
            <w:hyperlink r:id="rId241">
              <w:r>
                <w:rPr>
                  <w:rFonts w:ascii="Times New Roman" w:cs="Times New Roman" w:eastAsia="Times New Roman" w:hAnsi="Times New Roman"/>
                  <w:sz w:val="18"/>
                  <w:szCs w:val="18"/>
                  <w:color w:val="0000FF"/>
                  <w:w w:val="78"/>
                </w:rPr>
                <w:t>JPMorgan</w:t>
              </w:r>
            </w:hyperlink>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77"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20" w:type="dxa"/>
            <w:vAlign w:val="bottom"/>
          </w:tcPr>
          <w:p>
            <w:pPr>
              <w:spacing w:after="0"/>
              <w:rPr>
                <w:sz w:val="13"/>
                <w:szCs w:val="13"/>
                <w:color w:val="auto"/>
              </w:rPr>
            </w:pPr>
          </w:p>
        </w:tc>
        <w:tc>
          <w:tcPr>
            <w:tcW w:w="5780" w:type="dxa"/>
            <w:vAlign w:val="bottom"/>
            <w:gridSpan w:val="21"/>
          </w:tcPr>
          <w:p>
            <w:pPr>
              <w:spacing w:after="0" w:line="15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Chase Bank, N.A., as administrative agent, to the Credit Agreement dated as of</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5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January 21, 2016, by and among Crown Castle International Corp., the lenders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552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w w:val="98"/>
              </w:rPr>
            </w:pPr>
            <w:hyperlink r:id="rId241">
              <w:r>
                <w:rPr>
                  <w:rFonts w:ascii="Times New Roman" w:cs="Times New Roman" w:eastAsia="Times New Roman" w:hAnsi="Times New Roman"/>
                  <w:sz w:val="18"/>
                  <w:szCs w:val="18"/>
                  <w:color w:val="0000FF"/>
                  <w:w w:val="98"/>
                </w:rPr>
                <w:t>and issuing banks from time to time party thereto and JPMorgan Chase Bank,</w:t>
              </w:r>
            </w:hyperlink>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N.A., as administrative agent</w:t>
              </w:r>
            </w:hyperlink>
          </w:p>
        </w:tc>
        <w:tc>
          <w:tcPr>
            <w:tcW w:w="34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93"/>
              </w:rPr>
              <w:t>10.55</w:t>
            </w:r>
          </w:p>
        </w:tc>
        <w:tc>
          <w:tcPr>
            <w:tcW w:w="5780" w:type="dxa"/>
            <w:vAlign w:val="bottom"/>
            <w:gridSpan w:val="21"/>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Amendment No. 3 dated as of June 14, 2018, among Crown Castle International</w:t>
              </w:r>
            </w:hyperlink>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62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Corp., the lenders and issuing banks party thereto, and JPMorgan Chase Bank,</w:t>
              </w:r>
            </w:hyperlink>
          </w:p>
        </w:tc>
        <w:tc>
          <w:tcPr>
            <w:tcW w:w="16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50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N.A., as administrative agent, to the Credit Agreement dated as of January 21,</w:t>
              </w:r>
            </w:hyperlink>
          </w:p>
        </w:tc>
        <w:tc>
          <w:tcPr>
            <w:tcW w:w="8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13"/>
          </w:tcPr>
          <w:p>
            <w:pPr>
              <w:spacing w:after="0" w:line="164" w:lineRule="exact"/>
              <w:rPr>
                <w:rFonts w:ascii="Times New Roman" w:cs="Times New Roman" w:eastAsia="Times New Roman" w:hAnsi="Times New Roman"/>
                <w:sz w:val="18"/>
                <w:szCs w:val="18"/>
                <w:color w:val="0000FF"/>
                <w:w w:val="96"/>
              </w:rPr>
            </w:pPr>
            <w:hyperlink r:id="rId242">
              <w:r>
                <w:rPr>
                  <w:rFonts w:ascii="Times New Roman" w:cs="Times New Roman" w:eastAsia="Times New Roman" w:hAnsi="Times New Roman"/>
                  <w:sz w:val="18"/>
                  <w:szCs w:val="18"/>
                  <w:color w:val="0000FF"/>
                  <w:w w:val="96"/>
                </w:rPr>
                <w:t>2016, by and among Crown Castle International Corp., the lenders and issuing</w:t>
              </w:r>
            </w:hyperlink>
          </w:p>
        </w:tc>
        <w:tc>
          <w:tcPr>
            <w:tcW w:w="20" w:type="dxa"/>
            <w:vAlign w:val="bottom"/>
            <w:tcBorders>
              <w:bottom w:val="single" w:sz="8" w:color="0000FF"/>
            </w:tcBorders>
          </w:tcPr>
          <w:p>
            <w:pPr>
              <w:spacing w:after="0"/>
              <w:rPr>
                <w:sz w:val="14"/>
                <w:szCs w:val="14"/>
                <w:color w:val="auto"/>
              </w:rPr>
            </w:pPr>
          </w:p>
        </w:tc>
        <w:tc>
          <w:tcPr>
            <w:tcW w:w="60" w:type="dxa"/>
            <w:vAlign w:val="bottom"/>
            <w:gridSpan w:val="4"/>
          </w:tcPr>
          <w:p>
            <w:pPr>
              <w:spacing w:after="0"/>
              <w:rPr>
                <w:sz w:val="14"/>
                <w:szCs w:val="14"/>
                <w:color w:val="auto"/>
              </w:rPr>
            </w:pPr>
          </w:p>
        </w:tc>
        <w:tc>
          <w:tcPr>
            <w:tcW w:w="20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520" w:type="dxa"/>
            <w:vAlign w:val="bottom"/>
            <w:gridSpan w:val="14"/>
          </w:tcPr>
          <w:p>
            <w:pPr>
              <w:spacing w:after="0" w:line="15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banks from time to time party thereto and JPMorgan Chase Bank, N.A., as</w:t>
              </w:r>
            </w:hyperlink>
          </w:p>
        </w:tc>
        <w:tc>
          <w:tcPr>
            <w:tcW w:w="60" w:type="dxa"/>
            <w:vAlign w:val="bottom"/>
            <w:gridSpan w:val="4"/>
          </w:tcPr>
          <w:p>
            <w:pPr>
              <w:spacing w:after="0"/>
              <w:rPr>
                <w:sz w:val="13"/>
                <w:szCs w:val="13"/>
                <w:color w:val="auto"/>
              </w:rPr>
            </w:pPr>
          </w:p>
        </w:tc>
        <w:tc>
          <w:tcPr>
            <w:tcW w:w="20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522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administrative agent</w:t>
              </w:r>
            </w:hyperlink>
          </w:p>
        </w:tc>
        <w:tc>
          <w:tcPr>
            <w:tcW w:w="360" w:type="dxa"/>
            <w:vAlign w:val="bottom"/>
            <w:gridSpan w:val="9"/>
          </w:tcPr>
          <w:p>
            <w:pPr>
              <w:spacing w:after="0"/>
              <w:rPr>
                <w:sz w:val="13"/>
                <w:szCs w:val="13"/>
                <w:color w:val="auto"/>
              </w:rPr>
            </w:pPr>
          </w:p>
        </w:tc>
        <w:tc>
          <w:tcPr>
            <w:tcW w:w="20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76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93"/>
              </w:rPr>
              <w:t>10.56</w:t>
            </w:r>
          </w:p>
        </w:tc>
        <w:tc>
          <w:tcPr>
            <w:tcW w:w="5780" w:type="dxa"/>
            <w:vAlign w:val="bottom"/>
            <w:gridSpan w:val="2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Amendment No. 4 dated as of March 20, 2019, among Crown Castle</w:t>
              </w:r>
            </w:hyperlink>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482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International Corp., the lenders and issuing banks party thereto, and</w:t>
              </w:r>
            </w:hyperlink>
          </w:p>
        </w:tc>
        <w:tc>
          <w:tcPr>
            <w:tcW w:w="960" w:type="dxa"/>
            <w:vAlign w:val="bottom"/>
            <w:gridSpan w:val="16"/>
          </w:tcPr>
          <w:p>
            <w:pPr>
              <w:jc w:val="right"/>
              <w:ind w:right="280"/>
              <w:spacing w:after="0" w:line="15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JPMorgan</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500" w:type="dxa"/>
            <w:vAlign w:val="bottom"/>
            <w:tcBorders>
              <w:right w:val="single" w:sz="8" w:color="0000FF"/>
            </w:tcBorders>
            <w:gridSpan w:val="15"/>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20" w:type="dxa"/>
            <w:vAlign w:val="bottom"/>
          </w:tcPr>
          <w:p>
            <w:pPr>
              <w:spacing w:after="0"/>
              <w:rPr>
                <w:sz w:val="13"/>
                <w:szCs w:val="13"/>
                <w:color w:val="auto"/>
              </w:rPr>
            </w:pPr>
          </w:p>
        </w:tc>
        <w:tc>
          <w:tcPr>
            <w:tcW w:w="5580" w:type="dxa"/>
            <w:vAlign w:val="bottom"/>
            <w:tcBorders>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Chase Bank, N.A., as administrative agent, to the Credit Agreement dated as of</w:t>
              </w:r>
            </w:hyperlink>
          </w:p>
        </w:tc>
        <w:tc>
          <w:tcPr>
            <w:tcW w:w="20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-3032760</wp:posOffset>
            </wp:positionV>
            <wp:extent cx="7110730" cy="3676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4">
                      <a:extLst>
                        <a:ext uri="{28A0092B-C50C-407E-A947-70E740481C1C}"/>
                      </a:extLst>
                    </a:blip>
                    <a:srcRect/>
                    <a:stretch>
                      <a:fillRect/>
                    </a:stretch>
                  </pic:blipFill>
                  <pic:spPr bwMode="auto">
                    <a:xfrm>
                      <a:off x="0" y="0"/>
                      <a:ext cx="7110730" cy="3676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-1854200</wp:posOffset>
            </wp:positionV>
            <wp:extent cx="7110730" cy="8102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5">
                      <a:extLst>
                        <a:ext uri="{28A0092B-C50C-407E-A947-70E740481C1C}"/>
                      </a:extLst>
                    </a:blip>
                    <a:srcRect/>
                    <a:stretch>
                      <a:fillRect/>
                    </a:stretch>
                  </pic:blipFill>
                  <pic:spPr bwMode="auto">
                    <a:xfrm>
                      <a:off x="0" y="0"/>
                      <a:ext cx="7110730" cy="810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-342265</wp:posOffset>
            </wp:positionV>
            <wp:extent cx="7110730" cy="701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6">
                      <a:extLst>
                        <a:ext uri="{28A0092B-C50C-407E-A947-70E740481C1C}"/>
                      </a:extLst>
                    </a:blip>
                    <a:srcRect/>
                    <a:stretch>
                      <a:fillRect/>
                    </a:stretch>
                  </pic:blipFill>
                  <pic:spPr bwMode="auto">
                    <a:xfrm>
                      <a:off x="0" y="0"/>
                      <a:ext cx="7110730" cy="701675"/>
                    </a:xfrm>
                    <a:prstGeom prst="rect">
                      <a:avLst/>
                    </a:prstGeom>
                    <a:noFill/>
                  </pic:spPr>
                </pic:pic>
              </a:graphicData>
            </a:graphic>
          </wp:anchor>
        </w:drawing>
      </w:r>
    </w:p>
    <w:p>
      <w:pPr>
        <w:jc w:val="both"/>
        <w:ind w:left="1240" w:right="700"/>
        <w:spacing w:after="0" w:line="213"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January 21, 2016, by and among Crown Castle International Corp., the lenders</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and issuing banks from time to time party thereto and JPMorgan Chase Bank,</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N.A., as administrative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6"/>
          <w:szCs w:val="16"/>
          <w:color w:val="auto"/>
        </w:rPr>
        <w:t>001-16441</w:t>
      </w:r>
    </w:p>
    <w:p>
      <w:pPr>
        <w:spacing w:after="0" w:line="39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001-16441</w:t>
      </w:r>
    </w:p>
    <w:p>
      <w:pPr>
        <w:spacing w:after="0" w:line="39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001-16441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001-16441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001-16441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001-16441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February 24,</w:t>
            </w:r>
          </w:p>
        </w:tc>
        <w:tc>
          <w:tcPr>
            <w:tcW w:w="480" w:type="dxa"/>
            <w:vAlign w:val="bottom"/>
          </w:tcPr>
          <w:p>
            <w:pPr>
              <w:ind w:left="80"/>
              <w:spacing w:after="0" w:line="171" w:lineRule="exact"/>
              <w:rPr>
                <w:sz w:val="20"/>
                <w:szCs w:val="20"/>
                <w:color w:val="auto"/>
              </w:rPr>
            </w:pPr>
            <w:r>
              <w:rPr>
                <w:rFonts w:ascii="Times New Roman" w:cs="Times New Roman" w:eastAsia="Times New Roman" w:hAnsi="Times New Roman"/>
                <w:sz w:val="18"/>
                <w:szCs w:val="18"/>
                <w:color w:val="auto"/>
                <w:w w:val="93"/>
              </w:rPr>
              <w:t>10.52</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January 22, 2016</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579"/>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February 13,</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5"/>
        </w:trPr>
        <w:tc>
          <w:tcPr>
            <w:tcW w:w="12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85"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28"/>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August 29, 2017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79"/>
        </w:trPr>
        <w:tc>
          <w:tcPr>
            <w:tcW w:w="12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9"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June 14, 2018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7" w:lineRule="exact"/>
        <w:rPr>
          <w:rFonts w:ascii="Times New Roman" w:cs="Times New Roman" w:eastAsia="Times New Roman" w:hAnsi="Times New Roman"/>
          <w:sz w:val="18"/>
          <w:szCs w:val="18"/>
          <w:u w:val="single" w:color="auto"/>
          <w:color w:val="0000FF"/>
        </w:rPr>
      </w:pPr>
    </w:p>
    <w:p>
      <w:pPr>
        <w:jc w:val="center"/>
        <w:ind w:right="440"/>
        <w:spacing w:after="0"/>
        <w:tabs>
          <w:tab w:leader="none" w:pos="220" w:val="left"/>
        </w:tabs>
        <w:rPr>
          <w:sz w:val="20"/>
          <w:szCs w:val="20"/>
          <w:color w:val="auto"/>
        </w:rPr>
      </w:pPr>
      <w:r>
        <w:rPr>
          <w:rFonts w:ascii="Times New Roman" w:cs="Times New Roman" w:eastAsia="Times New Roman" w:hAnsi="Times New Roman"/>
          <w:sz w:val="18"/>
          <w:szCs w:val="18"/>
          <w:color w:val="auto"/>
        </w:rPr>
        <w:t>March 20, 2019</w:t>
        <w:tab/>
        <w:t>10.1</w:t>
      </w:r>
    </w:p>
    <w:p>
      <w:pPr>
        <w:spacing w:after="0" w:line="1088"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7460" w:space="400"/>
            <w:col w:w="760" w:space="460"/>
            <w:col w:w="2120"/>
          </w:cols>
          <w:pgMar w:left="320" w:top="997" w:right="37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15"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40" w:type="dxa"/>
            <w:vAlign w:val="bottom"/>
            <w:gridSpan w:val="3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40" w:type="dxa"/>
            <w:vAlign w:val="bottom"/>
            <w:gridSpan w:val="2"/>
            <w:vMerge w:val="continue"/>
          </w:tcPr>
          <w:p>
            <w:pPr>
              <w:spacing w:after="0"/>
              <w:rPr>
                <w:sz w:val="16"/>
                <w:szCs w:val="16"/>
                <w:color w:val="auto"/>
              </w:rPr>
            </w:pPr>
          </w:p>
        </w:tc>
        <w:tc>
          <w:tcPr>
            <w:tcW w:w="5840" w:type="dxa"/>
            <w:vAlign w:val="bottom"/>
            <w:gridSpan w:val="3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15"/>
                <w:szCs w:val="15"/>
                <w:color w:val="auto"/>
              </w:rPr>
            </w:pPr>
          </w:p>
        </w:tc>
        <w:tc>
          <w:tcPr>
            <w:tcW w:w="5740" w:type="dxa"/>
            <w:vAlign w:val="bottom"/>
            <w:tcBorders>
              <w:top w:val="single" w:sz="8" w:color="auto"/>
            </w:tcBorders>
            <w:gridSpan w:val="31"/>
          </w:tcPr>
          <w:p>
            <w:pPr>
              <w:spacing w:after="0" w:line="183" w:lineRule="exact"/>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Amendment No. 5 dated as of June 21, 2019, among Crown Castle International</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5"/>
                <w:szCs w:val="15"/>
                <w:color w:val="auto"/>
              </w:rPr>
            </w:pPr>
          </w:p>
        </w:tc>
        <w:tc>
          <w:tcPr>
            <w:tcW w:w="112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June 21, 2019</w:t>
            </w:r>
          </w:p>
        </w:tc>
        <w:tc>
          <w:tcPr>
            <w:tcW w:w="100" w:type="dxa"/>
            <w:vAlign w:val="bottom"/>
          </w:tcPr>
          <w:p>
            <w:pPr>
              <w:spacing w:after="0"/>
              <w:rPr>
                <w:sz w:val="15"/>
                <w:szCs w:val="15"/>
                <w:color w:val="auto"/>
              </w:rPr>
            </w:pPr>
          </w:p>
        </w:tc>
        <w:tc>
          <w:tcPr>
            <w:tcW w:w="7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Corp., the lenders and issuing banks party thereto, and JPMorgan Chase Bank,</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N.A., as administrative agent, to the Credit Agreement dated as of January 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21"/>
          </w:tcPr>
          <w:p>
            <w:pPr>
              <w:spacing w:after="0" w:line="164" w:lineRule="exact"/>
              <w:rPr>
                <w:rFonts w:ascii="Times New Roman" w:cs="Times New Roman" w:eastAsia="Times New Roman" w:hAnsi="Times New Roman"/>
                <w:sz w:val="18"/>
                <w:szCs w:val="18"/>
                <w:color w:val="0000FF"/>
                <w:w w:val="96"/>
              </w:rPr>
            </w:pPr>
            <w:hyperlink r:id="rId248">
              <w:r>
                <w:rPr>
                  <w:rFonts w:ascii="Times New Roman" w:cs="Times New Roman" w:eastAsia="Times New Roman" w:hAnsi="Times New Roman"/>
                  <w:sz w:val="18"/>
                  <w:szCs w:val="18"/>
                  <w:color w:val="0000FF"/>
                  <w:w w:val="96"/>
                </w:rPr>
                <w:t>2016, by and among Crown Castle International Corp., the lenders and issuing</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gridSpan w:val="22"/>
          </w:tcPr>
          <w:p>
            <w:pPr>
              <w:spacing w:after="0" w:line="152" w:lineRule="exact"/>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banks from time to time party thereto and JPMorgan Chase Bank, N.A.,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administrative agent</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2"/>
            <w:shd w:val="clear" w:color="auto" w:fill="CCEEFF"/>
          </w:tcPr>
          <w:p>
            <w:pPr>
              <w:spacing w:after="0" w:line="184"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Amendment No. 6 dated as of June 18, 2021, among Crown Castle International</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22, 2021</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29"/>
            <w:shd w:val="clear" w:color="auto" w:fill="CCEEFF"/>
          </w:tcPr>
          <w:p>
            <w:pPr>
              <w:spacing w:after="0" w:line="152" w:lineRule="exact"/>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Corp., the lenders and issuing banks party thereto, and JPMorgan Chase Bank,</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40" w:type="dxa"/>
            <w:vAlign w:val="bottom"/>
            <w:tcBorders>
              <w:top w:val="single" w:sz="8" w:color="0000FF"/>
            </w:tcBorders>
            <w:gridSpan w:val="24"/>
            <w:shd w:val="clear" w:color="auto" w:fill="CCEEFF"/>
          </w:tcPr>
          <w:p>
            <w:pPr>
              <w:spacing w:after="0" w:line="152" w:lineRule="exact"/>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N.A., as administrative agent, to the Credit Agreement dated as of January 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21"/>
            <w:shd w:val="clear" w:color="auto" w:fill="CCEEFF"/>
          </w:tcPr>
          <w:p>
            <w:pPr>
              <w:spacing w:after="0" w:line="164" w:lineRule="exact"/>
              <w:rPr>
                <w:rFonts w:ascii="Times New Roman" w:cs="Times New Roman" w:eastAsia="Times New Roman" w:hAnsi="Times New Roman"/>
                <w:sz w:val="18"/>
                <w:szCs w:val="18"/>
                <w:color w:val="0000FF"/>
                <w:w w:val="96"/>
              </w:rPr>
            </w:pPr>
            <w:hyperlink r:id="rId249">
              <w:r>
                <w:rPr>
                  <w:rFonts w:ascii="Times New Roman" w:cs="Times New Roman" w:eastAsia="Times New Roman" w:hAnsi="Times New Roman"/>
                  <w:sz w:val="18"/>
                  <w:szCs w:val="18"/>
                  <w:color w:val="0000FF"/>
                  <w:w w:val="96"/>
                </w:rPr>
                <w:t>2016, by and among Crown Castle International Corp., the lenders and issuing</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banks from time to time party thereto and JPMorgan Chase Bank, N.A., as</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administrative agent</w:t>
              </w:r>
            </w:hyperlink>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6"/>
                <w:szCs w:val="16"/>
                <w:color w:val="auto"/>
              </w:rPr>
            </w:pPr>
          </w:p>
        </w:tc>
        <w:tc>
          <w:tcPr>
            <w:tcW w:w="5840" w:type="dxa"/>
            <w:vAlign w:val="bottom"/>
            <w:gridSpan w:val="32"/>
          </w:tcPr>
          <w:p>
            <w:pPr>
              <w:spacing w:after="0" w:line="184"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Amendment No. 7 dated as of July 8, 2022, among Crown Castle International</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8, 2022</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Corp., the lenders and issuing banks party thereto, and JPMorgan Chase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N.A., as administrative agent, to the Credit Agreement dated as of January 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Borders>
              <w:top w:val="single" w:sz="8" w:color="0000FF"/>
            </w:tcBorders>
            <w:gridSpan w:val="21"/>
          </w:tcPr>
          <w:p>
            <w:pPr>
              <w:spacing w:after="0" w:line="164" w:lineRule="exact"/>
              <w:rPr>
                <w:rFonts w:ascii="Times New Roman" w:cs="Times New Roman" w:eastAsia="Times New Roman" w:hAnsi="Times New Roman"/>
                <w:sz w:val="18"/>
                <w:szCs w:val="18"/>
                <w:color w:val="0000FF"/>
                <w:w w:val="96"/>
              </w:rPr>
            </w:pPr>
            <w:hyperlink r:id="rId250">
              <w:r>
                <w:rPr>
                  <w:rFonts w:ascii="Times New Roman" w:cs="Times New Roman" w:eastAsia="Times New Roman" w:hAnsi="Times New Roman"/>
                  <w:sz w:val="18"/>
                  <w:szCs w:val="18"/>
                  <w:color w:val="0000FF"/>
                  <w:w w:val="96"/>
                </w:rPr>
                <w:t>2016, by and among Crown Castle International Corp., the lenders and issuing</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banks from time to time party thereto and JPMorgan Chase Bank, N.A.,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administrative agent</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2"/>
            <w:shd w:val="clear" w:color="auto" w:fill="CCEEFF"/>
          </w:tcPr>
          <w:p>
            <w:pPr>
              <w:spacing w:after="0" w:line="184"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Dealer Agreement among Crown Castle International Corp. and the</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8, 2019</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400" w:type="dxa"/>
            <w:vAlign w:val="bottom"/>
            <w:tcBorders>
              <w:top w:val="single" w:sz="8" w:color="0000FF"/>
              <w:bottom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Dealer party thereto</w:t>
              </w:r>
            </w:hyperlink>
          </w:p>
        </w:tc>
        <w:tc>
          <w:tcPr>
            <w:tcW w:w="396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16"/>
                <w:szCs w:val="16"/>
                <w:color w:val="auto"/>
              </w:rPr>
            </w:pPr>
          </w:p>
        </w:tc>
        <w:tc>
          <w:tcPr>
            <w:tcW w:w="5840" w:type="dxa"/>
            <w:vAlign w:val="bottom"/>
            <w:gridSpan w:val="32"/>
          </w:tcPr>
          <w:p>
            <w:pPr>
              <w:spacing w:after="0" w:line="184"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Cooperation Agreement, between Crown Castle Inc., Elliott Investment</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20,</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2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Management L.P., Elliott Associates, L.P., and Elliott International, L.P.,</w:t>
              </w:r>
            </w:hyperlink>
          </w:p>
        </w:tc>
        <w:tc>
          <w:tcPr>
            <w:tcW w:w="820" w:type="dxa"/>
            <w:vAlign w:val="bottom"/>
            <w:gridSpan w:val="20"/>
          </w:tcPr>
          <w:p>
            <w:pPr>
              <w:ind w:left="100"/>
              <w:spacing w:after="0" w:line="152"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dated</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December 19, 2023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2"/>
            <w:shd w:val="clear" w:color="auto" w:fill="CCEEFF"/>
          </w:tcPr>
          <w:p>
            <w:pPr>
              <w:spacing w:after="0" w:line="184"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Amendment to Cooperation Agreement, between Crown Castle Inc., Elliott</w:t>
              </w:r>
            </w:hyperlink>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4, 2024</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CCEEFF"/>
            </w:tcBorders>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6"/>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40" w:type="dxa"/>
            <w:vAlign w:val="bottom"/>
            <w:gridSpan w:val="32"/>
            <w:shd w:val="clear" w:color="auto" w:fill="CCEEFF"/>
          </w:tcPr>
          <w:p>
            <w:pPr>
              <w:spacing w:after="0" w:line="152"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Investment Management L.P., Elliott Associates, L.P., and Elliott International,</w:t>
              </w:r>
            </w:hyperlink>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26"/>
            <w:shd w:val="clear" w:color="auto" w:fill="CCEEFF"/>
          </w:tcPr>
          <w:p>
            <w:pPr>
              <w:spacing w:after="0" w:line="152"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L.P., dated March 3,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6"/>
                <w:szCs w:val="16"/>
                <w:color w:val="auto"/>
              </w:rPr>
            </w:pPr>
          </w:p>
        </w:tc>
        <w:tc>
          <w:tcPr>
            <w:tcW w:w="5840" w:type="dxa"/>
            <w:vAlign w:val="bottom"/>
            <w:gridSpan w:val="32"/>
          </w:tcPr>
          <w:p>
            <w:pPr>
              <w:spacing w:after="0" w:line="184"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Sales Agreement, dated March 20, 2024, between the Company and</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20, 2024</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each of BofA Securities, Inc., Barclays Capital Inc., BNP Paribas Securities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Corp., BTIG, LLC, Citigroup Global Markets Inc., Credit Agricole Securities</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gridSpan w:val="32"/>
          </w:tcPr>
          <w:p>
            <w:pPr>
              <w:spacing w:after="0" w:line="164"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(USA) Inc., Jefferies LLC, J.P. Morgan Securities LLC, Mizuho Securities USA</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LLC, Morgan Stanley &amp; Co. LLC, MUFG Securities Americas Inc., RBC</w:t>
              </w:r>
            </w:hyperlink>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Capital Markets, LLC, Scotia Capital (USA) Inc., SG Americas Securities,</w:t>
              </w:r>
            </w:hyperlink>
          </w:p>
        </w:tc>
        <w:tc>
          <w:tcPr>
            <w:tcW w:w="660" w:type="dxa"/>
            <w:vAlign w:val="bottom"/>
            <w:gridSpan w:val="19"/>
          </w:tcPr>
          <w:p>
            <w:pPr>
              <w:ind w:left="100"/>
              <w:spacing w:after="0" w:line="15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LLC,</w:t>
              </w:r>
            </w:hyperlink>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10"/>
          </w:tcPr>
          <w:p>
            <w:pPr>
              <w:spacing w:after="0" w:line="164" w:lineRule="exact"/>
              <w:rPr>
                <w:rFonts w:ascii="Times New Roman" w:cs="Times New Roman" w:eastAsia="Times New Roman" w:hAnsi="Times New Roman"/>
                <w:sz w:val="18"/>
                <w:szCs w:val="18"/>
                <w:color w:val="0000FF"/>
                <w:w w:val="96"/>
              </w:rPr>
            </w:pPr>
            <w:hyperlink r:id="rId254">
              <w:r>
                <w:rPr>
                  <w:rFonts w:ascii="Times New Roman" w:cs="Times New Roman" w:eastAsia="Times New Roman" w:hAnsi="Times New Roman"/>
                  <w:sz w:val="18"/>
                  <w:szCs w:val="18"/>
                  <w:color w:val="0000FF"/>
                  <w:w w:val="96"/>
                </w:rPr>
                <w:t>TD Securities (USA) LLC and Truist Securities, Inc.</w:t>
              </w:r>
            </w:hyperlink>
          </w:p>
        </w:tc>
        <w:tc>
          <w:tcPr>
            <w:tcW w:w="1960" w:type="dxa"/>
            <w:vAlign w:val="bottom"/>
            <w:tcBorders>
              <w:top w:val="single" w:sz="8" w:color="0000FF"/>
            </w:tcBorders>
            <w:gridSpan w:val="20"/>
          </w:tcPr>
          <w:p>
            <w:pPr>
              <w:spacing w:after="0"/>
              <w:rPr>
                <w:sz w:val="14"/>
                <w:szCs w:val="14"/>
                <w:color w:val="auto"/>
              </w:rPr>
            </w:pPr>
          </w:p>
        </w:tc>
        <w:tc>
          <w:tcPr>
            <w:tcW w:w="1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CCEEFF"/>
            </w:tcBorders>
            <w:shd w:val="clear" w:color="auto" w:fill="CCEEFF"/>
          </w:tcPr>
          <w:p>
            <w:pPr>
              <w:spacing w:after="0"/>
              <w:rPr>
                <w:sz w:val="17"/>
                <w:szCs w:val="17"/>
                <w:color w:val="auto"/>
              </w:rPr>
            </w:pPr>
          </w:p>
        </w:tc>
        <w:tc>
          <w:tcPr>
            <w:tcW w:w="5840" w:type="dxa"/>
            <w:vAlign w:val="bottom"/>
            <w:gridSpan w:val="3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0000FF"/>
              </w:rPr>
              <w:t>Insider Trading Policy</w:t>
            </w:r>
          </w:p>
        </w:tc>
        <w:tc>
          <w:tcPr>
            <w:tcW w:w="76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6"/>
                <w:szCs w:val="16"/>
                <w:color w:val="auto"/>
              </w:rPr>
            </w:pPr>
          </w:p>
        </w:tc>
        <w:tc>
          <w:tcPr>
            <w:tcW w:w="3240" w:type="dxa"/>
            <w:vAlign w:val="bottom"/>
            <w:tcBorders>
              <w:bottom w:val="single" w:sz="8" w:color="0000FF"/>
            </w:tcBorders>
            <w:gridSpan w:val="9"/>
          </w:tcPr>
          <w:p>
            <w:pPr>
              <w:spacing w:after="0" w:line="184" w:lineRule="exact"/>
              <w:rPr>
                <w:sz w:val="20"/>
                <w:szCs w:val="20"/>
                <w:color w:val="auto"/>
              </w:rPr>
            </w:pPr>
            <w:r>
              <w:rPr>
                <w:rFonts w:ascii="Times New Roman" w:cs="Times New Roman" w:eastAsia="Times New Roman" w:hAnsi="Times New Roman"/>
                <w:sz w:val="18"/>
                <w:szCs w:val="18"/>
                <w:color w:val="0000FF"/>
                <w:w w:val="96"/>
              </w:rPr>
              <w:t>Schedule of Subsidiaries of Crown Castle Inc.</w:t>
            </w:r>
          </w:p>
        </w:tc>
        <w:tc>
          <w:tcPr>
            <w:tcW w:w="2600" w:type="dxa"/>
            <w:vAlign w:val="bottom"/>
            <w:gridSpan w:val="23"/>
          </w:tcPr>
          <w:p>
            <w:pPr>
              <w:spacing w:after="0"/>
              <w:rPr>
                <w:sz w:val="16"/>
                <w:szCs w:val="16"/>
                <w:color w:val="auto"/>
              </w:rPr>
            </w:pP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right w:val="single" w:sz="8" w:color="CCEEFF"/>
            </w:tcBorders>
            <w:shd w:val="clear" w:color="auto" w:fill="CCEEFF"/>
          </w:tcPr>
          <w:p>
            <w:pPr>
              <w:spacing w:after="0"/>
              <w:rPr>
                <w:sz w:val="17"/>
                <w:szCs w:val="17"/>
                <w:color w:val="auto"/>
              </w:rPr>
            </w:pPr>
          </w:p>
        </w:tc>
        <w:tc>
          <w:tcPr>
            <w:tcW w:w="5840" w:type="dxa"/>
            <w:vAlign w:val="bottom"/>
            <w:gridSpan w:val="3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0000FF"/>
              </w:rPr>
              <w:t>Consent of PricewaterhouseCoopers LLP</w:t>
            </w:r>
          </w:p>
        </w:tc>
        <w:tc>
          <w:tcPr>
            <w:tcW w:w="76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58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 of this annual report)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Sarbanes-</w:t>
            </w:r>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9"/>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Oxley Act of 2002</w:t>
            </w:r>
          </w:p>
        </w:tc>
        <w:tc>
          <w:tcPr>
            <w:tcW w:w="180" w:type="dxa"/>
            <w:vAlign w:val="bottom"/>
            <w:tcBorders>
              <w:top w:val="single" w:sz="8" w:color="CCEEFF"/>
            </w:tcBorders>
            <w:gridSpan w:val="8"/>
            <w:shd w:val="clear" w:color="auto" w:fill="CCEEFF"/>
          </w:tcPr>
          <w:p>
            <w:pPr>
              <w:spacing w:after="0"/>
              <w:rPr>
                <w:sz w:val="13"/>
                <w:szCs w:val="13"/>
                <w:color w:val="auto"/>
              </w:rPr>
            </w:pPr>
          </w:p>
        </w:tc>
        <w:tc>
          <w:tcPr>
            <w:tcW w:w="240" w:type="dxa"/>
            <w:vAlign w:val="bottom"/>
            <w:tcBorders>
              <w:top w:val="single" w:sz="8" w:color="CCEEFF"/>
            </w:tcBorders>
            <w:gridSpan w:val="5"/>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5840" w:type="dxa"/>
            <w:vAlign w:val="bottom"/>
            <w:gridSpan w:val="32"/>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Sarbanes-</w:t>
            </w:r>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6"/>
                <w:szCs w:val="16"/>
                <w:color w:val="0000FF"/>
              </w:rPr>
              <w:t>Oxley Act of 2002</w:t>
            </w:r>
          </w:p>
        </w:tc>
        <w:tc>
          <w:tcPr>
            <w:tcW w:w="220" w:type="dxa"/>
            <w:vAlign w:val="bottom"/>
            <w:gridSpan w:val="10"/>
          </w:tcPr>
          <w:p>
            <w:pPr>
              <w:spacing w:after="0"/>
              <w:rPr>
                <w:sz w:val="13"/>
                <w:szCs w:val="13"/>
                <w:color w:val="auto"/>
              </w:rPr>
            </w:pPr>
          </w:p>
        </w:tc>
        <w:tc>
          <w:tcPr>
            <w:tcW w:w="24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3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w:t>
            </w:r>
          </w:p>
        </w:tc>
        <w:tc>
          <w:tcPr>
            <w:tcW w:w="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27"/>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Section 906 of Sarbanes-Oxley Act of 2002</w:t>
            </w:r>
          </w:p>
        </w:tc>
        <w:tc>
          <w:tcPr>
            <w:tcW w:w="240" w:type="dxa"/>
            <w:vAlign w:val="bottom"/>
            <w:tcBorders>
              <w:top w:val="single" w:sz="8" w:color="CCEEFF"/>
            </w:tcBorders>
            <w:gridSpan w:val="5"/>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97†</w:t>
            </w:r>
          </w:p>
        </w:tc>
        <w:tc>
          <w:tcPr>
            <w:tcW w:w="5840" w:type="dxa"/>
            <w:vAlign w:val="bottom"/>
            <w:gridSpan w:val="32"/>
          </w:tcPr>
          <w:p>
            <w:pPr>
              <w:spacing w:after="0" w:line="184"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Crown Castle Inc. Incentive Compensation Recovery Policy</w:t>
              </w:r>
            </w:hyperlink>
          </w:p>
        </w:tc>
        <w:tc>
          <w:tcPr>
            <w:tcW w:w="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23,</w:t>
            </w:r>
          </w:p>
        </w:tc>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Borders>
              <w:top w:val="single" w:sz="8" w:color="0000FF"/>
            </w:tcBorders>
            <w:gridSpan w:val="11"/>
            <w:vMerge w:val="restart"/>
          </w:tcPr>
          <w:p>
            <w:pPr>
              <w:spacing w:after="0"/>
              <w:rPr>
                <w:sz w:val="18"/>
                <w:szCs w:val="18"/>
                <w:color w:val="auto"/>
              </w:rPr>
            </w:pPr>
          </w:p>
        </w:tc>
        <w:tc>
          <w:tcPr>
            <w:tcW w:w="80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1"/>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1220" w:type="dxa"/>
            <w:vAlign w:val="bottom"/>
            <w:gridSpan w:val="2"/>
            <w:vMerge w:val="continue"/>
          </w:tcPr>
          <w:p>
            <w:pPr>
              <w:spacing w:after="0"/>
              <w:rPr>
                <w:sz w:val="16"/>
                <w:szCs w:val="16"/>
                <w:color w:val="auto"/>
              </w:rPr>
            </w:pPr>
          </w:p>
        </w:tc>
        <w:tc>
          <w:tcPr>
            <w:tcW w:w="5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0"/>
        </w:trPr>
        <w:tc>
          <w:tcPr>
            <w:tcW w:w="11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57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The following financial statements from Crown Castle Inc.'s Annual Report on</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Form 10-K for the year ended December 31, 2024, formatted in Inline XBRL: (i)</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Consolidated Balance Sheet, (ii) Consolidated Statement of Operations and</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(Loss), (iii) Consolidated Statement of Cash Flows, (iv)</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Consolidated Statement of Equity, and (v) Notes to Consolidated Financial</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58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The cover page from Crown Castle Inc.'s Annual Report on Form 10-K for the</w:t>
            </w:r>
          </w:p>
        </w:tc>
        <w:tc>
          <w:tcPr>
            <w:tcW w:w="7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 formatted in Inline XBRL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Furnished herewith.</w:t>
      </w:r>
    </w:p>
    <w:p>
      <w:pPr>
        <w:spacing w:after="0" w:line="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Indicates management contract or compensatory plan or arrangement.</w:t>
      </w:r>
    </w:p>
    <w:p>
      <w:pPr>
        <w:spacing w:after="0" w:line="1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Form 10-K Summary</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08" w:name="page109"/>
    <w:bookmarkEnd w:id="108"/>
    <w:p>
      <w:pPr>
        <w:ind w:left="3840"/>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16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16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gridSpan w:val="4"/>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Balance at Beginning of</w:t>
            </w: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vMerge w:val="restart"/>
          </w:tcPr>
          <w:p>
            <w:pPr>
              <w:jc w:val="center"/>
              <w:ind w:right="225"/>
              <w:spacing w:after="0" w:line="155"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Charged to Operations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Written Off</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w w:val="97"/>
              </w:rPr>
              <w:t>(11)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80" w:type="dxa"/>
            <w:vAlign w:val="bottom"/>
            <w:gridSpan w:val="2"/>
            <w:vMerge w:val="continue"/>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Deductions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restart"/>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Balance at Beginning of</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vMerge w:val="restart"/>
          </w:tcPr>
          <w:p>
            <w:pPr>
              <w:jc w:val="center"/>
              <w:ind w:right="185"/>
              <w:spacing w:after="0" w:line="157"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Charged to Operations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Credited to Operations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Borders>
              <w:top w:val="single" w:sz="8" w:color="CCEE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109" w:name="page110"/>
    <w:bookmarkEnd w:id="109"/>
    <w:p>
      <w:pPr>
        <w:ind w:left="3840"/>
        <w:spacing w:after="0"/>
        <w:rPr>
          <w:sz w:val="20"/>
          <w:szCs w:val="20"/>
          <w:color w:val="auto"/>
        </w:rPr>
      </w:pPr>
      <w:r>
        <w:rPr>
          <w:rFonts w:ascii="Times New Roman" w:cs="Times New Roman" w:eastAsia="Times New Roman" w:hAnsi="Times New Roman"/>
          <w:sz w:val="18"/>
          <w:szCs w:val="18"/>
          <w:b w:val="1"/>
          <w:bCs w:val="1"/>
          <w:color w:val="auto"/>
        </w:rPr>
        <w:t>CROWN CASTLE INC. AND SUBSIDIARIES</w:t>
      </w:r>
    </w:p>
    <w:p>
      <w:pPr>
        <w:spacing w:after="0" w:line="16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SCHEDULE III—SCHEDULE OF REAL ESTATE AND ACCUMULATED DEPRECIATION</w:t>
      </w:r>
    </w:p>
    <w:p>
      <w:pPr>
        <w:spacing w:after="0" w:line="16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31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jc w:val="center"/>
              <w:ind w:left="139"/>
              <w:spacing w:after="0"/>
              <w:rPr>
                <w:sz w:val="20"/>
                <w:szCs w:val="20"/>
                <w:color w:val="auto"/>
              </w:rPr>
            </w:pPr>
            <w:r>
              <w:rPr>
                <w:rFonts w:ascii="Times New Roman" w:cs="Times New Roman" w:eastAsia="Times New Roman" w:hAnsi="Times New Roman"/>
                <w:sz w:val="12"/>
                <w:szCs w:val="12"/>
                <w:b w:val="1"/>
                <w:bCs w:val="1"/>
                <w:color w:val="auto"/>
              </w:rPr>
              <w:t>Life on Which</w:t>
            </w: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jc w:val="center"/>
              <w:ind w:left="139"/>
              <w:spacing w:after="0" w:line="118" w:lineRule="exact"/>
              <w:rPr>
                <w:sz w:val="20"/>
                <w:szCs w:val="20"/>
                <w:color w:val="auto"/>
              </w:rPr>
            </w:pPr>
            <w:r>
              <w:rPr>
                <w:rFonts w:ascii="Times New Roman" w:cs="Times New Roman" w:eastAsia="Times New Roman" w:hAnsi="Times New Roman"/>
                <w:sz w:val="12"/>
                <w:szCs w:val="12"/>
                <w:b w:val="1"/>
                <w:bCs w:val="1"/>
                <w:color w:val="auto"/>
              </w:rPr>
              <w:t>Depreciation in</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vMerge w:val="restart"/>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2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Cost Capitalized</w:t>
            </w:r>
          </w:p>
        </w:tc>
        <w:tc>
          <w:tcPr>
            <w:tcW w:w="11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Gross Amount</w:t>
            </w:r>
          </w:p>
        </w:tc>
        <w:tc>
          <w:tcPr>
            <w:tcW w:w="2520" w:type="dxa"/>
            <w:vAlign w:val="bottom"/>
          </w:tcPr>
          <w:p>
            <w:pPr>
              <w:jc w:val="center"/>
              <w:ind w:right="1179"/>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100" w:type="dxa"/>
            <w:vAlign w:val="bottom"/>
          </w:tcPr>
          <w:p>
            <w:pPr>
              <w:spacing w:after="0"/>
              <w:rPr>
                <w:sz w:val="11"/>
                <w:szCs w:val="11"/>
                <w:color w:val="auto"/>
              </w:rPr>
            </w:pPr>
          </w:p>
        </w:tc>
        <w:tc>
          <w:tcPr>
            <w:tcW w:w="1020" w:type="dxa"/>
            <w:vAlign w:val="bottom"/>
          </w:tcPr>
          <w:p>
            <w:pPr>
              <w:jc w:val="center"/>
              <w:ind w:left="139"/>
              <w:spacing w:after="0" w:line="132" w:lineRule="exact"/>
              <w:rPr>
                <w:sz w:val="20"/>
                <w:szCs w:val="20"/>
                <w:color w:val="auto"/>
              </w:rPr>
            </w:pPr>
            <w:r>
              <w:rPr>
                <w:rFonts w:ascii="Times New Roman" w:cs="Times New Roman" w:eastAsia="Times New Roman" w:hAnsi="Times New Roman"/>
                <w:sz w:val="12"/>
                <w:szCs w:val="12"/>
                <w:b w:val="1"/>
                <w:bCs w:val="1"/>
                <w:color w:val="auto"/>
              </w:rPr>
              <w:t>Latest Income</w:t>
            </w: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tcPr>
          <w:p>
            <w:pPr>
              <w:jc w:val="center"/>
              <w:ind w:left="19"/>
              <w:spacing w:after="0" w:line="118"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Carried at Close of</w:t>
            </w:r>
          </w:p>
        </w:tc>
        <w:tc>
          <w:tcPr>
            <w:tcW w:w="2520" w:type="dxa"/>
            <w:vAlign w:val="bottom"/>
          </w:tcPr>
          <w:p>
            <w:pPr>
              <w:jc w:val="center"/>
              <w:ind w:right="1179"/>
              <w:spacing w:after="0" w:line="118" w:lineRule="exact"/>
              <w:rPr>
                <w:sz w:val="20"/>
                <w:szCs w:val="20"/>
                <w:color w:val="auto"/>
              </w:rPr>
            </w:pPr>
            <w:r>
              <w:rPr>
                <w:rFonts w:ascii="Times New Roman" w:cs="Times New Roman" w:eastAsia="Times New Roman" w:hAnsi="Times New Roman"/>
                <w:sz w:val="12"/>
                <w:szCs w:val="12"/>
                <w:b w:val="1"/>
                <w:bCs w:val="1"/>
                <w:color w:val="auto"/>
              </w:rPr>
              <w:t>Depreciation at Close</w:t>
            </w:r>
          </w:p>
        </w:tc>
        <w:tc>
          <w:tcPr>
            <w:tcW w:w="1100" w:type="dxa"/>
            <w:vAlign w:val="bottom"/>
          </w:tcPr>
          <w:p>
            <w:pPr>
              <w:spacing w:after="0"/>
              <w:rPr>
                <w:sz w:val="10"/>
                <w:szCs w:val="10"/>
                <w:color w:val="auto"/>
              </w:rPr>
            </w:pPr>
          </w:p>
        </w:tc>
        <w:tc>
          <w:tcPr>
            <w:tcW w:w="1020" w:type="dxa"/>
            <w:vAlign w:val="bottom"/>
          </w:tcPr>
          <w:p>
            <w:pPr>
              <w:jc w:val="center"/>
              <w:ind w:left="139"/>
              <w:spacing w:after="0" w:line="118" w:lineRule="exact"/>
              <w:rPr>
                <w:sz w:val="20"/>
                <w:szCs w:val="20"/>
                <w:color w:val="auto"/>
              </w:rPr>
            </w:pPr>
            <w:r>
              <w:rPr>
                <w:rFonts w:ascii="Times New Roman" w:cs="Times New Roman" w:eastAsia="Times New Roman" w:hAnsi="Times New Roman"/>
                <w:sz w:val="12"/>
                <w:szCs w:val="12"/>
                <w:b w:val="1"/>
                <w:bCs w:val="1"/>
                <w:color w:val="auto"/>
              </w:rPr>
              <w:t>Statement is</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44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Encumbrances</w:t>
            </w: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w w:val="99"/>
              </w:rPr>
              <w:t>Company</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Current Period</w:t>
            </w:r>
          </w:p>
        </w:tc>
        <w:tc>
          <w:tcPr>
            <w:tcW w:w="25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of Current Period   Date of Construction</w:t>
            </w:r>
          </w:p>
        </w:tc>
        <w:tc>
          <w:tcPr>
            <w:tcW w:w="11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Date Acquired</w:t>
            </w:r>
          </w:p>
        </w:tc>
        <w:tc>
          <w:tcPr>
            <w:tcW w:w="1020" w:type="dxa"/>
            <w:vAlign w:val="bottom"/>
          </w:tcPr>
          <w:p>
            <w:pPr>
              <w:jc w:val="center"/>
              <w:ind w:left="139"/>
              <w:spacing w:after="0"/>
              <w:rPr>
                <w:sz w:val="20"/>
                <w:szCs w:val="20"/>
                <w:color w:val="auto"/>
              </w:rPr>
            </w:pPr>
            <w:r>
              <w:rPr>
                <w:rFonts w:ascii="Times New Roman" w:cs="Times New Roman" w:eastAsia="Times New Roman" w:hAnsi="Times New Roman"/>
                <w:sz w:val="12"/>
                <w:szCs w:val="12"/>
                <w:b w:val="1"/>
                <w:bCs w:val="1"/>
                <w:color w:val="auto"/>
                <w:w w:val="99"/>
              </w:rPr>
              <w:t>Computed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1260" w:type="dxa"/>
            <w:vAlign w:val="bottom"/>
            <w:tcBorders>
              <w:top w:val="single" w:sz="8" w:color="auto"/>
            </w:tcBorders>
            <w:shd w:val="clear" w:color="auto" w:fill="CCEEFF"/>
          </w:tcPr>
          <w:p>
            <w:pPr>
              <w:jc w:val="center"/>
              <w:ind w:left="10"/>
              <w:spacing w:after="0" w:line="141" w:lineRule="exact"/>
              <w:rPr>
                <w:sz w:val="20"/>
                <w:szCs w:val="20"/>
                <w:color w:val="auto"/>
              </w:rPr>
            </w:pPr>
            <w:r>
              <w:rPr>
                <w:rFonts w:ascii="Times New Roman" w:cs="Times New Roman" w:eastAsia="Times New Roman" w:hAnsi="Times New Roman"/>
                <w:sz w:val="14"/>
                <w:szCs w:val="14"/>
                <w:color w:val="auto"/>
                <w:w w:val="98"/>
              </w:rPr>
              <w:t>Communications</w:t>
            </w:r>
          </w:p>
        </w:tc>
        <w:tc>
          <w:tcPr>
            <w:tcW w:w="5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960" w:type="dxa"/>
            <w:vAlign w:val="bottom"/>
            <w:tcBorders>
              <w:top w:val="single" w:sz="8" w:color="auto"/>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(c)</w:t>
            </w:r>
          </w:p>
        </w:tc>
        <w:tc>
          <w:tcPr>
            <w:tcW w:w="940" w:type="dxa"/>
            <w:vAlign w:val="bottom"/>
            <w:tcBorders>
              <w:top w:val="single" w:sz="8" w:color="auto"/>
            </w:tcBorders>
            <w:vMerge w:val="restart"/>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rPr>
              <w:t>(c)</w:t>
            </w:r>
          </w:p>
        </w:tc>
        <w:tc>
          <w:tcPr>
            <w:tcW w:w="6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26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rPr>
              <w:t>infrastructure</w:t>
            </w:r>
            <w:r>
              <w:rPr>
                <w:rFonts w:ascii="Times New Roman" w:cs="Times New Roman" w:eastAsia="Times New Roman" w:hAnsi="Times New Roman"/>
                <w:sz w:val="9"/>
                <w:szCs w:val="9"/>
                <w:color w:val="auto"/>
              </w:rPr>
              <w:t>(a)</w:t>
            </w:r>
          </w:p>
        </w:tc>
        <w:tc>
          <w:tcPr>
            <w:tcW w:w="5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1,782</w:t>
            </w:r>
          </w:p>
        </w:tc>
        <w:tc>
          <w:tcPr>
            <w:tcW w:w="50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30,474</w:t>
            </w:r>
          </w:p>
        </w:tc>
        <w:tc>
          <w:tcPr>
            <w:tcW w:w="40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(15,049)</w:t>
            </w:r>
          </w:p>
        </w:tc>
        <w:tc>
          <w:tcPr>
            <w:tcW w:w="10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Various</w:t>
            </w:r>
          </w:p>
        </w:tc>
        <w:tc>
          <w:tcPr>
            <w:tcW w:w="11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Various</w:t>
            </w:r>
          </w:p>
        </w:tc>
        <w:tc>
          <w:tcPr>
            <w:tcW w:w="12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Up to 20 years</w:t>
            </w:r>
          </w:p>
        </w:tc>
        <w:tc>
          <w:tcPr>
            <w:tcW w:w="0" w:type="dxa"/>
            <w:vAlign w:val="bottom"/>
          </w:tcPr>
          <w:p>
            <w:pPr>
              <w:spacing w:after="0"/>
              <w:rPr>
                <w:sz w:val="1"/>
                <w:szCs w:val="1"/>
                <w:color w:val="auto"/>
              </w:rPr>
            </w:pPr>
          </w:p>
        </w:tc>
      </w:tr>
      <w:tr>
        <w:trPr>
          <w:trHeight w:val="119"/>
        </w:trPr>
        <w:tc>
          <w:tcPr>
            <w:tcW w:w="126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315"/>
        <w:spacing w:after="0" w:line="263" w:lineRule="auto"/>
        <w:tabs>
          <w:tab w:leader="none" w:pos="318"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more than 40,000 towers, (2) approximately 105,000 small cell nodes either currently generating revenue or under contract and (3) approximately 90,000 route miles of fiber. No single asset exceeds 5% of the aggregate gross amounts at which the assets were carried at the close of the period set forth in the table above.</w:t>
      </w:r>
    </w:p>
    <w:p>
      <w:pPr>
        <w:spacing w:after="0" w:line="1" w:lineRule="exact"/>
        <w:rPr>
          <w:rFonts w:ascii="Times New Roman" w:cs="Times New Roman" w:eastAsia="Times New Roman" w:hAnsi="Times New Roman"/>
          <w:sz w:val="14"/>
          <w:szCs w:val="14"/>
          <w:color w:val="auto"/>
        </w:rPr>
      </w:pPr>
    </w:p>
    <w:p>
      <w:pPr>
        <w:jc w:val="both"/>
        <w:ind w:left="320" w:hanging="315"/>
        <w:spacing w:after="0" w:line="250" w:lineRule="auto"/>
        <w:tabs>
          <w:tab w:leader="none" w:pos="31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 are reported at face value, without contemplating the effect of deferred financing costs, discounts or premiums. Certain of the Company's debt is secured by (1) a security interest in substantially all of the applicable issuers' assignable personal property, (2) a pledge of the equity interests in each applicable issuer and (3) a security interest in the applicable issuers' leases with tenants to lease tower space (space licenses).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omitted this information, as it would be impracticable to compile such information on an asset-by-asset basis.</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at beginning</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27,936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26,679</w:t>
            </w:r>
          </w:p>
        </w:tc>
      </w:tr>
      <w:tr>
        <w:trPr>
          <w:trHeight w:val="19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during period: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Acquisitions through foreclosure</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880" w:type="dxa"/>
            <w:vAlign w:val="bottom"/>
          </w:tcPr>
          <w:p>
            <w:pPr>
              <w:ind w:left="320"/>
              <w:spacing w:after="0" w:line="197" w:lineRule="exact"/>
              <w:rPr>
                <w:sz w:val="20"/>
                <w:szCs w:val="20"/>
                <w:color w:val="auto"/>
              </w:rPr>
            </w:pPr>
            <w:r>
              <w:rPr>
                <w:rFonts w:ascii="Times New Roman" w:cs="Times New Roman" w:eastAsia="Times New Roman" w:hAnsi="Times New Roman"/>
                <w:sz w:val="14"/>
                <w:szCs w:val="14"/>
                <w:color w:val="auto"/>
              </w:rPr>
              <w:t>Other acquisitions</w:t>
            </w:r>
            <w:r>
              <w:rPr>
                <w:rFonts w:ascii="Times New Roman" w:cs="Times New Roman" w:eastAsia="Times New Roman" w:hAnsi="Times New Roman"/>
                <w:sz w:val="18"/>
                <w:szCs w:val="18"/>
                <w:color w:val="auto"/>
                <w:vertAlign w:val="superscript"/>
              </w:rPr>
              <w:t>(a)</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7"/>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Communications infrastructure construction and improvements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r>
      <w:tr>
        <w:trPr>
          <w:trHeight w:val="190"/>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 of land interests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5"/>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7"/>
        </w:trPr>
        <w:tc>
          <w:tcPr>
            <w:tcW w:w="6880" w:type="dxa"/>
            <w:vAlign w:val="bottom"/>
            <w:tcBorders>
              <w:bottom w:val="single" w:sz="8" w:color="CCEEFF"/>
            </w:tcBorders>
          </w:tcPr>
          <w:p>
            <w:pPr>
              <w:ind w:left="320"/>
              <w:spacing w:after="0" w:line="197"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(b)</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additions</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19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Deductions during period: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Cost of real estate sold or disposed</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1"/>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deductions</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w:t>
            </w:r>
          </w:p>
        </w:tc>
        <w:tc>
          <w:tcPr>
            <w:tcW w:w="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30,474</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29,383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27,936</w:t>
            </w:r>
          </w:p>
        </w:tc>
      </w:tr>
      <w:tr>
        <w:trPr>
          <w:trHeight w:val="20"/>
        </w:trPr>
        <w:tc>
          <w:tcPr>
            <w:tcW w:w="6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acquisitions of communications infrastructure.</w:t>
      </w:r>
    </w:p>
    <w:p>
      <w:pPr>
        <w:spacing w:after="0" w:line="21" w:lineRule="exact"/>
        <w:rPr>
          <w:rFonts w:ascii="Times New Roman" w:cs="Times New Roman" w:eastAsia="Times New Roman" w:hAnsi="Times New Roman"/>
          <w:sz w:val="14"/>
          <w:szCs w:val="14"/>
          <w:color w:val="auto"/>
        </w:rPr>
      </w:pPr>
    </w:p>
    <w:p>
      <w:pPr>
        <w:ind w:left="320" w:right="580" w:hanging="315"/>
        <w:spacing w:after="0" w:line="250" w:lineRule="auto"/>
        <w:tabs>
          <w:tab w:leader="none" w:pos="31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Predominately relates to (1) the purchase of property and equipment under finance leases and installment land purchases, (2) asset retirement obligations and (3) capitalized stock-based compensation.</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of accumulated depreciation at beginning</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w:t>
            </w:r>
          </w:p>
        </w:tc>
      </w:tr>
      <w:tr>
        <w:trPr>
          <w:trHeight w:val="19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during period: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5"/>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8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additions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20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 during period:</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0"/>
        </w:trPr>
        <w:tc>
          <w:tcPr>
            <w:tcW w:w="68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Amount for assets sold or disposed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5"/>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4"/>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deductions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2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2024 Form 10-K to be signed on its behalf by the undersigned, thereunto duly authorized, on this 14th day of March, 2025.</w:t>
      </w: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ROWN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ASTLE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5160"/>
        <w:spacing w:after="0"/>
        <w:tabs>
          <w:tab w:leader="none" w:pos="7540" w:val="left"/>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ANIEL</w:t>
      </w:r>
      <w:r>
        <w:rPr>
          <w:rFonts w:ascii="Times New Roman" w:cs="Times New Roman" w:eastAsia="Times New Roman" w:hAnsi="Times New Roman"/>
          <w:sz w:val="16"/>
          <w:szCs w:val="16"/>
          <w:color w:val="auto"/>
        </w:rPr>
        <w:t xml:space="preserve"> K</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22225</wp:posOffset>
            </wp:positionV>
            <wp:extent cx="3693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1">
                      <a:extLst>
                        <a:ext uri="{28A0092B-C50C-407E-A947-70E740481C1C}"/>
                      </a:extLst>
                    </a:blip>
                    <a:srcRect/>
                    <a:stretch>
                      <a:fillRect/>
                    </a:stretch>
                  </pic:blipFill>
                  <pic:spPr bwMode="auto">
                    <a:xfrm>
                      <a:off x="0" y="0"/>
                      <a:ext cx="3693160" cy="8255"/>
                    </a:xfrm>
                    <a:prstGeom prst="rect">
                      <a:avLst/>
                    </a:prstGeom>
                    <a:noFill/>
                  </pic:spPr>
                </pic:pic>
              </a:graphicData>
            </a:graphic>
          </wp:anchor>
        </w:drawing>
      </w:r>
    </w:p>
    <w:p>
      <w:pPr>
        <w:spacing w:after="0" w:line="1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Daniel K. Schlanger</w:t>
      </w: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3"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KNOW ALL MEN BY THESE PRESENTS, that each person whose signature appears below constitutes and appoints Steven J. Moskowitz and Edward B. Adams, Jr. and each of them, as his or her true and lawful attorneys-in-fact and agents with full power of substitution and re-substitution for him or her and in his or her name, place and stead, in any and all capacities, to sign any and all documents relating to the 2024 Form 10-K, including any and all amendments and supplements thereto, for the year ended December 31,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spacing w:after="0" w:line="10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this 2024 Form 10-K has been signed below by the following persons on behalf of the Registrant and in the capacities indicated below on this 14th day of March, 2025.</w:t>
      </w:r>
    </w:p>
    <w:p>
      <w:pPr>
        <w:sectPr>
          <w:pgSz w:w="11900" w:h="16838" w:orient="portrait"/>
          <w:cols w:equalWidth="0" w:num="1">
            <w:col w:w="11240"/>
          </w:cols>
          <w:pgMar w:left="320" w:top="7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9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13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4"/>
                <w:szCs w:val="14"/>
                <w:color w:val="auto"/>
                <w:w w:val="99"/>
              </w:rPr>
              <w:t>TEVEN</w:t>
            </w:r>
            <w:r>
              <w:rPr>
                <w:rFonts w:ascii="Times New Roman" w:cs="Times New Roman" w:eastAsia="Times New Roman" w:hAnsi="Times New Roman"/>
                <w:sz w:val="18"/>
                <w:szCs w:val="18"/>
                <w:color w:val="auto"/>
                <w:w w:val="99"/>
              </w:rPr>
              <w:t xml:space="preserve"> J. M</w:t>
            </w:r>
            <w:r>
              <w:rPr>
                <w:rFonts w:ascii="Times New Roman" w:cs="Times New Roman" w:eastAsia="Times New Roman" w:hAnsi="Times New Roman"/>
                <w:sz w:val="14"/>
                <w:szCs w:val="14"/>
                <w:color w:val="auto"/>
                <w:w w:val="99"/>
              </w:rPr>
              <w:t>OSKOWITZ</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08"/>
        </w:trPr>
        <w:tc>
          <w:tcPr>
            <w:tcW w:w="1380" w:type="dxa"/>
            <w:vAlign w:val="bottom"/>
          </w:tcPr>
          <w:p>
            <w:pPr>
              <w:spacing w:after="0"/>
              <w:rPr>
                <w:sz w:val="18"/>
                <w:szCs w:val="18"/>
                <w:color w:val="auto"/>
              </w:rPr>
            </w:pPr>
          </w:p>
        </w:tc>
        <w:tc>
          <w:tcPr>
            <w:tcW w:w="2960" w:type="dxa"/>
            <w:vAlign w:val="bottom"/>
            <w:gridSpan w:val="4"/>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8"/>
              </w:rPr>
              <w:t>Steven J. Moskowitz</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7"/>
        </w:trPr>
        <w:tc>
          <w:tcPr>
            <w:tcW w:w="13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D</w:t>
            </w:r>
            <w:r>
              <w:rPr>
                <w:rFonts w:ascii="Times New Roman" w:cs="Times New Roman" w:eastAsia="Times New Roman" w:hAnsi="Times New Roman"/>
                <w:sz w:val="14"/>
                <w:szCs w:val="14"/>
                <w:color w:val="auto"/>
                <w:w w:val="98"/>
              </w:rPr>
              <w:t>ANIEL</w:t>
            </w:r>
            <w:r>
              <w:rPr>
                <w:rFonts w:ascii="Times New Roman" w:cs="Times New Roman" w:eastAsia="Times New Roman" w:hAnsi="Times New Roman"/>
                <w:sz w:val="18"/>
                <w:szCs w:val="18"/>
                <w:color w:val="auto"/>
                <w:w w:val="98"/>
              </w:rPr>
              <w:t xml:space="preserve"> K. S</w:t>
            </w:r>
            <w:r>
              <w:rPr>
                <w:rFonts w:ascii="Times New Roman" w:cs="Times New Roman" w:eastAsia="Times New Roman" w:hAnsi="Times New Roman"/>
                <w:sz w:val="14"/>
                <w:szCs w:val="14"/>
                <w:color w:val="auto"/>
                <w:w w:val="98"/>
              </w:rPr>
              <w:t>CHLANGER</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6"/>
              </w:rPr>
              <w:t>Executive Vice President and Chief Financial Officer</w:t>
            </w:r>
          </w:p>
        </w:tc>
      </w:tr>
      <w:tr>
        <w:trPr>
          <w:trHeight w:val="208"/>
        </w:trPr>
        <w:tc>
          <w:tcPr>
            <w:tcW w:w="1380" w:type="dxa"/>
            <w:vAlign w:val="bottom"/>
          </w:tcPr>
          <w:p>
            <w:pPr>
              <w:spacing w:after="0"/>
              <w:rPr>
                <w:sz w:val="18"/>
                <w:szCs w:val="18"/>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Daniel K. Schlanger</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7"/>
        </w:trPr>
        <w:tc>
          <w:tcPr>
            <w:tcW w:w="16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3"/>
          </w:tcPr>
          <w:p>
            <w:pPr>
              <w:jc w:val="center"/>
              <w:ind w:right="1300"/>
              <w:spacing w:after="0"/>
              <w:rPr>
                <w:sz w:val="20"/>
                <w:szCs w:val="20"/>
                <w:color w:val="auto"/>
              </w:rPr>
            </w:pPr>
            <w:r>
              <w:rPr>
                <w:rFonts w:ascii="Times New Roman" w:cs="Times New Roman" w:eastAsia="Times New Roman" w:hAnsi="Times New Roman"/>
                <w:sz w:val="18"/>
                <w:szCs w:val="18"/>
                <w:color w:val="auto"/>
                <w:w w:val="99"/>
              </w:rPr>
              <w:t>R</w:t>
            </w:r>
            <w:r>
              <w:rPr>
                <w:rFonts w:ascii="Times New Roman" w:cs="Times New Roman" w:eastAsia="Times New Roman" w:hAnsi="Times New Roman"/>
                <w:sz w:val="14"/>
                <w:szCs w:val="14"/>
                <w:color w:val="auto"/>
                <w:w w:val="99"/>
              </w:rPr>
              <w:t>OBERT</w:t>
            </w:r>
            <w:r>
              <w:rPr>
                <w:rFonts w:ascii="Times New Roman" w:cs="Times New Roman" w:eastAsia="Times New Roman" w:hAnsi="Times New Roman"/>
                <w:sz w:val="18"/>
                <w:szCs w:val="18"/>
                <w:color w:val="auto"/>
                <w:w w:val="99"/>
              </w:rPr>
              <w:t xml:space="preserve"> S. C</w:t>
            </w:r>
            <w:r>
              <w:rPr>
                <w:rFonts w:ascii="Times New Roman" w:cs="Times New Roman" w:eastAsia="Times New Roman" w:hAnsi="Times New Roman"/>
                <w:sz w:val="14"/>
                <w:szCs w:val="14"/>
                <w:color w:val="auto"/>
                <w:w w:val="99"/>
              </w:rPr>
              <w:t>OLLINS</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08"/>
        </w:trPr>
        <w:tc>
          <w:tcPr>
            <w:tcW w:w="1380" w:type="dxa"/>
            <w:vAlign w:val="bottom"/>
          </w:tcPr>
          <w:p>
            <w:pPr>
              <w:spacing w:after="0"/>
              <w:rPr>
                <w:sz w:val="18"/>
                <w:szCs w:val="18"/>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9"/>
              </w:rPr>
              <w:t>Robert S. Collins</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7"/>
        </w:trPr>
        <w:tc>
          <w:tcPr>
            <w:tcW w:w="162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7"/>
              </w:rPr>
              <w:t>P. R</w:t>
            </w:r>
            <w:r>
              <w:rPr>
                <w:rFonts w:ascii="Times New Roman" w:cs="Times New Roman" w:eastAsia="Times New Roman" w:hAnsi="Times New Roman"/>
                <w:sz w:val="14"/>
                <w:szCs w:val="14"/>
                <w:color w:val="auto"/>
                <w:w w:val="97"/>
              </w:rPr>
              <w:t>OBERT</w:t>
            </w:r>
            <w:r>
              <w:rPr>
                <w:rFonts w:ascii="Times New Roman" w:cs="Times New Roman" w:eastAsia="Times New Roman" w:hAnsi="Times New Roman"/>
                <w:sz w:val="18"/>
                <w:szCs w:val="18"/>
                <w:color w:val="auto"/>
                <w:w w:val="97"/>
              </w:rPr>
              <w:t xml:space="preserve"> B</w:t>
            </w:r>
            <w:r>
              <w:rPr>
                <w:rFonts w:ascii="Times New Roman" w:cs="Times New Roman" w:eastAsia="Times New Roman" w:hAnsi="Times New Roman"/>
                <w:sz w:val="14"/>
                <w:szCs w:val="14"/>
                <w:color w:val="auto"/>
                <w:w w:val="97"/>
              </w:rPr>
              <w:t>ARTOLO</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7"/>
              </w:rPr>
              <w:t>P. Robert Bartolo</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2720" w:type="dxa"/>
            <w:vAlign w:val="bottom"/>
            <w:tcBorders>
              <w:bottom w:val="single" w:sz="8" w:color="auto"/>
            </w:tcBorders>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8"/>
              </w:rPr>
              <w:t>C</w:t>
            </w:r>
            <w:r>
              <w:rPr>
                <w:rFonts w:ascii="Times New Roman" w:cs="Times New Roman" w:eastAsia="Times New Roman" w:hAnsi="Times New Roman"/>
                <w:sz w:val="14"/>
                <w:szCs w:val="14"/>
                <w:color w:val="auto"/>
                <w:w w:val="98"/>
              </w:rPr>
              <w:t>INDY</w:t>
            </w:r>
            <w:r>
              <w:rPr>
                <w:rFonts w:ascii="Times New Roman" w:cs="Times New Roman" w:eastAsia="Times New Roman" w:hAnsi="Times New Roman"/>
                <w:sz w:val="18"/>
                <w:szCs w:val="18"/>
                <w:color w:val="auto"/>
                <w:w w:val="98"/>
              </w:rPr>
              <w:t xml:space="preserve"> C</w:t>
            </w:r>
            <w:r>
              <w:rPr>
                <w:rFonts w:ascii="Times New Roman" w:cs="Times New Roman" w:eastAsia="Times New Roman" w:hAnsi="Times New Roman"/>
                <w:sz w:val="14"/>
                <w:szCs w:val="14"/>
                <w:color w:val="auto"/>
                <w:w w:val="98"/>
              </w:rPr>
              <w:t>HRISTY</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8"/>
              </w:rPr>
              <w:t>Cindy Christy</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6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7"/>
              </w:rPr>
              <w:t>A</w:t>
            </w:r>
            <w:r>
              <w:rPr>
                <w:rFonts w:ascii="Times New Roman" w:cs="Times New Roman" w:eastAsia="Times New Roman" w:hAnsi="Times New Roman"/>
                <w:sz w:val="14"/>
                <w:szCs w:val="14"/>
                <w:color w:val="auto"/>
                <w:w w:val="97"/>
              </w:rPr>
              <w:t>RI</w:t>
            </w:r>
            <w:r>
              <w:rPr>
                <w:rFonts w:ascii="Times New Roman" w:cs="Times New Roman" w:eastAsia="Times New Roman" w:hAnsi="Times New Roman"/>
                <w:sz w:val="18"/>
                <w:szCs w:val="18"/>
                <w:color w:val="auto"/>
                <w:w w:val="97"/>
              </w:rPr>
              <w:t xml:space="preserve"> Q</w:t>
            </w: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8"/>
                <w:szCs w:val="18"/>
                <w:color w:val="auto"/>
                <w:w w:val="97"/>
              </w:rPr>
              <w:t xml:space="preserve"> F</w:t>
            </w:r>
            <w:r>
              <w:rPr>
                <w:rFonts w:ascii="Times New Roman" w:cs="Times New Roman" w:eastAsia="Times New Roman" w:hAnsi="Times New Roman"/>
                <w:sz w:val="14"/>
                <w:szCs w:val="14"/>
                <w:color w:val="auto"/>
                <w:w w:val="97"/>
              </w:rPr>
              <w:t>ITZGERALD</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Ari Q. Fitzgerald</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272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J</w:t>
            </w:r>
            <w:r>
              <w:rPr>
                <w:rFonts w:ascii="Times New Roman" w:cs="Times New Roman" w:eastAsia="Times New Roman" w:hAnsi="Times New Roman"/>
                <w:sz w:val="14"/>
                <w:szCs w:val="14"/>
                <w:color w:val="auto"/>
                <w:w w:val="99"/>
              </w:rPr>
              <w:t>ASON</w:t>
            </w:r>
            <w:r>
              <w:rPr>
                <w:rFonts w:ascii="Times New Roman" w:cs="Times New Roman" w:eastAsia="Times New Roman" w:hAnsi="Times New Roman"/>
                <w:sz w:val="18"/>
                <w:szCs w:val="18"/>
                <w:color w:val="auto"/>
                <w:w w:val="99"/>
              </w:rPr>
              <w:t xml:space="preserve"> G</w:t>
            </w:r>
            <w:r>
              <w:rPr>
                <w:rFonts w:ascii="Times New Roman" w:cs="Times New Roman" w:eastAsia="Times New Roman" w:hAnsi="Times New Roman"/>
                <w:sz w:val="14"/>
                <w:szCs w:val="14"/>
                <w:color w:val="auto"/>
                <w:w w:val="99"/>
              </w:rPr>
              <w:t>ENRICH</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w w:val="98"/>
              </w:rPr>
              <w:t>Jason Genrich</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A</w:t>
            </w:r>
            <w:r>
              <w:rPr>
                <w:rFonts w:ascii="Times New Roman" w:cs="Times New Roman" w:eastAsia="Times New Roman" w:hAnsi="Times New Roman"/>
                <w:sz w:val="14"/>
                <w:szCs w:val="14"/>
                <w:color w:val="auto"/>
                <w:w w:val="98"/>
              </w:rPr>
              <w:t>NDREA</w:t>
            </w:r>
            <w:r>
              <w:rPr>
                <w:rFonts w:ascii="Times New Roman" w:cs="Times New Roman" w:eastAsia="Times New Roman" w:hAnsi="Times New Roman"/>
                <w:sz w:val="18"/>
                <w:szCs w:val="18"/>
                <w:color w:val="auto"/>
                <w:w w:val="98"/>
              </w:rPr>
              <w:t xml:space="preserve"> J. G</w:t>
            </w:r>
            <w:r>
              <w:rPr>
                <w:rFonts w:ascii="Times New Roman" w:cs="Times New Roman" w:eastAsia="Times New Roman" w:hAnsi="Times New Roman"/>
                <w:sz w:val="14"/>
                <w:szCs w:val="14"/>
                <w:color w:val="auto"/>
                <w:w w:val="98"/>
              </w:rPr>
              <w:t>OLDSMITH</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8"/>
              </w:rPr>
              <w:t>Andrea J. Goldsmith</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8"/>
              </w:rPr>
              <w:t>T</w:t>
            </w:r>
            <w:r>
              <w:rPr>
                <w:rFonts w:ascii="Times New Roman" w:cs="Times New Roman" w:eastAsia="Times New Roman" w:hAnsi="Times New Roman"/>
                <w:sz w:val="14"/>
                <w:szCs w:val="14"/>
                <w:color w:val="auto"/>
                <w:w w:val="98"/>
              </w:rPr>
              <w:t>AMMY</w:t>
            </w:r>
            <w:r>
              <w:rPr>
                <w:rFonts w:ascii="Times New Roman" w:cs="Times New Roman" w:eastAsia="Times New Roman" w:hAnsi="Times New Roman"/>
                <w:sz w:val="18"/>
                <w:szCs w:val="18"/>
                <w:color w:val="auto"/>
                <w:w w:val="98"/>
              </w:rPr>
              <w:t xml:space="preserve"> K. J</w:t>
            </w:r>
            <w:r>
              <w:rPr>
                <w:rFonts w:ascii="Times New Roman" w:cs="Times New Roman" w:eastAsia="Times New Roman" w:hAnsi="Times New Roman"/>
                <w:sz w:val="14"/>
                <w:szCs w:val="14"/>
                <w:color w:val="auto"/>
                <w:w w:val="98"/>
              </w:rPr>
              <w:t>ONES</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6"/>
              </w:rPr>
              <w:t>Tammy K. Jones</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6"/>
              </w:rPr>
              <w:t>K</w:t>
            </w:r>
            <w:r>
              <w:rPr>
                <w:rFonts w:ascii="Times New Roman" w:cs="Times New Roman" w:eastAsia="Times New Roman" w:hAnsi="Times New Roman"/>
                <w:sz w:val="14"/>
                <w:szCs w:val="14"/>
                <w:color w:val="auto"/>
                <w:w w:val="96"/>
              </w:rPr>
              <w:t>EVIN</w:t>
            </w:r>
            <w:r>
              <w:rPr>
                <w:rFonts w:ascii="Times New Roman" w:cs="Times New Roman" w:eastAsia="Times New Roman" w:hAnsi="Times New Roman"/>
                <w:sz w:val="18"/>
                <w:szCs w:val="18"/>
                <w:color w:val="auto"/>
                <w:w w:val="96"/>
              </w:rPr>
              <w:t xml:space="preserve"> T. K</w:t>
            </w:r>
            <w:r>
              <w:rPr>
                <w:rFonts w:ascii="Times New Roman" w:cs="Times New Roman" w:eastAsia="Times New Roman" w:hAnsi="Times New Roman"/>
                <w:sz w:val="14"/>
                <w:szCs w:val="14"/>
                <w:color w:val="auto"/>
                <w:w w:val="96"/>
              </w:rPr>
              <w:t>ABAT</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7"/>
              </w:rPr>
              <w:t>Kevin T. Kabat</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434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NTHONY</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4"/>
                <w:szCs w:val="14"/>
                <w:color w:val="auto"/>
              </w:rPr>
              <w:t>ELONE</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Anthony J. Melone</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8"/>
                <w:szCs w:val="18"/>
                <w:color w:val="auto"/>
                <w:w w:val="97"/>
              </w:rPr>
              <w:t>/s/ S</w:t>
            </w:r>
            <w:r>
              <w:rPr>
                <w:rFonts w:ascii="Times New Roman" w:cs="Times New Roman" w:eastAsia="Times New Roman" w:hAnsi="Times New Roman"/>
                <w:sz w:val="14"/>
                <w:szCs w:val="14"/>
                <w:color w:val="auto"/>
                <w:w w:val="97"/>
              </w:rPr>
              <w:t>UNIT</w:t>
            </w:r>
            <w:r>
              <w:rPr>
                <w:rFonts w:ascii="Times New Roman" w:cs="Times New Roman" w:eastAsia="Times New Roman" w:hAnsi="Times New Roman"/>
                <w:sz w:val="18"/>
                <w:szCs w:val="18"/>
                <w:color w:val="auto"/>
                <w:w w:val="97"/>
              </w:rPr>
              <w:t xml:space="preserve"> P</w:t>
            </w:r>
            <w:r>
              <w:rPr>
                <w:rFonts w:ascii="Times New Roman" w:cs="Times New Roman" w:eastAsia="Times New Roman" w:hAnsi="Times New Roman"/>
                <w:sz w:val="14"/>
                <w:szCs w:val="14"/>
                <w:color w:val="auto"/>
                <w:w w:val="97"/>
              </w:rPr>
              <w:t>ATEL</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w w:val="98"/>
              </w:rPr>
              <w:t>Sunit Patel</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96"/>
        </w:trPr>
        <w:tc>
          <w:tcPr>
            <w:tcW w:w="4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 B</w:t>
            </w:r>
            <w:r>
              <w:rPr>
                <w:rFonts w:ascii="Times New Roman" w:cs="Times New Roman" w:eastAsia="Times New Roman" w:hAnsi="Times New Roman"/>
                <w:sz w:val="14"/>
                <w:szCs w:val="14"/>
                <w:color w:val="auto"/>
                <w:w w:val="99"/>
              </w:rPr>
              <w:t>RADLEY</w:t>
            </w:r>
            <w:r>
              <w:rPr>
                <w:rFonts w:ascii="Times New Roman" w:cs="Times New Roman" w:eastAsia="Times New Roman" w:hAnsi="Times New Roman"/>
                <w:sz w:val="18"/>
                <w:szCs w:val="18"/>
                <w:color w:val="auto"/>
                <w:w w:val="99"/>
              </w:rPr>
              <w:t xml:space="preserve"> E. S</w:t>
            </w:r>
            <w:r>
              <w:rPr>
                <w:rFonts w:ascii="Times New Roman" w:cs="Times New Roman" w:eastAsia="Times New Roman" w:hAnsi="Times New Roman"/>
                <w:sz w:val="14"/>
                <w:szCs w:val="14"/>
                <w:color w:val="auto"/>
                <w:w w:val="99"/>
              </w:rPr>
              <w:t>INGER</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Bradley E. Singer</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62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8"/>
              </w:rPr>
              <w:t>K</w:t>
            </w:r>
            <w:r>
              <w:rPr>
                <w:rFonts w:ascii="Times New Roman" w:cs="Times New Roman" w:eastAsia="Times New Roman" w:hAnsi="Times New Roman"/>
                <w:sz w:val="14"/>
                <w:szCs w:val="14"/>
                <w:color w:val="auto"/>
                <w:w w:val="98"/>
              </w:rPr>
              <w:t>EVIN</w:t>
            </w:r>
            <w:r>
              <w:rPr>
                <w:rFonts w:ascii="Times New Roman" w:cs="Times New Roman" w:eastAsia="Times New Roman" w:hAnsi="Times New Roman"/>
                <w:sz w:val="18"/>
                <w:szCs w:val="18"/>
                <w:color w:val="auto"/>
                <w:w w:val="98"/>
              </w:rPr>
              <w:t xml:space="preserve"> A. S</w:t>
            </w:r>
            <w:r>
              <w:rPr>
                <w:rFonts w:ascii="Times New Roman" w:cs="Times New Roman" w:eastAsia="Times New Roman" w:hAnsi="Times New Roman"/>
                <w:sz w:val="14"/>
                <w:szCs w:val="14"/>
                <w:color w:val="auto"/>
                <w:w w:val="98"/>
              </w:rPr>
              <w:t>TEPHENS</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Kevin A. Stephens</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83"/>
        </w:trPr>
        <w:tc>
          <w:tcPr>
            <w:tcW w:w="13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M</w:t>
            </w:r>
            <w:r>
              <w:rPr>
                <w:rFonts w:ascii="Times New Roman" w:cs="Times New Roman" w:eastAsia="Times New Roman" w:hAnsi="Times New Roman"/>
                <w:sz w:val="14"/>
                <w:szCs w:val="14"/>
                <w:color w:val="auto"/>
                <w:w w:val="98"/>
              </w:rPr>
              <w:t>ATTHEW</w:t>
            </w:r>
            <w:r>
              <w:rPr>
                <w:rFonts w:ascii="Times New Roman" w:cs="Times New Roman" w:eastAsia="Times New Roman" w:hAnsi="Times New Roman"/>
                <w:sz w:val="18"/>
                <w:szCs w:val="18"/>
                <w:color w:val="auto"/>
                <w:w w:val="98"/>
              </w:rPr>
              <w:t xml:space="preserve"> T</w:t>
            </w:r>
            <w:r>
              <w:rPr>
                <w:rFonts w:ascii="Times New Roman" w:cs="Times New Roman" w:eastAsia="Times New Roman" w:hAnsi="Times New Roman"/>
                <w:sz w:val="14"/>
                <w:szCs w:val="14"/>
                <w:color w:val="auto"/>
                <w:w w:val="98"/>
              </w:rPr>
              <w:t>HORNTON</w:t>
            </w:r>
            <w:r>
              <w:rPr>
                <w:rFonts w:ascii="Times New Roman" w:cs="Times New Roman" w:eastAsia="Times New Roman" w:hAnsi="Times New Roman"/>
                <w:sz w:val="18"/>
                <w:szCs w:val="18"/>
                <w:color w:val="auto"/>
                <w:w w:val="98"/>
              </w:rPr>
              <w:t xml:space="preserve"> III</w:t>
            </w:r>
          </w:p>
        </w:tc>
        <w:tc>
          <w:tcPr>
            <w:tcW w:w="4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2"/>
        </w:trPr>
        <w:tc>
          <w:tcPr>
            <w:tcW w:w="1380" w:type="dxa"/>
            <w:vAlign w:val="bottom"/>
          </w:tcPr>
          <w:p>
            <w:pPr>
              <w:spacing w:after="0"/>
              <w:rPr>
                <w:sz w:val="17"/>
                <w:szCs w:val="17"/>
                <w:color w:val="auto"/>
              </w:rPr>
            </w:pPr>
          </w:p>
        </w:tc>
        <w:tc>
          <w:tcPr>
            <w:tcW w:w="296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Matthew Thornton III</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857"/>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139"/>
          </w:cols>
          <w:pgMar w:left="320" w:top="876"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4.38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COMMON STOCK</w:t>
      </w:r>
    </w:p>
    <w:p>
      <w:pPr>
        <w:spacing w:after="0" w:line="25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The following description set forth certain general terms of our common stock. While we believe that the following description covers the material terms of our common stock, the descriptions may not contain all of the information that is important to you. The descriptions set forth below are not complete and are subject to, and qualified in their entirety by, our Restated Certificate of Incorporation (“Charter”), our Second Amended and Restated By-laws, as amended (“By-laws”) and the General Corporation Law of the State of Delaware (“DGCL”). Copies of our Charter and By-laws are filed as exhibits to the Annual Report on Form 10-K. You are urged to read the Charter and the By-laws in their entirety.</w:t>
      </w:r>
    </w:p>
    <w:p>
      <w:pPr>
        <w:spacing w:after="0" w:line="200" w:lineRule="exact"/>
        <w:rPr>
          <w:sz w:val="20"/>
          <w:szCs w:val="20"/>
          <w:color w:val="auto"/>
        </w:rPr>
      </w:pPr>
    </w:p>
    <w:p>
      <w:pPr>
        <w:spacing w:after="0" w:line="22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As used in this Description of Common Stock, unless otherwise expressly stated or the context otherwise requires, the terms “Company,” “Crown Castle,” “we,” “our” and “us” refer to Crown Castle Inc. (formerly, Crown Castle International Corp.) and not to any of its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Capital</w:t>
      </w:r>
    </w:p>
    <w:p>
      <w:pPr>
        <w:spacing w:after="0" w:line="25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Pursuant to the Charter, the Company is authorized to issue a total of 1,200,000,000 shares of common stock, with a par value of $0.01 per share (“Common Stock“). Shares of our Common Stock are listed for trading on the NYSE under the trading symbol “CCI.”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Voting Rights</w:t>
      </w:r>
    </w:p>
    <w:p>
      <w:pPr>
        <w:spacing w:after="0" w:line="272" w:lineRule="exact"/>
        <w:rPr>
          <w:sz w:val="20"/>
          <w:szCs w:val="20"/>
          <w:color w:val="auto"/>
        </w:rPr>
      </w:pPr>
    </w:p>
    <w:p>
      <w:pPr>
        <w:jc w:val="both"/>
        <w:ind w:firstLine="632"/>
        <w:spacing w:after="0" w:line="292" w:lineRule="auto"/>
        <w:rPr>
          <w:sz w:val="20"/>
          <w:szCs w:val="20"/>
          <w:color w:val="auto"/>
        </w:rPr>
      </w:pPr>
      <w:r>
        <w:rPr>
          <w:rFonts w:ascii="Times New Roman" w:cs="Times New Roman" w:eastAsia="Times New Roman" w:hAnsi="Times New Roman"/>
          <w:sz w:val="19"/>
          <w:szCs w:val="19"/>
          <w:color w:val="auto"/>
        </w:rPr>
        <w:t>Each share of our Common Stock is entitled to one vote. Holders of our Common Stock vote together as a single class on all matters presented for a vote of the stockholders, except as provided under the DGCL. See also “Charter and By-laws-Election and Removal of Directors”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 and Liquidation Rights</w:t>
      </w:r>
    </w:p>
    <w:p>
      <w:pPr>
        <w:spacing w:after="0" w:line="25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19"/>
          <w:szCs w:val="19"/>
          <w:color w:val="auto"/>
        </w:rPr>
        <w:t>Each share of our Common Stock is entitled to receive dividends if, as and when declared by our board of directors out of funds legally available for that purpose, subject to certain rights of holders of preferred stock. In the event of our voluntary or involuntary liquidation, dissolution or winding up, after satisfaction of amounts payable to our creditors and distribution of any preferential amounts to the holders of outstanding preferred stock, holders of our Common Stock are entitled to share ratably in the assets available for distribution to the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Provisions</w:t>
      </w:r>
    </w:p>
    <w:p>
      <w:pPr>
        <w:spacing w:after="0" w:line="259" w:lineRule="exact"/>
        <w:rPr>
          <w:sz w:val="20"/>
          <w:szCs w:val="20"/>
          <w:color w:val="auto"/>
        </w:rPr>
      </w:pPr>
    </w:p>
    <w:p>
      <w:pPr>
        <w:jc w:val="both"/>
        <w:ind w:firstLine="632"/>
        <w:spacing w:after="0" w:line="285" w:lineRule="auto"/>
        <w:rPr>
          <w:sz w:val="20"/>
          <w:szCs w:val="20"/>
          <w:color w:val="auto"/>
        </w:rPr>
      </w:pPr>
      <w:r>
        <w:rPr>
          <w:rFonts w:ascii="Times New Roman" w:cs="Times New Roman" w:eastAsia="Times New Roman" w:hAnsi="Times New Roman"/>
          <w:sz w:val="19"/>
          <w:szCs w:val="19"/>
          <w:color w:val="auto"/>
        </w:rPr>
        <w:t>The holders of our Common Stock have no preemptive, subscription or redemption rights and are not entitled to the benefit of any sinking fund. All outstanding shares of Common Stock are validly issued, fully paid and nonassessable. Under the DGCL, stockholders generally are not personally liable for a corporation’s acts or debts.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Charter and By-laws</w:t>
      </w:r>
    </w:p>
    <w:p>
      <w:pPr>
        <w:spacing w:after="0" w:line="28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Stockholders’ rights and related matters are governed by our Charter, By-laws and the DGCL. Certain provisions of our Charter and By-laws, descriptions of which are summarized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2" w:right="339" w:bottom="1440" w:gutter="0" w:footer="0" w:header="0"/>
        </w:sectPr>
      </w:pPr>
    </w:p>
    <w:bookmarkStart w:id="113" w:name="page114"/>
    <w:bookmarkEnd w:id="113"/>
    <w:p>
      <w:pPr>
        <w:jc w:val="both"/>
        <w:spacing w:after="0" w:line="269" w:lineRule="auto"/>
        <w:rPr>
          <w:sz w:val="20"/>
          <w:szCs w:val="20"/>
          <w:color w:val="auto"/>
        </w:rPr>
      </w:pPr>
      <w:r>
        <w:rPr>
          <w:rFonts w:ascii="Times New Roman" w:cs="Times New Roman" w:eastAsia="Times New Roman" w:hAnsi="Times New Roman"/>
          <w:sz w:val="19"/>
          <w:szCs w:val="19"/>
          <w:color w:val="auto"/>
        </w:rPr>
        <w:t>incorporated within this Description of Common Stock, may have the effect, either alone or in combination with each other, of discouraging or making more difficult a tender offer or takeover attempt that is opposed by our board of directors but that a stockholder might consider to be in its best interest. Such provisions may also adversely affect prevailing market prices for our Common Stock. We believe that such provisions are necessary to enable us to develop our business in a manner that will foster our long-term growth without disruption caused by the threat of a takeover not deemed by our board of directors to be in our best interests and those of our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Election and Removal of Directors</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Charter provides for the annual election of directors on our board of directors.</w:t>
      </w:r>
    </w:p>
    <w:p>
      <w:pPr>
        <w:spacing w:after="0" w:line="242" w:lineRule="exact"/>
        <w:rPr>
          <w:sz w:val="20"/>
          <w:szCs w:val="20"/>
          <w:color w:val="auto"/>
        </w:rPr>
      </w:pPr>
    </w:p>
    <w:p>
      <w:pPr>
        <w:jc w:val="both"/>
        <w:ind w:firstLine="632"/>
        <w:spacing w:after="0" w:line="277" w:lineRule="auto"/>
        <w:rPr>
          <w:sz w:val="20"/>
          <w:szCs w:val="20"/>
          <w:color w:val="auto"/>
        </w:rPr>
      </w:pPr>
      <w:r>
        <w:rPr>
          <w:rFonts w:ascii="Times New Roman" w:cs="Times New Roman" w:eastAsia="Times New Roman" w:hAnsi="Times New Roman"/>
          <w:sz w:val="19"/>
          <w:szCs w:val="19"/>
          <w:color w:val="auto"/>
        </w:rPr>
        <w:t>The Charter also provides that any director, except for directors who may be elected by the holders of any series of preferred stock, may be removed from office at any time, with or without cause, only by the affirmative vote of the holders of at least 80% of the voting power of the then outstanding Voting Stock, voting together as a single class. “Voting Stock” is defined in the Charter as the outstanding shares of our capital stock entitled to vote in a general vote of our stockholders as a single class with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 Stockholder Action by Written Consent</w:t>
      </w:r>
    </w:p>
    <w:p>
      <w:pPr>
        <w:spacing w:after="0" w:line="24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The Charter prohibits stockholders from taking action by written consent in lieu of an annual or special meeting, and, thus, stockholders may only take action at an annual or special meeting called in accordance with the By-laws. This provision would prevent the holders of a majority of the voting power of our capital stock entitled to vote from unilaterally using the written consent procedure to take stockholder 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Special Meeting of Stockholders</w:t>
      </w:r>
    </w:p>
    <w:p>
      <w:pPr>
        <w:spacing w:after="0" w:line="25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The By-laws provide that special meetings of the stockholders may be called at any time by (a) our secretary, chief executive officer or president at the direction of our board of directors pursuant to a resolution adopted by the board of directors; (b) the chief executive officer; or (c) the secretary at the written request in proper form, made in accordance with the By-laws, of one or more stockholders of record owning at least 25% of the outstanding common stock as of the date such request is delivered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Advance Notice Requirements for Stockholder Proposals and Director Nominations; Proxy Access</w:t>
      </w:r>
    </w:p>
    <w:p>
      <w:pPr>
        <w:spacing w:after="0" w:line="246" w:lineRule="exact"/>
        <w:rPr>
          <w:sz w:val="20"/>
          <w:szCs w:val="20"/>
          <w:color w:val="auto"/>
        </w:rPr>
      </w:pPr>
    </w:p>
    <w:p>
      <w:pPr>
        <w:jc w:val="both"/>
        <w:ind w:firstLine="632"/>
        <w:spacing w:after="0" w:line="270" w:lineRule="auto"/>
        <w:rPr>
          <w:sz w:val="20"/>
          <w:szCs w:val="20"/>
          <w:color w:val="auto"/>
        </w:rPr>
      </w:pPr>
      <w:r>
        <w:rPr>
          <w:rFonts w:ascii="Times New Roman" w:cs="Times New Roman" w:eastAsia="Times New Roman" w:hAnsi="Times New Roman"/>
          <w:sz w:val="19"/>
          <w:szCs w:val="19"/>
          <w:color w:val="auto"/>
        </w:rPr>
        <w:t>The By-laws establish advance notice and other procedural requirements for stockholder proposals and the nomination, other than by or at the direction of the board of directors, of candidates for election as directors. These procedures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 However, if the date of our annual meeting is more than 30 days earlier than, or more than 90 days later than, the anniversary date of our preceding year’s annual meeting, notice by a Proposing Person (as defined in the By-laws) will be considered timely if it is delivered not earlier than the 120th day prior to such annual meeting of stockholders and not later than the later of the 90th day prior to such annual meeting or the 10th day following the day on which public disclosure of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0" w:right="339" w:bottom="1440" w:gutter="0" w:footer="0" w:header="0"/>
        </w:sectPr>
      </w:pPr>
    </w:p>
    <w:bookmarkStart w:id="114" w:name="page115"/>
    <w:bookmarkEnd w:id="114"/>
    <w:p>
      <w:pPr>
        <w:jc w:val="both"/>
        <w:spacing w:after="0" w:line="271" w:lineRule="auto"/>
        <w:rPr>
          <w:sz w:val="20"/>
          <w:szCs w:val="20"/>
          <w:color w:val="auto"/>
        </w:rPr>
      </w:pPr>
      <w:r>
        <w:rPr>
          <w:rFonts w:ascii="Times New Roman" w:cs="Times New Roman" w:eastAsia="Times New Roman" w:hAnsi="Times New Roman"/>
          <w:sz w:val="19"/>
          <w:szCs w:val="19"/>
          <w:color w:val="auto"/>
        </w:rPr>
        <w:t>the annual meeting was made. The notice of nominations for the election of directors must set forth certain information concerning the Proposing Person giving the notice and each proposed nominee. In addition, the notice as to any other business that the Proposing Person proposes to bring before the meeting must set forth certain information regarding such other proposed business.</w:t>
      </w:r>
    </w:p>
    <w:p>
      <w:pPr>
        <w:spacing w:after="0" w:line="194"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By requiring advance notice of nominations by Proposing Persons, these procedures afford our board of directors an opportunity to consider the qualifications of the proposed nominees and, to the extent deemed necessary or desirable by the board of directors, to inform</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stockholders about these qualifications. By requiring advance notice of other proposed business, these procedures provide our board of directors with an opportunity to inform stockholders of any business proposed to be conducted at a meeting, together with any recommendations as to the board of directors’ position on action to be taken on such business. This should allow stockholders to better decide whether to attend a meeting or to grant a proxy for the disposition of any such business.</w:t>
      </w:r>
    </w:p>
    <w:p>
      <w:pPr>
        <w:spacing w:after="0" w:line="176" w:lineRule="exact"/>
        <w:rPr>
          <w:sz w:val="20"/>
          <w:szCs w:val="20"/>
          <w:color w:val="auto"/>
        </w:rPr>
      </w:pPr>
    </w:p>
    <w:p>
      <w:pPr>
        <w:jc w:val="both"/>
        <w:ind w:firstLine="632"/>
        <w:spacing w:after="0" w:line="274" w:lineRule="auto"/>
        <w:rPr>
          <w:sz w:val="20"/>
          <w:szCs w:val="20"/>
          <w:color w:val="auto"/>
        </w:rPr>
      </w:pPr>
      <w:r>
        <w:rPr>
          <w:rFonts w:ascii="Times New Roman" w:cs="Times New Roman" w:eastAsia="Times New Roman" w:hAnsi="Times New Roman"/>
          <w:sz w:val="19"/>
          <w:szCs w:val="19"/>
          <w:color w:val="auto"/>
        </w:rPr>
        <w:t>Our By-laws also contain a proxy access right provision to permit a stockholder, or group of up to 20 stockholders, who owns (and continues to own) 3% or more of our outstanding Common Stock and has continuously owned our Common Stock for at least three years to</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nominate and include in our proxy materials candidates for election as directors of the Company. Such stockholders or groups of stockholders may nominate up to the greater of two individuals or 20% of the board of directors, provided that the stockholders and the nominees satisfy the notice requirements specified in the By-laws and comply with the other procedural requirements.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Dilution</w:t>
      </w:r>
    </w:p>
    <w:p>
      <w:pPr>
        <w:spacing w:after="0" w:line="25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The Charter provides that our board of directors is authorized to create and issue, whether or not in connection with the issuance and sale of any of its stock or other securities or property, rights entitling the holders to purchase from us shares of stock or other securities of us or of any other corporation. Our board of directors is authorized to issue these rights even though the creation and issuance of these rights could have the effect of discouraging third parties from seeking, or impairing their right to seek, to:</w:t>
      </w:r>
    </w:p>
    <w:p>
      <w:pPr>
        <w:spacing w:after="0" w:line="186" w:lineRule="exact"/>
        <w:rPr>
          <w:sz w:val="20"/>
          <w:szCs w:val="20"/>
          <w:color w:val="auto"/>
        </w:rPr>
      </w:pPr>
    </w:p>
    <w:p>
      <w:pPr>
        <w:ind w:left="940" w:hanging="303"/>
        <w:spacing w:after="0"/>
        <w:tabs>
          <w:tab w:leader="none" w:pos="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acquire a significant portion of our outstanding securities;</w:t>
      </w:r>
    </w:p>
    <w:p>
      <w:pPr>
        <w:spacing w:after="0" w:line="3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engage in any transaction which might result in a change of control of the corporation; or</w:t>
      </w:r>
    </w:p>
    <w:p>
      <w:pPr>
        <w:spacing w:after="0" w:line="12"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enter into any agreement, arrangement or understanding with another party to accomplish these</w:t>
      </w:r>
    </w:p>
    <w:p>
      <w:pPr>
        <w:spacing w:after="0" w:line="11"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transactions or for the purpose of acquiring, holding, voting or disposing of any of our securities.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Amendments</w:t>
      </w:r>
    </w:p>
    <w:p>
      <w:pPr>
        <w:spacing w:after="0" w:line="246"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The Charter and the By-laws provide that we may amend, alter, change or repeal any provision contained in the Charter or a preferred stock designation. However, the affirmative vote of the holders of at least 80% of the voting power of the then outstanding Voting Stock, voting together as a single class, is required to amend, repeal or adopt any provision inconsistent with certain provisions of the Charter, including the provisions discussed above relating to the issuance of stockholder rights and prohibiting stockholder action by written consent.</w:t>
      </w:r>
    </w:p>
    <w:p>
      <w:pPr>
        <w:spacing w:after="0" w:line="19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Unless a higher percentage is required by the Charter as to any matter which is the subject of the By-laws, the By-laws may be amended by either the holders of a majority of the voting power of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6" w:right="339" w:bottom="1440" w:gutter="0" w:footer="0" w:header="0"/>
        </w:sectPr>
      </w:pPr>
    </w:p>
    <w:bookmarkStart w:id="115" w:name="page116"/>
    <w:bookmarkEnd w:id="115"/>
    <w:p>
      <w:pPr>
        <w:spacing w:after="0" w:line="296" w:lineRule="auto"/>
        <w:rPr>
          <w:sz w:val="20"/>
          <w:szCs w:val="20"/>
          <w:color w:val="auto"/>
        </w:rPr>
      </w:pPr>
      <w:r>
        <w:rPr>
          <w:rFonts w:ascii="Times New Roman" w:cs="Times New Roman" w:eastAsia="Times New Roman" w:hAnsi="Times New Roman"/>
          <w:sz w:val="19"/>
          <w:szCs w:val="19"/>
          <w:color w:val="auto"/>
        </w:rPr>
        <w:t>outstanding voting stock (as such term is defined in the By-laws), voting together as a single class, or by the majority of the board, but the board may alter, amend or repeal or adopt new by-laws in conflict with certain of the By-law provisions only by a two-thirds vote of the entire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Section 203 of the Delaware General Corporation Law</w:t>
      </w:r>
    </w:p>
    <w:p>
      <w:pPr>
        <w:spacing w:after="0" w:line="25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We are subject to the provisions of Section 203 of the DGCL which generally prohibit certain transactions between a Delaware corporation and an interested stockholder for a period of three years after the date such interested stockholder acquired its stock, unless:</w:t>
      </w:r>
    </w:p>
    <w:p>
      <w:pPr>
        <w:spacing w:after="0" w:line="184" w:lineRule="exact"/>
        <w:rPr>
          <w:sz w:val="20"/>
          <w:szCs w:val="20"/>
          <w:color w:val="auto"/>
        </w:rPr>
      </w:pPr>
    </w:p>
    <w:p>
      <w:pPr>
        <w:ind w:left="960" w:hanging="323"/>
        <w:spacing w:after="0" w:line="265" w:lineRule="auto"/>
        <w:tabs>
          <w:tab w:leader="none" w:pos="9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business combination is approved by the corporation’s board of directors prior to the date the interested stockholder acquired shares;</w:t>
      </w:r>
    </w:p>
    <w:p>
      <w:pPr>
        <w:ind w:left="960" w:hanging="323"/>
        <w:spacing w:after="0" w:line="252" w:lineRule="auto"/>
        <w:tabs>
          <w:tab w:leader="none" w:pos="9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interested stockholder acquired at least 85% of the voting stock of the corporation in the transaction in which it became an interested stockholder; or</w:t>
      </w:r>
    </w:p>
    <w:p>
      <w:pPr>
        <w:spacing w:after="0" w:line="1" w:lineRule="exact"/>
        <w:rPr>
          <w:rFonts w:ascii="Times New Roman" w:cs="Times New Roman" w:eastAsia="Times New Roman" w:hAnsi="Times New Roman"/>
          <w:sz w:val="18"/>
          <w:szCs w:val="18"/>
          <w:color w:val="auto"/>
        </w:rPr>
      </w:pPr>
    </w:p>
    <w:p>
      <w:pPr>
        <w:ind w:left="960" w:hanging="323"/>
        <w:spacing w:after="0" w:line="272" w:lineRule="auto"/>
        <w:tabs>
          <w:tab w:leader="none" w:pos="9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business combination is approved by a majority of the board of directors and by the affirmative vote of two-thirds of the outstanding voting stock owned by disinterested stockholders at an annual or special meeting.</w:t>
      </w:r>
    </w:p>
    <w:p>
      <w:pPr>
        <w:spacing w:after="0" w:line="193"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A business combination is defined broadly to include mergers, consolidations, sales or other dispositions of assets having an aggregate value of 10% or more of the consolidated assets of the corporation, and certain transactions that would increase the interested stockholder’s proportionate share ownership in the corporation. 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Exclusive Forum</w:t>
      </w:r>
    </w:p>
    <w:p>
      <w:pPr>
        <w:spacing w:after="0" w:line="246"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The By-laws provide that, unless we consent in writing to the selection of an alternative forum, the sole and exclusive forum for (a) any derivative action or proceeding brought on behalf of us, (b) any action asserting a claim of breach of a fiduciary duty owed by any of our current or past directors, officers or other employees to us or any of our stockholders (including any beneficial owner of our stock), (c) any action asserting a claim arising pursuant to any provision of the DGCL, the Charter or the By-Laws and (d) any action asserting a claim governed by the internal affairs doctrine, will, to the fullest extent permitted by law, be the Court of Chancery of the State of Delaware or, if such court lacks jurisdiction, any state or federal court in the state of Delaware that has jurisdiction. The By-laws also provide that, unless we consent in writing to the selection of an alternative forum, the U.S. federal courts shall be the sole and exclusive forum for the resolution of any action asserting a cause of action arising under the Securities Act of 1933, as amended. The By-laws also provide that any person (including any entity) purchasing or otherwise acquiring or holding any interest in shares of our capital stock will be deemed to have notice of and consented to the exclusive forum provisions in the By-laws.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Limitations of Directors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and Officers' Liability</w:t>
      </w:r>
    </w:p>
    <w:p>
      <w:pPr>
        <w:spacing w:after="0" w:line="25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The DGCL authorizes corporations to limit or eliminate the personal liability of directors and officers to corporations and their stockholders for monetary damages for breaches of directors’ or officers’ fiduciary duties, except for eliminating or limiting the liability of:</w:t>
      </w:r>
    </w:p>
    <w:p>
      <w:pPr>
        <w:spacing w:after="0" w:line="184" w:lineRule="exact"/>
        <w:rPr>
          <w:sz w:val="20"/>
          <w:szCs w:val="20"/>
          <w:color w:val="auto"/>
        </w:rPr>
      </w:pPr>
    </w:p>
    <w:p>
      <w:pPr>
        <w:ind w:left="940" w:hanging="303"/>
        <w:spacing w:after="0"/>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director or officer for any breach of the director’s or officer’s duty of loyalty to us or our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0" w:right="339" w:bottom="1440" w:gutter="0" w:footer="0" w:header="0"/>
        </w:sectPr>
      </w:pPr>
    </w:p>
    <w:bookmarkStart w:id="116" w:name="page117"/>
    <w:bookmarkEnd w:id="116"/>
    <w:p>
      <w:pPr>
        <w:ind w:left="940" w:hanging="303"/>
        <w:spacing w:after="0"/>
        <w:tabs>
          <w:tab w:leader="none" w:pos="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director or officer for acts of omissions not in good faith or which involve intentional misconduct or a knowing violation of law;</w:t>
      </w:r>
    </w:p>
    <w:p>
      <w:pPr>
        <w:spacing w:after="0" w:line="3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director under Section 174 of the DGCL;</w:t>
      </w:r>
    </w:p>
    <w:p>
      <w:pPr>
        <w:spacing w:after="0" w:line="12"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director or officer for any transaction from which the director or officer derived an improper personal benefit; and</w:t>
      </w:r>
    </w:p>
    <w:p>
      <w:pPr>
        <w:spacing w:after="0" w:line="11"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 in any action by or in the right of the corporation.</w:t>
      </w:r>
    </w:p>
    <w:p>
      <w:pPr>
        <w:spacing w:after="0" w:line="227"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The Charter provides that none of our directors or officers will be personally liable to us or our stockholders for monetary damages for breach of fiduciary duty as a director or officer to the fullest extent permitted by the DGCL, as currently in effect or hereafter amended.</w:t>
      </w:r>
    </w:p>
    <w:p>
      <w:pPr>
        <w:spacing w:after="0" w:line="172"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The effect of these provisions is to eliminate our rights and the rights of our stockholders (through stockholders’ derivatives suits on behalf of us with respect to actions brought against directors) to recover monetary damages against a director or officer for breach of fiduciary duty as a director or officer (including breaches resulting from grossly negligent behavior), except in the situations described above. These provisions do not limit the liability of directors or officers under federal securities laws, do not limit the ability to bring an action against an officer on behalf of us (through a stockholders’ derivative suit), and do not affect the availability of equitable remedies such as an injunction or rescission based upon a director’s or officer’s breach of his duty of care.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Ownership Limitations and Transfer Restrictions</w:t>
      </w:r>
    </w:p>
    <w:p>
      <w:pPr>
        <w:spacing w:after="0" w:line="25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To facilitate our continued qualification as a real estate investment trust (“REIT”) under the Internal Revenue Code of 1986, as amended (“Code”), the Charter contains ownership limitations and transfer restrictions on our capital stock. These ownership limitations and transfer restrictions could delay, defer or prevent a transaction or a change in control of us that might involve a premium price for our capital stock or otherwise be in the best interest of our stockholders. All certificates representing shares of capital stock bear a legend describing such ownership limitations and transfer restrictions.</w:t>
      </w:r>
    </w:p>
    <w:p>
      <w:pPr>
        <w:spacing w:after="0" w:line="202"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In order for us to continue to satisfy the requirements for REIT qualification under the Code,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To satisfy these ownership requirements and other requirements for continued qualification as a REIT and to otherwise protect us from the consequences of a concentration of ownership among our stockholders, the Charter contains provisions limiting the ownership and restricting the transfer of shares of our capital stock.</w:t>
      </w:r>
    </w:p>
    <w:p>
      <w:pPr>
        <w:spacing w:after="0" w:line="200" w:lineRule="exact"/>
        <w:rPr>
          <w:sz w:val="20"/>
          <w:szCs w:val="20"/>
          <w:color w:val="auto"/>
        </w:rPr>
      </w:pPr>
    </w:p>
    <w:p>
      <w:pPr>
        <w:spacing w:after="0" w:line="241"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The relevant section of the Charter provides that, among other things and subject to certain exceptions described below, no “Person” (as defined in the Charter) may beneficially or constructively own, or be deemed to beneficially or constructively own by virtue of the attribution provisions of the Code, more than 9.8%, by value or number of shares, whichever is more restrictive, of the outstanding shares of our Common Stock (which restriction we refer to as the “common stock ownership limit”), or 9.8% in aggregate value of the outstanding shares of all classes and series of our capital stock (which restriction we refer to as the “aggregate stock ownership limit”).</w:t>
      </w:r>
    </w:p>
    <w:p>
      <w:pPr>
        <w:spacing w:after="0" w:line="202"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The applicable constructive ownership rules under the Code are complex and may cause capital stock owned actually or constructively by a group of related individuals or entities to be treated as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80"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19"/>
          <w:szCs w:val="19"/>
          <w:color w:val="auto"/>
        </w:rPr>
        <w:t>by one individual or entity. As a result, the acquisition of less than 9.8% in value of our outstanding capital stock or less than 9.8% in value or number of our outstanding shares of Common Stock (including through the acquisition of an interest in an entity that owns, actually or constructively, our Common Stock) by an individual or entity could nevertheless cause that individual or entity, or another individual or entity, to own, constructively or beneficially, in excess of 9.8% in value of our outstanding capital stock or 9.8% in value or number of our outstanding shares of Common Stock. The number and value of our outstanding shares of capital stock (or any class or series thereof) beneficially or constructively owned by any individual or entity shall be determined by our board of directors, whose determination shall be binding and conclusive.</w:t>
      </w:r>
    </w:p>
    <w:p>
      <w:pPr>
        <w:spacing w:after="0" w:line="18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Our board of directors, in its sole discretion, may (prospectively or retroactively) exempt a person from the aggregate stock ownership limit and common stock ownership limit described above and may establish different limits on ownership for any such person (which we refer to as an “excepted holder limit”) and may (prospectively or retroactively) increase any excepted holder limit with respect to any person. However, our board of directors may not exempt any person or increase an excepted holder limit for any person whose ownership of outstanding capital stock would violate the other provisions on transferability and ownership set forth in the Charter and described below. In order to be considered by our board of directors for an exemption from the aggregate stock ownership limit and common stock ownership limit or for an increase in an excepted holder limit, a person must make such representations and undertakings as our board of directors determines are reasonably necessary to determine that no person’s beneficial or constructive ownership of our capital stock will violate the other provisions on transferability and ownership set forth in the Charter and described below, and that such person does not and will not own, actually or constructively, an interest in a tenant of ours that would cause us to own, actually or constructively, more than a 9.9% interest in such tenant. As a condition to such exemption or such increase in an excepted holder limit, our board of directors may require an opinion of counsel or Internal Revenue Service ruling satisfactory to our board of directors and may impose such other conditions or restrictions as it deems necessary, appropriate or desirable in connection with granting such exemption or such increase in an excepted holder limit.</w:t>
      </w:r>
    </w:p>
    <w:p>
      <w:pPr>
        <w:spacing w:after="0" w:line="20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Our board of directors, in its sole discretion, may also increase or decrease the aggregate stock ownership limit and common stock ownership limit for all stockholders, provided that the new ownership limits would not allow five or fewer persons to beneficially own more than 49.9% of the value of our outstanding capital stock. A reduced aggregate stock ownership limit and common stock ownership limit will not apply to any person whose percentage ownership of our capital stock or our Common Stock, as applicable, is in excess of such decreased ownership limit, until such time as such person’s percentage ownership of our capital stock or our Common Stock, as applicable, equals or falls below such decreased ownership limit. However, until such time as such person’s percentage ownership of our capital stock or our Common Stock, as applicable, falls below such decreased ownership limit any further acquisition of our capital stock or our Common Stock, as applicable, will be in violation of the decreased ownership limit.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Charter further prohibits:</w:t>
      </w:r>
    </w:p>
    <w:p>
      <w:pPr>
        <w:spacing w:after="0" w:line="242" w:lineRule="exact"/>
        <w:rPr>
          <w:sz w:val="20"/>
          <w:szCs w:val="20"/>
          <w:color w:val="auto"/>
        </w:rPr>
      </w:pPr>
    </w:p>
    <w:p>
      <w:pPr>
        <w:jc w:val="both"/>
        <w:ind w:left="960" w:hanging="323"/>
        <w:spacing w:after="0" w:line="260" w:lineRule="auto"/>
        <w:tabs>
          <w:tab w:leader="none" w:pos="9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any person from beneficially owning shares of our capital stock to the extent that such beneficial ownership would result in our being “closely held” within the meaning of Section 856(h) of the Code (without regard to whether the ownership interest is held during the last half of a taxable year);</w:t>
      </w:r>
    </w:p>
    <w:p>
      <w:pPr>
        <w:spacing w:after="0" w:line="2" w:lineRule="exact"/>
        <w:rPr>
          <w:rFonts w:ascii="Times New Roman" w:cs="Times New Roman" w:eastAsia="Times New Roman" w:hAnsi="Times New Roman"/>
          <w:sz w:val="18"/>
          <w:szCs w:val="18"/>
          <w:color w:val="auto"/>
        </w:rPr>
      </w:pPr>
    </w:p>
    <w:p>
      <w:pPr>
        <w:ind w:left="960" w:hanging="323"/>
        <w:spacing w:after="0" w:line="280" w:lineRule="auto"/>
        <w:tabs>
          <w:tab w:leader="none" w:pos="9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any person from beneficially or constructively owning shares of our capital stock to the extent that such beneficial or constructive ownership would otherwise result in our failing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6" w:right="339" w:bottom="1440" w:gutter="0" w:footer="0" w:header="0"/>
        </w:sectPr>
      </w:pPr>
    </w:p>
    <w:bookmarkStart w:id="118" w:name="page119"/>
    <w:bookmarkEnd w:id="118"/>
    <w:p>
      <w:pPr>
        <w:jc w:val="both"/>
        <w:ind w:left="960"/>
        <w:spacing w:after="0" w:line="260" w:lineRule="auto"/>
        <w:rPr>
          <w:sz w:val="20"/>
          <w:szCs w:val="20"/>
          <w:color w:val="auto"/>
        </w:rPr>
      </w:pPr>
      <w:r>
        <w:rPr>
          <w:rFonts w:ascii="Times New Roman" w:cs="Times New Roman" w:eastAsia="Times New Roman" w:hAnsi="Times New Roman"/>
          <w:sz w:val="19"/>
          <w:szCs w:val="19"/>
          <w:color w:val="auto"/>
        </w:rPr>
        <w:t>qualify as a REIT (including, but not limited to, beneficial ownership or constructive ownership that would result in our actually owning or constructively owning an interest in a tenant that is described in Section 856(d)(2)(B) of the Code if the income derived by us from such tenant would cause us to fail to satisfy any of the gross income requirements of Section 856(c) of the Code);</w:t>
      </w:r>
    </w:p>
    <w:p>
      <w:pPr>
        <w:spacing w:after="0" w:line="2" w:lineRule="exact"/>
        <w:rPr>
          <w:sz w:val="20"/>
          <w:szCs w:val="20"/>
          <w:color w:val="auto"/>
        </w:rPr>
      </w:pPr>
    </w:p>
    <w:p>
      <w:pPr>
        <w:jc w:val="both"/>
        <w:ind w:left="960" w:hanging="323"/>
        <w:spacing w:after="0" w:line="255" w:lineRule="auto"/>
        <w:tabs>
          <w:tab w:leader="none" w:pos="95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any person from beneficially or constructively owning shares of our capital stock to the extent such beneficial or constructive ownership could result in our failing to qualify as a “domestically controlled qualified investment entity” within the meaning of Section 897(h)(4)(B) of the Code; and</w:t>
      </w:r>
    </w:p>
    <w:p>
      <w:pPr>
        <w:spacing w:after="0" w:line="1" w:lineRule="exact"/>
        <w:rPr>
          <w:rFonts w:ascii="Times New Roman" w:cs="Times New Roman" w:eastAsia="Times New Roman" w:hAnsi="Times New Roman"/>
          <w:sz w:val="18"/>
          <w:szCs w:val="18"/>
          <w:color w:val="auto"/>
        </w:rPr>
      </w:pPr>
    </w:p>
    <w:p>
      <w:pPr>
        <w:ind w:left="960" w:hanging="323"/>
        <w:spacing w:after="0" w:line="265" w:lineRule="auto"/>
        <w:tabs>
          <w:tab w:leader="none" w:pos="95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any person from transferring shares of our capital stock if such transfer would result in shares of our capital stock being beneficially owned by fewer than 100 persons (determined under the principles of Section 856(a)(5) of the Code).</w:t>
      </w:r>
    </w:p>
    <w:p>
      <w:pPr>
        <w:spacing w:after="0" w:line="200"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The foregoing provisions on transferability and ownership, including the aggregate stock ownership limit and common stock ownership limit, will not apply if our board of directors determines that it is no longer in our best interests to continue to qualify as a REIT.</w:t>
      </w:r>
    </w:p>
    <w:p>
      <w:pPr>
        <w:spacing w:after="0" w:line="184"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Any person who acquires or attempts or intends to acquire beneficial or constructive ownership of shares of our capital stock that will or may violate the aggregate stock ownership limit and common stock ownership limit or any of the other foregoing restrictions on transferability and ownership will be required to give written notice to us immediately (or, in the case of a proposed or attempted transaction, written notice at least 15 days prior to such transaction) and provide us with such other information as we may request in order to determine the effect, if any, of such transfer on our status as a REIT and to ensure compliance with the aggregate stock ownership limit and common stock ownership limit.</w:t>
      </w:r>
    </w:p>
    <w:p>
      <w:pPr>
        <w:spacing w:after="0" w:line="202"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Pursuant to the Charter, if there is any purported transfer of our capital stock or other event or change of circumstances that, if effective,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capital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No purported transferee shall acquire any rights in such shares and any dividend or other distribution paid to the purported transferee, prior to our discovery that the shares had been automatically transferred to a trust as described above, must be repaid to the trustee upon demand. If the transfer to the trust as described above is not automatically effective, for any reason, to prevent violation of the applicable restriction contained in the Charter, then the transfer of the excess shares will be automatically void and of no force or effect.</w:t>
      </w:r>
    </w:p>
    <w:p>
      <w:pPr>
        <w:spacing w:after="0" w:line="193"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Shares of our capital stock transferred to the trustee are deemed to be offered for sale to us or our designee at a price per share equal to the lesser of (i) the price per share paid by the purported transferee for the shares or, if the purported transferee did not give value for the shares in connection with the event causing the shares to be held in trust (e.g., in the case of a gift, devise or other such transaction), the market price on the day of such event and (ii) the market price of the shares on the date we accept, or our designee accepts, such offer. We have the right to accept such offer until the trustee has sold the shares of our capital stock held in the trust pursuant to the clauses discussed below. We may reduce the amount payable to the purported transferee by the amount of dividends or other distributions that we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80" w:right="339" w:bottom="1440" w:gutter="0" w:footer="0" w:header="0"/>
        </w:sectPr>
      </w:pPr>
    </w:p>
    <w:bookmarkStart w:id="119" w:name="page120"/>
    <w:bookmarkEnd w:id="119"/>
    <w:p>
      <w:pPr>
        <w:jc w:val="both"/>
        <w:spacing w:after="0" w:line="267" w:lineRule="auto"/>
        <w:rPr>
          <w:sz w:val="20"/>
          <w:szCs w:val="20"/>
          <w:color w:val="auto"/>
        </w:rPr>
      </w:pPr>
      <w:r>
        <w:rPr>
          <w:rFonts w:ascii="Times New Roman" w:cs="Times New Roman" w:eastAsia="Times New Roman" w:hAnsi="Times New Roman"/>
          <w:sz w:val="19"/>
          <w:szCs w:val="19"/>
          <w:color w:val="auto"/>
        </w:rPr>
        <w:t>purported transferee prior to our discovery that the shares had been transferred to the trust and that is owed by the purported transferee to the trustee as described above. We shall pay the amount of such reduction to the trustee for the benefit of the charitable beneficiary. Upon a sale to us, the interest of the charitable beneficiary in the shares sold terminates and the trustee must distribute the net proceeds of the sale to the purported transferee and any dividends or other distributions held by the trustee shall be paid to the charitable beneficiary.</w:t>
      </w:r>
    </w:p>
    <w:p>
      <w:pPr>
        <w:spacing w:after="0" w:line="186"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If we do not buy the shares, the trustee must,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dividends or other distributions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dividends or other distributions held by the trustee with respect to such capital stock. In addition, if prior to our discovery that shares of our capital stock have been transferred to a trust, such shares of capital stock are sold by a purported transferee, then such shares will be deemed to have been sold on behalf of the trust and, to the extent that the purported transferee received an amount for or in respect of such shares that exceeds the amount that such purported transferee was entitled to receive as described above, such excess amount shall be paid to the trustee upon demand and immediately paid to the charitable beneficiary. The purported transferee will have no rights in the shares held by the trustee.</w:t>
      </w:r>
    </w:p>
    <w:p>
      <w:pPr>
        <w:spacing w:after="0" w:line="21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The trustee will be designated by us and must be unaffiliated with us and with any purported transferee. Prior to the sale of any shares by the trust, the trustee will receive, in trust for the beneficiary, all dividends and other distributions paid by us with respect to the shares, and may also exercise all voting rights with respect to the shares.</w:t>
      </w:r>
    </w:p>
    <w:p>
      <w:pPr>
        <w:spacing w:after="0" w:line="181"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Subject to the DGCL, effective as of the date that the shares have been transferred to the trust, the trustee will have the authority, at the trustee’s sole discretion:</w:t>
      </w:r>
    </w:p>
    <w:p>
      <w:pPr>
        <w:spacing w:after="0" w:line="172" w:lineRule="exact"/>
        <w:rPr>
          <w:sz w:val="20"/>
          <w:szCs w:val="20"/>
          <w:color w:val="auto"/>
        </w:rPr>
      </w:pPr>
    </w:p>
    <w:p>
      <w:pPr>
        <w:ind w:left="940" w:hanging="303"/>
        <w:spacing w:after="0"/>
        <w:tabs>
          <w:tab w:leader="none" w:pos="9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to rescind as void any vote cast by a purported transferee prior to our discovery that the shares have been transferred to the trust; and</w:t>
      </w:r>
    </w:p>
    <w:p>
      <w:pPr>
        <w:spacing w:after="0" w:line="27"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to recast the vote in accordance with the desires of the trustee acting for the benefit of the charitable beneficiary of the trust.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However, if we have already taken irreversible corporate action, then the trustee may not rescind and recast the vote.</w:t>
      </w:r>
    </w:p>
    <w:p>
      <w:pPr>
        <w:spacing w:after="0" w:line="242"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In addition, if our board of directors determines that a proposed or purported transfer would violate the restrictions on ownership and transfer of our capital stock set forth in the Charter, our board of directors may take such action as it deems necessary, appropriate or desirable to refuse to give effect to or to prevent such violation, including causing us to redeem shares of our capital stock, refusing to give effect to the transfer on our books or instituting proceedings to enjoin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80" w:right="339" w:bottom="1440" w:gutter="0" w:footer="0" w:header="0"/>
        </w:sectPr>
      </w:pPr>
    </w:p>
    <w:bookmarkStart w:id="120" w:name="page121"/>
    <w:bookmarkEnd w:id="120"/>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Within 30 days after the end of each taxable year, every owner of more than 5% (or such lower percentage as required by the Code or the Treasury regulations thereunder) of the outstanding shares of our capital stock must provide us written notice of the person’s name and address, the number of shares of each class and series of our capital stock that such person beneficially or constructively owns and a description of the manner in which the shares are held. Each such owner must also provide us with such additional information as we may request in order to determine the effect, if any, of such owner’s beneficial or constructive ownership on our qualification as a REIT and to ensure compliance with the aggregate stock ownership limit and common stock ownership limit. In addition, each beneficial or constructive owner of our capital stock, and any person (including the stockholder of record) who is holding shares of our capital stock for a beneficial or constructive owner will, upon demand, be required to provide us with such information as we may request in order to determine our qualification as a REIT and to comply with the requirements of any taxing authority or governmental authority or to determine such compliance and to ensure compliance with the aggregate stock ownership limit and common stock ownership limit.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 and Registrar</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Computershare Inc. is the transfer agent and registrar for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SEVERANCE AGREEMENT</w:t>
      </w:r>
    </w:p>
    <w:p>
      <w:pPr>
        <w:spacing w:after="0" w:line="249" w:lineRule="exact"/>
        <w:rPr>
          <w:sz w:val="20"/>
          <w:szCs w:val="20"/>
          <w:color w:val="auto"/>
        </w:rPr>
      </w:pPr>
    </w:p>
    <w:p>
      <w:pPr>
        <w:ind w:left="20" w:firstLine="632"/>
        <w:spacing w:after="0" w:line="282" w:lineRule="auto"/>
        <w:rPr>
          <w:sz w:val="20"/>
          <w:szCs w:val="20"/>
          <w:color w:val="auto"/>
        </w:rPr>
      </w:pPr>
      <w:r>
        <w:rPr>
          <w:rFonts w:ascii="Times New Roman" w:cs="Times New Roman" w:eastAsia="Times New Roman" w:hAnsi="Times New Roman"/>
          <w:sz w:val="21"/>
          <w:szCs w:val="21"/>
          <w:color w:val="auto"/>
        </w:rPr>
        <w:t>SEVERANCE AGREEMENT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effective April 11, 2024 ("</w:t>
      </w:r>
      <w:r>
        <w:rPr>
          <w:rFonts w:ascii="Times New Roman" w:cs="Times New Roman" w:eastAsia="Times New Roman" w:hAnsi="Times New Roman"/>
          <w:sz w:val="21"/>
          <w:szCs w:val="21"/>
          <w:u w:val="single" w:color="auto"/>
          <w:color w:val="auto"/>
        </w:rPr>
        <w:t>Commencement Date</w:t>
      </w:r>
      <w:r>
        <w:rPr>
          <w:rFonts w:ascii="Times New Roman" w:cs="Times New Roman" w:eastAsia="Times New Roman" w:hAnsi="Times New Roman"/>
          <w:sz w:val="21"/>
          <w:szCs w:val="21"/>
          <w:color w:val="auto"/>
        </w:rPr>
        <w:t>") by and between Crown Castle Inc. and Steven J. Moskowitz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20" w:right="120" w:firstLine="632"/>
        <w:spacing w:after="0" w:line="282" w:lineRule="auto"/>
        <w:rPr>
          <w:sz w:val="20"/>
          <w:szCs w:val="20"/>
          <w:color w:val="auto"/>
        </w:rPr>
      </w:pPr>
      <w:r>
        <w:rPr>
          <w:rFonts w:ascii="Times New Roman" w:cs="Times New Roman" w:eastAsia="Times New Roman" w:hAnsi="Times New Roman"/>
          <w:sz w:val="21"/>
          <w:szCs w:val="21"/>
          <w:color w:val="auto"/>
        </w:rPr>
        <w:t>This Agreement sets forth the terms and conditions of contingent severance arrangements between the Company (as defined below) and the Executive and cancels and supersedes all other severance related agreements between the parties.</w:t>
      </w:r>
    </w:p>
    <w:p>
      <w:pPr>
        <w:spacing w:after="0" w:line="169" w:lineRule="exact"/>
        <w:rPr>
          <w:sz w:val="20"/>
          <w:szCs w:val="20"/>
          <w:color w:val="auto"/>
        </w:rPr>
      </w:pPr>
    </w:p>
    <w:p>
      <w:pPr>
        <w:ind w:left="640" w:hanging="630"/>
        <w:spacing w:after="0"/>
        <w:tabs>
          <w:tab w:leader="none" w:pos="64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w:t>
      </w:r>
    </w:p>
    <w:p>
      <w:pPr>
        <w:spacing w:after="0" w:line="24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purposes hereof, the following defined terms have the meanings set forth below:</w:t>
      </w:r>
    </w:p>
    <w:p>
      <w:pPr>
        <w:spacing w:after="0" w:line="245" w:lineRule="exact"/>
        <w:rPr>
          <w:rFonts w:ascii="Times New Roman" w:cs="Times New Roman" w:eastAsia="Times New Roman" w:hAnsi="Times New Roman"/>
          <w:sz w:val="21"/>
          <w:szCs w:val="21"/>
          <w:color w:val="auto"/>
        </w:rPr>
      </w:pPr>
    </w:p>
    <w:p>
      <w:pPr>
        <w:jc w:val="both"/>
        <w:ind w:left="640" w:right="80"/>
        <w:spacing w:after="0" w:line="26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means all (i) accrued but unpaid Base Salary to the Executive’s Date of Termination, (ii) any earned but unpaid bonus (other than the Current Annual Bonus and Prior Year Bonus), (iii) up to 80 hours of accrued and unused PTO if accumulated at the date of Executive’s termination; and (iv) any benefits for which the Executive is eligible under the terms of any benefit Plan of the Company or its subsidiaries.</w:t>
      </w:r>
    </w:p>
    <w:p>
      <w:pPr>
        <w:spacing w:after="0" w:line="187"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means the Executive’s target annual bonus for the calendar year with the Date of Termination.</w:t>
      </w:r>
    </w:p>
    <w:p>
      <w:pPr>
        <w:spacing w:after="0" w:line="245" w:lineRule="exact"/>
        <w:rPr>
          <w:rFonts w:ascii="Times New Roman" w:cs="Times New Roman" w:eastAsia="Times New Roman" w:hAnsi="Times New Roman"/>
          <w:sz w:val="21"/>
          <w:szCs w:val="21"/>
          <w:color w:val="auto"/>
        </w:rPr>
      </w:pPr>
    </w:p>
    <w:p>
      <w:pPr>
        <w:jc w:val="both"/>
        <w:ind w:left="640" w:right="80"/>
        <w:spacing w:after="0" w:line="27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means the greater of (i) the Executive’s annual base salary as of the date of Executive’s Qualifying Termination (without taking into account any reductions that constitute Good Reason), or (ii) if applicable, the Executive’s annual base salary in effect on the date of a Change in Control.</w:t>
      </w:r>
    </w:p>
    <w:p>
      <w:pPr>
        <w:spacing w:after="0" w:line="182" w:lineRule="exact"/>
        <w:rPr>
          <w:rFonts w:ascii="Times New Roman" w:cs="Times New Roman" w:eastAsia="Times New Roman" w:hAnsi="Times New Roman"/>
          <w:sz w:val="21"/>
          <w:szCs w:val="21"/>
          <w:color w:val="auto"/>
        </w:rPr>
      </w:pPr>
    </w:p>
    <w:p>
      <w:pPr>
        <w:jc w:val="both"/>
        <w:ind w:left="640" w:right="10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means (i) the Executive’s conviction of, or plea of guilty or </w:t>
      </w:r>
      <w:r>
        <w:rPr>
          <w:rFonts w:ascii="Times New Roman" w:cs="Times New Roman" w:eastAsia="Times New Roman" w:hAnsi="Times New Roman"/>
          <w:sz w:val="21"/>
          <w:szCs w:val="21"/>
          <w:u w:val="single" w:color="auto"/>
          <w:color w:val="auto"/>
        </w:rPr>
        <w:t>nolo contendere</w:t>
      </w:r>
      <w:r>
        <w:rPr>
          <w:rFonts w:ascii="Times New Roman" w:cs="Times New Roman" w:eastAsia="Times New Roman" w:hAnsi="Times New Roman"/>
          <w:sz w:val="21"/>
          <w:szCs w:val="21"/>
          <w:color w:val="auto"/>
        </w:rPr>
        <w:t xml:space="preserve"> to, any criminal violation involving dishonesty, fraud or breach of trust, or any felony which materially adversely affects the Company, or (ii) willful engagement by the Executive in gross misconduct in the performance of duties owed the Company that materially adversely affects the Company.</w:t>
      </w:r>
    </w:p>
    <w:p>
      <w:pPr>
        <w:spacing w:after="0" w:line="207"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has the meaning set forth on Schedule 1 hereto.</w:t>
      </w:r>
    </w:p>
    <w:p>
      <w:pPr>
        <w:spacing w:after="0" w:line="245" w:lineRule="exact"/>
        <w:rPr>
          <w:rFonts w:ascii="Times New Roman" w:cs="Times New Roman" w:eastAsia="Times New Roman" w:hAnsi="Times New Roman"/>
          <w:sz w:val="21"/>
          <w:szCs w:val="21"/>
          <w:color w:val="auto"/>
        </w:rPr>
      </w:pPr>
    </w:p>
    <w:p>
      <w:pPr>
        <w:ind w:left="640" w:right="100"/>
        <w:spacing w:after="0" w:line="28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means the period beginning on the date of a Change in Control and ending on the second anniversary of that Change in Control.</w:t>
      </w:r>
    </w:p>
    <w:p>
      <w:pPr>
        <w:spacing w:after="0" w:line="169"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1.7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Internal Revenue Code of 1986, as amended.</w:t>
      </w:r>
    </w:p>
    <w:p>
      <w:pPr>
        <w:spacing w:after="0" w:line="24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Crown Castle Inc. and any successors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40"/>
          </w:cols>
          <w:pgMar w:left="420" w:top="119" w:right="339" w:bottom="1440" w:gutter="0" w:footer="0" w:header="0"/>
        </w:sectPr>
      </w:pPr>
    </w:p>
    <w:bookmarkStart w:id="122" w:name="page123"/>
    <w:bookmarkEnd w:id="122"/>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u w:val="single" w:color="auto"/>
          <w:color w:val="auto"/>
        </w:rPr>
        <w:t>Current Annual Bonus</w:t>
      </w:r>
      <w:r>
        <w:rPr>
          <w:rFonts w:ascii="Times New Roman" w:cs="Times New Roman" w:eastAsia="Times New Roman" w:hAnsi="Times New Roman"/>
          <w:sz w:val="21"/>
          <w:szCs w:val="21"/>
          <w:color w:val="auto"/>
        </w:rPr>
        <w:t>" means the Executive’s target annual bonus for the calendar year with the Date of Termination, prorated on a daily basis from the beginning of the calendar year to the Date of Termination.</w:t>
      </w:r>
    </w:p>
    <w:p>
      <w:pPr>
        <w:spacing w:after="0" w:line="16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means the effective date of the termination of the Executive’s employment with the Company and its subsidiaries (as set forth in the Notice of Termination, if applicable) and interpreted consistently as a "separation from service" under Section 409A of the Code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1.11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the Executive’s inability to perform the primary duties of Executive’s position for at least 180 consecutive days due to a physical or mental impairment and confirmed by a medical examination to the Company’s satisfaction.</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1.12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(i) the assignment to the Executive of any duties materially inconsistent with the Executive’s position, authority, duties or responsibilities as of the date hereof or as of the date immediately preceding a Change in Control, if applicable, or any other action by the Company that results in a material diminution in such position, authority, duties or responsibilities; (ii) a decrease in the Executive’s Base Salary or significant decrease in annual or long term bonus opportunity; (iii) a material reduction in any material benefits or other compensation provided to the Executive; (iv) the Company requiring the Executive primarily to be based at any office or location other than his principal residence; (v) the Company’s material failure to comply with its obligations under this Agreement; or (vi) the Company giving Notice (as defined in Section 2.1 (i)). For purposes of any determination regarding the existence of Good Reason during the Change in Control Period, any good faith determination by the Executive that Good Reason exists shall be presumed to be correct unless the Company establishes by clear and convincing evidence that Good Reason does not exist.</w:t>
      </w:r>
    </w:p>
    <w:p>
      <w:pPr>
        <w:spacing w:after="0" w:line="2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1.13 "</w:t>
      </w:r>
      <w:r>
        <w:rPr>
          <w:rFonts w:ascii="Times New Roman" w:cs="Times New Roman" w:eastAsia="Times New Roman" w:hAnsi="Times New Roman"/>
          <w:sz w:val="21"/>
          <w:szCs w:val="21"/>
          <w:u w:val="single" w:color="auto"/>
          <w:color w:val="auto"/>
        </w:rPr>
        <w:t>Non-Qualifying Termination</w:t>
      </w:r>
      <w:r>
        <w:rPr>
          <w:rFonts w:ascii="Times New Roman" w:cs="Times New Roman" w:eastAsia="Times New Roman" w:hAnsi="Times New Roman"/>
          <w:sz w:val="21"/>
          <w:szCs w:val="21"/>
          <w:color w:val="auto"/>
        </w:rPr>
        <w:t>" means any termination of the Executive’s employment with the Company and its subsidiaries other than a Qualifying Termination.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u w:val="single" w:color="auto"/>
          <w:color w:val="auto"/>
        </w:rPr>
        <w:t>Normal Option Expiration Date</w:t>
      </w:r>
      <w:r>
        <w:rPr>
          <w:rFonts w:ascii="Times New Roman" w:cs="Times New Roman" w:eastAsia="Times New Roman" w:hAnsi="Times New Roman"/>
          <w:sz w:val="21"/>
          <w:szCs w:val="21"/>
          <w:color w:val="auto"/>
        </w:rPr>
        <w:t>" means the normal expiration of each of the Stock Options without taking into account any accelerated expiration date provisions relating to termination of employment, board membership or otherwise.</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means a written notice of the termination of the Executive’s employment that (i) indicates the specific termination provision in this Agreement relied upon, (ii) sets forth in reasonable detail, if applicable, the facts and circumstances claimed to provide a basis for termination of the Executive’s employment under the provision so indicated, and (iii) if the Date of Termination is other than the date of receipt of such notice, specifies the termination date. The failure by the Executive to set forth in the Notice of Termination any fact or circumstance that contributes to a showing of Good Reason shall not waive any right of the Executive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420"/>
          </w:cols>
          <w:pgMar w:left="1060" w:top="1388" w:right="4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color w:val="auto"/>
        </w:rPr>
        <w:t>hereunder or preclude the Executive from asserting such fact or circumstance in enforcing the Executive’s rights hereunder.</w:t>
      </w:r>
    </w:p>
    <w:p>
      <w:pPr>
        <w:spacing w:after="0" w:line="2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u w:val="single" w:color="auto"/>
          <w:color w:val="auto"/>
        </w:rPr>
        <w:t>Performance Awards</w:t>
      </w:r>
      <w:r>
        <w:rPr>
          <w:rFonts w:ascii="Times New Roman" w:cs="Times New Roman" w:eastAsia="Times New Roman" w:hAnsi="Times New Roman"/>
          <w:sz w:val="21"/>
          <w:szCs w:val="21"/>
          <w:color w:val="auto"/>
        </w:rPr>
        <w:t>" means any Stock Options or Restricted Stock Awards granted to Executive with a stock price performance or other performance requirement for vesting that has not been satisfied as of the Date of Termination; provided, that employment by the Executive is not a performance requirement.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1.17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plan, program, practice, arrangement, or policy.</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u w:val="single" w:color="auto"/>
          <w:color w:val="auto"/>
        </w:rPr>
        <w:t>Plan Economic Equivalent</w:t>
      </w:r>
      <w:r>
        <w:rPr>
          <w:rFonts w:ascii="Times New Roman" w:cs="Times New Roman" w:eastAsia="Times New Roman" w:hAnsi="Times New Roman"/>
          <w:sz w:val="21"/>
          <w:szCs w:val="21"/>
          <w:color w:val="auto"/>
        </w:rPr>
        <w:t>" means (i) the costs of a reasonable comparable substitute Plan selected by the Executive and Company for any Plan which does not permit the Executive’s continued participation after the Date of Termination plus a gross up amount for any increases in net income taxes to the Executive relating to such provision of a substitute Plan or (ii) if Executive becomes covered by another benefit Plan, the Company’s incremental costs savings of not providing such benefits to the Executive, commencing 30 days after written notice from Executive to terminate such benefits plus any additional reasonable Plan or benefit notice or termination period the Company reasonably needs to receive costs savings.</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1.19 "</w:t>
      </w:r>
      <w:r>
        <w:rPr>
          <w:rFonts w:ascii="Times New Roman" w:cs="Times New Roman" w:eastAsia="Times New Roman" w:hAnsi="Times New Roman"/>
          <w:sz w:val="21"/>
          <w:szCs w:val="21"/>
          <w:u w:val="single" w:color="auto"/>
          <w:color w:val="auto"/>
        </w:rPr>
        <w:t>Prior Year Bonus</w:t>
      </w:r>
      <w:r>
        <w:rPr>
          <w:rFonts w:ascii="Times New Roman" w:cs="Times New Roman" w:eastAsia="Times New Roman" w:hAnsi="Times New Roman"/>
          <w:sz w:val="21"/>
          <w:szCs w:val="21"/>
          <w:color w:val="auto"/>
        </w:rPr>
        <w:t>" means the unpaid annual incentive bonus for the year prior to the Date of Termination, if any, determined in accordance with the Company’s incentive or annual bonus plan for the year prior to the Date of Termination.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(i) the Company’s termination of the Executive’s employment with the Company for any reason other than for Cause or Disability or death, or (ii) the Executive’s termination of employment with the Company for Good Reason pursuant to Section 3.1(a). A transfer of the Executive to any subsidiary of the Company shall not, in and of itself, be considered a termination of employment hereunder as long as Good Reason does not otherwise exist.</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 xml:space="preserve">1.21 " </w:t>
      </w:r>
      <w:r>
        <w:rPr>
          <w:rFonts w:ascii="Times New Roman" w:cs="Times New Roman" w:eastAsia="Times New Roman" w:hAnsi="Times New Roman"/>
          <w:sz w:val="21"/>
          <w:szCs w:val="21"/>
          <w:u w:val="single" w:color="auto"/>
          <w:color w:val="auto"/>
        </w:rPr>
        <w:t>Restricted Stock Awards</w:t>
      </w:r>
      <w:r>
        <w:rPr>
          <w:rFonts w:ascii="Times New Roman" w:cs="Times New Roman" w:eastAsia="Times New Roman" w:hAnsi="Times New Roman"/>
          <w:sz w:val="21"/>
          <w:szCs w:val="21"/>
          <w:color w:val="auto"/>
        </w:rPr>
        <w:t>" means restricted stock awards, restricted stock units, phantom stock awards and other similar equity-based incentive compensation awards granted to the Executive relating to stock of the Company; provided, such awards exclude 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u w:val="single" w:color="auto"/>
          <w:color w:val="auto"/>
        </w:rPr>
        <w:t>Stock Options</w:t>
      </w:r>
      <w:r>
        <w:rPr>
          <w:rFonts w:ascii="Times New Roman" w:cs="Times New Roman" w:eastAsia="Times New Roman" w:hAnsi="Times New Roman"/>
          <w:sz w:val="21"/>
          <w:szCs w:val="21"/>
          <w:color w:val="auto"/>
        </w:rPr>
        <w:t>" means stock options granted to the Executive to acquire stock of the Company.</w:t>
      </w:r>
    </w:p>
    <w:p>
      <w:pPr>
        <w:spacing w:after="0" w:line="2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1.23 "</w:t>
      </w:r>
      <w:r>
        <w:rPr>
          <w:rFonts w:ascii="Times New Roman" w:cs="Times New Roman" w:eastAsia="Times New Roman" w:hAnsi="Times New Roman"/>
          <w:sz w:val="21"/>
          <w:szCs w:val="21"/>
          <w:u w:val="single" w:color="auto"/>
          <w:color w:val="auto"/>
        </w:rPr>
        <w:t>Target</w:t>
      </w:r>
      <w:r>
        <w:rPr>
          <w:rFonts w:ascii="Times New Roman" w:cs="Times New Roman" w:eastAsia="Times New Roman" w:hAnsi="Times New Roman"/>
          <w:sz w:val="21"/>
          <w:szCs w:val="21"/>
          <w:color w:val="auto"/>
        </w:rPr>
        <w:t>" means as to any Performance Awards the greater of (i) 50%, or (ii) the target percentage or amount for such Performance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Other Terms</w:t>
      </w:r>
      <w:r>
        <w:rPr>
          <w:rFonts w:ascii="Times New Roman" w:cs="Times New Roman" w:eastAsia="Times New Roman" w:hAnsi="Times New Roman"/>
          <w:sz w:val="21"/>
          <w:szCs w:val="21"/>
          <w:color w:val="auto"/>
        </w:rPr>
        <w:t>. Other capitalized terms shall have the meaning indicated within this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420"/>
          </w:cols>
          <w:pgMar w:left="1060" w:top="1388" w:right="41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9" w:hanging="629"/>
        <w:spacing w:after="0"/>
        <w:tabs>
          <w:tab w:leader="none" w:pos="62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 AND POSITION</w:t>
      </w:r>
    </w:p>
    <w:p>
      <w:pPr>
        <w:spacing w:after="0" w:line="245" w:lineRule="exact"/>
        <w:rPr>
          <w:rFonts w:ascii="Times New Roman" w:cs="Times New Roman" w:eastAsia="Times New Roman" w:hAnsi="Times New Roman"/>
          <w:sz w:val="21"/>
          <w:szCs w:val="21"/>
          <w:color w:val="auto"/>
        </w:rPr>
      </w:pPr>
    </w:p>
    <w:p>
      <w:pPr>
        <w:jc w:val="both"/>
        <w:ind w:left="629"/>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This Agreement is effective as of the Commencement Date and terminates on the fifth anniversary of the Commencement Date (the "Term"); provided that, (i) beginning on the fifth anniversary of the Commencement Date and each anniversary thereafter (each, an "</w:t>
      </w:r>
      <w:r>
        <w:rPr>
          <w:rFonts w:ascii="Times New Roman" w:cs="Times New Roman" w:eastAsia="Times New Roman" w:hAnsi="Times New Roman"/>
          <w:sz w:val="21"/>
          <w:szCs w:val="21"/>
          <w:u w:val="single" w:color="auto"/>
          <w:color w:val="auto"/>
        </w:rPr>
        <w:t>Anniversary Date</w:t>
      </w:r>
      <w:r>
        <w:rPr>
          <w:rFonts w:ascii="Times New Roman" w:cs="Times New Roman" w:eastAsia="Times New Roman" w:hAnsi="Times New Roman"/>
          <w:sz w:val="21"/>
          <w:szCs w:val="21"/>
          <w:color w:val="auto"/>
        </w:rPr>
        <w:t>") the Term shall be extended by 12 months unless either party provides notice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at least 60 days before any such Anniversary Date of his or its intent to terminate this Agreement as of such Anniversary Date, and (ii) if a Change in Control occurs during the Term, this Agreement shall not expire until the later of (a) the expiration of the Term, or (b) the end of the Change in Control Period.</w:t>
      </w:r>
    </w:p>
    <w:p>
      <w:pPr>
        <w:spacing w:after="0" w:line="198" w:lineRule="exact"/>
        <w:rPr>
          <w:rFonts w:ascii="Times New Roman" w:cs="Times New Roman" w:eastAsia="Times New Roman" w:hAnsi="Times New Roman"/>
          <w:sz w:val="21"/>
          <w:szCs w:val="21"/>
          <w:color w:val="auto"/>
        </w:rPr>
      </w:pPr>
    </w:p>
    <w:p>
      <w:pPr>
        <w:ind w:left="629"/>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term or provision in this Agreement, the effectiveness of this Agreement is subject to and conditioned upon Executive assuming the position set forth in Section 2.2 on or about the Commencement Date.</w:t>
      </w:r>
    </w:p>
    <w:p>
      <w:pPr>
        <w:spacing w:after="0" w:line="156" w:lineRule="exact"/>
        <w:rPr>
          <w:sz w:val="20"/>
          <w:szCs w:val="20"/>
          <w:color w:val="auto"/>
        </w:rPr>
      </w:pPr>
    </w:p>
    <w:p>
      <w:pPr>
        <w:ind w:left="629" w:right="20"/>
        <w:spacing w:after="0" w:line="282"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Position</w:t>
      </w:r>
      <w:r>
        <w:rPr>
          <w:rFonts w:ascii="Times New Roman" w:cs="Times New Roman" w:eastAsia="Times New Roman" w:hAnsi="Times New Roman"/>
          <w:sz w:val="21"/>
          <w:szCs w:val="21"/>
          <w:color w:val="auto"/>
        </w:rPr>
        <w:t>. During the Term, the Executive shall serve as the Company’s President and Chief Executive Officer (or a similar position) or such other position agreed to in writing by the Company and Executive.</w:t>
      </w:r>
    </w:p>
    <w:p>
      <w:pPr>
        <w:spacing w:after="0" w:line="169" w:lineRule="exact"/>
        <w:rPr>
          <w:sz w:val="20"/>
          <w:szCs w:val="20"/>
          <w:color w:val="auto"/>
        </w:rPr>
      </w:pPr>
    </w:p>
    <w:p>
      <w:pPr>
        <w:ind w:left="629" w:right="7160" w:hanging="629"/>
        <w:spacing w:after="0" w:line="508" w:lineRule="auto"/>
        <w:tabs>
          <w:tab w:leader="none" w:pos="61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TERMINATION OF EMPLOYMENT 1.1 </w:t>
      </w:r>
      <w:r>
        <w:rPr>
          <w:rFonts w:ascii="Times New Roman" w:cs="Times New Roman" w:eastAsia="Times New Roman" w:hAnsi="Times New Roman"/>
          <w:sz w:val="20"/>
          <w:szCs w:val="20"/>
          <w:u w:val="single" w:color="auto"/>
          <w:color w:val="auto"/>
        </w:rPr>
        <w:t>Termination by the Executive</w:t>
      </w:r>
      <w:r>
        <w:rPr>
          <w:rFonts w:ascii="Times New Roman" w:cs="Times New Roman" w:eastAsia="Times New Roman" w:hAnsi="Times New Roman"/>
          <w:sz w:val="20"/>
          <w:szCs w:val="20"/>
          <w:color w:val="auto"/>
        </w:rPr>
        <w:t>.</w:t>
      </w:r>
    </w:p>
    <w:p>
      <w:pPr>
        <w:jc w:val="both"/>
        <w:ind w:left="1149" w:right="40" w:firstLine="8"/>
        <w:spacing w:after="0" w:line="260" w:lineRule="auto"/>
        <w:tabs>
          <w:tab w:leader="none" w:pos="1778"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Good Reason</w:t>
      </w:r>
      <w:r>
        <w:rPr>
          <w:rFonts w:ascii="Times New Roman" w:cs="Times New Roman" w:eastAsia="Times New Roman" w:hAnsi="Times New Roman"/>
          <w:sz w:val="21"/>
          <w:szCs w:val="21"/>
          <w:color w:val="auto"/>
        </w:rPr>
        <w:t>. The Executive may terminate Executive’s employment during the Term for Good Reason by delivering a Notice of Termination to the Company in accordance with Section 6.8 within 60 days of the date upon which the Executive has knowledge of the occurrence of the event purported to constitute "Good Reason" hereunder. The Company shall have 30 days from the date of the Executive’s Notice of Termination for Good Reason to the Company to cure the Executive’s right to termination for Good Reason.</w:t>
      </w:r>
    </w:p>
    <w:p>
      <w:pPr>
        <w:spacing w:after="0" w:line="192" w:lineRule="exact"/>
        <w:rPr>
          <w:rFonts w:ascii="Times New Roman" w:cs="Times New Roman" w:eastAsia="Times New Roman" w:hAnsi="Times New Roman"/>
          <w:sz w:val="21"/>
          <w:szCs w:val="21"/>
          <w:color w:val="auto"/>
        </w:rPr>
      </w:pPr>
    </w:p>
    <w:p>
      <w:pPr>
        <w:jc w:val="both"/>
        <w:ind w:left="1149" w:right="40" w:firstLine="8"/>
        <w:spacing w:after="0" w:line="271" w:lineRule="auto"/>
        <w:tabs>
          <w:tab w:leader="none" w:pos="1777"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Good Reason</w:t>
      </w:r>
      <w:r>
        <w:rPr>
          <w:rFonts w:ascii="Times New Roman" w:cs="Times New Roman" w:eastAsia="Times New Roman" w:hAnsi="Times New Roman"/>
          <w:sz w:val="21"/>
          <w:szCs w:val="21"/>
          <w:color w:val="auto"/>
        </w:rPr>
        <w:t>. The Executive may terminate Executive’s employment during the Term without Good Reason by delivering a Notice of Termination to the Company in accordance with Section 6.8 at least 15 days prior to the effective date of such termination.</w:t>
      </w:r>
    </w:p>
    <w:p>
      <w:pPr>
        <w:spacing w:after="0" w:line="182" w:lineRule="exact"/>
        <w:rPr>
          <w:sz w:val="20"/>
          <w:szCs w:val="20"/>
          <w:color w:val="auto"/>
        </w:rPr>
      </w:pPr>
    </w:p>
    <w:p>
      <w:pPr>
        <w:ind w:left="629"/>
        <w:spacing w:after="0"/>
        <w:tabs>
          <w:tab w:leader="none" w:pos="1129"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u w:val="single" w:color="auto"/>
          <w:color w:val="auto"/>
        </w:rPr>
        <w:t>Termination by the Company</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1149" w:right="40" w:firstLine="8"/>
        <w:spacing w:after="0" w:line="271" w:lineRule="auto"/>
        <w:tabs>
          <w:tab w:leader="none" w:pos="177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The Company may terminate the Executive’s employment during the Term for Cause by delivering to the Executive in accordance with Section 6.8 a Notice of Termination and a copy of a resolution, duly adopted by the affirmative vote of not less than a majority of the entire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49"/>
          </w:cols>
          <w:pgMar w:left="431" w:top="1440" w:right="419" w:bottom="1440" w:gutter="0" w:footer="0" w:header="0"/>
        </w:sectPr>
      </w:pPr>
    </w:p>
    <w:bookmarkStart w:id="125" w:name="page126"/>
    <w:bookmarkEnd w:id="125"/>
    <w:p>
      <w:pPr>
        <w:jc w:val="both"/>
        <w:ind w:left="1160" w:right="40"/>
        <w:spacing w:after="0" w:line="260" w:lineRule="auto"/>
        <w:rPr>
          <w:sz w:val="20"/>
          <w:szCs w:val="20"/>
          <w:color w:val="auto"/>
        </w:rPr>
      </w:pPr>
      <w:r>
        <w:rPr>
          <w:rFonts w:ascii="Times New Roman" w:cs="Times New Roman" w:eastAsia="Times New Roman" w:hAnsi="Times New Roman"/>
          <w:sz w:val="21"/>
          <w:szCs w:val="21"/>
          <w:color w:val="auto"/>
        </w:rPr>
        <w:t>membership of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including at least 66-2/3% of those members of the Board who are not employees of the Company at a meeting of the Board called and held for the purpose (after reasonable notice to the Executive and an opportunity for Executive, together with counsel, to be heard before the Board), finding that in the good faith opinion of the Board, the Executive was guilty of conduct specified in the definition of "Cause".</w:t>
      </w:r>
    </w:p>
    <w:p>
      <w:pPr>
        <w:spacing w:after="0" w:line="192" w:lineRule="exact"/>
        <w:rPr>
          <w:sz w:val="20"/>
          <w:szCs w:val="20"/>
          <w:color w:val="auto"/>
        </w:rPr>
      </w:pPr>
    </w:p>
    <w:p>
      <w:pPr>
        <w:ind w:left="1160" w:right="40" w:firstLine="8"/>
        <w:spacing w:after="0" w:line="282" w:lineRule="auto"/>
        <w:tabs>
          <w:tab w:leader="none" w:pos="178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The Company may terminate the Executive’s employment during the Term without Cause by delivering a Notice of Termination to the Executive in accordance with Section 6.8.</w:t>
      </w:r>
    </w:p>
    <w:p>
      <w:pPr>
        <w:spacing w:after="0" w:line="169"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The Executive’s employment shall terminate automatically upon the Executive’s death during the Term. If the Company determines in good faith that the Disability of the Executive has occurred during the Term, it may give to the Executive a Notice of Termination in accordance with Section 6.8 of this Agreement. In such event, the Executive’s employment shall terminate effective on the 30th day after receipt of such notice, provided that within the 30 days after such receipt, the Executive shall not have returned to full-time performance of the Executive’s duties.</w:t>
      </w:r>
    </w:p>
    <w:p>
      <w:pPr>
        <w:spacing w:after="0" w:line="19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BENEFITS UPON TERMINATION</w:t>
      </w:r>
    </w:p>
    <w:p>
      <w:pPr>
        <w:spacing w:after="0" w:line="245"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Qualifying Termination Not Within the Change in Control Period</w:t>
      </w:r>
      <w:r>
        <w:rPr>
          <w:rFonts w:ascii="Times New Roman" w:cs="Times New Roman" w:eastAsia="Times New Roman" w:hAnsi="Times New Roman"/>
          <w:sz w:val="21"/>
          <w:szCs w:val="21"/>
          <w:color w:val="auto"/>
        </w:rPr>
        <w:t>. If, during the Term, the Executive’s employment with the Company and its subsidiaries is terminated in a Qualifying Termination and such termination does not occur during a Change in Control Period:</w:t>
      </w:r>
    </w:p>
    <w:p>
      <w:pPr>
        <w:spacing w:after="0" w:line="182" w:lineRule="exact"/>
        <w:rPr>
          <w:sz w:val="20"/>
          <w:szCs w:val="20"/>
          <w:color w:val="auto"/>
        </w:rPr>
      </w:pPr>
    </w:p>
    <w:p>
      <w:pPr>
        <w:jc w:val="both"/>
        <w:ind w:left="1160" w:right="40" w:firstLine="8"/>
        <w:spacing w:after="0" w:line="265" w:lineRule="auto"/>
        <w:tabs>
          <w:tab w:leader="none" w:pos="178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to the Executive in a cash lump sum within 30 days after the Date of Termination, the sum of (i) all Accrued Obligations and (ii) the product of two (2) times the sum of the Executive’s Base Salary and Annual Bonus;</w:t>
      </w:r>
    </w:p>
    <w:p>
      <w:pPr>
        <w:spacing w:after="0" w:line="200" w:lineRule="exact"/>
        <w:rPr>
          <w:rFonts w:ascii="Times New Roman" w:cs="Times New Roman" w:eastAsia="Times New Roman" w:hAnsi="Times New Roman"/>
          <w:sz w:val="21"/>
          <w:szCs w:val="21"/>
          <w:color w:val="auto"/>
        </w:rPr>
      </w:pPr>
    </w:p>
    <w:p>
      <w:pPr>
        <w:jc w:val="both"/>
        <w:ind w:left="1160" w:right="40" w:firstLine="8"/>
        <w:spacing w:after="0" w:line="256" w:lineRule="auto"/>
        <w:tabs>
          <w:tab w:leader="none" w:pos="1787"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two (2) years following the Date of Termination, or such longer period as each Plan may provide, the Company shall continue medical, dental, and vision benefits to the Executive and the Executive’s family at a level at least equal to those that would have been provided if the Executive’s employment had not been terminated under such Plan of the Company applicable to the Executive as of the Date of Termination (with payment of the Plan Economic Equivalent as to each Plan (i) that does not permit the Executive’s continued participation or (ii) that the Executive becomes covered under another Plan with similar or comparable benefits (after 30 days’ notice to the Company));</w:t>
      </w:r>
    </w:p>
    <w:p>
      <w:pPr>
        <w:spacing w:after="0" w:line="197" w:lineRule="exact"/>
        <w:rPr>
          <w:rFonts w:ascii="Times New Roman" w:cs="Times New Roman" w:eastAsia="Times New Roman" w:hAnsi="Times New Roman"/>
          <w:sz w:val="21"/>
          <w:szCs w:val="21"/>
          <w:color w:val="auto"/>
        </w:rPr>
      </w:pPr>
    </w:p>
    <w:p>
      <w:pPr>
        <w:jc w:val="both"/>
        <w:ind w:left="1160" w:right="60" w:firstLine="8"/>
        <w:spacing w:after="0" w:line="265" w:lineRule="auto"/>
        <w:tabs>
          <w:tab w:leader="none" w:pos="178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Options held by the Executive shall become immediately vested and exercisable, and all Restricted Stock Awards held by the Executive shall continue to vest as if the Executive was an employee of the Company for the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60"/>
          </w:cols>
          <w:pgMar w:left="420" w:top="1388" w:right="419" w:bottom="1440" w:gutter="0" w:footer="0" w:header="0"/>
        </w:sectPr>
      </w:pPr>
    </w:p>
    <w:bookmarkStart w:id="126" w:name="page127"/>
    <w:bookmarkEnd w:id="126"/>
    <w:p>
      <w:pPr>
        <w:jc w:val="both"/>
        <w:ind w:left="520" w:right="40"/>
        <w:spacing w:after="0" w:line="264" w:lineRule="auto"/>
        <w:rPr>
          <w:sz w:val="20"/>
          <w:szCs w:val="20"/>
          <w:color w:val="auto"/>
        </w:rPr>
      </w:pPr>
      <w:r>
        <w:rPr>
          <w:rFonts w:ascii="Times New Roman" w:cs="Times New Roman" w:eastAsia="Times New Roman" w:hAnsi="Times New Roman"/>
          <w:sz w:val="21"/>
          <w:szCs w:val="21"/>
          <w:color w:val="auto"/>
        </w:rPr>
        <w:t>two (2) year period after the Date of Termination ("Vesting Period"); provided, however, that for purposes of determining the Vesting Period with respect to Restricted Stock Awards granted to Executive in connection with the commencement of Executive’s employment with the Company, the Executive shall continue to vest as if the Executive was an employee of the Company until such Restricted Stock Awards are fully vested;</w:t>
      </w:r>
    </w:p>
    <w:p>
      <w:pPr>
        <w:spacing w:after="0" w:line="188" w:lineRule="exact"/>
        <w:rPr>
          <w:sz w:val="20"/>
          <w:szCs w:val="20"/>
          <w:color w:val="auto"/>
        </w:rPr>
      </w:pPr>
    </w:p>
    <w:p>
      <w:pPr>
        <w:jc w:val="both"/>
        <w:ind w:left="520" w:right="40" w:firstLine="8"/>
        <w:spacing w:after="0" w:line="265" w:lineRule="auto"/>
        <w:tabs>
          <w:tab w:leader="none" w:pos="1147"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Executive the Current Annual Bonus when and if (taking into account the performance conditions) annual bonuses for the year of termination are paid to other executive officers of the Company;</w:t>
      </w:r>
    </w:p>
    <w:p>
      <w:pPr>
        <w:spacing w:after="0" w:line="186" w:lineRule="exact"/>
        <w:rPr>
          <w:rFonts w:ascii="Times New Roman" w:cs="Times New Roman" w:eastAsia="Times New Roman" w:hAnsi="Times New Roman"/>
          <w:sz w:val="21"/>
          <w:szCs w:val="21"/>
          <w:color w:val="auto"/>
        </w:rPr>
      </w:pPr>
    </w:p>
    <w:p>
      <w:pPr>
        <w:jc w:val="both"/>
        <w:ind w:left="520" w:right="40" w:firstLine="8"/>
        <w:spacing w:after="0" w:line="264" w:lineRule="auto"/>
        <w:tabs>
          <w:tab w:leader="none" w:pos="114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w:t>
      </w:r>
    </w:p>
    <w:p>
      <w:pPr>
        <w:spacing w:after="0" w:line="187" w:lineRule="exact"/>
        <w:rPr>
          <w:rFonts w:ascii="Times New Roman" w:cs="Times New Roman" w:eastAsia="Times New Roman" w:hAnsi="Times New Roman"/>
          <w:sz w:val="21"/>
          <w:szCs w:val="21"/>
          <w:color w:val="auto"/>
        </w:rPr>
      </w:pPr>
    </w:p>
    <w:p>
      <w:pPr>
        <w:ind w:left="520" w:right="40" w:firstLine="8"/>
        <w:spacing w:after="0" w:line="282" w:lineRule="auto"/>
        <w:tabs>
          <w:tab w:leader="none" w:pos="115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to Executive the Prior Year Bonus when and if any annual bonuses for the year prior to the Date of Termination are paid to other executive officers of the Company; and</w:t>
      </w:r>
    </w:p>
    <w:p>
      <w:pPr>
        <w:spacing w:after="0" w:line="169" w:lineRule="exact"/>
        <w:rPr>
          <w:rFonts w:ascii="Times New Roman" w:cs="Times New Roman" w:eastAsia="Times New Roman" w:hAnsi="Times New Roman"/>
          <w:sz w:val="21"/>
          <w:szCs w:val="21"/>
          <w:color w:val="auto"/>
        </w:rPr>
      </w:pPr>
    </w:p>
    <w:p>
      <w:pPr>
        <w:jc w:val="both"/>
        <w:ind w:left="520" w:right="40" w:firstLine="8"/>
        <w:spacing w:after="0" w:line="264" w:lineRule="auto"/>
        <w:tabs>
          <w:tab w:leader="none" w:pos="1147"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as of such termination, be released by the Company (including its subsidiaries) from any and all claims and causes of action of any kind or character arising from Executive’s employment with the Company (including its subsidiaries and any board membership relating to employment) and the Company shall indemnify and hold harmless the Executive against any such claims or causes of action to the extent permitted by applicable law.</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Qualifying Termination During the Change in Control Period</w:t>
      </w:r>
      <w:r>
        <w:rPr>
          <w:rFonts w:ascii="Times New Roman" w:cs="Times New Roman" w:eastAsia="Times New Roman" w:hAnsi="Times New Roman"/>
          <w:sz w:val="21"/>
          <w:szCs w:val="21"/>
          <w:color w:val="auto"/>
        </w:rPr>
        <w:t>. If, during the Term, the Executive’s employment with the Company and its subsidiaries is terminated in a Qualifying Termination and such termination occurs during a Change in Control Period:</w:t>
      </w:r>
    </w:p>
    <w:p>
      <w:pPr>
        <w:spacing w:after="0" w:line="182" w:lineRule="exact"/>
        <w:rPr>
          <w:sz w:val="20"/>
          <w:szCs w:val="20"/>
          <w:color w:val="auto"/>
        </w:rPr>
      </w:pPr>
    </w:p>
    <w:p>
      <w:pPr>
        <w:jc w:val="both"/>
        <w:ind w:left="520" w:right="40" w:firstLine="8"/>
        <w:spacing w:after="0" w:line="265" w:lineRule="auto"/>
        <w:tabs>
          <w:tab w:leader="none" w:pos="114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to the Executive in a cash lump sum within 30 days after the Date of Termination, the sum of (i) all Accrued Obligations and (ii) the product of two (2) times the sum of the Executive’s Base Salary and Annual Bonus;</w:t>
      </w:r>
    </w:p>
    <w:p>
      <w:pPr>
        <w:spacing w:after="0" w:line="186" w:lineRule="exact"/>
        <w:rPr>
          <w:rFonts w:ascii="Times New Roman" w:cs="Times New Roman" w:eastAsia="Times New Roman" w:hAnsi="Times New Roman"/>
          <w:sz w:val="21"/>
          <w:szCs w:val="21"/>
          <w:color w:val="auto"/>
        </w:rPr>
      </w:pPr>
    </w:p>
    <w:p>
      <w:pPr>
        <w:jc w:val="both"/>
        <w:ind w:left="520" w:right="40" w:firstLine="8"/>
        <w:spacing w:after="0" w:line="260" w:lineRule="auto"/>
        <w:tabs>
          <w:tab w:leader="none" w:pos="114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two (2) years following the Date of Termination, or such longer period as each Plan may provide, the Company shall continue medical, dental, and vision benefits to the Executive and the Executive’s family at a level at least equal to those that would have been provided if the Executive’s employment had not been terminated under such Plan of the Company applicable to the Executive as of the Date of Termination (with payment of the Plan Economic Equivalent as to each Plan (i) that does not permit the Executive’s continued participation 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420"/>
          </w:cols>
          <w:pgMar w:left="1060" w:top="1388" w:right="419" w:bottom="1440" w:gutter="0" w:footer="0" w:header="0"/>
        </w:sectPr>
      </w:pPr>
    </w:p>
    <w:bookmarkStart w:id="127" w:name="page128"/>
    <w:bookmarkEnd w:id="127"/>
    <w:p>
      <w:pPr>
        <w:ind w:left="140" w:firstLine="8"/>
        <w:spacing w:after="0" w:line="282" w:lineRule="auto"/>
        <w:tabs>
          <w:tab w:leader="none" w:pos="45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Executive becomes covered by another Plan with similar or comparable benefits (after 30 days’ notice to the Company));</w:t>
      </w:r>
    </w:p>
    <w:p>
      <w:pPr>
        <w:spacing w:after="0" w:line="169" w:lineRule="exact"/>
        <w:rPr>
          <w:sz w:val="20"/>
          <w:szCs w:val="20"/>
          <w:color w:val="auto"/>
        </w:rPr>
      </w:pPr>
    </w:p>
    <w:p>
      <w:pPr>
        <w:jc w:val="both"/>
        <w:ind w:left="140" w:firstLine="8"/>
        <w:spacing w:after="0" w:line="264" w:lineRule="auto"/>
        <w:tabs>
          <w:tab w:leader="none" w:pos="76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Options and Restricted Stock Awards held by the Executive shall become immediately vested and such Stock Options shall become immediately exercisable; provided, that the Target shall immediately vest as to any Performance Awards and the Executive shall continue to vest as to any Performance Awards in excess of Target as if the Executive was an employee of the Company after the Date of Termination;</w:t>
      </w:r>
    </w:p>
    <w:p>
      <w:pPr>
        <w:spacing w:after="0" w:line="187" w:lineRule="exact"/>
        <w:rPr>
          <w:rFonts w:ascii="Times New Roman" w:cs="Times New Roman" w:eastAsia="Times New Roman" w:hAnsi="Times New Roman"/>
          <w:sz w:val="21"/>
          <w:szCs w:val="21"/>
          <w:color w:val="auto"/>
        </w:rPr>
      </w:pPr>
    </w:p>
    <w:p>
      <w:pPr>
        <w:jc w:val="both"/>
        <w:ind w:left="140" w:firstLine="8"/>
        <w:spacing w:after="0" w:line="271" w:lineRule="auto"/>
        <w:tabs>
          <w:tab w:leader="none" w:pos="76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Executive the Current Annual Bonus when and if (taking into account the performance conditions) annual bonuses for the year of termination are paid to other executive officers of the Company;</w:t>
      </w:r>
    </w:p>
    <w:p>
      <w:pPr>
        <w:spacing w:after="0" w:line="182" w:lineRule="exact"/>
        <w:rPr>
          <w:rFonts w:ascii="Times New Roman" w:cs="Times New Roman" w:eastAsia="Times New Roman" w:hAnsi="Times New Roman"/>
          <w:sz w:val="21"/>
          <w:szCs w:val="21"/>
          <w:color w:val="auto"/>
        </w:rPr>
      </w:pPr>
    </w:p>
    <w:p>
      <w:pPr>
        <w:jc w:val="both"/>
        <w:ind w:left="140" w:firstLine="8"/>
        <w:spacing w:after="0" w:line="259" w:lineRule="auto"/>
        <w:tabs>
          <w:tab w:leader="none" w:pos="76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w:t>
      </w:r>
    </w:p>
    <w:p>
      <w:pPr>
        <w:spacing w:after="0" w:line="194" w:lineRule="exact"/>
        <w:rPr>
          <w:rFonts w:ascii="Times New Roman" w:cs="Times New Roman" w:eastAsia="Times New Roman" w:hAnsi="Times New Roman"/>
          <w:sz w:val="21"/>
          <w:szCs w:val="21"/>
          <w:color w:val="auto"/>
        </w:rPr>
      </w:pPr>
    </w:p>
    <w:p>
      <w:pPr>
        <w:ind w:left="140" w:firstLine="8"/>
        <w:spacing w:after="0" w:line="295" w:lineRule="auto"/>
        <w:tabs>
          <w:tab w:leader="none" w:pos="77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to Executive the Prior Year Bonus when and if any annual bonuses for the year prior to the Date of Termination are paid to other executive officers of the Company; and</w:t>
      </w:r>
    </w:p>
    <w:p>
      <w:pPr>
        <w:spacing w:after="0" w:line="156" w:lineRule="exact"/>
        <w:rPr>
          <w:rFonts w:ascii="Times New Roman" w:cs="Times New Roman" w:eastAsia="Times New Roman" w:hAnsi="Times New Roman"/>
          <w:sz w:val="21"/>
          <w:szCs w:val="21"/>
          <w:color w:val="auto"/>
        </w:rPr>
      </w:pPr>
    </w:p>
    <w:p>
      <w:pPr>
        <w:jc w:val="both"/>
        <w:ind w:left="140" w:firstLine="8"/>
        <w:spacing w:after="0" w:line="259" w:lineRule="auto"/>
        <w:tabs>
          <w:tab w:leader="none" w:pos="76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as of such termination, be released by the Company (including its subsidiaries) from any and all claims and causes of action of any kind or character arising from Executive’s employment with the Company (including its subsidiaries and any board membership relating to employment) and the Company shall indemnify and hold harmless the Executive against any such claims or causes of action to the extent permitted by applicable law.</w:t>
      </w:r>
    </w:p>
    <w:p>
      <w:pPr>
        <w:spacing w:after="0" w:line="208" w:lineRule="exact"/>
        <w:rPr>
          <w:sz w:val="20"/>
          <w:szCs w:val="20"/>
          <w:color w:val="auto"/>
        </w:rPr>
      </w:pPr>
    </w:p>
    <w:p>
      <w:pPr>
        <w:jc w:val="both"/>
        <w:ind w:left="140"/>
        <w:spacing w:after="0" w:line="254" w:lineRule="auto"/>
        <w:rPr>
          <w:sz w:val="20"/>
          <w:szCs w:val="20"/>
          <w:color w:val="auto"/>
        </w:rPr>
      </w:pPr>
      <w:r>
        <w:rPr>
          <w:rFonts w:ascii="Times New Roman" w:cs="Times New Roman" w:eastAsia="Times New Roman" w:hAnsi="Times New Roman"/>
          <w:sz w:val="21"/>
          <w:szCs w:val="21"/>
          <w:color w:val="auto"/>
        </w:rPr>
        <w:t>Any provision in this Agreement to the contrary notwithstanding, if a Change in Control occurs within six (6) months after the Date of Termination, which constitutes a change in ownership or effective control of the Company or a change in the ownership of a substantial portion of its assets within the meaning of such terms under Section 409A, and if it is reasonably demonstrated by the Executive that such termination of employment (x) was at the request of a third party who had taken steps reasonably calculated to effect the Change in Control, or (y) otherwise arose in connection with or anticipation of the Change in Control, then for all purposes of this Agreement the termination of the Executive’s employment shall be deemed to have occurred during a Change in Control Period. In such circumstance, the incremental taxable payments pursuant to subsections (a)(ii), (b) and (c) as the result of deemed termination during a Change in Control Period shall be made in the first regularly scheduled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000"/>
          </w:cols>
          <w:pgMar w:left="1440" w:top="1388" w:right="459" w:bottom="1440" w:gutter="0" w:footer="0" w:header="0"/>
        </w:sectPr>
      </w:pPr>
    </w:p>
    <w:bookmarkStart w:id="128" w:name="page129"/>
    <w:bookmarkEnd w:id="128"/>
    <w:p>
      <w:pPr>
        <w:ind w:left="520"/>
        <w:spacing w:after="0" w:line="282" w:lineRule="auto"/>
        <w:rPr>
          <w:sz w:val="20"/>
          <w:szCs w:val="20"/>
          <w:color w:val="auto"/>
        </w:rPr>
      </w:pPr>
      <w:r>
        <w:rPr>
          <w:rFonts w:ascii="Times New Roman" w:cs="Times New Roman" w:eastAsia="Times New Roman" w:hAnsi="Times New Roman"/>
          <w:sz w:val="21"/>
          <w:szCs w:val="21"/>
          <w:color w:val="auto"/>
        </w:rPr>
        <w:t>payroll date following the Change in Control or, if later, the scheduled date of payment in any bonus or other plan pursuant to which the payments are made.</w:t>
      </w:r>
    </w:p>
    <w:p>
      <w:pPr>
        <w:spacing w:after="0" w:line="1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u w:val="single" w:color="auto"/>
          <w:color w:val="auto"/>
        </w:rPr>
        <w:t>Non-Qualifying Termination</w:t>
      </w:r>
      <w:r>
        <w:rPr>
          <w:rFonts w:ascii="Times New Roman" w:cs="Times New Roman" w:eastAsia="Times New Roman" w:hAnsi="Times New Roman"/>
          <w:sz w:val="20"/>
          <w:szCs w:val="20"/>
          <w:color w:val="auto"/>
        </w:rPr>
        <w:t>.</w:t>
      </w:r>
    </w:p>
    <w:p>
      <w:pPr>
        <w:spacing w:after="0" w:line="259" w:lineRule="exact"/>
        <w:rPr>
          <w:sz w:val="20"/>
          <w:szCs w:val="20"/>
          <w:color w:val="auto"/>
        </w:rPr>
      </w:pPr>
    </w:p>
    <w:p>
      <w:pPr>
        <w:jc w:val="both"/>
        <w:ind w:left="520" w:firstLine="8"/>
        <w:spacing w:after="0" w:line="253" w:lineRule="auto"/>
        <w:tabs>
          <w:tab w:leader="none" w:pos="114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with the Company and its subsidiaries is terminated in a Non-Qualifying Termination, this Agreement shall terminate without further obligations to the Executive other than Accrued Obligations; provided, that, if the Executive’s employment is terminated due to Executive’s death or Disability, (i) the Company shall pay to Executive (or his personal representative) the Current Annual Bonus when and if (taking into account the performance conditions) annual bonuses for the year of the Executive’s death or Disability are paid to other executive officers of the Company, (ii) the Company shall pay to Executive (or his personal representative) the Prior Year Bonus when and if any annual bonuses for the year prior to the Executive’s death or Disability are paid to other executive officers of the Company, and (iii) all Stock Options held by the Executive shall become immediately vested and exercisable, and all Restricted Stock Awards held by the Executive shall continue to vest as if the Executive was an employee of the Company for the Vesting Period.</w:t>
      </w:r>
    </w:p>
    <w:p>
      <w:pPr>
        <w:spacing w:after="0" w:line="204" w:lineRule="exact"/>
        <w:rPr>
          <w:rFonts w:ascii="Times New Roman" w:cs="Times New Roman" w:eastAsia="Times New Roman" w:hAnsi="Times New Roman"/>
          <w:sz w:val="21"/>
          <w:szCs w:val="21"/>
          <w:color w:val="auto"/>
        </w:rPr>
      </w:pPr>
    </w:p>
    <w:p>
      <w:pPr>
        <w:jc w:val="both"/>
        <w:ind w:left="520" w:firstLine="8"/>
        <w:spacing w:after="0" w:line="253" w:lineRule="auto"/>
        <w:tabs>
          <w:tab w:leader="none" w:pos="1147"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4.3(a) above, if the Executive’s employment with the Company and its subsidiaries terminates in a Non-Qualifying Termination, other than a termination by the Company for Cause, following the date on which the Executive has (i) reached sixty-five (65) years of age and completed at least four (4) years of service as an employee of the Company, each determined as of the Executive’s Date of Termination; and (iii) provided Notice of Termination is delivered to the Company in accordance with Section 6.8 at least one hundred eight (180) days prior to the effective date of such termination, then (1) all Stock Options held by the Executive shall become immediately vested and exercisable; (2) all Restricted Stock Awards held by the Executive shall continue to vest as if the Executive was an employee of the Company for the remaining vesting period until such Restricted Stock Awards are fully vested, and shall settle upon their scheduled payment dates as if the Executive was an employee of the Company after the Date of Termination; (3) the service condition for any Performance Awards held by the Executive shall be satisfied and such awards shall continue to vest as if the Executive was an employee of the Company after the Date of Termination; (4) the Company shall pay to the Executive the Prior Year Bonus when and if any annual bonuses for the year prior to the Date of Termination are paid to other executive officers of the Company; and (5) 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 As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380"/>
          </w:cols>
          <w:pgMar w:left="1060" w:top="1388" w:right="459" w:bottom="1440" w:gutter="0" w:footer="0" w:header="0"/>
        </w:sectPr>
      </w:pPr>
    </w:p>
    <w:bookmarkStart w:id="129" w:name="page130"/>
    <w:bookmarkEnd w:id="129"/>
    <w:p>
      <w:pPr>
        <w:ind w:left="520" w:right="40"/>
        <w:spacing w:after="0" w:line="282" w:lineRule="auto"/>
        <w:rPr>
          <w:sz w:val="20"/>
          <w:szCs w:val="20"/>
          <w:color w:val="auto"/>
        </w:rPr>
      </w:pPr>
      <w:r>
        <w:rPr>
          <w:rFonts w:ascii="Times New Roman" w:cs="Times New Roman" w:eastAsia="Times New Roman" w:hAnsi="Times New Roman"/>
          <w:sz w:val="21"/>
          <w:szCs w:val="21"/>
          <w:color w:val="auto"/>
        </w:rPr>
        <w:t>condition to receipt of the benefits described in this Section 4.3(b), to the Executive shall execute a Release in the manner described in Section 6.4 below.</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Option Exercise and Termination</w:t>
      </w:r>
      <w:r>
        <w:rPr>
          <w:rFonts w:ascii="Times New Roman" w:cs="Times New Roman" w:eastAsia="Times New Roman" w:hAnsi="Times New Roman"/>
          <w:sz w:val="21"/>
          <w:szCs w:val="21"/>
          <w:color w:val="auto"/>
        </w:rPr>
        <w:t>. All vested Stock Options granted to the Executive (including Stock Options vested pursuant to this Agreement) shall be exercisable for 24 months following the later of (a) the Date of Termination, or (b) the date that Executive ceases to be a member of the Board and a member of the board of director of any of the Company subsidiaries; provided that the exercise period shall (i) extend to any longer period for exercise of Stock Options pursuant to the applicable stock option agreement or certificate for such Stock Options, and (ii) not extend beyond the Normal Option Expiration Date. The Company as to Stock Options granted to the Executive may not (a) require the exercise of such Stock Options, (b) reduce the exercise period for such Stock Options, or (c) otherwise take action to circumvent the exercise period for such Stock Options as provided above. The above provisions shall supersede any contrary provisions in any stock option agreement, stock option certificate or other document.</w:t>
      </w:r>
    </w:p>
    <w:p>
      <w:pPr>
        <w:spacing w:after="0" w:line="20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1"/>
          <w:szCs w:val="21"/>
          <w:u w:val="single" w:color="auto"/>
          <w:color w:val="auto"/>
        </w:rPr>
        <w:t>Section 409A Limitation</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520" w:right="40" w:firstLine="8"/>
        <w:spacing w:after="0" w:line="247" w:lineRule="auto"/>
        <w:tabs>
          <w:tab w:leader="none" w:pos="1148"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Sections 4.1 and 4.2, the taxable amounts payable by the Company to the Executive pursuant to (a)(ii), (d) and (e) of Section 4.1 or 4.2, as applicable, and other Company separation pay plan amounts, if any, shall be paid on the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following the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Date of Termination ("</w:t>
      </w:r>
      <w:r>
        <w:rPr>
          <w:rFonts w:ascii="Times New Roman" w:cs="Times New Roman" w:eastAsia="Times New Roman" w:hAnsi="Times New Roman"/>
          <w:sz w:val="21"/>
          <w:szCs w:val="21"/>
          <w:u w:val="single" w:color="auto"/>
          <w:color w:val="auto"/>
        </w:rPr>
        <w:t>409A Deferred Date</w:t>
      </w:r>
      <w:r>
        <w:rPr>
          <w:rFonts w:ascii="Times New Roman" w:cs="Times New Roman" w:eastAsia="Times New Roman" w:hAnsi="Times New Roman"/>
          <w:sz w:val="21"/>
          <w:szCs w:val="21"/>
          <w:color w:val="auto"/>
        </w:rPr>
        <w:t>") (or, if earlier, the date of Executive’s death) if the Executive is a "specified employee" pursuant to Section 409A. Notwithstanding anything to the contrary in Sections 4.1(b) and 4.2(b), with respect to the taxable amounts payable by the Company for the time period after Executive would be entitled to continuation coverage under a Company group health plan under Section 4980B of the Code if the Executive elected such coverage and paid the applicable premiums, Executive shall pay the monthly cost of the benefits consistent with the Company’s then current practices and the Company shall reimburse the Executive within 30 days after the Executive’s payment. Any reimbursements provided during an Executive’s taxable year shall not affect the amount eligible for reimbursement in any other taxable year and the right to premium reimbursement shall not be subject to liquidation or exchange for another payment or benefit.</w:t>
      </w:r>
    </w:p>
    <w:p>
      <w:pPr>
        <w:spacing w:after="0" w:line="236" w:lineRule="exact"/>
        <w:rPr>
          <w:sz w:val="20"/>
          <w:szCs w:val="20"/>
          <w:color w:val="auto"/>
        </w:rPr>
      </w:pPr>
    </w:p>
    <w:p>
      <w:pPr>
        <w:jc w:val="both"/>
        <w:ind w:left="520" w:right="40"/>
        <w:spacing w:after="0" w:line="230" w:lineRule="auto"/>
        <w:rPr>
          <w:sz w:val="20"/>
          <w:szCs w:val="20"/>
          <w:color w:val="auto"/>
        </w:rPr>
      </w:pPr>
      <w:r>
        <w:rPr>
          <w:rFonts w:ascii="Times New Roman" w:cs="Times New Roman" w:eastAsia="Times New Roman" w:hAnsi="Times New Roman"/>
          <w:sz w:val="21"/>
          <w:szCs w:val="21"/>
          <w:color w:val="auto"/>
        </w:rPr>
        <w:t>Notwithstanding anything to the contrary in Section 6.2, a payment pursuant to Section 6.2 shall be made (i) on or after the 409A Deferred Date if such payment is conditioned upon separation from service, (ii) on a monthly basis as to legal reimbursement, payable on the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of each month (subject to (i) above), (iii) no later than the end of the taxable year of the Executive (or his estate), as applicable, following the taxable year in which a reimbursable expense was incurred (subject to (i) above), and (iv) no later than the end of the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anniversary of the Executive’s death.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420"/>
          </w:cols>
          <w:pgMar w:left="1060" w:top="1388" w:right="419" w:bottom="1440" w:gutter="0" w:footer="0" w:header="0"/>
        </w:sectPr>
      </w:pPr>
    </w:p>
    <w:bookmarkStart w:id="130" w:name="page131"/>
    <w:bookmarkEnd w:id="130"/>
    <w:p>
      <w:pPr>
        <w:spacing w:after="0" w:line="186" w:lineRule="exact"/>
        <w:rPr>
          <w:sz w:val="20"/>
          <w:szCs w:val="20"/>
          <w:color w:val="auto"/>
        </w:rPr>
      </w:pPr>
    </w:p>
    <w:p>
      <w:pPr>
        <w:jc w:val="both"/>
        <w:ind w:left="1149" w:firstLine="8"/>
        <w:spacing w:after="0" w:line="257" w:lineRule="auto"/>
        <w:tabs>
          <w:tab w:leader="none" w:pos="1777"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or benefit that otherwise would be paid or provided following the Date of Termination and that is subject to deferral pursuant to Section 4.5(a) shall be accumulated and paid in a lump sum at the earliest date which complies with the requirements of Section 409A. This Section 4.5 and the Agreement shall be interpreted and construed consistent with Section 409A and concomitant regulations in order to avoid the imposition of any additional taxes and interest pursuant to Section 409A ("</w:t>
      </w:r>
      <w:r>
        <w:rPr>
          <w:rFonts w:ascii="Times New Roman" w:cs="Times New Roman" w:eastAsia="Times New Roman" w:hAnsi="Times New Roman"/>
          <w:sz w:val="21"/>
          <w:szCs w:val="21"/>
          <w:u w:val="single" w:color="auto"/>
          <w:color w:val="auto"/>
        </w:rPr>
        <w:t>409A Taxes</w:t>
      </w:r>
      <w:r>
        <w:rPr>
          <w:rFonts w:ascii="Times New Roman" w:cs="Times New Roman" w:eastAsia="Times New Roman" w:hAnsi="Times New Roman"/>
          <w:sz w:val="21"/>
          <w:szCs w:val="21"/>
          <w:color w:val="auto"/>
        </w:rPr>
        <w:t>"). For purposes of Section 409A, the right to a series of installment payments under this Agreement shall be treated as a right to a series of separate payments.</w:t>
      </w:r>
    </w:p>
    <w:p>
      <w:pPr>
        <w:spacing w:after="0" w:line="198" w:lineRule="exact"/>
        <w:rPr>
          <w:rFonts w:ascii="Times New Roman" w:cs="Times New Roman" w:eastAsia="Times New Roman" w:hAnsi="Times New Roman"/>
          <w:sz w:val="21"/>
          <w:szCs w:val="21"/>
          <w:color w:val="auto"/>
        </w:rPr>
      </w:pPr>
    </w:p>
    <w:p>
      <w:pPr>
        <w:ind w:left="589" w:hanging="589"/>
        <w:spacing w:after="0"/>
        <w:tabs>
          <w:tab w:leader="none" w:pos="58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NONCOMPETITION OBLIGATIONS</w:t>
      </w:r>
    </w:p>
    <w:p>
      <w:pPr>
        <w:spacing w:after="0" w:line="245" w:lineRule="exact"/>
        <w:rPr>
          <w:sz w:val="20"/>
          <w:szCs w:val="20"/>
          <w:color w:val="auto"/>
        </w:rPr>
      </w:pPr>
    </w:p>
    <w:p>
      <w:pPr>
        <w:ind w:left="629"/>
        <w:spacing w:after="0"/>
        <w:rPr>
          <w:sz w:val="20"/>
          <w:szCs w:val="20"/>
          <w:color w:val="auto"/>
        </w:rPr>
      </w:pPr>
      <w:r>
        <w:rPr>
          <w:rFonts w:ascii="Times New Roman" w:cs="Times New Roman" w:eastAsia="Times New Roman" w:hAnsi="Times New Roman"/>
          <w:sz w:val="21"/>
          <w:szCs w:val="21"/>
          <w:color w:val="auto"/>
        </w:rPr>
        <w:t>The Executive shall be subject to the following noncompetition obligations:</w:t>
      </w:r>
    </w:p>
    <w:p>
      <w:pPr>
        <w:spacing w:after="0" w:line="259" w:lineRule="exact"/>
        <w:rPr>
          <w:sz w:val="20"/>
          <w:szCs w:val="20"/>
          <w:color w:val="auto"/>
        </w:rPr>
      </w:pPr>
    </w:p>
    <w:p>
      <w:pPr>
        <w:jc w:val="both"/>
        <w:ind w:left="1149" w:firstLine="8"/>
        <w:spacing w:after="0" w:line="252" w:lineRule="auto"/>
        <w:tabs>
          <w:tab w:leader="none" w:pos="177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consideration for the Severance Agreement, the Company’s providing Executive with access to Company’s confidential information, and the Company’s associating Executive with the goodwill of the Company, the Company and the Executive agree to the noncompetition obligations hereunder. From the effective date of this agreement and continuing for a period of 12 months from the Date of Termination, the Executive shall not personally engage in any "Competitive Activities" (as defined below) within any geographic area in the United States or any other country in which the Company or any of its Affiliates is, as of the Date of Termination, engaged in Competitive Activities ("</w:t>
      </w:r>
      <w:r>
        <w:rPr>
          <w:rFonts w:ascii="Times New Roman" w:cs="Times New Roman" w:eastAsia="Times New Roman" w:hAnsi="Times New Roman"/>
          <w:sz w:val="21"/>
          <w:szCs w:val="21"/>
          <w:u w:val="single" w:color="auto"/>
          <w:color w:val="auto"/>
        </w:rPr>
        <w:t>Restricted Areas</w:t>
      </w:r>
      <w:r>
        <w:rPr>
          <w:rFonts w:ascii="Times New Roman" w:cs="Times New Roman" w:eastAsia="Times New Roman" w:hAnsi="Times New Roman"/>
          <w:sz w:val="21"/>
          <w:szCs w:val="21"/>
          <w:color w:val="auto"/>
        </w:rPr>
        <w:t>"); including, without limitation, working for, owning, managing, financing or financially supporting, operating, controlling or participating in the ownership, management, financing, operation or control of, or providing consulting or advisory services to, any individual partnership, firm, corporation, institution, entity or other person ("person") engaged or attempting or preparing to become engaged in Competitive Activities within any Restricted Areas; provided, however, that the purchase or holding for investment purposes only, of securities of a company shall not constitute "ownership" or "participation in ownership" for these purposes so long as the equity interest in any such company represents less than 5% of the outstanding capital stock of such company. Anything herein to the contrary notwithstanding, no person shall be deemed engaged in Competitive Activities if less than 5% of its current or projected revenues are derived from "Competitive Activities" as defined in the next paragraph.</w:t>
      </w:r>
    </w:p>
    <w:p>
      <w:pPr>
        <w:spacing w:after="0" w:line="220" w:lineRule="exact"/>
        <w:rPr>
          <w:sz w:val="20"/>
          <w:szCs w:val="20"/>
          <w:color w:val="auto"/>
        </w:rPr>
      </w:pPr>
    </w:p>
    <w:p>
      <w:pPr>
        <w:jc w:val="both"/>
        <w:ind w:left="1149"/>
        <w:spacing w:after="0" w:line="256" w:lineRule="auto"/>
        <w:rPr>
          <w:sz w:val="20"/>
          <w:szCs w:val="20"/>
          <w:color w:val="auto"/>
        </w:rPr>
      </w:pPr>
      <w:r>
        <w:rPr>
          <w:rFonts w:ascii="Times New Roman" w:cs="Times New Roman" w:eastAsia="Times New Roman" w:hAnsi="Times New Roman"/>
          <w:sz w:val="21"/>
          <w:szCs w:val="21"/>
          <w:color w:val="auto"/>
        </w:rPr>
        <w:t>For such purposes above, "Competitive Activities" mean any business activity involving or relating to owning, leasing, developing, designing, operating or constructing (i) fiber optic communication cable, equipment or networks or (ii) communications towers or networks (including distributed antenna systems and small cells) located in the Restricted Area; provided, however, that if the Company is advised of a business opportunity by the Executive as provided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009"/>
          </w:cols>
          <w:pgMar w:left="431" w:top="1440" w:right="459" w:bottom="1440" w:gutter="0" w:footer="0" w:header="0"/>
        </w:sectPr>
      </w:pPr>
    </w:p>
    <w:bookmarkStart w:id="131" w:name="page132"/>
    <w:bookmarkEnd w:id="131"/>
    <w:p>
      <w:pPr>
        <w:jc w:val="both"/>
        <w:ind w:left="140"/>
        <w:spacing w:after="0" w:line="253" w:lineRule="auto"/>
        <w:rPr>
          <w:sz w:val="20"/>
          <w:szCs w:val="20"/>
          <w:color w:val="auto"/>
        </w:rPr>
      </w:pPr>
      <w:r>
        <w:rPr>
          <w:rFonts w:ascii="Times New Roman" w:cs="Times New Roman" w:eastAsia="Times New Roman" w:hAnsi="Times New Roman"/>
          <w:sz w:val="21"/>
          <w:szCs w:val="21"/>
          <w:color w:val="auto"/>
        </w:rPr>
        <w:t>below, and it declines to pursue such business opportunity, the Executive shall be free to pursue such business opportunity and such activity shall not be a "Competitive Activity." If, after the Date of Termination, the Executive becomes aware of a business opportunity which involves a Competitive Activity in the Restricted Area, the Executive shall fully advise (in writing and indicating that such information is pursuant to this provision) the Company as to such opportunity and will not pursue it except as provided herein. If, within 15 business days of the Executive’s advising the Company of such business opportunity, the Board fails to adopt a resolution (and provide a certified copy to the Executive) that it will pursue such business opportunity, the Company will be deemed to have declined to pursue such opportunity. If, after a vote by the Board in favor of pursuing a business opportunity, the Company "fails to pursue" such opportunity, then the Company, including for this purpose the Board, shall be deemed to have declined to pursue such business opportunity as of the date it "fails to pursue" such opportunity. "</w:t>
      </w:r>
      <w:r>
        <w:rPr>
          <w:rFonts w:ascii="Times New Roman" w:cs="Times New Roman" w:eastAsia="Times New Roman" w:hAnsi="Times New Roman"/>
          <w:sz w:val="21"/>
          <w:szCs w:val="21"/>
          <w:u w:val="single" w:color="auto"/>
          <w:color w:val="auto"/>
        </w:rPr>
        <w:t>Fails to pursue</w:t>
      </w:r>
      <w:r>
        <w:rPr>
          <w:rFonts w:ascii="Times New Roman" w:cs="Times New Roman" w:eastAsia="Times New Roman" w:hAnsi="Times New Roman"/>
          <w:sz w:val="21"/>
          <w:szCs w:val="21"/>
          <w:color w:val="auto"/>
        </w:rPr>
        <w:t>" means that the Company has failed to pursue such opportunity in a reasonable commercial manner and "fails to pursue" is irrebutably presumed if (x) within 30 days of such vote, the Company has not signed a confidentiality agreement with the parties representing such business opportunity; (y) within 60 days of such vote, the Company has not begun the due diligence process regarding such business opportunity; or (z) within 120 days of such vote, the Company is not in active discussions, or has otherwise terminated its discussions with the parties representing such business opportunity.</w:t>
      </w:r>
    </w:p>
    <w:p>
      <w:pPr>
        <w:spacing w:after="0" w:line="204" w:lineRule="exact"/>
        <w:rPr>
          <w:sz w:val="20"/>
          <w:szCs w:val="20"/>
          <w:color w:val="auto"/>
        </w:rPr>
      </w:pPr>
    </w:p>
    <w:p>
      <w:pPr>
        <w:jc w:val="both"/>
        <w:ind w:left="140"/>
        <w:spacing w:after="0" w:line="264" w:lineRule="auto"/>
        <w:rPr>
          <w:sz w:val="20"/>
          <w:szCs w:val="20"/>
          <w:color w:val="auto"/>
        </w:rPr>
      </w:pPr>
      <w:r>
        <w:rPr>
          <w:rFonts w:ascii="Times New Roman" w:cs="Times New Roman" w:eastAsia="Times New Roman" w:hAnsi="Times New Roman"/>
          <w:sz w:val="21"/>
          <w:szCs w:val="21"/>
          <w:color w:val="auto"/>
        </w:rPr>
        <w:t>Notwithstanding anything to the contrary in this Section V(a), activities shall not be deemed to be "Competitive Activities" solely as a result of the Executive’s being employed by or otherwise associated with a business of which a unit is in competition with the Company but as to which unit Executive does not have direct or indirect responsibility or direct involvement.</w:t>
      </w:r>
    </w:p>
    <w:p>
      <w:pPr>
        <w:spacing w:after="0" w:line="188" w:lineRule="exact"/>
        <w:rPr>
          <w:sz w:val="20"/>
          <w:szCs w:val="20"/>
          <w:color w:val="auto"/>
        </w:rPr>
      </w:pPr>
    </w:p>
    <w:p>
      <w:pPr>
        <w:jc w:val="both"/>
        <w:ind w:left="140"/>
        <w:spacing w:after="0" w:line="282"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of a specified person means a person that directly or indirectly controls, is controlled by, or is under common control with the person specified.</w:t>
      </w:r>
    </w:p>
    <w:p>
      <w:pPr>
        <w:spacing w:after="0" w:line="169" w:lineRule="exact"/>
        <w:rPr>
          <w:sz w:val="20"/>
          <w:szCs w:val="20"/>
          <w:color w:val="auto"/>
        </w:rPr>
      </w:pPr>
    </w:p>
    <w:p>
      <w:pPr>
        <w:jc w:val="both"/>
        <w:ind w:left="140" w:firstLine="8"/>
        <w:spacing w:after="0" w:line="260" w:lineRule="auto"/>
        <w:tabs>
          <w:tab w:leader="none" w:pos="76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12 months from the Date of Termination, the Executive shall not knowingly induce any employee of the Company or any of its Affiliates to terminate his or her employment with the Company or any of the Affiliates to work with or for the Executive or any of Executive’s future employers and provided further that the Executive’s response to unsolicited requests for employment references for employees of the Company shall not be a violation of this restriction.</w:t>
      </w:r>
    </w:p>
    <w:p>
      <w:pPr>
        <w:spacing w:after="0" w:line="192" w:lineRule="exact"/>
        <w:rPr>
          <w:rFonts w:ascii="Times New Roman" w:cs="Times New Roman" w:eastAsia="Times New Roman" w:hAnsi="Times New Roman"/>
          <w:sz w:val="21"/>
          <w:szCs w:val="21"/>
          <w:color w:val="auto"/>
        </w:rPr>
      </w:pPr>
    </w:p>
    <w:p>
      <w:pPr>
        <w:jc w:val="both"/>
        <w:ind w:left="140" w:firstLine="8"/>
        <w:spacing w:after="0" w:line="282" w:lineRule="auto"/>
        <w:tabs>
          <w:tab w:leader="none" w:pos="76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understands that the restrictions set forth in (a) and (b) above may limit the Executive’s ability to engage in certain businesses in the Restricted Areas during the 12-month period provided for in (a) and (b)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000"/>
          </w:cols>
          <w:pgMar w:left="1440" w:top="1388" w:right="459" w:bottom="1440" w:gutter="0" w:footer="0" w:header="0"/>
        </w:sectPr>
      </w:pPr>
    </w:p>
    <w:bookmarkStart w:id="132" w:name="page133"/>
    <w:bookmarkEnd w:id="132"/>
    <w:p>
      <w:pPr>
        <w:jc w:val="both"/>
        <w:ind w:left="1140" w:right="40"/>
        <w:spacing w:after="0" w:line="254" w:lineRule="auto"/>
        <w:rPr>
          <w:sz w:val="20"/>
          <w:szCs w:val="20"/>
          <w:color w:val="auto"/>
        </w:rPr>
      </w:pPr>
      <w:r>
        <w:rPr>
          <w:rFonts w:ascii="Times New Roman" w:cs="Times New Roman" w:eastAsia="Times New Roman" w:hAnsi="Times New Roman"/>
          <w:sz w:val="21"/>
          <w:szCs w:val="21"/>
          <w:color w:val="auto"/>
        </w:rPr>
        <w:t>but acknowledges that the Executive will receive sufficiently high remuneration and other benefits under this Severance Agreement to justify such restrictions. The Executive acknowledges that money damages would not be sufficient remedy for any breach of the provisions of (a) and (b) above by the Executive, and the Company shall be entitled to enforce such provisions by specific performance and injunctive relief as remedies for such breach or any threatened breach. Such remedies shall not be deemed the exclusive remedies for such breach, but shall be in addition to all remedies available at law or in equity to the Company, including without limitation, the recovery of damages from the Executive and the Executive’s agents involved in such breach and remedies available to the Company pursuant to other agreements with the Executive. Notwithstanding the foregoing, in the event that the Executive and/or the Executive’s agents breach the restrictions set forth in clauses (a) and/or (b), the Company shall in no circumstances be entitled to recover damages or other compensation in respect of all such breaches in excess of 50% of the amount paid to Executive pursuant to Section 4.1(a)(ii) or 4.2(a)(ii), as applicable.</w:t>
      </w:r>
    </w:p>
    <w:p>
      <w:pPr>
        <w:spacing w:after="0" w:line="202" w:lineRule="exact"/>
        <w:rPr>
          <w:sz w:val="20"/>
          <w:szCs w:val="20"/>
          <w:color w:val="auto"/>
        </w:rPr>
      </w:pPr>
    </w:p>
    <w:p>
      <w:pPr>
        <w:jc w:val="both"/>
        <w:ind w:left="1140" w:right="40" w:firstLine="8"/>
        <w:spacing w:after="0" w:line="257" w:lineRule="auto"/>
        <w:tabs>
          <w:tab w:leader="none" w:pos="176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expressly understood and agreed that the Company and the Executive consider the restrictions contained in (a) and (b) above to be reasonable and necessary to protect the business of the Company. Nevertheless, if any of the aforesaid restrictions are found by an arbitrator or a court having jurisdiction to be unreasonable, or overly broad as to geographic area or time, or otherwise unenforceable, the parties intend for the restrictions therein set forth to be modified by such arbitrator or court so as to be reasonable and enforceable and, as so modified by such arbitrator or court, to be fully enforced.</w:t>
      </w:r>
    </w:p>
    <w:p>
      <w:pPr>
        <w:spacing w:after="0" w:line="1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MISCELLANEOUS PROVISIONS</w:t>
      </w:r>
    </w:p>
    <w:p>
      <w:pPr>
        <w:spacing w:after="0" w:line="245"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Nothing in this Agreement shall prevent or limit the Executive’s continuing or future participation in any benefit, bonus, incentive or other Plan provided by the Company or any of its Affiliates and for which the Executive may qualify (including, without limitation, any insurance benefits relating to death or Disability of the Executive), nor shall anything herein limit or otherwise affect such rights as the Executive may have under any other agreements with the Company or any of its Affiliates; provided that, by executing this Agreement, the Executive acknowledges Executive’s ineligibility for, and waives any other right Executive may have to receive, any other severance or termination benefits provided by the Company or its subsidiaries. Amounts which are vested benefits or which the Executive is otherwise entitled to receive under any Plan of the Company or any of its Affiliates (other than any severance plan or program of the Company and its subsidiaries) at or subsequent to the Date of Termination shall be payable in accordance with such Plan except as explicitly modified by this Agreement.</w:t>
      </w:r>
    </w:p>
    <w:p>
      <w:pPr>
        <w:spacing w:after="0" w:line="198" w:lineRule="exact"/>
        <w:rPr>
          <w:sz w:val="20"/>
          <w:szCs w:val="20"/>
          <w:color w:val="auto"/>
        </w:rPr>
      </w:pPr>
    </w:p>
    <w:p>
      <w:pPr>
        <w:jc w:val="both"/>
        <w:ind w:left="620"/>
        <w:spacing w:after="0" w:line="282"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Other Payments and Obligations</w:t>
      </w:r>
      <w:r>
        <w:rPr>
          <w:rFonts w:ascii="Times New Roman" w:cs="Times New Roman" w:eastAsia="Times New Roman" w:hAnsi="Times New Roman"/>
          <w:sz w:val="21"/>
          <w:szCs w:val="21"/>
          <w:color w:val="auto"/>
        </w:rPr>
        <w:t>. The Company’s obligation to make the payments provided for in this Agreement and otherwise to perform its obligations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040"/>
          </w:cols>
          <w:pgMar w:left="440" w:top="1388" w:right="41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21"/>
          <w:szCs w:val="21"/>
          <w:color w:val="auto"/>
        </w:rPr>
        <w:t>hereunder shall not be affected by any set-off, counterclaim, recoupment, defense or other claim, right or action which the Company may have against the Executive or others; provided, however, that any payments made under this Agreement shall be subject to recoupment in accordance with any recoupment policy that the Company has adopted or adopts pursuant to the requirements of the listing standards of any national securities exchange or association on which the Company’s securities are listed or as is otherwise required by the Dodd-Frank Wall Street Reform and Consumer Protection Act or other applicable law. In no event shall the Executive be obligated to seek other employment or take any other action by way of mitigation of the amounts payable to the Executive under any of the provisions of this Agreement. The Company agrees to pay, from time to time promptly upon invoice, to the full extent permitted by law, all legal fees and expenses which the Executive may reasonably incur as a result of any contest or controversy (regardless of the outcome thereof and whether or not litigation is involved) by the Company, the Executive or others of the validity or enforceability of, or liability under, any provision of this Agreement or any guarantee of performance thereof; provided any contest or dispute is not in bad faith by the Executive.</w:t>
      </w:r>
    </w:p>
    <w:p>
      <w:pPr>
        <w:spacing w:after="0" w:line="20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520" w:right="40" w:firstLine="8"/>
        <w:spacing w:after="0" w:line="254" w:lineRule="auto"/>
        <w:tabs>
          <w:tab w:leader="none" w:pos="114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and thereafter, the Executive shall not, without the written consent of the Board (including an applicable committee of the Board) disclose to any person, other than (i) an employee of the Company, (ii) a person to whom disclosure is reasonably necessary or appropriate in connection with the performance by the Executive of Executive’s duties as an executive of the Company, (iii) to the extent required by applicable law (including any rule or regulation), or (iv) to the extent necessary to enforce Executive’s rights pursuant to this Agreement, any material confidential information obtained by Executive while in the employ of the Company or its subsidiaries with respect to any of the products, improvements, formulas, designs or styles, processes, customers, methods of distribution or methods of manufacture of the Company or its subsidiaries, the disclosure of which Executive knows will be materially damaging to the Company; provided, however, that confidential information shall not include any information known generally to the public (other than as a result of unauthorized disclosure by the Executive) or any information of a type not otherwise considered confidential by persons engaged in the same business or a business similar to that conducted by the Company. Information concerning a business opportunity described in Section V(a) which the Company declines or "fails to pursue" shall not constitute information for purposes of this section.</w:t>
      </w:r>
    </w:p>
    <w:p>
      <w:pPr>
        <w:spacing w:after="0" w:line="198" w:lineRule="exact"/>
        <w:rPr>
          <w:rFonts w:ascii="Times New Roman" w:cs="Times New Roman" w:eastAsia="Times New Roman" w:hAnsi="Times New Roman"/>
          <w:sz w:val="21"/>
          <w:szCs w:val="21"/>
          <w:color w:val="auto"/>
        </w:rPr>
      </w:pPr>
    </w:p>
    <w:p>
      <w:pPr>
        <w:jc w:val="both"/>
        <w:ind w:left="520" w:right="40" w:firstLine="8"/>
        <w:spacing w:after="0" w:line="260" w:lineRule="auto"/>
        <w:tabs>
          <w:tab w:leader="none" w:pos="114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inventions made, developed or created by the Executive (whether at the request or suggestion of the Company or otherwise, whether alone or in conjunction with others, and whether during regular hours of work or otherwise) during the period of Executive’s employment by the Company or its subsidiaries, which may be directly or indirectly useful in, or relate to, the business of or tests being carried out by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420"/>
          </w:cols>
          <w:pgMar w:left="1060" w:top="1388" w:right="419" w:bottom="1440" w:gutter="0" w:footer="0" w:header="0"/>
        </w:sectPr>
      </w:pPr>
    </w:p>
    <w:bookmarkStart w:id="134" w:name="page135"/>
    <w:bookmarkEnd w:id="134"/>
    <w:p>
      <w:pPr>
        <w:jc w:val="both"/>
        <w:ind w:left="520" w:right="40"/>
        <w:spacing w:after="0" w:line="264" w:lineRule="auto"/>
        <w:rPr>
          <w:sz w:val="20"/>
          <w:szCs w:val="20"/>
          <w:color w:val="auto"/>
        </w:rPr>
      </w:pPr>
      <w:r>
        <w:rPr>
          <w:rFonts w:ascii="Times New Roman" w:cs="Times New Roman" w:eastAsia="Times New Roman" w:hAnsi="Times New Roman"/>
          <w:sz w:val="21"/>
          <w:szCs w:val="21"/>
          <w:color w:val="auto"/>
        </w:rPr>
        <w:t>will be promptly and fully disclosed by the Executive to an appropriate executive officer of the Company and shall be the Company’s exclusive property as against the Executive, and the Executive will promptly deliver to an appropriate executive officer of the Company all papers, drawings, models, data and other material relating to any invention made, developed or created by Executive as aforesaid.</w:t>
      </w:r>
    </w:p>
    <w:p>
      <w:pPr>
        <w:spacing w:after="0" w:line="188" w:lineRule="exact"/>
        <w:rPr>
          <w:sz w:val="20"/>
          <w:szCs w:val="20"/>
          <w:color w:val="auto"/>
        </w:rPr>
      </w:pPr>
    </w:p>
    <w:p>
      <w:pPr>
        <w:jc w:val="both"/>
        <w:ind w:left="520" w:right="40" w:firstLine="8"/>
        <w:spacing w:after="0" w:line="260" w:lineRule="auto"/>
        <w:tabs>
          <w:tab w:leader="none" w:pos="114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upon the Company’s request and without any payment therefor, execute any documents necessary or advisable in the opinion of the Company’s counsel to direct issuance of patents to the Company with respect to such inventions as are to be the Company’s exclusive property as against the Executive under Section 6.3(b) above or to vest in the Company title to such inventions as against the Executive; provided, however, that the expense of securing any such patent will be borne by the Company.</w:t>
      </w:r>
    </w:p>
    <w:p>
      <w:pPr>
        <w:spacing w:after="0" w:line="192" w:lineRule="exact"/>
        <w:rPr>
          <w:rFonts w:ascii="Times New Roman" w:cs="Times New Roman" w:eastAsia="Times New Roman" w:hAnsi="Times New Roman"/>
          <w:sz w:val="21"/>
          <w:szCs w:val="21"/>
          <w:color w:val="auto"/>
        </w:rPr>
      </w:pPr>
    </w:p>
    <w:p>
      <w:pPr>
        <w:ind w:left="520" w:right="40" w:firstLine="8"/>
        <w:spacing w:after="0" w:line="282" w:lineRule="auto"/>
        <w:tabs>
          <w:tab w:leader="none" w:pos="114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of this Section 6.3 shall be binding upon the Executive’s heirs, successors and legal representatives.</w:t>
      </w:r>
    </w:p>
    <w:p>
      <w:pPr>
        <w:spacing w:after="0" w:line="169" w:lineRule="exact"/>
        <w:rPr>
          <w:rFonts w:ascii="Times New Roman" w:cs="Times New Roman" w:eastAsia="Times New Roman" w:hAnsi="Times New Roman"/>
          <w:sz w:val="21"/>
          <w:szCs w:val="21"/>
          <w:color w:val="auto"/>
        </w:rPr>
      </w:pPr>
    </w:p>
    <w:p>
      <w:pPr>
        <w:ind w:left="520" w:right="40" w:firstLine="8"/>
        <w:spacing w:after="0" w:line="282" w:lineRule="auto"/>
        <w:tabs>
          <w:tab w:leader="none" w:pos="114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an asserted violation of the provisions of this Section 6.3 constitute a basis for deferring or withholding any amounts otherwise payable to the Executive under this Agreement.</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Release and Agreement</w:t>
      </w:r>
      <w:r>
        <w:rPr>
          <w:rFonts w:ascii="Times New Roman" w:cs="Times New Roman" w:eastAsia="Times New Roman" w:hAnsi="Times New Roman"/>
          <w:sz w:val="21"/>
          <w:szCs w:val="21"/>
          <w:color w:val="auto"/>
        </w:rPr>
        <w:t>. As a condition to the receipt of any compensation and benefits under this Severance Agreement, if the Executive’s employment with the Company is subject to a Qualifying Termination, the Executive must first execute a release and agreement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in a reasonable commercial form, which shall release the Company and its subsidiaries and their officers, directors, employees and agents from any and all claims or causes of action arising out of the Executive’s employment with the Company or its subsidiaries on the termination of such employment and thereafter not revoke the Release; provided, however, that the Release shall not release the Company or its subsidiaries from (i) their respective obligations under this Agreement, (ii) their respective obligations to the Executive with respect to rights of indemnification or contribution, whether under this Agreement, the Certificate of Incorporation or Bylaws of the Company or otherwise; or (iii) any rights or claims the Executive has or may have as solely based on his being stockholder of the Company. Notwithstanding any provision herein to the contrary, if Executive has not delivered to the Company the executed Release on or before the 170th day after the Date of Termination ("</w:t>
      </w:r>
      <w:r>
        <w:rPr>
          <w:rFonts w:ascii="Times New Roman" w:cs="Times New Roman" w:eastAsia="Times New Roman" w:hAnsi="Times New Roman"/>
          <w:sz w:val="21"/>
          <w:szCs w:val="21"/>
          <w:u w:val="single" w:color="auto"/>
          <w:color w:val="auto"/>
        </w:rPr>
        <w:t>170 Day Limitation</w:t>
      </w:r>
      <w:r>
        <w:rPr>
          <w:rFonts w:ascii="Times New Roman" w:cs="Times New Roman" w:eastAsia="Times New Roman" w:hAnsi="Times New Roman"/>
          <w:sz w:val="21"/>
          <w:szCs w:val="21"/>
          <w:color w:val="auto"/>
        </w:rPr>
        <w:t>"), Executive shall forfeit all payments and benefits payable under Section 4.1 or 4.2 (other than Accrued Obligations), as applicable; provided however, that Executive shall not forfeit such amounts and benefits if (i) the Company has not delivered to Executive the required Release on or before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 or (ii) such 170 Day Limitation is not necessary to avoid 409A Taxes. If a payment or benefit could otherwise be paid or provided in different calendar years as a result of the Release requirements, such payment shall be paid or provided in the later calendar year. The performance of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420"/>
          </w:cols>
          <w:pgMar w:left="1060" w:top="1388" w:right="419" w:bottom="144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21"/>
          <w:szCs w:val="21"/>
          <w:color w:val="auto"/>
        </w:rPr>
        <w:t>Company’s obligation herein and the receipt of the payments and benefits provided herein to the Executive shall constitute full settlement of all such claims and causes of action and shall provide consideration for the Release.</w:t>
      </w:r>
    </w:p>
    <w:p>
      <w:pPr>
        <w:spacing w:after="0" w:line="1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1"/>
          <w:szCs w:val="21"/>
          <w:u w:val="single" w:color="auto"/>
          <w:color w:val="auto"/>
        </w:rPr>
        <w:t>Indemnification: D&amp;O Coverag</w:t>
      </w:r>
      <w:r>
        <w:rPr>
          <w:rFonts w:ascii="Times New Roman" w:cs="Times New Roman" w:eastAsia="Times New Roman" w:hAnsi="Times New Roman"/>
          <w:sz w:val="21"/>
          <w:szCs w:val="21"/>
          <w:color w:val="auto"/>
        </w:rPr>
        <w:t>e</w:t>
      </w:r>
    </w:p>
    <w:p>
      <w:pPr>
        <w:spacing w:after="0" w:line="259" w:lineRule="exact"/>
        <w:rPr>
          <w:sz w:val="20"/>
          <w:szCs w:val="20"/>
          <w:color w:val="auto"/>
        </w:rPr>
      </w:pPr>
    </w:p>
    <w:p>
      <w:pPr>
        <w:jc w:val="both"/>
        <w:ind w:left="520" w:right="40" w:firstLine="8"/>
        <w:spacing w:after="0" w:line="251" w:lineRule="auto"/>
        <w:tabs>
          <w:tab w:leader="none" w:pos="114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made a party, is threatened to be made a party, or reasonably anticipates being made a party, to any Proceeding by reason of the fact that Executive is or was a director, officer, member, employee, agent, manager, trustee, consultant or representative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of the Company or any of its Affiliates or is or was serving at the request of the Company or any of its Affiliates, as an Agent of another person or if any Claim is made, is threatened to be made, or is reasonably anticipated to be made, that arises out of or relates to the Executive’s service in any of the foregoing capacities, then the Executive shall promptly notify the Company in writing and be indemnified and held harmless to the fullest extent permitted or authorized by the Certificate of Incorporation or Bylaws of the Company as in effect on the Date of Termination (subject to any limitations imposed by applicable law), against any and all costs, expenses, liabilities and losses (including, without limitation, reasonable attorneys’ and other professional fees and charges, judgments, interest, expenses of investigation, penalties, fines, ERISA excise taxes or penalties and amounts paid or to be paid in settlement) incurred or suffered by the Executive in connection therewith or in connection with seeking to enforce Executive’s rights under this Section 6.5(a), and such indemnification shall continue as to the Executive even if Executive has ceased to be an Agent of the Company or other person and shall inure to the benefit of the Executive’s heirs, executors and administrators. The failure to give prompt notice shall only reduce the indemnification obligation to the extent, if any, that the Company is damaged by such breach. The Executive shall be entitled to prompt advancement of any and all costs and expenses (including, without limitation, reasonable attorneys’ and other professional fees and charges) incurred by Executive in connection with any such Proceeding or Claim to the fullest extent permitted or authorized by the Certificate of Incorporation or Bylaws of the Company as in effect on the Date of Termination (subject to any limitations imposed by applicable law), any such advancement to be made promptly after Executive gives written notice, supported by reasonable documentation, requesting such advancement. Such notice shall include, to the extent required by applicable law, an undertaking by the Executive to repay the amounts advanced to the extent that Executive is ultimately determined not to be entitled to indemnification against such costs and expenses. Nothing in this Agreement shall operate to limit or extinguish any right to indemnification, advancement of expenses, or contribution that the Executive would otherwise have (including, without limitation, by agreement or under applicable law). For purposes of this Agreement,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shall include, without limitation, any claim, demand, request, investigation, dispute, controversy, threat, discovery request, or request for testimony or information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420"/>
          </w:cols>
          <w:pgMar w:left="1060" w:top="1388" w:right="419" w:bottom="1440" w:gutter="0" w:footer="0" w:header="0"/>
        </w:sectPr>
      </w:pPr>
    </w:p>
    <w:bookmarkStart w:id="136" w:name="page137"/>
    <w:bookmarkEnd w:id="136"/>
    <w:p>
      <w:pPr>
        <w:ind w:left="520" w:right="60"/>
        <w:spacing w:after="0" w:line="282" w:lineRule="auto"/>
        <w:rPr>
          <w:sz w:val="20"/>
          <w:szCs w:val="20"/>
          <w:color w:val="auto"/>
        </w:rPr>
      </w:pPr>
      <w:r>
        <w:rPr>
          <w:rFonts w:ascii="Times New Roman" w:cs="Times New Roman" w:eastAsia="Times New Roman" w:hAnsi="Times New Roman"/>
          <w:sz w:val="21"/>
          <w:szCs w:val="21"/>
          <w:color w:val="auto"/>
        </w:rPr>
        <w:t>and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shall include, without limitation, any actual, threatened, or reasonably anticipated, action, suit or proceeding, whether civil, criminal, administrative, arbitral, investigative, appellate, formal, informal or other.</w:t>
      </w:r>
    </w:p>
    <w:p>
      <w:pPr>
        <w:spacing w:after="0" w:line="169" w:lineRule="exact"/>
        <w:rPr>
          <w:sz w:val="20"/>
          <w:szCs w:val="20"/>
          <w:color w:val="auto"/>
        </w:rPr>
      </w:pPr>
    </w:p>
    <w:p>
      <w:pPr>
        <w:jc w:val="both"/>
        <w:ind w:left="520" w:right="40" w:firstLine="8"/>
        <w:spacing w:after="0" w:line="257" w:lineRule="auto"/>
        <w:tabs>
          <w:tab w:leader="none" w:pos="1147"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failure of the Company (including its Board, independent legal counsel or stockholders) to have made a determination prior to the commencement of any Proceeding concerning payment of amounts claimed by the Executive under Section 6.5(a) that indemnification of the Executive is proper because Executive has met the applicable standard of conduct, nor a determination by the Company (including its Board, independent legal counsel or stockholders) that the Executive has not met such applicable standard of conduct, shall create a presumption that the Executive has not met the applicable standard of conduct.</w:t>
      </w:r>
    </w:p>
    <w:p>
      <w:pPr>
        <w:spacing w:after="0" w:line="211" w:lineRule="exact"/>
        <w:rPr>
          <w:rFonts w:ascii="Times New Roman" w:cs="Times New Roman" w:eastAsia="Times New Roman" w:hAnsi="Times New Roman"/>
          <w:sz w:val="21"/>
          <w:szCs w:val="21"/>
          <w:color w:val="auto"/>
        </w:rPr>
      </w:pPr>
    </w:p>
    <w:p>
      <w:pPr>
        <w:jc w:val="both"/>
        <w:ind w:left="520" w:right="40" w:firstLine="8"/>
        <w:spacing w:after="0" w:line="259" w:lineRule="auto"/>
        <w:tabs>
          <w:tab w:leader="none" w:pos="114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directors’ and officers’ liability insurance policy (or policies) shall be kept in place until the sixth anniversary of the Date of Termination, providing coverage to the Executive that is no less favorable to Executive in any respect (including with respect to scope, exclusions, amounts, and deductibles) than the coverage then being provided to any other present or former senior executive or director of the Company.</w:t>
      </w:r>
    </w:p>
    <w:p>
      <w:pPr>
        <w:spacing w:after="0" w:line="19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520" w:right="40" w:firstLine="8"/>
        <w:spacing w:after="0" w:line="271" w:lineRule="auto"/>
        <w:tabs>
          <w:tab w:leader="none" w:pos="114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2" w:lineRule="exact"/>
        <w:rPr>
          <w:rFonts w:ascii="Times New Roman" w:cs="Times New Roman" w:eastAsia="Times New Roman" w:hAnsi="Times New Roman"/>
          <w:sz w:val="21"/>
          <w:szCs w:val="21"/>
          <w:color w:val="auto"/>
        </w:rPr>
      </w:pPr>
    </w:p>
    <w:p>
      <w:pPr>
        <w:ind w:left="520" w:right="40" w:firstLine="8"/>
        <w:spacing w:after="0" w:line="282" w:lineRule="auto"/>
        <w:tabs>
          <w:tab w:leader="none" w:pos="114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w:t>
      </w:r>
    </w:p>
    <w:p>
      <w:pPr>
        <w:spacing w:after="0" w:line="169" w:lineRule="exact"/>
        <w:rPr>
          <w:rFonts w:ascii="Times New Roman" w:cs="Times New Roman" w:eastAsia="Times New Roman" w:hAnsi="Times New Roman"/>
          <w:sz w:val="21"/>
          <w:szCs w:val="21"/>
          <w:color w:val="auto"/>
        </w:rPr>
      </w:pPr>
    </w:p>
    <w:p>
      <w:pPr>
        <w:jc w:val="both"/>
        <w:ind w:left="520" w:right="40" w:firstLine="8"/>
        <w:spacing w:after="0" w:line="264" w:lineRule="auto"/>
        <w:tabs>
          <w:tab w:leader="none" w:pos="114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Statements Concerning Company or Executive</w:t>
      </w:r>
      <w:r>
        <w:rPr>
          <w:rFonts w:ascii="Times New Roman" w:cs="Times New Roman" w:eastAsia="Times New Roman" w:hAnsi="Times New Roman"/>
          <w:sz w:val="21"/>
          <w:szCs w:val="21"/>
          <w:color w:val="auto"/>
        </w:rPr>
        <w:t>. The Executive shall refrain from willfully and knowingly making any public statement, whether oral or written about the Company, any of its Affiliates, any Executive Officer or any Board Member, that is disparaging or defamatory to any such person. The Company shall use best commercial efforts to cause each Executive Officer and Board Member to refrain from making any public statement, whether oral or written, that is disparaging or defamatory to the Executive. For purposes of this Section 6.7, an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is the CEO and 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420"/>
          </w:cols>
          <w:pgMar w:left="1060" w:top="1388" w:right="419" w:bottom="1440" w:gutter="0" w:footer="0" w:header="0"/>
        </w:sectPr>
      </w:pPr>
    </w:p>
    <w:bookmarkStart w:id="137" w:name="page138"/>
    <w:bookmarkEnd w:id="137"/>
    <w:p>
      <w:pPr>
        <w:jc w:val="both"/>
        <w:ind w:right="80"/>
        <w:spacing w:after="0" w:line="256" w:lineRule="auto"/>
        <w:rPr>
          <w:sz w:val="20"/>
          <w:szCs w:val="20"/>
          <w:color w:val="auto"/>
        </w:rPr>
      </w:pPr>
      <w:r>
        <w:rPr>
          <w:rFonts w:ascii="Times New Roman" w:cs="Times New Roman" w:eastAsia="Times New Roman" w:hAnsi="Times New Roman"/>
          <w:sz w:val="21"/>
          <w:szCs w:val="21"/>
          <w:color w:val="auto"/>
        </w:rPr>
        <w:t>officer directly reporting to the CEO, and a "</w:t>
      </w:r>
      <w:r>
        <w:rPr>
          <w:rFonts w:ascii="Times New Roman" w:cs="Times New Roman" w:eastAsia="Times New Roman" w:hAnsi="Times New Roman"/>
          <w:sz w:val="21"/>
          <w:szCs w:val="21"/>
          <w:u w:val="single" w:color="auto"/>
          <w:color w:val="auto"/>
        </w:rPr>
        <w:t>Board Member</w:t>
      </w:r>
      <w:r>
        <w:rPr>
          <w:rFonts w:ascii="Times New Roman" w:cs="Times New Roman" w:eastAsia="Times New Roman" w:hAnsi="Times New Roman"/>
          <w:sz w:val="21"/>
          <w:szCs w:val="21"/>
          <w:color w:val="auto"/>
        </w:rPr>
        <w:t>" is any individual that is a member of the Board. A violation or threatened violation of any of the above prohibitions may be enjoined by any court with jurisdiction. The rights afforded under this provision are in addition to any and all rights otherwise afforded by applicable law. Nothing shall prevent the Executive or the Company: (1) from truthfully and publicly correcting incorrect statements or (ii) from making truthful disclosures to the extent required (A) by law, by a government agency having supervisory authority over the business of the Company or any of its Affiliates or by any arbitrator, mediator or administrative or legislative body (including a committee thereof) with apparent jurisdiction or (B) to enforce this Agreement.</w:t>
      </w:r>
    </w:p>
    <w:p>
      <w:pPr>
        <w:spacing w:after="0" w:line="197"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hereunder shall be in writing and shall be given by (i) personal delivery, (ii) registered or certified mail, return receipt requested, postage prepaid, addressed as indicated below or (iii) nationally recognized overnight courier, with written confirmation of receipt, addressed as indicated below:</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u w:val="single" w:color="auto"/>
          <w:color w:val="auto"/>
        </w:rPr>
        <w:t>If to the Executive:</w:t>
      </w:r>
    </w:p>
    <w:p>
      <w:pPr>
        <w:spacing w:after="0" w:line="245" w:lineRule="exact"/>
        <w:rPr>
          <w:sz w:val="20"/>
          <w:szCs w:val="20"/>
          <w:color w:val="auto"/>
        </w:rPr>
      </w:pPr>
    </w:p>
    <w:p>
      <w:pPr>
        <w:ind w:left="1900" w:right="2080"/>
        <w:spacing w:after="0" w:line="260" w:lineRule="auto"/>
        <w:rPr>
          <w:sz w:val="20"/>
          <w:szCs w:val="20"/>
          <w:color w:val="auto"/>
        </w:rPr>
      </w:pPr>
      <w:r>
        <w:rPr>
          <w:rFonts w:ascii="Times New Roman" w:cs="Times New Roman" w:eastAsia="Times New Roman" w:hAnsi="Times New Roman"/>
          <w:sz w:val="21"/>
          <w:szCs w:val="21"/>
          <w:color w:val="auto"/>
        </w:rPr>
        <w:t>Home address as currently shown on Human Resources Department records of</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Executive’s business unit. The current home address is:</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u w:val="single" w:color="auto"/>
          <w:color w:val="auto"/>
        </w:rPr>
        <w:t>If to the Company</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Crown Castle Inc. 8020 Katy Freeway</w:t>
      </w:r>
    </w:p>
    <w:p>
      <w:pPr>
        <w:spacing w:after="0" w:line="3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Houston, Texas 77024</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Attention: General Counsel/Corporate Secretary</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A party may change address by written notice of such change in accordance herewith. Notice and communications shall be effective when actually received by the addressee.</w:t>
      </w:r>
    </w:p>
    <w:p>
      <w:pPr>
        <w:spacing w:after="0" w:line="16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Stock Retention</w:t>
      </w:r>
      <w:r>
        <w:rPr>
          <w:rFonts w:ascii="Times New Roman" w:cs="Times New Roman" w:eastAsia="Times New Roman" w:hAnsi="Times New Roman"/>
          <w:sz w:val="21"/>
          <w:szCs w:val="21"/>
          <w:color w:val="auto"/>
        </w:rPr>
        <w:t>. Executive acknowledges that the Company has established certain guidelines relating to the retention of a minimum number of shares of Company common stock ("</w:t>
      </w:r>
      <w:r>
        <w:rPr>
          <w:rFonts w:ascii="Times New Roman" w:cs="Times New Roman" w:eastAsia="Times New Roman" w:hAnsi="Times New Roman"/>
          <w:sz w:val="21"/>
          <w:szCs w:val="21"/>
          <w:u w:val="single" w:color="auto"/>
          <w:color w:val="auto"/>
        </w:rPr>
        <w:t>Retained Stock</w:t>
      </w:r>
      <w:r>
        <w:rPr>
          <w:rFonts w:ascii="Times New Roman" w:cs="Times New Roman" w:eastAsia="Times New Roman" w:hAnsi="Times New Roman"/>
          <w:sz w:val="21"/>
          <w:szCs w:val="21"/>
          <w:color w:val="auto"/>
        </w:rPr>
        <w:t>") during the employment of the executive officers by the Company (including any of its subsidiaries) and that such guidelines will be applicable to Executive. Such guidelines shall permit the Executive to sell shares of Company common stock, including Retained Stock, in order to satisfy any taxes arising from the receipt by the Executive of Company common stock pursuant to any Stock Option or Restricted Stock Award, and shall not require the Executive to purchase any shares of Company common stock. The number of shares of Retained Stock shall be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500"/>
          </w:cols>
          <w:pgMar w:left="1060" w:top="1388" w:right="339" w:bottom="1440" w:gutter="0" w:footer="0" w:header="0"/>
        </w:sectPr>
      </w:pPr>
    </w:p>
    <w:bookmarkStart w:id="138" w:name="page139"/>
    <w:bookmarkEnd w:id="138"/>
    <w:p>
      <w:pPr>
        <w:jc w:val="both"/>
        <w:spacing w:after="0" w:line="260" w:lineRule="auto"/>
        <w:rPr>
          <w:sz w:val="20"/>
          <w:szCs w:val="20"/>
          <w:color w:val="auto"/>
        </w:rPr>
      </w:pPr>
      <w:r>
        <w:rPr>
          <w:rFonts w:ascii="Times New Roman" w:cs="Times New Roman" w:eastAsia="Times New Roman" w:hAnsi="Times New Roman"/>
          <w:sz w:val="21"/>
          <w:szCs w:val="21"/>
          <w:color w:val="auto"/>
        </w:rPr>
        <w:t>adjusted for stock splits, stock dividends, spin offs and other relevant changes in the Company’s capital structure. Retained Stock shall include (i) restricted stock issued to Executive that is no longer subject to a forfeiture restriction, (ii) stock held in an individual retirement account, 401(k) plan or other qualified plan pursuant to the Code for the primary benefit of the Executive and/or Executive’s spouse and (iii) stock held by the Executive’s spouse. Restricted stock granted to the Executive by the Company that is subject to forfeiture restrictions shall not be counted as Retained Stock.</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Notwithstanding anything in this Agreement to the contrary, Executive’s obligations under this Agreement, including, without limitation, those obligations set forth in Sections V, 6.3, 6.4, 6.7, 6.8, 6.9, 6.10, and this Section 6.11, shall survive (i) the termination of Executive’s employment the Company and its subsidiaries and (ii) the termination or expiration of this Agreement, in each case, regardless of the manner of such termination or expiration.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may withhold from any amount payable under this Agreement such Federal, state or local taxes as shall be required to be withheld pursuant to any applicable law or regulation.</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Executive’s failure to insist upon strict compliance with any provision hereof shall not be deemed to be a waiver of such provision or any other provision thereof.</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understanding of the Company and the Executive with respect to the subject matter hereof.</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At Will Employment</w:t>
      </w:r>
      <w:r>
        <w:rPr>
          <w:rFonts w:ascii="Times New Roman" w:cs="Times New Roman" w:eastAsia="Times New Roman" w:hAnsi="Times New Roman"/>
          <w:sz w:val="21"/>
          <w:szCs w:val="21"/>
          <w:color w:val="auto"/>
        </w:rPr>
        <w:t>. The Executive and the Company acknowledge that the employment of the Executive by the Company is "at will".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Agreement shall be governed by the law of Texas, without regard to its choice of law provisions.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w:t>
      </w:r>
    </w:p>
    <w:p>
      <w:pPr>
        <w:spacing w:after="0" w:line="2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420"/>
          </w:cols>
          <w:pgMar w:left="1060" w:top="1388" w:right="419" w:bottom="1440" w:gutter="0" w:footer="0" w:header="0"/>
        </w:sectPr>
      </w:pPr>
    </w:p>
    <w:bookmarkStart w:id="139" w:name="page140"/>
    <w:bookmarkEnd w:id="139"/>
    <w:p>
      <w:pPr>
        <w:spacing w:after="0" w:line="186"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IN WITNESS WHEREOF, the Executive and the Company have entered into this Agreement effective as of the date first written above in multiple originals.</w:t>
      </w:r>
    </w:p>
    <w:p>
      <w:pPr>
        <w:spacing w:after="0" w:line="200" w:lineRule="exact"/>
        <w:rPr>
          <w:sz w:val="20"/>
          <w:szCs w:val="20"/>
          <w:color w:val="auto"/>
        </w:rPr>
      </w:pP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67"/>
        </w:trPr>
        <w:tc>
          <w:tcPr>
            <w:tcW w:w="47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COMPANY:</w:t>
            </w:r>
          </w:p>
        </w:tc>
        <w:tc>
          <w:tcPr>
            <w:tcW w:w="5380" w:type="dxa"/>
            <w:vAlign w:val="bottom"/>
            <w:gridSpan w:val="2"/>
          </w:tcPr>
          <w:p>
            <w:pPr>
              <w:ind w:left="620"/>
              <w:spacing w:after="0"/>
              <w:rPr>
                <w:sz w:val="20"/>
                <w:szCs w:val="20"/>
                <w:color w:val="auto"/>
              </w:rPr>
            </w:pPr>
            <w:r>
              <w:rPr>
                <w:rFonts w:ascii="Times New Roman" w:cs="Times New Roman" w:eastAsia="Times New Roman" w:hAnsi="Times New Roman"/>
                <w:sz w:val="21"/>
                <w:szCs w:val="21"/>
                <w:b w:val="1"/>
                <w:bCs w:val="1"/>
                <w:color w:val="auto"/>
              </w:rPr>
              <w:t>EXECUTIVE:</w:t>
            </w:r>
          </w:p>
        </w:tc>
      </w:tr>
      <w:tr>
        <w:trPr>
          <w:trHeight w:val="276"/>
        </w:trPr>
        <w:tc>
          <w:tcPr>
            <w:tcW w:w="47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CROWN CASTLE INC.</w:t>
            </w:r>
          </w:p>
        </w:tc>
        <w:tc>
          <w:tcPr>
            <w:tcW w:w="538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STEVEN J. MOSKOWITZ</w:t>
            </w:r>
          </w:p>
        </w:tc>
      </w:tr>
      <w:tr>
        <w:trPr>
          <w:trHeight w:val="684"/>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Anthony J. Melone</w:t>
            </w:r>
          </w:p>
        </w:tc>
        <w:tc>
          <w:tcPr>
            <w:tcW w:w="166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Steven J. Moskowitz</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38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Anthony Melone</w:t>
            </w:r>
          </w:p>
        </w:tc>
        <w:tc>
          <w:tcPr>
            <w:tcW w:w="166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Steven J. Moskowitz</w:t>
            </w:r>
          </w:p>
        </w:tc>
      </w:tr>
      <w:tr>
        <w:trPr>
          <w:trHeight w:val="276"/>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38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4/9/2024</w:t>
            </w:r>
          </w:p>
        </w:tc>
        <w:tc>
          <w:tcPr>
            <w:tcW w:w="166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Date:</w:t>
            </w:r>
          </w:p>
        </w:tc>
        <w:tc>
          <w:tcPr>
            <w:tcW w:w="37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4/9/2024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120"/>
          </w:cols>
          <w:pgMar w:left="440" w:top="1440" w:right="339" w:bottom="1440" w:gutter="0" w:footer="0" w:header="0"/>
        </w:sectPr>
      </w:pPr>
    </w:p>
    <w:bookmarkStart w:id="140" w:name="page141"/>
    <w:bookmarkEnd w:id="140"/>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 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 in Control" shall mean:</w:t>
      </w:r>
    </w:p>
    <w:p>
      <w:pPr>
        <w:spacing w:after="0" w:line="221" w:lineRule="exact"/>
        <w:rPr>
          <w:sz w:val="20"/>
          <w:szCs w:val="20"/>
          <w:color w:val="auto"/>
        </w:rPr>
      </w:pPr>
    </w:p>
    <w:p>
      <w:pPr>
        <w:jc w:val="both"/>
        <w:ind w:left="520" w:firstLine="8"/>
        <w:spacing w:after="0" w:line="254" w:lineRule="auto"/>
        <w:tabs>
          <w:tab w:leader="none" w:pos="114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Sections 13 (d) (3) or 14 (d) (2)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40% or more of either (i) the then outstanding shares of common stock of the Company (the "</w:t>
      </w:r>
      <w:r>
        <w:rPr>
          <w:rFonts w:ascii="Times New Roman" w:cs="Times New Roman" w:eastAsia="Times New Roman" w:hAnsi="Times New Roman"/>
          <w:sz w:val="21"/>
          <w:szCs w:val="21"/>
          <w:u w:val="single" w:color="auto"/>
          <w:color w:val="auto"/>
        </w:rPr>
        <w:t>Outstanding Company Common Stock</w:t>
      </w:r>
      <w:r>
        <w:rPr>
          <w:rFonts w:ascii="Times New Roman" w:cs="Times New Roman" w:eastAsia="Times New Roman" w:hAnsi="Times New Roman"/>
          <w:sz w:val="21"/>
          <w:szCs w:val="21"/>
          <w:color w:val="auto"/>
        </w:rPr>
        <w:t>") or (ii) the combined voting power of the then outstanding voting securities of the Company entitled to vote generally in the election of directors (the "</w:t>
      </w:r>
      <w:r>
        <w:rPr>
          <w:rFonts w:ascii="Times New Roman" w:cs="Times New Roman" w:eastAsia="Times New Roman" w:hAnsi="Times New Roman"/>
          <w:sz w:val="21"/>
          <w:szCs w:val="21"/>
          <w:u w:val="single" w:color="auto"/>
          <w:color w:val="auto"/>
        </w:rPr>
        <w:t>Outstanding Company Voting Securities</w:t>
      </w:r>
      <w:r>
        <w:rPr>
          <w:rFonts w:ascii="Times New Roman" w:cs="Times New Roman" w:eastAsia="Times New Roman" w:hAnsi="Times New Roman"/>
          <w:sz w:val="21"/>
          <w:szCs w:val="21"/>
          <w:color w:val="auto"/>
        </w:rPr>
        <w:t>"); provided, however, that the following acquisitions shall not constitute a Change of Control: (i) any acquisition by the Company if no Person (excluding those Persons described in clauses (ii) and (iii) of this proviso) owns 40% or more of the Outstanding Company Common Stock or Company Stock Voting Securities after such acquisition, (ii) any acquisition by any employee benefit plan (or related trust) sponsored or maintained by the Company or any corporation controlled by the Company, or (iii) any acquisition by a corporation pursuant to a reorganization, merger or consolidation, if, following such reorganization, merger or consolidation, the conditions described in clauses (i), (ii) and (iii) of subsection (c), below, are satisfied;</w:t>
      </w:r>
    </w:p>
    <w:p>
      <w:pPr>
        <w:spacing w:after="0" w:line="204" w:lineRule="exact"/>
        <w:rPr>
          <w:rFonts w:ascii="Times New Roman" w:cs="Times New Roman" w:eastAsia="Times New Roman" w:hAnsi="Times New Roman"/>
          <w:sz w:val="21"/>
          <w:szCs w:val="21"/>
          <w:color w:val="auto"/>
        </w:rPr>
      </w:pPr>
    </w:p>
    <w:p>
      <w:pPr>
        <w:jc w:val="both"/>
        <w:ind w:left="520" w:firstLine="8"/>
        <w:spacing w:after="0" w:line="255" w:lineRule="auto"/>
        <w:tabs>
          <w:tab w:leader="none" w:pos="114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constitute the Board at the date of this Severance Agreement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spacing w:after="0" w:line="197" w:lineRule="exact"/>
        <w:rPr>
          <w:rFonts w:ascii="Times New Roman" w:cs="Times New Roman" w:eastAsia="Times New Roman" w:hAnsi="Times New Roman"/>
          <w:sz w:val="21"/>
          <w:szCs w:val="21"/>
          <w:color w:val="auto"/>
        </w:rPr>
      </w:pPr>
    </w:p>
    <w:p>
      <w:pPr>
        <w:jc w:val="both"/>
        <w:ind w:left="520" w:firstLine="8"/>
        <w:spacing w:after="0" w:line="257" w:lineRule="auto"/>
        <w:tabs>
          <w:tab w:leader="none" w:pos="114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 reorganization, merger or consolidation, unless, following such reorganization, merger or consolidation, (i) more than 50% of, respectively, the then outstanding shares of common stock of the corporation resulting from such reorganization, merger or consolidation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380"/>
          </w:cols>
          <w:pgMar w:left="1060" w:top="1440" w:right="459" w:bottom="1440" w:gutter="0" w:footer="0" w:header="0"/>
        </w:sectPr>
      </w:pPr>
    </w:p>
    <w:bookmarkStart w:id="141" w:name="page142"/>
    <w:bookmarkEnd w:id="141"/>
    <w:p>
      <w:pPr>
        <w:jc w:val="both"/>
        <w:ind w:left="140"/>
        <w:spacing w:after="0" w:line="253" w:lineRule="auto"/>
        <w:rPr>
          <w:sz w:val="20"/>
          <w:szCs w:val="20"/>
          <w:color w:val="auto"/>
        </w:rPr>
      </w:pPr>
      <w:r>
        <w:rPr>
          <w:rFonts w:ascii="Times New Roman" w:cs="Times New Roman" w:eastAsia="Times New Roman" w:hAnsi="Times New Roman"/>
          <w:sz w:val="21"/>
          <w:szCs w:val="21"/>
          <w:color w:val="auto"/>
        </w:rPr>
        <w:t>Common Stock and Outstanding Company Voting Securities immediately prior to such reorganization, merger or consolidation in substantially the same proportions as their ownership, immediately prior to such reorganization, merger or consolidation, of the Outstanding Company Common Stock and Outstanding Company Voting Securities, as the case may be, (ii) no Person (excluding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40% or more of the Outstanding Company Common Stock or Outstanding Company Voting Securities, as the case may be) beneficially owns, directly or indirectly, 40% or more of, respectively, the then outstanding shares of common stock of the corporation resulting from such reorganization, merger or consolidation or the combined voting power of the then outstanding voting securities of such corporation entitled to vote generally in the election of directors and</w:t>
      </w:r>
    </w:p>
    <w:p>
      <w:pPr>
        <w:spacing w:after="0" w:line="5" w:lineRule="exact"/>
        <w:rPr>
          <w:sz w:val="20"/>
          <w:szCs w:val="20"/>
          <w:color w:val="auto"/>
        </w:rPr>
      </w:pPr>
    </w:p>
    <w:p>
      <w:pPr>
        <w:jc w:val="both"/>
        <w:ind w:left="140" w:firstLine="8"/>
        <w:spacing w:after="0" w:line="253" w:lineRule="auto"/>
        <w:tabs>
          <w:tab w:leader="none" w:pos="57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 or</w:t>
      </w:r>
    </w:p>
    <w:p>
      <w:pPr>
        <w:spacing w:after="0" w:line="199" w:lineRule="exact"/>
        <w:rPr>
          <w:sz w:val="20"/>
          <w:szCs w:val="20"/>
          <w:color w:val="auto"/>
        </w:rPr>
      </w:pPr>
    </w:p>
    <w:p>
      <w:pPr>
        <w:jc w:val="both"/>
        <w:ind w:left="140" w:firstLine="8"/>
        <w:spacing w:after="0" w:line="252" w:lineRule="auto"/>
        <w:tabs>
          <w:tab w:leader="none" w:pos="76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(i) a complete liquidation or dissolution of the Company, (ii) the sale or other disposition of all or substantially all of the assets of the Company, or (iii) a similar transaction or series of transactions, other than to a corporation, with respect to which following such sale or other disposition, (A) more than 50%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sale or other disposition in substantially the same proportion as their ownership, immediately prior to such sale or other disposition, of the Outstanding Company Common Stock and Outstanding Company Voting Securities, as the case may be, (B) no Person (excluding the Company and any employee benefit plan (or related trust) of the Company or such corporation and any Person beneficially owning, immediately prior to such sale or other disposition, directly or indirectly, 40% or more of the Outstanding Company Common Stock or Outstanding Company Voting Securities, as the case may be) beneficially owns, directly or indirectly, 40% or more of, respectively, the then outstanding shares of common stock of such corporation and the combined voting power of the then outstanding voting securities of such corporation entitled to vote generally in the election of directors and</w:t>
      </w:r>
    </w:p>
    <w:p>
      <w:pPr>
        <w:spacing w:after="0" w:line="10" w:lineRule="exact"/>
        <w:rPr>
          <w:rFonts w:ascii="Times New Roman" w:cs="Times New Roman" w:eastAsia="Times New Roman" w:hAnsi="Times New Roman"/>
          <w:sz w:val="21"/>
          <w:szCs w:val="21"/>
          <w:color w:val="auto"/>
        </w:rPr>
      </w:pPr>
    </w:p>
    <w:p>
      <w:pPr>
        <w:ind w:left="1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 at least a majority of the members of the board of directors of such corporation were members of the Incumbent Board at the time of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000"/>
          </w:cols>
          <w:pgMar w:left="1440" w:top="1388" w:right="459" w:bottom="1440" w:gutter="0" w:footer="0" w:header="0"/>
        </w:sectPr>
      </w:pPr>
    </w:p>
    <w:bookmarkStart w:id="142" w:name="page143"/>
    <w:bookmarkEnd w:id="142"/>
    <w:p>
      <w:pPr>
        <w:ind w:left="140"/>
        <w:spacing w:after="0" w:line="282" w:lineRule="auto"/>
        <w:rPr>
          <w:sz w:val="20"/>
          <w:szCs w:val="20"/>
          <w:color w:val="auto"/>
        </w:rPr>
      </w:pPr>
      <w:r>
        <w:rPr>
          <w:rFonts w:ascii="Times New Roman" w:cs="Times New Roman" w:eastAsia="Times New Roman" w:hAnsi="Times New Roman"/>
          <w:sz w:val="21"/>
          <w:szCs w:val="21"/>
          <w:color w:val="auto"/>
        </w:rPr>
        <w:t>execution of the initial agreement or action of the Board providing for such sale or other disposition of assets of the Company.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0000"/>
          </w:cols>
          <w:pgMar w:left="1440" w:top="1389" w:right="45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GRANT DATE: </w:t>
      </w:r>
      <w:r>
        <w:rPr>
          <w:rFonts w:ascii="Times New Roman" w:cs="Times New Roman" w:eastAsia="Times New Roman" w:hAnsi="Times New Roman"/>
          <w:sz w:val="21"/>
          <w:szCs w:val="21"/>
          <w:b w:val="1"/>
          <w:bCs w:val="1"/>
          <w:color w:val="auto"/>
        </w:rPr>
        <w:t>______________, _____</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This Restricted Stock Unit Agreement (“Agreement”) </w:t>
      </w:r>
      <w:r>
        <w:rPr>
          <w:rFonts w:ascii="Times New Roman" w:cs="Times New Roman" w:eastAsia="Times New Roman" w:hAnsi="Times New Roman"/>
          <w:sz w:val="21"/>
          <w:szCs w:val="21"/>
          <w:color w:val="auto"/>
        </w:rPr>
        <w:t>is made effective as of</w:t>
      </w:r>
      <w:r>
        <w:rPr>
          <w:rFonts w:ascii="Times New Roman" w:cs="Times New Roman" w:eastAsia="Times New Roman" w:hAnsi="Times New Roman"/>
          <w:sz w:val="21"/>
          <w:szCs w:val="21"/>
          <w:b w:val="1"/>
          <w:bCs w:val="1"/>
          <w:color w:val="auto"/>
        </w:rPr>
        <w:t xml:space="preserve"> ______________, _____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between </w:t>
      </w:r>
      <w:r>
        <w:rPr>
          <w:rFonts w:ascii="Times New Roman" w:cs="Times New Roman" w:eastAsia="Times New Roman" w:hAnsi="Times New Roman"/>
          <w:sz w:val="21"/>
          <w:szCs w:val="21"/>
          <w:b w:val="1"/>
          <w:bCs w:val="1"/>
          <w:color w:val="auto"/>
        </w:rPr>
        <w:t>CROWN CASTLE INC.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 Delaware corporation, and _____________________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Holder has been serving as an employee or consultant of the Company or one of its Affiliates. In recognition of service and in order to encourage Holder to remain with the Company or its Affiliates (“Group”) and devote Holder’s best efforts to the Group’s affairs, thereby advancing the interests of the Company and its stockholders, the Company and Holder agree as follows:</w:t>
      </w:r>
    </w:p>
    <w:p>
      <w:pPr>
        <w:spacing w:after="0" w:line="178" w:lineRule="exact"/>
        <w:rPr>
          <w:sz w:val="20"/>
          <w:szCs w:val="20"/>
          <w:color w:val="auto"/>
        </w:rPr>
      </w:pPr>
    </w:p>
    <w:p>
      <w:pPr>
        <w:jc w:val="both"/>
        <w:ind w:firstLine="637"/>
        <w:spacing w:after="0" w:line="254" w:lineRule="auto"/>
        <w:tabs>
          <w:tab w:leader="none" w:pos="126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Issuance of Restricted Stock Units</w:t>
      </w:r>
      <w:r>
        <w:rPr>
          <w:rFonts w:ascii="Times New Roman" w:cs="Times New Roman" w:eastAsia="Times New Roman" w:hAnsi="Times New Roman"/>
          <w:sz w:val="21"/>
          <w:szCs w:val="21"/>
          <w:color w:val="auto"/>
        </w:rPr>
        <w:t>. Upon the execution and return of this Agreement and for consideration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Holder to the Company in the form of services to the Group, the fair market value of which is at least equal to $.01 per each restricted stock unit granted pursuant to the 2022 Plan (defined below) (“</w:t>
      </w:r>
      <w:r>
        <w:rPr>
          <w:rFonts w:ascii="Times New Roman" w:cs="Times New Roman" w:eastAsia="Times New Roman" w:hAnsi="Times New Roman"/>
          <w:sz w:val="21"/>
          <w:szCs w:val="21"/>
          <w:u w:val="single" w:color="auto"/>
          <w:color w:val="auto"/>
        </w:rPr>
        <w:t>Unit</w:t>
      </w:r>
      <w:r>
        <w:rPr>
          <w:rFonts w:ascii="Times New Roman" w:cs="Times New Roman" w:eastAsia="Times New Roman" w:hAnsi="Times New Roman"/>
          <w:sz w:val="21"/>
          <w:szCs w:val="21"/>
          <w:color w:val="auto"/>
        </w:rPr>
        <w:t>”) which may be issued hereunder, the Company shall grant to Holder the number of Units listed on the exhibit(s) (each, an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attached to this Agreement (“</w:t>
      </w:r>
      <w:r>
        <w:rPr>
          <w:rFonts w:ascii="Times New Roman" w:cs="Times New Roman" w:eastAsia="Times New Roman" w:hAnsi="Times New Roman"/>
          <w:sz w:val="21"/>
          <w:szCs w:val="21"/>
          <w:u w:val="single" w:color="auto"/>
          <w:color w:val="auto"/>
        </w:rPr>
        <w:t>Holder’s Units</w:t>
      </w:r>
      <w:r>
        <w:rPr>
          <w:rFonts w:ascii="Times New Roman" w:cs="Times New Roman" w:eastAsia="Times New Roman" w:hAnsi="Times New Roman"/>
          <w:sz w:val="21"/>
          <w:szCs w:val="21"/>
          <w:color w:val="auto"/>
        </w:rPr>
        <w:t>”), with each such Unit representing the right to potentially receive one share of $.01 par value Common Stock of the Company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subject to all of the terms set forth in this Agreement and in the Crown Castle Inc. 2022 Long-Term Incentive Plan, as may be amended from time to time (“</w:t>
      </w:r>
      <w:r>
        <w:rPr>
          <w:rFonts w:ascii="Times New Roman" w:cs="Times New Roman" w:eastAsia="Times New Roman" w:hAnsi="Times New Roman"/>
          <w:sz w:val="21"/>
          <w:szCs w:val="21"/>
          <w:u w:val="single" w:color="auto"/>
          <w:color w:val="auto"/>
        </w:rPr>
        <w:t>2022 Plan</w:t>
      </w:r>
      <w:r>
        <w:rPr>
          <w:rFonts w:ascii="Times New Roman" w:cs="Times New Roman" w:eastAsia="Times New Roman" w:hAnsi="Times New Roman"/>
          <w:sz w:val="21"/>
          <w:szCs w:val="21"/>
          <w:color w:val="auto"/>
        </w:rPr>
        <w:t>”), which is incorporated herein by reference as a part of this Agreement. The terms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Dividend Equivalent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Performance Award</w:t>
      </w:r>
      <w:r>
        <w:rPr>
          <w:rFonts w:ascii="Times New Roman" w:cs="Times New Roman" w:eastAsia="Times New Roman" w:hAnsi="Times New Roman"/>
          <w:sz w:val="21"/>
          <w:szCs w:val="21"/>
          <w:color w:val="auto"/>
        </w:rPr>
        <w:t>” shall have the meanings assigned to them in the 2022 Plan. If a Performance Measure (as hereinafter defined) is designated on an attached Exhibit, then the Units subject to that Exhibit are hereby designated as Performance Awards for purposes of Article IX of the 2022 Plan.</w:t>
      </w:r>
    </w:p>
    <w:p>
      <w:pPr>
        <w:spacing w:after="0" w:line="207" w:lineRule="exact"/>
        <w:rPr>
          <w:rFonts w:ascii="Times New Roman" w:cs="Times New Roman" w:eastAsia="Times New Roman" w:hAnsi="Times New Roman"/>
          <w:sz w:val="21"/>
          <w:szCs w:val="21"/>
          <w:color w:val="auto"/>
        </w:rPr>
      </w:pPr>
    </w:p>
    <w:p>
      <w:pPr>
        <w:jc w:val="both"/>
        <w:ind w:firstLine="637"/>
        <w:spacing w:after="0" w:line="261" w:lineRule="auto"/>
        <w:tabs>
          <w:tab w:leader="none" w:pos="126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Limitations on Rights Associated with Units and Dividend Equivalents</w:t>
      </w:r>
      <w:r>
        <w:rPr>
          <w:rFonts w:ascii="Times New Roman" w:cs="Times New Roman" w:eastAsia="Times New Roman" w:hAnsi="Times New Roman"/>
          <w:sz w:val="21"/>
          <w:szCs w:val="21"/>
          <w:color w:val="auto"/>
        </w:rPr>
        <w:t>. The Units and Dividend Equivalents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pursuant to this Agreement are bookkeeping entries only. The Holder as to the Units shall have no rights as a stockholder of the Company, including no dividend rights (other than those described in Section 7 hereof with regard to Dividend Equivalents) and no voting rights.</w:t>
      </w:r>
    </w:p>
    <w:p>
      <w:pPr>
        <w:spacing w:after="0" w:line="186" w:lineRule="exact"/>
        <w:rPr>
          <w:rFonts w:ascii="Times New Roman" w:cs="Times New Roman" w:eastAsia="Times New Roman" w:hAnsi="Times New Roman"/>
          <w:sz w:val="21"/>
          <w:szCs w:val="21"/>
          <w:color w:val="auto"/>
        </w:rPr>
      </w:pPr>
    </w:p>
    <w:p>
      <w:pPr>
        <w:jc w:val="both"/>
        <w:ind w:firstLine="637"/>
        <w:spacing w:after="0" w:line="258" w:lineRule="auto"/>
        <w:tabs>
          <w:tab w:leader="none" w:pos="126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and Forfeiture Restrictions</w:t>
      </w:r>
      <w:r>
        <w:rPr>
          <w:rFonts w:ascii="Times New Roman" w:cs="Times New Roman" w:eastAsia="Times New Roman" w:hAnsi="Times New Roman"/>
          <w:sz w:val="21"/>
          <w:szCs w:val="21"/>
          <w:color w:val="auto"/>
        </w:rPr>
        <w:t>. The Holder’s Units shall not be sold, assigned, pledged,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except as provided herein (including the 2022 Plan), and Holder shall be obligated to forfeit and surrender, without further consideration from the Company, such Units (to the extent then subject to the Forfeiture Restrictions) to the Company in accordance with this Agreement. The obligation to forfeit and surrender Units to the Company is referred to herein as the “</w:t>
      </w: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The transfer restrictions and Forfeiture Restrictions shall be binding upon and enforceable against any permitted transferee of Units.</w:t>
      </w:r>
    </w:p>
    <w:p>
      <w:pPr>
        <w:sectPr>
          <w:pgSz w:w="11900" w:h="16838" w:orient="portrait"/>
          <w:cols w:equalWidth="0" w:num="1">
            <w:col w:w="11240"/>
          </w:cols>
          <w:pgMar w:left="320" w:top="1384" w:right="339" w:bottom="1440" w:gutter="0" w:footer="0" w:header="0"/>
        </w:sectPr>
      </w:pPr>
    </w:p>
    <w:bookmarkStart w:id="144" w:name="page145"/>
    <w:bookmarkEnd w:id="144"/>
    <w:p>
      <w:pPr>
        <w:spacing w:after="0" w:line="182" w:lineRule="exact"/>
        <w:rPr>
          <w:sz w:val="20"/>
          <w:szCs w:val="20"/>
          <w:color w:val="auto"/>
        </w:rPr>
      </w:pPr>
    </w:p>
    <w:p>
      <w:pPr>
        <w:ind w:left="1260" w:hanging="623"/>
        <w:spacing w:after="0"/>
        <w:tabs>
          <w:tab w:leader="none" w:pos="12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Measures</w:t>
      </w:r>
      <w:r>
        <w:rPr>
          <w:rFonts w:ascii="Times New Roman" w:cs="Times New Roman" w:eastAsia="Times New Roman" w:hAnsi="Times New Roman"/>
          <w:sz w:val="21"/>
          <w:szCs w:val="21"/>
          <w:color w:val="auto"/>
        </w:rPr>
        <w:t>.</w:t>
      </w:r>
    </w:p>
    <w:p>
      <w:pPr>
        <w:spacing w:after="0" w:line="249" w:lineRule="exact"/>
        <w:rPr>
          <w:rFonts w:ascii="Times New Roman" w:cs="Times New Roman" w:eastAsia="Times New Roman" w:hAnsi="Times New Roman"/>
          <w:sz w:val="21"/>
          <w:szCs w:val="21"/>
          <w:color w:val="auto"/>
        </w:rPr>
      </w:pPr>
    </w:p>
    <w:p>
      <w:pPr>
        <w:jc w:val="both"/>
        <w:ind w:firstLine="1268"/>
        <w:spacing w:after="0" w:line="255" w:lineRule="auto"/>
        <w:tabs>
          <w:tab w:leader="none" w:pos="1892"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5 hereof, the lapsing of the Forfeiture Restrictions shall be contingent on the Holder and the Group, as applicable, meeting the service and, if applicable, performance conditions described on the applicable Exhibit attached to this Agreement. The Holder shall be required to complete a designated period of service (“</w:t>
      </w:r>
      <w:r>
        <w:rPr>
          <w:rFonts w:ascii="Times New Roman" w:cs="Times New Roman" w:eastAsia="Times New Roman" w:hAnsi="Times New Roman"/>
          <w:sz w:val="21"/>
          <w:szCs w:val="21"/>
          <w:u w:val="single" w:color="auto"/>
          <w:color w:val="auto"/>
        </w:rPr>
        <w:t>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Measure</w:t>
      </w:r>
      <w:r>
        <w:rPr>
          <w:rFonts w:ascii="Times New Roman" w:cs="Times New Roman" w:eastAsia="Times New Roman" w:hAnsi="Times New Roman"/>
          <w:sz w:val="21"/>
          <w:szCs w:val="21"/>
          <w:color w:val="auto"/>
        </w:rPr>
        <w:t>”) which shall begin on the Grant Date and end on the date specified in the applicable Exhibit attached (“</w:t>
      </w:r>
      <w:r>
        <w:rPr>
          <w:rFonts w:ascii="Times New Roman" w:cs="Times New Roman" w:eastAsia="Times New Roman" w:hAnsi="Times New Roman"/>
          <w:sz w:val="21"/>
          <w:szCs w:val="21"/>
          <w:u w:val="single" w:color="auto"/>
          <w:color w:val="auto"/>
        </w:rPr>
        <w:t>Time 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In addition, to the extent provided in an attached Exhibit, the Holder or the Group may be required to attain one or more performance goals (each, if applicable, a “</w:t>
      </w:r>
      <w:r>
        <w:rPr>
          <w:rFonts w:ascii="Times New Roman" w:cs="Times New Roman" w:eastAsia="Times New Roman" w:hAnsi="Times New Roman"/>
          <w:sz w:val="21"/>
          <w:szCs w:val="21"/>
          <w:u w:val="single" w:color="auto"/>
          <w:color w:val="auto"/>
        </w:rPr>
        <w:t>Performance Measure</w:t>
      </w:r>
      <w:r>
        <w:rPr>
          <w:rFonts w:ascii="Times New Roman" w:cs="Times New Roman" w:eastAsia="Times New Roman" w:hAnsi="Times New Roman"/>
          <w:sz w:val="21"/>
          <w:szCs w:val="21"/>
          <w:color w:val="auto"/>
        </w:rPr>
        <w:t>”, and together with a Time Measure, the “</w:t>
      </w:r>
      <w:r>
        <w:rPr>
          <w:rFonts w:ascii="Times New Roman" w:cs="Times New Roman" w:eastAsia="Times New Roman" w:hAnsi="Times New Roman"/>
          <w:sz w:val="21"/>
          <w:szCs w:val="21"/>
          <w:u w:val="single" w:color="auto"/>
          <w:color w:val="auto"/>
        </w:rPr>
        <w:t>Measures</w:t>
      </w:r>
      <w:r>
        <w:rPr>
          <w:rFonts w:ascii="Times New Roman" w:cs="Times New Roman" w:eastAsia="Times New Roman" w:hAnsi="Times New Roman"/>
          <w:sz w:val="21"/>
          <w:szCs w:val="21"/>
          <w:color w:val="auto"/>
        </w:rPr>
        <w:t>”), which shall be measured over the designated period of time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as described on such Exhibit. The date on which the Time Measure and, if applicable, the Performance Measure, are both satisfied shall be the “</w:t>
      </w:r>
      <w:r>
        <w:rPr>
          <w:rFonts w:ascii="Times New Roman" w:cs="Times New Roman" w:eastAsia="Times New Roman" w:hAnsi="Times New Roman"/>
          <w:sz w:val="21"/>
          <w:szCs w:val="21"/>
          <w:u w:val="single" w:color="auto"/>
          <w:color w:val="auto"/>
        </w:rPr>
        <w:t>Measurement Date</w:t>
      </w:r>
      <w:r>
        <w:rPr>
          <w:rFonts w:ascii="Times New Roman" w:cs="Times New Roman" w:eastAsia="Times New Roman" w:hAnsi="Times New Roman"/>
          <w:sz w:val="21"/>
          <w:szCs w:val="21"/>
          <w:color w:val="auto"/>
        </w:rPr>
        <w:t>” for Holder’s Units, subject to such measurement. The Time Measure, Time Vesting Date, Measurement Date and, if applicable, the Performance Period and Performance Measures for this grant of Units are described on the applicable Exhibit attached to this Agreement.</w:t>
      </w:r>
    </w:p>
    <w:p>
      <w:pPr>
        <w:spacing w:after="0" w:line="197" w:lineRule="exact"/>
        <w:rPr>
          <w:rFonts w:ascii="Times New Roman" w:cs="Times New Roman" w:eastAsia="Times New Roman" w:hAnsi="Times New Roman"/>
          <w:sz w:val="21"/>
          <w:szCs w:val="21"/>
          <w:color w:val="auto"/>
        </w:rPr>
      </w:pPr>
    </w:p>
    <w:p>
      <w:pPr>
        <w:jc w:val="both"/>
        <w:ind w:firstLine="1268"/>
        <w:spacing w:after="0" w:line="264" w:lineRule="auto"/>
        <w:tabs>
          <w:tab w:leader="none" w:pos="1890"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conditions set forth in Section 4(a), the lapsing of any Forfeiture Restrictions shall be contingent upon the Holder having complied (as determined by the Company) with all agreements (including any confidentiality, non-competition, non-solicitation and non-disparagement agreements) entered into by and between the Holder and any member of the Group on and prior to the date such Forfeiture Restrictions would otherwise be expected to lapse hereunder.</w:t>
      </w:r>
    </w:p>
    <w:p>
      <w:pPr>
        <w:spacing w:after="0" w:line="187" w:lineRule="exact"/>
        <w:rPr>
          <w:rFonts w:ascii="Times New Roman" w:cs="Times New Roman" w:eastAsia="Times New Roman" w:hAnsi="Times New Roman"/>
          <w:sz w:val="21"/>
          <w:szCs w:val="21"/>
          <w:color w:val="auto"/>
        </w:rPr>
      </w:pPr>
    </w:p>
    <w:p>
      <w:pPr>
        <w:jc w:val="both"/>
        <w:ind w:firstLine="1268"/>
        <w:spacing w:after="0" w:line="257" w:lineRule="auto"/>
        <w:tabs>
          <w:tab w:leader="none" w:pos="1892"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administratively feasible after the designated Measurement Date for a Unit, (1) if that Unit is subject to a Performance Measure, the Committee shall certify in writing the extent to which such Performance Measure has been satisfied, (2) the Company shall calculate the number of Units with respect to which the Forfeiture Restrictions shall lapse pursuant to the terms of the applicable Exhibit attached (“</w:t>
      </w:r>
      <w:r>
        <w:rPr>
          <w:rFonts w:ascii="Times New Roman" w:cs="Times New Roman" w:eastAsia="Times New Roman" w:hAnsi="Times New Roman"/>
          <w:sz w:val="21"/>
          <w:szCs w:val="21"/>
          <w:u w:val="single" w:color="auto"/>
          <w:color w:val="auto"/>
        </w:rPr>
        <w:t>Vested Units</w:t>
      </w:r>
      <w:r>
        <w:rPr>
          <w:rFonts w:ascii="Times New Roman" w:cs="Times New Roman" w:eastAsia="Times New Roman" w:hAnsi="Times New Roman"/>
          <w:sz w:val="21"/>
          <w:szCs w:val="21"/>
          <w:color w:val="auto"/>
        </w:rPr>
        <w:t>”), and (3) the Company shall distribute to the Holder one share of Stock (“</w:t>
      </w:r>
      <w:r>
        <w:rPr>
          <w:rFonts w:ascii="Times New Roman" w:cs="Times New Roman" w:eastAsia="Times New Roman" w:hAnsi="Times New Roman"/>
          <w:sz w:val="21"/>
          <w:szCs w:val="21"/>
          <w:u w:val="single" w:color="auto"/>
          <w:color w:val="auto"/>
        </w:rPr>
        <w:t>Distributed Stock</w:t>
      </w:r>
      <w:r>
        <w:rPr>
          <w:rFonts w:ascii="Times New Roman" w:cs="Times New Roman" w:eastAsia="Times New Roman" w:hAnsi="Times New Roman"/>
          <w:sz w:val="21"/>
          <w:szCs w:val="21"/>
          <w:color w:val="auto"/>
        </w:rPr>
        <w:t>”) in exchange for each Vested Unit in accordance with the timing restrictions of Section 9 hereof, and upon such exchange the Vested Units shall be automatically cancelled.</w:t>
      </w:r>
    </w:p>
    <w:p>
      <w:pPr>
        <w:spacing w:after="0" w:line="198" w:lineRule="exact"/>
        <w:rPr>
          <w:rFonts w:ascii="Times New Roman" w:cs="Times New Roman" w:eastAsia="Times New Roman" w:hAnsi="Times New Roman"/>
          <w:sz w:val="21"/>
          <w:szCs w:val="21"/>
          <w:color w:val="auto"/>
        </w:rPr>
      </w:pPr>
    </w:p>
    <w:p>
      <w:pPr>
        <w:ind w:firstLine="1268"/>
        <w:spacing w:after="0" w:line="282" w:lineRule="auto"/>
        <w:tabs>
          <w:tab w:leader="none" w:pos="1890"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Holder’s Units with respect to which Forfeiture Restrictions cannot lapse pursuant to this Section 4 (including any exceptions pursuant to Section 5 hereof) shall be forfeited and surrendered to the Company by Holder.</w:t>
      </w:r>
    </w:p>
    <w:p>
      <w:pPr>
        <w:spacing w:after="0" w:line="165" w:lineRule="exact"/>
        <w:rPr>
          <w:rFonts w:ascii="Times New Roman" w:cs="Times New Roman" w:eastAsia="Times New Roman" w:hAnsi="Times New Roman"/>
          <w:sz w:val="21"/>
          <w:szCs w:val="21"/>
          <w:color w:val="auto"/>
        </w:rPr>
      </w:pPr>
    </w:p>
    <w:p>
      <w:pPr>
        <w:jc w:val="both"/>
        <w:ind w:firstLine="637"/>
        <w:spacing w:after="0" w:line="261" w:lineRule="auto"/>
        <w:tabs>
          <w:tab w:leader="none" w:pos="126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 of Employment or Service</w:t>
      </w:r>
      <w:r>
        <w:rPr>
          <w:rFonts w:ascii="Times New Roman" w:cs="Times New Roman" w:eastAsia="Times New Roman" w:hAnsi="Times New Roman"/>
          <w:sz w:val="21"/>
          <w:szCs w:val="21"/>
          <w:color w:val="auto"/>
        </w:rPr>
        <w:t>. If Holder’s employment with the Group terminates or is terminated prior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applicable Measurement Date, then the remaining Holder’s Units shall be forfeited and surrendered to the Company; provided, however, that, in such event, the Committee may (subject to the terms of the 2022 Plan), in its sole discretion, cause the Forfeiture Restrictions to lapse as to all or a part of the Holder’s Units and, subject to the timing restrictions of Section 9 hereof, cause Distributed Stock to be issued and distributed with respect to such Units as if they were Vested Units subject to such terms set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45" w:name="page146"/>
    <w:bookmarkEnd w:id="145"/>
    <w:p>
      <w:pPr>
        <w:jc w:val="both"/>
        <w:spacing w:after="0" w:line="255" w:lineRule="auto"/>
        <w:rPr>
          <w:sz w:val="20"/>
          <w:szCs w:val="20"/>
          <w:color w:val="auto"/>
        </w:rPr>
      </w:pPr>
      <w:r>
        <w:rPr>
          <w:rFonts w:ascii="Times New Roman" w:cs="Times New Roman" w:eastAsia="Times New Roman" w:hAnsi="Times New Roman"/>
          <w:sz w:val="21"/>
          <w:szCs w:val="21"/>
          <w:color w:val="auto"/>
        </w:rPr>
        <w:t>Committee, which may include satisfaction of the Measures that would otherwise be applicable to such Units if Holder’s employment with the Group had continued. For purposes of this Section 5, Holder’s services as a consultant or member of the board of directors (or a similar position) of the Group shall be considered employment with the Group (notwithstanding the foregoing, a Holder who is a consultant of the Group shall be and remain an independent contractor of the Group for all purposes, and this Agreement shall not be construed to create an employment relationship). In the event Holder’s employment with the Group terminates or is terminated under circumstances constituting retirement under any then-existing Board-approved retirement policy or program, including the Company’s Extended Service Separation Program (if then in effect), the lapse of the Forfeiture Restrictions with respect to or the forfeiture of Holder’s Units, as applicable, shall be determined in accordance with such retirement policy or program.</w:t>
      </w:r>
    </w:p>
    <w:p>
      <w:pPr>
        <w:spacing w:after="0" w:line="200" w:lineRule="exact"/>
        <w:rPr>
          <w:sz w:val="20"/>
          <w:szCs w:val="20"/>
          <w:color w:val="auto"/>
        </w:rPr>
      </w:pPr>
    </w:p>
    <w:p>
      <w:pPr>
        <w:jc w:val="both"/>
        <w:ind w:firstLine="637"/>
        <w:spacing w:after="0" w:line="254" w:lineRule="auto"/>
        <w:tabs>
          <w:tab w:leader="none" w:pos="126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Disclosure of Units</w:t>
      </w:r>
      <w:r>
        <w:rPr>
          <w:rFonts w:ascii="Times New Roman" w:cs="Times New Roman" w:eastAsia="Times New Roman" w:hAnsi="Times New Roman"/>
          <w:sz w:val="21"/>
          <w:szCs w:val="21"/>
          <w:color w:val="auto"/>
        </w:rPr>
        <w:t>. If Holder discloses or discusses in any manner this Agreement prior to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Measurement Date to or with any other person (including any other employee or consultant of the Group), then the Holder’s Units may be forfeited and the Holder’s Units may be surrendered to the Company; provided, the above restriction is not applicable to the extent of reasonable disclosure (a) to an advisor to the Holder (e.g., accountant, financial planner) that has a legitimate reason to have such information and that is subject to an obligation to maintain the confidentiality of such information, (b) required by applicable law including any applicable securities law, (c) to an employee of the Group specifically involved with the administration of this Agreement, or (d) to Holder’s spouse. Holder acknowledges and agrees that nothing in this Agreement is intended to, nor does it, interfere with or restrain Holder’s right to share or discuss information regarding his/her wages, hours, or other terms and conditions of employment in the exercise of any rights provided by either (x) the National Labor Relations Act, or (y) any applicable state statute or regulation.</w:t>
      </w:r>
    </w:p>
    <w:p>
      <w:pPr>
        <w:spacing w:after="0" w:line="207" w:lineRule="exact"/>
        <w:rPr>
          <w:rFonts w:ascii="Times New Roman" w:cs="Times New Roman" w:eastAsia="Times New Roman" w:hAnsi="Times New Roman"/>
          <w:sz w:val="21"/>
          <w:szCs w:val="21"/>
          <w:color w:val="auto"/>
        </w:rPr>
      </w:pPr>
    </w:p>
    <w:p>
      <w:pPr>
        <w:jc w:val="both"/>
        <w:ind w:firstLine="637"/>
        <w:spacing w:after="0" w:line="254" w:lineRule="auto"/>
        <w:tabs>
          <w:tab w:leader="none" w:pos="126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While the Holder’s Units are outstanding and still subject to a Forfeiture Restriction,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will accrue Dividend Equivalents on behalf of the Holder. The Dividend Equivalents paid with respect to each Holder’s Unit will be equal to the sum of the cash dividends declared and paid by the Company with respect to each share of Distributed Stock while the Holder’s Units are outstanding. No interest will accrue on the Dividend Equivalents. The Dividend Equivalents with respect to a Holder’s Unit shall be earned and distributed in cash generally at or shortly after the time such Holder’s Unit converts to a share of Distributed Stock and in accordance with Section 9 hereof. Any and all Dividend Equivalents with respect to the Holder’s Units that are forfeited shall also be forfeited and not deemed earned by nor distributed to Holder. Following lapsing of the Forfeiture Restrictions with respect to Holder’s Units and pending distribution of Distributed Stock in respect thereto, Holder shall be entitled to receive Dividend Equivalents relating to such Holder’s Units to the extent, if any, that the Holder is not entitled to receive with respect to the Distributed Stock dividends which would otherwise be paid to Holder during such interim period if the Distributed Stock had been so distributed, but in no event shall Holder be entitled to receive both a Dividend Equivalent and a dividend for such interim period.</w:t>
      </w:r>
    </w:p>
    <w:p>
      <w:pPr>
        <w:spacing w:after="0" w:line="196" w:lineRule="exact"/>
        <w:rPr>
          <w:rFonts w:ascii="Times New Roman" w:cs="Times New Roman" w:eastAsia="Times New Roman" w:hAnsi="Times New Roman"/>
          <w:sz w:val="21"/>
          <w:szCs w:val="21"/>
          <w:color w:val="auto"/>
        </w:rPr>
      </w:pPr>
    </w:p>
    <w:p>
      <w:pPr>
        <w:ind w:firstLine="637"/>
        <w:spacing w:after="0" w:line="286" w:lineRule="auto"/>
        <w:tabs>
          <w:tab w:leader="none" w:pos="126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Community Interest of Spouse</w:t>
      </w:r>
      <w:r>
        <w:rPr>
          <w:rFonts w:ascii="Times New Roman" w:cs="Times New Roman" w:eastAsia="Times New Roman" w:hAnsi="Times New Roman"/>
          <w:sz w:val="21"/>
          <w:szCs w:val="21"/>
          <w:color w:val="auto"/>
        </w:rPr>
        <w:t>. The community interest, if any, of any spouse of Holder in any of the 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Dividend Equivalents, and Distributed Stock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8" w:right="339" w:bottom="1440" w:gutter="0" w:footer="0" w:header="0"/>
        </w:sectPr>
      </w:pPr>
    </w:p>
    <w:bookmarkStart w:id="146" w:name="page147"/>
    <w:bookmarkEnd w:id="146"/>
    <w:p>
      <w:pPr>
        <w:jc w:val="both"/>
        <w:spacing w:after="0" w:line="265" w:lineRule="auto"/>
        <w:rPr>
          <w:sz w:val="20"/>
          <w:szCs w:val="20"/>
          <w:color w:val="auto"/>
        </w:rPr>
      </w:pPr>
      <w:r>
        <w:rPr>
          <w:rFonts w:ascii="Times New Roman" w:cs="Times New Roman" w:eastAsia="Times New Roman" w:hAnsi="Times New Roman"/>
          <w:sz w:val="21"/>
          <w:szCs w:val="21"/>
          <w:color w:val="auto"/>
        </w:rPr>
        <w:t>subject to all of the terms of this Agreement, and shall be forfeited and surrendered to the Company upon the occurrence of any of the events requiring Holder’s interest in such Holder’s Units or Dividend Equivalents to be so forfeited and surrendered pursuant to this Agreement.</w:t>
      </w:r>
    </w:p>
    <w:p>
      <w:pPr>
        <w:spacing w:after="0" w:line="196" w:lineRule="exact"/>
        <w:rPr>
          <w:sz w:val="20"/>
          <w:szCs w:val="20"/>
          <w:color w:val="auto"/>
        </w:rPr>
      </w:pPr>
    </w:p>
    <w:p>
      <w:pPr>
        <w:jc w:val="both"/>
        <w:ind w:firstLine="637"/>
        <w:spacing w:after="0" w:line="253" w:lineRule="auto"/>
        <w:tabs>
          <w:tab w:leader="none" w:pos="126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Internal Revenue Code §409A Compliance</w:t>
      </w:r>
      <w:r>
        <w:rPr>
          <w:rFonts w:ascii="Times New Roman" w:cs="Times New Roman" w:eastAsia="Times New Roman" w:hAnsi="Times New Roman"/>
          <w:sz w:val="21"/>
          <w:szCs w:val="21"/>
          <w:color w:val="auto"/>
        </w:rPr>
        <w:t>. This Agreement is intended to satisfy the requirements of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409A of the Internal Revenue Code of 1986, as amended, and the rules and regulations thereunder, and shall be interpreted consistent with such intent. Any Distributed Stock or Dividend Equivalents that become deliverable or payable to the Holder hereunder shall be delivered to the Holder no later than the end of the calendar year in which the designated Measurement Date occurs. Notwithstanding the foregoing, in the event of a deemed lapse of any Forfeiture Restriction under the provisions of Section 5, delivery of Distributed Stock and Dividend Equivalents shall be made no earlier than the designated Measurement Date otherwise applicable hereunder, and not later than the last day of the calendar year containing the designated Measurement Date. In the event that all or part of the Units granted pursuant to this Agreement provide for a deferral of compensation within the meaning of Section 409A, then notwithstanding anything to the contrary contained herein, in the event that Holder is a “specified employee” (as defined under Section 409A) when Holder becomes entitled to a payment or settlement under this Award which is subject to Section 409A on account of a “separation from service” (as defined under Section 409A),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 Further, for purposes of Section 409A, each payment or settlement of any portion of the Units under this Agreement shall be treated as a separate payment of compensation.</w:t>
      </w:r>
    </w:p>
    <w:p>
      <w:pPr>
        <w:spacing w:after="0" w:line="200" w:lineRule="exact"/>
        <w:rPr>
          <w:rFonts w:ascii="Times New Roman" w:cs="Times New Roman" w:eastAsia="Times New Roman" w:hAnsi="Times New Roman"/>
          <w:sz w:val="21"/>
          <w:szCs w:val="21"/>
          <w:color w:val="auto"/>
        </w:rPr>
      </w:pPr>
    </w:p>
    <w:p>
      <w:pPr>
        <w:spacing w:after="0" w:line="249"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 of Tax</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9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event pursuant to this Agreement, other than any event contemplated in Section 10(b) below, relating to the Holder’s Units or Distributed Stock results in the incurrence of compensation or other taxable income by the Holder (including the Holder’s Spouse) that is subject to tax withholding by the Company, the Holder must satisfy such tax withholding obligation by electing, prior to the delivery of Distributed Stock, to either (1) deliver to the Company an amount of cash equal to the tax withholding amount required under applicable tax laws or regulations, or (2) allow the Company to deduct from the number of shares of Distributed Stock that would have otherwise been delivered to the Holder a number of such shares having a fair market value equal to such tax withholding amount required under applicable tax laws or regulations.</w:t>
      </w:r>
    </w:p>
    <w:p>
      <w:pPr>
        <w:spacing w:after="0" w:line="197"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9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event pursuant to this Agreement relating to the Dividend Equivalents deemed to be earned results in the incurrence of compensation or other taxable income by the Holder (including the Holder’s Spouse) that is subject to withholding by the Company, the Holder must satisfy such tax withholding obligation with such amount of cash as the Company may require to meet its obligation under applicable tax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8" w:right="339" w:bottom="1440" w:gutter="0" w:footer="0" w:header="0"/>
        </w:sectPr>
      </w:pPr>
    </w:p>
    <w:bookmarkStart w:id="147" w:name="page148"/>
    <w:bookmarkEnd w:id="147"/>
    <w:p>
      <w:pPr>
        <w:jc w:val="both"/>
        <w:ind w:firstLine="1268"/>
        <w:spacing w:after="0" w:line="265" w:lineRule="auto"/>
        <w:tabs>
          <w:tab w:leader="none" w:pos="1892"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any action of the Company, the Holder acknowledges that the Holder is ultimately liable for such tax withholding obligation. The Company shall not be required to deliver Distributed Stock or cash in respect of Dividend Equivalents under this Agreement until such liability is satisfied.</w:t>
      </w:r>
    </w:p>
    <w:p>
      <w:pPr>
        <w:spacing w:after="0" w:line="200"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9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Holder is treated by Company as a consultant for tax purposes, Holder shall (1) pay all taxes arising from any event relating to the Holder’s Units or Distributed Stock that results in the incurrence of compensation or other taxable income by the Holder and (2) indemnify the Group and hold the Group harmless from any liability resulting from or relating to any and all taxes, liens, duties, assessments, deductions and expenses (including any penalty, interest or other charge that may be levied with respect thereto) as a result of Holder’s late payment, insufficient payment or failure to pay any taxes.</w:t>
      </w:r>
    </w:p>
    <w:p>
      <w:pPr>
        <w:spacing w:after="0" w:line="208" w:lineRule="exact"/>
        <w:rPr>
          <w:rFonts w:ascii="Times New Roman" w:cs="Times New Roman" w:eastAsia="Times New Roman" w:hAnsi="Times New Roman"/>
          <w:sz w:val="21"/>
          <w:szCs w:val="21"/>
          <w:color w:val="auto"/>
        </w:rPr>
      </w:pPr>
    </w:p>
    <w:p>
      <w:pPr>
        <w:ind w:firstLine="637"/>
        <w:spacing w:after="0" w:line="286" w:lineRule="auto"/>
        <w:tabs>
          <w:tab w:leader="none" w:pos="125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Binding Effect</w:t>
      </w:r>
      <w:r>
        <w:rPr>
          <w:rFonts w:ascii="Times New Roman" w:cs="Times New Roman" w:eastAsia="Times New Roman" w:hAnsi="Times New Roman"/>
          <w:sz w:val="21"/>
          <w:szCs w:val="21"/>
          <w:color w:val="auto"/>
        </w:rPr>
        <w:t>. This Agreement shall be binding upon and inure to the benefit of any successors to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persons lawfully claiming under Holder.</w:t>
      </w:r>
    </w:p>
    <w:p>
      <w:pPr>
        <w:spacing w:after="0" w:line="161" w:lineRule="exact"/>
        <w:rPr>
          <w:rFonts w:ascii="Times New Roman" w:cs="Times New Roman" w:eastAsia="Times New Roman" w:hAnsi="Times New Roman"/>
          <w:sz w:val="21"/>
          <w:szCs w:val="21"/>
          <w:color w:val="auto"/>
        </w:rPr>
      </w:pPr>
    </w:p>
    <w:p>
      <w:pPr>
        <w:jc w:val="both"/>
        <w:ind w:firstLine="637"/>
        <w:spacing w:after="0" w:line="267" w:lineRule="auto"/>
        <w:tabs>
          <w:tab w:leader="none" w:pos="126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Contract Terms</w:t>
      </w:r>
      <w:r>
        <w:rPr>
          <w:rFonts w:ascii="Times New Roman" w:cs="Times New Roman" w:eastAsia="Times New Roman" w:hAnsi="Times New Roman"/>
          <w:sz w:val="21"/>
          <w:szCs w:val="21"/>
          <w:color w:val="auto"/>
        </w:rPr>
        <w:t>. Notwithstanding the terms of this Agreement, if the Holder has entered into a separate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with the Company which specifically affects the Units issued hereunder, the terms of such separate agreement shall control over any inconsistent terms of this Agreement.</w:t>
      </w:r>
    </w:p>
    <w:p>
      <w:pPr>
        <w:spacing w:after="0" w:line="180" w:lineRule="exact"/>
        <w:rPr>
          <w:rFonts w:ascii="Times New Roman" w:cs="Times New Roman" w:eastAsia="Times New Roman" w:hAnsi="Times New Roman"/>
          <w:sz w:val="21"/>
          <w:szCs w:val="21"/>
          <w:color w:val="auto"/>
        </w:rPr>
      </w:pPr>
    </w:p>
    <w:p>
      <w:pPr>
        <w:jc w:val="both"/>
        <w:ind w:firstLine="637"/>
        <w:spacing w:after="0" w:line="273" w:lineRule="auto"/>
        <w:tabs>
          <w:tab w:leader="none" w:pos="126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Modification</w:t>
      </w:r>
      <w:r>
        <w:rPr>
          <w:rFonts w:ascii="Times New Roman" w:cs="Times New Roman" w:eastAsia="Times New Roman" w:hAnsi="Times New Roman"/>
          <w:sz w:val="21"/>
          <w:szCs w:val="21"/>
          <w:color w:val="auto"/>
        </w:rPr>
        <w:t>. Any modification of this Agreement will be effective only if it is in writing and signed by each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whose rights hereunder are affected thereby, except to the extent that such modification occurs pursuant to Section XIII of the 2022 Plan or as a result of an amendment of the 2022 Plan made in accordance with Section XIV of the 2022 Plan.</w:t>
      </w:r>
    </w:p>
    <w:p>
      <w:pPr>
        <w:spacing w:after="0" w:line="176" w:lineRule="exact"/>
        <w:rPr>
          <w:rFonts w:ascii="Times New Roman" w:cs="Times New Roman" w:eastAsia="Times New Roman" w:hAnsi="Times New Roman"/>
          <w:sz w:val="21"/>
          <w:szCs w:val="21"/>
          <w:color w:val="auto"/>
        </w:rPr>
      </w:pPr>
    </w:p>
    <w:p>
      <w:pPr>
        <w:ind w:firstLine="637"/>
        <w:spacing w:after="0" w:line="286" w:lineRule="auto"/>
        <w:tabs>
          <w:tab w:leader="none" w:pos="126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This Agreement shall be governed by, and construed in accordance with, the laws of the State of Texas, without regard to conflicts of laws principles thereof.</w:t>
      </w:r>
    </w:p>
    <w:p>
      <w:pPr>
        <w:spacing w:after="0" w:line="161" w:lineRule="exact"/>
        <w:rPr>
          <w:rFonts w:ascii="Times New Roman" w:cs="Times New Roman" w:eastAsia="Times New Roman" w:hAnsi="Times New Roman"/>
          <w:sz w:val="21"/>
          <w:szCs w:val="21"/>
          <w:color w:val="auto"/>
        </w:rPr>
      </w:pPr>
    </w:p>
    <w:p>
      <w:pPr>
        <w:jc w:val="both"/>
        <w:ind w:firstLine="637"/>
        <w:spacing w:after="0" w:line="265" w:lineRule="auto"/>
        <w:tabs>
          <w:tab w:leader="none" w:pos="126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Unless otherwise specified or the context otherwise requires, as used herein, (a) the term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any variation thereof, means “including, without limitation,” (b) the word “or” shall not be exclusive, and (c) a reference to the “terms” of an agreement, instrument or document or “terms” established by the Committee shall be a reference to “terms, provisions, conditions and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9" w:right="339" w:bottom="1440" w:gutter="0" w:footer="0" w:header="0"/>
        </w:sectPr>
      </w:pPr>
    </w:p>
    <w:bookmarkStart w:id="148" w:name="page149"/>
    <w:bookmarkEnd w:id="148"/>
    <w:p>
      <w:pPr>
        <w:spacing w:after="0" w:line="182" w:lineRule="exact"/>
        <w:rPr>
          <w:sz w:val="20"/>
          <w:szCs w:val="20"/>
          <w:color w:val="auto"/>
        </w:rPr>
      </w:pPr>
    </w:p>
    <w:p>
      <w:pPr>
        <w:ind w:firstLine="632"/>
        <w:spacing w:after="0" w:line="274"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Company has executed this Agreement by its duly authorized officer and Holder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this Agreement, effective as of the Grant Date.</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CROWN CASTLE INC.</w:t>
      </w:r>
    </w:p>
    <w:p>
      <w:pPr>
        <w:spacing w:after="0" w:line="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31115</wp:posOffset>
            </wp:positionV>
            <wp:extent cx="32835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3">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31115</wp:posOffset>
            </wp:positionV>
            <wp:extent cx="32835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4">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31115</wp:posOffset>
            </wp:positionV>
            <wp:extent cx="32835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5">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31115</wp:posOffset>
            </wp:positionV>
            <wp:extent cx="32835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6">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49" w:name="page150"/>
    <w:bookmarkEnd w:id="149"/>
    <w:p>
      <w:pPr>
        <w:ind w:left="1038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4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GRANT ID: </w:t>
      </w:r>
      <w:r>
        <w:rPr>
          <w:rFonts w:ascii="Times New Roman" w:cs="Times New Roman" w:eastAsia="Times New Roman" w:hAnsi="Times New Roman"/>
          <w:sz w:val="21"/>
          <w:szCs w:val="21"/>
          <w:b w:val="1"/>
          <w:bCs w:val="1"/>
          <w:color w:val="auto"/>
        </w:rPr>
        <w:t>___________________</w:t>
      </w:r>
    </w:p>
    <w:p>
      <w:pPr>
        <w:spacing w:after="0" w:line="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GRANT DATE: </w:t>
      </w:r>
      <w:r>
        <w:rPr>
          <w:rFonts w:ascii="Times New Roman" w:cs="Times New Roman" w:eastAsia="Times New Roman" w:hAnsi="Times New Roman"/>
          <w:sz w:val="20"/>
          <w:szCs w:val="20"/>
          <w:b w:val="1"/>
          <w:bCs w:val="1"/>
          <w:color w:val="auto"/>
        </w:rPr>
        <w:t>__________</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____</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Measures Applicable To</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 Vesting Award</w:t>
      </w:r>
    </w:p>
    <w:p>
      <w:pPr>
        <w:spacing w:after="0" w:line="24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Name:</w:t>
      </w:r>
      <w:r>
        <w:rPr>
          <w:sz w:val="20"/>
          <w:szCs w:val="20"/>
          <w:color w:val="auto"/>
        </w:rPr>
        <w:tab/>
      </w:r>
      <w:r>
        <w:rPr>
          <w:rFonts w:ascii="Times New Roman" w:cs="Times New Roman" w:eastAsia="Times New Roman" w:hAnsi="Times New Roman"/>
          <w:sz w:val="21"/>
          <w:szCs w:val="21"/>
          <w:b w:val="1"/>
          <w:bCs w:val="1"/>
          <w:color w:val="auto"/>
        </w:rPr>
        <w:t>____________________</w:t>
      </w:r>
    </w:p>
    <w:p>
      <w:pPr>
        <w:spacing w:after="0" w:line="38"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1"/>
          <w:szCs w:val="21"/>
          <w:b w:val="1"/>
          <w:bCs w:val="1"/>
          <w:color w:val="auto"/>
        </w:rPr>
        <w:t>Number of Units:</w:t>
        <w:tab/>
        <w:t>____________________</w:t>
      </w:r>
    </w:p>
    <w:p>
      <w:pPr>
        <w:spacing w:after="0" w:line="233"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terms of this Exhibit A shall apply to the number of Units listed above. The terms of any other Exhibit to Holder’s Restricted Stock Unit Agreement shall only apply to the Units listed on such Exhibit.</w:t>
      </w:r>
    </w:p>
    <w:p>
      <w:pPr>
        <w:spacing w:after="0" w:line="139" w:lineRule="exact"/>
        <w:rPr>
          <w:sz w:val="20"/>
          <w:szCs w:val="20"/>
          <w:color w:val="auto"/>
        </w:rPr>
      </w:pPr>
    </w:p>
    <w:p>
      <w:pPr>
        <w:ind w:firstLine="242"/>
        <w:spacing w:after="0" w:line="286" w:lineRule="auto"/>
        <w:tabs>
          <w:tab w:leader="none" w:pos="632"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The Holder’s Units subject to this Exhibit A shall become vested based on the completion of the Time Measure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outlined below.</w:t>
      </w:r>
    </w:p>
    <w:p>
      <w:pPr>
        <w:spacing w:after="0" w:line="161" w:lineRule="exact"/>
        <w:rPr>
          <w:rFonts w:ascii="Times New Roman" w:cs="Times New Roman" w:eastAsia="Times New Roman" w:hAnsi="Times New Roman"/>
          <w:sz w:val="21"/>
          <w:szCs w:val="21"/>
          <w:b w:val="1"/>
          <w:bCs w:val="1"/>
          <w:color w:val="auto"/>
        </w:rPr>
      </w:pPr>
    </w:p>
    <w:p>
      <w:pPr>
        <w:jc w:val="both"/>
        <w:ind w:firstLine="292"/>
        <w:spacing w:after="0" w:line="273" w:lineRule="auto"/>
        <w:tabs>
          <w:tab w:leader="none" w:pos="727" w:val="left"/>
        </w:tabs>
        <w:numPr>
          <w:ilvl w:val="1"/>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Time Measure</w:t>
      </w:r>
      <w:r>
        <w:rPr>
          <w:rFonts w:ascii="Times New Roman" w:cs="Times New Roman" w:eastAsia="Times New Roman" w:hAnsi="Times New Roman"/>
          <w:sz w:val="21"/>
          <w:szCs w:val="21"/>
          <w:color w:val="auto"/>
        </w:rPr>
        <w:t>. The Time Measure shall be satisfied with respect to a Unit if the Holder is an employee, consultant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of the board of directors (or a similar position) of the Group for the period beginning on the Grant Date and ending on the applicable Time Vesting Date listed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w w:val="97"/>
              </w:rPr>
              <w:t>Time Vesting Date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Incremental Percentage  Aggregate Percentage</w:t>
            </w:r>
          </w:p>
        </w:tc>
      </w:tr>
      <w:tr>
        <w:trPr>
          <w:trHeight w:val="20"/>
        </w:trPr>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491"/>
        </w:trPr>
        <w:tc>
          <w:tcPr>
            <w:tcW w:w="1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____________,____</w:t>
            </w:r>
          </w:p>
        </w:tc>
        <w:tc>
          <w:tcPr>
            <w:tcW w:w="148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__.__%</w:t>
            </w:r>
          </w:p>
        </w:tc>
        <w:tc>
          <w:tcPr>
            <w:tcW w:w="2600" w:type="dxa"/>
            <w:vAlign w:val="bottom"/>
            <w:gridSpan w:val="3"/>
          </w:tcPr>
          <w:p>
            <w:pPr>
              <w:ind w:left="420"/>
              <w:spacing w:after="0"/>
              <w:rPr>
                <w:sz w:val="20"/>
                <w:szCs w:val="20"/>
                <w:color w:val="auto"/>
              </w:rPr>
            </w:pPr>
            <w:r>
              <w:rPr>
                <w:rFonts w:ascii="Times New Roman" w:cs="Times New Roman" w:eastAsia="Times New Roman" w:hAnsi="Times New Roman"/>
                <w:sz w:val="21"/>
                <w:szCs w:val="21"/>
                <w:color w:val="auto"/>
              </w:rPr>
              <w:t>__.__%____________,</w:t>
            </w:r>
          </w:p>
        </w:tc>
      </w:tr>
      <w:tr>
        <w:trPr>
          <w:trHeight w:val="461"/>
        </w:trPr>
        <w:tc>
          <w:tcPr>
            <w:tcW w:w="1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____________,____</w:t>
            </w:r>
          </w:p>
        </w:tc>
        <w:tc>
          <w:tcPr>
            <w:tcW w:w="148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__.__%</w:t>
            </w:r>
          </w:p>
        </w:tc>
        <w:tc>
          <w:tcPr>
            <w:tcW w:w="2600" w:type="dxa"/>
            <w:vAlign w:val="bottom"/>
            <w:gridSpan w:val="3"/>
          </w:tcPr>
          <w:p>
            <w:pPr>
              <w:ind w:left="420"/>
              <w:spacing w:after="0"/>
              <w:rPr>
                <w:sz w:val="20"/>
                <w:szCs w:val="20"/>
                <w:color w:val="auto"/>
              </w:rPr>
            </w:pPr>
            <w:r>
              <w:rPr>
                <w:rFonts w:ascii="Times New Roman" w:cs="Times New Roman" w:eastAsia="Times New Roman" w:hAnsi="Times New Roman"/>
                <w:sz w:val="21"/>
                <w:szCs w:val="21"/>
                <w:color w:val="auto"/>
              </w:rPr>
              <w:t>__.__%____________,</w:t>
            </w:r>
          </w:p>
        </w:tc>
      </w:tr>
      <w:tr>
        <w:trPr>
          <w:trHeight w:val="474"/>
        </w:trPr>
        <w:tc>
          <w:tcPr>
            <w:tcW w:w="1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____________,____</w:t>
            </w:r>
          </w:p>
        </w:tc>
        <w:tc>
          <w:tcPr>
            <w:tcW w:w="148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__.__%</w:t>
            </w:r>
          </w:p>
        </w:tc>
        <w:tc>
          <w:tcPr>
            <w:tcW w:w="2600" w:type="dxa"/>
            <w:vAlign w:val="bottom"/>
            <w:gridSpan w:val="3"/>
          </w:tcPr>
          <w:p>
            <w:pPr>
              <w:ind w:left="420"/>
              <w:spacing w:after="0"/>
              <w:rPr>
                <w:sz w:val="20"/>
                <w:szCs w:val="20"/>
                <w:color w:val="auto"/>
              </w:rPr>
            </w:pPr>
            <w:r>
              <w:rPr>
                <w:rFonts w:ascii="Times New Roman" w:cs="Times New Roman" w:eastAsia="Times New Roman" w:hAnsi="Times New Roman"/>
                <w:sz w:val="21"/>
                <w:szCs w:val="21"/>
                <w:color w:val="auto"/>
              </w:rPr>
              <w:t>100.00%</w:t>
            </w:r>
          </w:p>
        </w:tc>
      </w:tr>
    </w:tbl>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If the Time Measure is satisfied, the designated percentage of the Holder’s Units listed above shall no longer be subject to the Forfeiture Restrictions on the designated Time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4" w:right="339" w:bottom="1440" w:gutter="0" w:footer="0" w:header="0"/>
        </w:sectPr>
      </w:pPr>
    </w:p>
    <w:bookmarkStart w:id="150" w:name="page151"/>
    <w:bookmarkEnd w:id="150"/>
    <w:p>
      <w:pPr>
        <w:ind w:left="1038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3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GRANT ID: </w:t>
      </w:r>
      <w:r>
        <w:rPr>
          <w:rFonts w:ascii="Times New Roman" w:cs="Times New Roman" w:eastAsia="Times New Roman" w:hAnsi="Times New Roman"/>
          <w:sz w:val="21"/>
          <w:szCs w:val="21"/>
          <w:b w:val="1"/>
          <w:bCs w:val="1"/>
          <w:color w:val="auto"/>
        </w:rPr>
        <w:t>______________</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GRANT DATE: </w:t>
      </w:r>
      <w:r>
        <w:rPr>
          <w:rFonts w:ascii="Times New Roman" w:cs="Times New Roman" w:eastAsia="Times New Roman" w:hAnsi="Times New Roman"/>
          <w:sz w:val="20"/>
          <w:szCs w:val="20"/>
          <w:b w:val="1"/>
          <w:bCs w:val="1"/>
          <w:color w:val="auto"/>
        </w:rPr>
        <w:t>____________, ______</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Measures Applicable To</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color w:val="auto"/>
        </w:rPr>
        <w:t>Performance Award - ROIC Award</w:t>
      </w:r>
    </w:p>
    <w:p>
      <w:pPr>
        <w:spacing w:after="0" w:line="24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1"/>
          <w:szCs w:val="21"/>
          <w:b w:val="1"/>
          <w:bCs w:val="1"/>
          <w:color w:val="auto"/>
        </w:rPr>
        <w:t>Name:</w:t>
      </w:r>
      <w:r>
        <w:rPr>
          <w:sz w:val="20"/>
          <w:szCs w:val="20"/>
          <w:color w:val="auto"/>
        </w:rPr>
        <w:tab/>
      </w:r>
      <w:r>
        <w:rPr>
          <w:rFonts w:ascii="Times New Roman" w:cs="Times New Roman" w:eastAsia="Times New Roman" w:hAnsi="Times New Roman"/>
          <w:sz w:val="21"/>
          <w:szCs w:val="21"/>
          <w:b w:val="1"/>
          <w:bCs w:val="1"/>
          <w:color w:val="auto"/>
        </w:rPr>
        <w:t>____________________</w:t>
      </w:r>
    </w:p>
    <w:p>
      <w:pPr>
        <w:spacing w:after="0" w:line="38"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21"/>
          <w:szCs w:val="21"/>
          <w:b w:val="1"/>
          <w:bCs w:val="1"/>
          <w:color w:val="auto"/>
        </w:rPr>
        <w:t>Target Number of Units (“</w:t>
      </w:r>
      <w:r>
        <w:rPr>
          <w:rFonts w:ascii="Times New Roman" w:cs="Times New Roman" w:eastAsia="Times New Roman" w:hAnsi="Times New Roman"/>
          <w:sz w:val="21"/>
          <w:szCs w:val="21"/>
          <w:b w:val="1"/>
          <w:bCs w:val="1"/>
          <w:u w:val="single" w:color="auto"/>
          <w:color w:val="auto"/>
        </w:rPr>
        <w:t>Target Level</w:t>
      </w:r>
      <w:r>
        <w:rPr>
          <w:rFonts w:ascii="Times New Roman" w:cs="Times New Roman" w:eastAsia="Times New Roman" w:hAnsi="Times New Roman"/>
          <w:sz w:val="21"/>
          <w:szCs w:val="21"/>
          <w:b w:val="1"/>
          <w:bCs w:val="1"/>
          <w:color w:val="auto"/>
        </w:rPr>
        <w:t>”):</w:t>
        <w:tab/>
        <w:t>____________________</w:t>
      </w:r>
    </w:p>
    <w:p>
      <w:pPr>
        <w:spacing w:after="0" w:line="233"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terms of this Exhibit B shall apply to the Units listed above. The terms of any other Exhibit to Holder’s Restricted Stock Unit Agreement shall only apply to the Units listed on such Exhibit.</w:t>
      </w:r>
    </w:p>
    <w:p>
      <w:pPr>
        <w:spacing w:after="0" w:line="165" w:lineRule="exact"/>
        <w:rPr>
          <w:sz w:val="20"/>
          <w:szCs w:val="20"/>
          <w:color w:val="auto"/>
        </w:rPr>
      </w:pPr>
    </w:p>
    <w:p>
      <w:pPr>
        <w:jc w:val="both"/>
        <w:ind w:firstLine="262"/>
        <w:spacing w:after="0" w:line="261" w:lineRule="auto"/>
        <w:tabs>
          <w:tab w:leader="none" w:pos="671" w:val="left"/>
        </w:tabs>
        <w:numPr>
          <w:ilvl w:val="1"/>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The Holder’s Units shall become vested based on the satisfaction of both the Time Measure and 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Measure(s), each as outlined below. The Units subject to this Exhibit are hereby designated as Performance Awards for purposes of Article IX of the 2022 Plan. The initial number of Units specified above in this Exhibit as the “Target Level” is the “target” number of shares of Stock that may be delivered upon settlement of the Units subject to this Exhibit. Such initial number of Units shall be adjusted based on the attainment of the Performance Measure(s) described in Section 3 below.</w:t>
      </w:r>
    </w:p>
    <w:p>
      <w:pPr>
        <w:spacing w:after="0" w:line="187" w:lineRule="exact"/>
        <w:rPr>
          <w:rFonts w:ascii="Times New Roman" w:cs="Times New Roman" w:eastAsia="Times New Roman" w:hAnsi="Times New Roman"/>
          <w:sz w:val="21"/>
          <w:szCs w:val="21"/>
          <w:b w:val="1"/>
          <w:bCs w:val="1"/>
          <w:color w:val="auto"/>
        </w:rPr>
      </w:pPr>
    </w:p>
    <w:p>
      <w:pPr>
        <w:jc w:val="both"/>
        <w:ind w:firstLine="292"/>
        <w:spacing w:after="0" w:line="262" w:lineRule="auto"/>
        <w:tabs>
          <w:tab w:leader="none" w:pos="727" w:val="left"/>
        </w:tabs>
        <w:numPr>
          <w:ilvl w:val="2"/>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Time Measure</w:t>
      </w:r>
      <w:r>
        <w:rPr>
          <w:rFonts w:ascii="Times New Roman" w:cs="Times New Roman" w:eastAsia="Times New Roman" w:hAnsi="Times New Roman"/>
          <w:sz w:val="21"/>
          <w:szCs w:val="21"/>
          <w:color w:val="auto"/>
        </w:rPr>
        <w:t>. The Time Measure shall be satisfied with respect to a Unit if the Holder is an employee, consultant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of the board of directors (or a similar position) of the Group for the period beginning on the Grant Date and ending on</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__________, ____, which shall be the “Time Vesting Date” for each Unit subject to this Exhibit B.</w:t>
      </w:r>
    </w:p>
    <w:p>
      <w:pPr>
        <w:spacing w:after="0" w:line="230" w:lineRule="exact"/>
        <w:rPr>
          <w:rFonts w:ascii="Times New Roman" w:cs="Times New Roman" w:eastAsia="Times New Roman" w:hAnsi="Times New Roman"/>
          <w:sz w:val="21"/>
          <w:szCs w:val="21"/>
          <w:b w:val="1"/>
          <w:bCs w:val="1"/>
          <w:color w:val="auto"/>
        </w:rPr>
      </w:pPr>
    </w:p>
    <w:p>
      <w:pPr>
        <w:ind w:left="580" w:hanging="364"/>
        <w:spacing w:after="0"/>
        <w:tabs>
          <w:tab w:leader="none" w:pos="580" w:val="left"/>
        </w:tabs>
        <w:numPr>
          <w:ilvl w:val="0"/>
          <w:numId w:val="1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Measures</w:t>
      </w:r>
      <w:r>
        <w:rPr>
          <w:rFonts w:ascii="Times New Roman" w:cs="Times New Roman" w:eastAsia="Times New Roman" w:hAnsi="Times New Roman"/>
          <w:sz w:val="21"/>
          <w:szCs w:val="21"/>
          <w:color w:val="auto"/>
        </w:rPr>
        <w:t>.</w:t>
      </w:r>
    </w:p>
    <w:p>
      <w:pPr>
        <w:spacing w:after="0" w:line="249" w:lineRule="exact"/>
        <w:rPr>
          <w:rFonts w:ascii="Times New Roman" w:cs="Times New Roman" w:eastAsia="Times New Roman" w:hAnsi="Times New Roman"/>
          <w:sz w:val="21"/>
          <w:szCs w:val="21"/>
          <w:b w:val="1"/>
          <w:bCs w:val="1"/>
          <w:color w:val="auto"/>
        </w:rPr>
      </w:pPr>
    </w:p>
    <w:p>
      <w:pPr>
        <w:jc w:val="both"/>
        <w:ind w:firstLine="1268"/>
        <w:spacing w:after="0" w:line="260" w:lineRule="auto"/>
        <w:tabs>
          <w:tab w:leader="none" w:pos="1892" w:val="left"/>
        </w:tabs>
        <w:numPr>
          <w:ilvl w:val="3"/>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initial number of Units subject to this Exhibit B is listed above, which number of Units assumes the Performance Measure(s) described in this Section 3 are attained at the Target Level. The final number of Units, if any, subject to this Exhibit B at the end of the Performance Period (defined below) shall be calculated as described below based upon the Final Achievement Percentage, which is based upon the ROIC Achievement Percentage (as defined and described in Section 3(c) of this Exhibit B) and the Relative TSR Modifier (as defined and described in Section 3(e) of this Exhibit B).</w:t>
      </w:r>
    </w:p>
    <w:p>
      <w:pPr>
        <w:spacing w:after="0" w:line="192"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90" w:val="left"/>
        </w:tabs>
        <w:numPr>
          <w:ilvl w:val="3"/>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Measure(s) determine (1) the number of Holder’s Units for which the Forfeiture Restrictions shall lapse on the Measurement Date, and (2) the number of shares of Stock delivered upon settlement of such Units. The number of Holder’s Units which cease to be subject to Forfeiture Restrictions on the Measurement Date, and the number of shares of Stock delivered with respect to Holder’s Units, is based upon the Company’s Average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1"/>
          <w:szCs w:val="21"/>
          <w:color w:val="auto"/>
        </w:rPr>
        <w:t>on Invested Capital (“Average ROIC”) for the three-year period beginning on __________, ____ and ending on and including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 ____ (“Performance Period”), which number shall be further modified based upon the Company’s Annualized Total</w:t>
      </w:r>
    </w:p>
    <w:p>
      <w:pPr>
        <w:spacing w:after="0" w:line="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Stockholder Return (“Annualized TSR”) ranking relative to the TSR Peer Group (“Relative TSR Performance Rank”) during the Performance Period as provided in Sections 3(e) and 3(f). For this purpose, the companies identified as real estate investment trusts in the Standard &amp; Poor’s 500 Index on ___________, ____ plus the Standard &amp; Poor’s 500 Index will be the “TSR Peer Group”. As</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color w:val="auto"/>
        </w:rPr>
        <w:t>provided in Section 3(c), Section 3(e) and Section 3(f) below, the Performance Measures may be satisfied based on the Company’s Average ROIC and Relative TSR Performance Rank during the Performance Period, as certified in writing by the Committee following the end of the Performance Period.</w:t>
      </w:r>
    </w:p>
    <w:p>
      <w:pPr>
        <w:spacing w:after="0" w:line="212" w:lineRule="exact"/>
        <w:rPr>
          <w:sz w:val="20"/>
          <w:szCs w:val="20"/>
          <w:color w:val="auto"/>
        </w:rPr>
      </w:pPr>
    </w:p>
    <w:p>
      <w:pPr>
        <w:jc w:val="both"/>
        <w:ind w:right="20" w:firstLine="1268"/>
        <w:spacing w:after="0" w:line="256" w:lineRule="auto"/>
        <w:tabs>
          <w:tab w:leader="none" w:pos="189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level of achievement of Average ROIC, the ROIC Achievement Percentage shall be determined based on the table below. If Average ROIC is between the levels designated in the table below, then the ROIC Achievement Percentage shall be determined via linear interpolation between applicable percentages. For example, (1) if Average ROIC is</w:t>
      </w:r>
    </w:p>
    <w:p>
      <w:pPr>
        <w:spacing w:after="0" w:line="1" w:lineRule="exact"/>
        <w:rPr>
          <w:rFonts w:ascii="Times New Roman" w:cs="Times New Roman" w:eastAsia="Times New Roman" w:hAnsi="Times New Roman"/>
          <w:sz w:val="21"/>
          <w:szCs w:val="21"/>
          <w:color w:val="auto"/>
        </w:rPr>
      </w:pPr>
    </w:p>
    <w:p>
      <w:pPr>
        <w:ind w:right="2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 then the ROIC Achievement Percentage would be ______% of the Target Level, and (2) if Average ROIC is ______%, then the ROIC Achievement Percentage would be ______% of the Target Level.</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0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Level</w:t>
            </w:r>
          </w:p>
        </w:tc>
        <w:tc>
          <w:tcPr>
            <w:tcW w:w="1480" w:type="dxa"/>
            <w:vAlign w:val="bottom"/>
            <w:tcBorders>
              <w:top w:val="single" w:sz="8" w:color="auto"/>
            </w:tcBorders>
          </w:tcPr>
          <w:p>
            <w:pPr>
              <w:spacing w:after="0"/>
              <w:rPr>
                <w:sz w:val="24"/>
                <w:szCs w:val="24"/>
                <w:color w:val="auto"/>
              </w:rPr>
            </w:pPr>
          </w:p>
        </w:tc>
        <w:tc>
          <w:tcPr>
            <w:tcW w:w="2840" w:type="dxa"/>
            <w:vAlign w:val="bottom"/>
            <w:tcBorders>
              <w:top w:val="single" w:sz="8" w:color="auto"/>
              <w:right w:val="single" w:sz="8" w:color="auto"/>
            </w:tcBorders>
            <w:gridSpan w:val="2"/>
          </w:tcPr>
          <w:p>
            <w:pPr>
              <w:jc w:val="center"/>
              <w:ind w:right="1500"/>
              <w:spacing w:after="0"/>
              <w:rPr>
                <w:sz w:val="20"/>
                <w:szCs w:val="20"/>
                <w:color w:val="auto"/>
              </w:rPr>
            </w:pPr>
            <w:r>
              <w:rPr>
                <w:rFonts w:ascii="Times New Roman" w:cs="Times New Roman" w:eastAsia="Times New Roman" w:hAnsi="Times New Roman"/>
                <w:sz w:val="21"/>
                <w:szCs w:val="21"/>
                <w:b w:val="1"/>
                <w:bCs w:val="1"/>
                <w:color w:val="auto"/>
                <w:w w:val="99"/>
              </w:rPr>
              <w:t>Average ROIC</w:t>
            </w:r>
          </w:p>
        </w:tc>
        <w:tc>
          <w:tcPr>
            <w:tcW w:w="520" w:type="dxa"/>
            <w:vAlign w:val="bottom"/>
            <w:tcBorders>
              <w:top w:val="single" w:sz="8" w:color="auto"/>
            </w:tcBorders>
          </w:tcPr>
          <w:p>
            <w:pPr>
              <w:spacing w:after="0"/>
              <w:rPr>
                <w:sz w:val="24"/>
                <w:szCs w:val="24"/>
                <w:color w:val="auto"/>
              </w:rPr>
            </w:pPr>
          </w:p>
        </w:tc>
        <w:tc>
          <w:tcPr>
            <w:tcW w:w="3380" w:type="dxa"/>
            <w:vAlign w:val="bottom"/>
            <w:tcBorders>
              <w:top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1"/>
                <w:szCs w:val="21"/>
                <w:b w:val="1"/>
                <w:bCs w:val="1"/>
                <w:color w:val="auto"/>
              </w:rPr>
              <w:t>ROIC Achievement Percentage</w:t>
            </w:r>
          </w:p>
        </w:tc>
      </w:tr>
      <w:tr>
        <w:trPr>
          <w:trHeight w:val="85"/>
        </w:trPr>
        <w:tc>
          <w:tcPr>
            <w:tcW w:w="1280" w:type="dxa"/>
            <w:vAlign w:val="bottom"/>
            <w:tcBorders>
              <w:left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340" w:type="dxa"/>
            <w:vAlign w:val="bottom"/>
            <w:tcBorders>
              <w:top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820" w:type="dxa"/>
            <w:vAlign w:val="bottom"/>
            <w:tcBorders>
              <w:top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r>
      <w:tr>
        <w:trPr>
          <w:trHeight w:val="256"/>
        </w:trPr>
        <w:tc>
          <w:tcPr>
            <w:tcW w:w="3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Maximum</w:t>
            </w:r>
          </w:p>
        </w:tc>
        <w:tc>
          <w:tcPr>
            <w:tcW w:w="28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21"/>
                <w:szCs w:val="21"/>
                <w:color w:val="auto"/>
                <w:w w:val="99"/>
              </w:rPr>
              <w:t>______%</w:t>
            </w:r>
          </w:p>
        </w:tc>
        <w:tc>
          <w:tcPr>
            <w:tcW w:w="15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______% of Target Level</w:t>
            </w:r>
          </w:p>
        </w:tc>
      </w:tr>
      <w:tr>
        <w:trPr>
          <w:trHeight w:val="256"/>
        </w:trPr>
        <w:tc>
          <w:tcPr>
            <w:tcW w:w="3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9"/>
              </w:rPr>
              <w:t>Above Target</w:t>
            </w:r>
          </w:p>
        </w:tc>
        <w:tc>
          <w:tcPr>
            <w:tcW w:w="28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21"/>
                <w:szCs w:val="21"/>
                <w:color w:val="auto"/>
                <w:w w:val="99"/>
              </w:rPr>
              <w:t>______%</w:t>
            </w:r>
          </w:p>
        </w:tc>
        <w:tc>
          <w:tcPr>
            <w:tcW w:w="15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______% of Target Level</w:t>
            </w:r>
          </w:p>
        </w:tc>
      </w:tr>
      <w:tr>
        <w:trPr>
          <w:trHeight w:val="256"/>
        </w:trPr>
        <w:tc>
          <w:tcPr>
            <w:tcW w:w="3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4"/>
              </w:rPr>
              <w:t>Target</w:t>
            </w:r>
          </w:p>
        </w:tc>
        <w:tc>
          <w:tcPr>
            <w:tcW w:w="28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21"/>
                <w:szCs w:val="21"/>
                <w:color w:val="auto"/>
                <w:w w:val="99"/>
              </w:rPr>
              <w:t>______%</w:t>
            </w:r>
          </w:p>
        </w:tc>
        <w:tc>
          <w:tcPr>
            <w:tcW w:w="15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______% of Target Level</w:t>
            </w:r>
          </w:p>
        </w:tc>
      </w:tr>
      <w:tr>
        <w:trPr>
          <w:trHeight w:val="256"/>
        </w:trPr>
        <w:tc>
          <w:tcPr>
            <w:tcW w:w="3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Threshold</w:t>
            </w:r>
          </w:p>
        </w:tc>
        <w:tc>
          <w:tcPr>
            <w:tcW w:w="28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21"/>
                <w:szCs w:val="21"/>
                <w:color w:val="auto"/>
                <w:w w:val="99"/>
              </w:rPr>
              <w:t>______%</w:t>
            </w:r>
          </w:p>
        </w:tc>
        <w:tc>
          <w:tcPr>
            <w:tcW w:w="15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______% of Target Level</w:t>
            </w:r>
          </w:p>
        </w:tc>
      </w:tr>
      <w:tr>
        <w:trPr>
          <w:trHeight w:val="256"/>
        </w:trPr>
        <w:tc>
          <w:tcPr>
            <w:tcW w:w="3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9"/>
              </w:rPr>
              <w:t>Below Threshold</w:t>
            </w:r>
          </w:p>
        </w:tc>
        <w:tc>
          <w:tcPr>
            <w:tcW w:w="43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1"/>
                <w:szCs w:val="21"/>
                <w:color w:val="auto"/>
                <w:w w:val="99"/>
              </w:rPr>
              <w:t>Below ______%</w:t>
            </w:r>
          </w:p>
        </w:tc>
        <w:tc>
          <w:tcPr>
            <w:tcW w:w="334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21"/>
                <w:szCs w:val="21"/>
                <w:color w:val="auto"/>
                <w:w w:val="99"/>
              </w:rPr>
              <w:t>0%</w:t>
            </w:r>
          </w:p>
        </w:tc>
        <w:tc>
          <w:tcPr>
            <w:tcW w:w="560" w:type="dxa"/>
            <w:vAlign w:val="bottom"/>
            <w:tcBorders>
              <w:bottom w:val="single" w:sz="8" w:color="auto"/>
              <w:right w:val="single" w:sz="8" w:color="auto"/>
            </w:tcBorders>
          </w:tcPr>
          <w:p>
            <w:pPr>
              <w:spacing w:after="0"/>
              <w:rPr>
                <w:sz w:val="22"/>
                <w:szCs w:val="22"/>
                <w:color w:val="auto"/>
              </w:rPr>
            </w:pPr>
          </w:p>
        </w:tc>
      </w:tr>
    </w:tbl>
    <w:p>
      <w:pPr>
        <w:spacing w:after="0" w:line="315" w:lineRule="exact"/>
        <w:rPr>
          <w:sz w:val="20"/>
          <w:szCs w:val="20"/>
          <w:color w:val="auto"/>
        </w:rPr>
      </w:pPr>
    </w:p>
    <w:p>
      <w:pPr>
        <w:ind w:right="20" w:firstLine="1268"/>
        <w:spacing w:after="0" w:line="282" w:lineRule="auto"/>
        <w:tabs>
          <w:tab w:leader="none" w:pos="189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ROIC shall be calculated as the arithmetic average of Return on Invested Capital for each fiscal year that comprises the Performance Period.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“Return on Invested Capital” is defined as Adjusted EBITDA less cash taxes paid, divided by Consolidated Invested Capital.</w:t>
      </w:r>
    </w:p>
    <w:p>
      <w:pPr>
        <w:spacing w:after="0" w:line="259" w:lineRule="exact"/>
        <w:rPr>
          <w:sz w:val="20"/>
          <w:szCs w:val="20"/>
          <w:color w:val="auto"/>
        </w:rPr>
      </w:pPr>
    </w:p>
    <w:p>
      <w:pPr>
        <w:jc w:val="both"/>
        <w:ind w:left="640" w:right="20"/>
        <w:spacing w:after="0" w:line="256" w:lineRule="auto"/>
        <w:rPr>
          <w:sz w:val="20"/>
          <w:szCs w:val="20"/>
          <w:color w:val="auto"/>
        </w:rPr>
      </w:pPr>
      <w:r>
        <w:rPr>
          <w:rFonts w:ascii="Times New Roman" w:cs="Times New Roman" w:eastAsia="Times New Roman" w:hAnsi="Times New Roman"/>
          <w:sz w:val="21"/>
          <w:szCs w:val="21"/>
          <w:color w:val="auto"/>
        </w:rPr>
        <w:t>“Adjusted EBITDA” is defined as net income (loss) plus restructuring charges (credits), asset write-down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and stock-based compensation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1388" w:right="319" w:bottom="1440" w:gutter="0" w:footer="0" w:header="0"/>
        </w:sectPr>
      </w:pPr>
    </w:p>
    <w:bookmarkStart w:id="152" w:name="page153"/>
    <w:bookmarkEnd w:id="152"/>
    <w:p>
      <w:pPr>
        <w:ind w:left="640" w:right="20"/>
        <w:spacing w:after="0" w:line="282" w:lineRule="auto"/>
        <w:rPr>
          <w:sz w:val="20"/>
          <w:szCs w:val="20"/>
          <w:color w:val="auto"/>
        </w:rPr>
      </w:pPr>
      <w:r>
        <w:rPr>
          <w:rFonts w:ascii="Times New Roman" w:cs="Times New Roman" w:eastAsia="Times New Roman" w:hAnsi="Times New Roman"/>
          <w:sz w:val="21"/>
          <w:szCs w:val="21"/>
          <w:color w:val="auto"/>
        </w:rPr>
        <w:t>“Consolidated Invested Capital” is defined as the historical gross investment in (1) property and equipment (excluding the impact of construction in process), (2) site rental contracts and tenant relationships and (3) goodwill.</w:t>
      </w:r>
    </w:p>
    <w:p>
      <w:pPr>
        <w:spacing w:after="0" w:line="169" w:lineRule="exact"/>
        <w:rPr>
          <w:sz w:val="20"/>
          <w:szCs w:val="20"/>
          <w:color w:val="auto"/>
        </w:rPr>
      </w:pPr>
    </w:p>
    <w:p>
      <w:pPr>
        <w:jc w:val="both"/>
        <w:ind w:right="20" w:firstLine="1268"/>
        <w:spacing w:after="0" w:line="232" w:lineRule="auto"/>
        <w:tabs>
          <w:tab w:leader="none" w:pos="189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calculation of the ROIC Achievement Percentage, and subject to the Relative TSR Performance Rank, the Relative TSR Modifier shall be determined based on the table below. If the Company’s Relative TSR Performance Rank is between the levels designated in the table below, then the Relative TSR Modifier shall be determined via linear interpolation between applicable percentages. For example, (1) if the Company’s Relative TSR Performance Rank is at the ___</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the Relative TSR Modifier would be calculated as ______%, and (2) if the Company’s Relative TSR Performance Rank is at the ___</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the Relative TSR Modifier would be calculated as ______%.</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840" w:type="dxa"/>
            <w:vAlign w:val="bottom"/>
            <w:tcBorders>
              <w:top w:val="single" w:sz="8" w:color="auto"/>
              <w:left w:val="single" w:sz="8" w:color="auto"/>
            </w:tcBorders>
          </w:tcPr>
          <w:p>
            <w:pPr>
              <w:spacing w:after="0"/>
              <w:rPr>
                <w:sz w:val="24"/>
                <w:szCs w:val="24"/>
                <w:color w:val="auto"/>
              </w:rPr>
            </w:pPr>
          </w:p>
        </w:tc>
        <w:tc>
          <w:tcPr>
            <w:tcW w:w="1340" w:type="dxa"/>
            <w:vAlign w:val="bottom"/>
            <w:tcBorders>
              <w:top w:val="single" w:sz="8" w:color="auto"/>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21"/>
                <w:szCs w:val="21"/>
                <w:b w:val="1"/>
                <w:bCs w:val="1"/>
                <w:color w:val="auto"/>
              </w:rPr>
              <w:t>Level</w:t>
            </w:r>
          </w:p>
        </w:tc>
        <w:tc>
          <w:tcPr>
            <w:tcW w:w="840" w:type="dxa"/>
            <w:vAlign w:val="bottom"/>
            <w:tcBorders>
              <w:top w:val="single" w:sz="8" w:color="auto"/>
            </w:tcBorders>
          </w:tcPr>
          <w:p>
            <w:pPr>
              <w:spacing w:after="0"/>
              <w:rPr>
                <w:sz w:val="24"/>
                <w:szCs w:val="24"/>
                <w:color w:val="auto"/>
              </w:rPr>
            </w:pPr>
          </w:p>
        </w:tc>
        <w:tc>
          <w:tcPr>
            <w:tcW w:w="3820" w:type="dxa"/>
            <w:vAlign w:val="bottom"/>
            <w:tcBorders>
              <w:top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b w:val="1"/>
                <w:bCs w:val="1"/>
                <w:color w:val="auto"/>
              </w:rPr>
              <w:t>Relative TSR Performance Rank</w:t>
            </w:r>
          </w:p>
        </w:tc>
        <w:tc>
          <w:tcPr>
            <w:tcW w:w="1180" w:type="dxa"/>
            <w:vAlign w:val="bottom"/>
            <w:tcBorders>
              <w:top w:val="single" w:sz="8" w:color="auto"/>
            </w:tcBorders>
          </w:tcPr>
          <w:p>
            <w:pPr>
              <w:spacing w:after="0"/>
              <w:rPr>
                <w:sz w:val="24"/>
                <w:szCs w:val="24"/>
                <w:color w:val="auto"/>
              </w:rPr>
            </w:pPr>
          </w:p>
        </w:tc>
        <w:tc>
          <w:tcPr>
            <w:tcW w:w="3240" w:type="dxa"/>
            <w:vAlign w:val="bottom"/>
            <w:tcBorders>
              <w:top w:val="single" w:sz="8" w:color="auto"/>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21"/>
                <w:szCs w:val="21"/>
                <w:b w:val="1"/>
                <w:bCs w:val="1"/>
                <w:color w:val="auto"/>
                <w:w w:val="99"/>
              </w:rPr>
              <w:t>Relative TSR Modifier</w:t>
            </w:r>
          </w:p>
        </w:tc>
      </w:tr>
      <w:tr>
        <w:trPr>
          <w:trHeight w:val="98"/>
        </w:trPr>
        <w:tc>
          <w:tcPr>
            <w:tcW w:w="840" w:type="dxa"/>
            <w:vAlign w:val="bottom"/>
            <w:tcBorders>
              <w:left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60" w:type="dxa"/>
            <w:vAlign w:val="bottom"/>
            <w:tcBorders>
              <w:top w:val="single" w:sz="8" w:color="auto"/>
              <w:bottom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40" w:type="dxa"/>
            <w:vAlign w:val="bottom"/>
            <w:tcBorders>
              <w:top w:val="single" w:sz="8" w:color="auto"/>
              <w:bottom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r>
      <w:tr>
        <w:trPr>
          <w:trHeight w:val="375"/>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Maximum</w:t>
            </w: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color w:val="auto"/>
                <w:w w:val="99"/>
              </w:rPr>
              <w:t>___</w:t>
            </w:r>
            <w:r>
              <w:rPr>
                <w:rFonts w:ascii="Times New Roman" w:cs="Times New Roman" w:eastAsia="Times New Roman" w:hAnsi="Times New Roman"/>
                <w:sz w:val="27"/>
                <w:szCs w:val="27"/>
                <w:color w:val="auto"/>
                <w:w w:val="99"/>
                <w:vertAlign w:val="superscript"/>
              </w:rPr>
              <w:t>th</w:t>
            </w:r>
            <w:r>
              <w:rPr>
                <w:rFonts w:ascii="Times New Roman" w:cs="Times New Roman" w:eastAsia="Times New Roman" w:hAnsi="Times New Roman"/>
                <w:sz w:val="21"/>
                <w:szCs w:val="21"/>
                <w:color w:val="auto"/>
                <w:w w:val="99"/>
              </w:rPr>
              <w:t xml:space="preserve"> Percentile or Higher</w:t>
            </w:r>
          </w:p>
        </w:tc>
        <w:tc>
          <w:tcPr>
            <w:tcW w:w="3220" w:type="dxa"/>
            <w:vAlign w:val="bottom"/>
            <w:tcBorders>
              <w:bottom w:val="single" w:sz="8" w:color="auto"/>
            </w:tcBorders>
            <w:gridSpan w:val="2"/>
          </w:tcPr>
          <w:p>
            <w:pPr>
              <w:jc w:val="center"/>
              <w:ind w:left="1075"/>
              <w:spacing w:after="0"/>
              <w:rPr>
                <w:sz w:val="20"/>
                <w:szCs w:val="20"/>
                <w:color w:val="auto"/>
              </w:rPr>
            </w:pPr>
            <w:r>
              <w:rPr>
                <w:rFonts w:ascii="Times New Roman" w:cs="Times New Roman" w:eastAsia="Times New Roman" w:hAnsi="Times New Roman"/>
                <w:sz w:val="21"/>
                <w:szCs w:val="21"/>
                <w:color w:val="auto"/>
                <w:w w:val="99"/>
              </w:rPr>
              <w:t>______%</w:t>
            </w:r>
          </w:p>
        </w:tc>
        <w:tc>
          <w:tcPr>
            <w:tcW w:w="1200" w:type="dxa"/>
            <w:vAlign w:val="bottom"/>
            <w:tcBorders>
              <w:bottom w:val="single" w:sz="8" w:color="auto"/>
              <w:right w:val="single" w:sz="8" w:color="auto"/>
            </w:tcBorders>
          </w:tcPr>
          <w:p>
            <w:pPr>
              <w:spacing w:after="0"/>
              <w:rPr>
                <w:sz w:val="24"/>
                <w:szCs w:val="24"/>
                <w:color w:val="auto"/>
              </w:rPr>
            </w:pPr>
          </w:p>
        </w:tc>
      </w:tr>
      <w:tr>
        <w:trPr>
          <w:trHeight w:val="375"/>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Target</w:t>
            </w: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color w:val="auto"/>
                <w:w w:val="98"/>
              </w:rPr>
              <w:t>___</w:t>
            </w:r>
            <w:r>
              <w:rPr>
                <w:rFonts w:ascii="Times New Roman" w:cs="Times New Roman" w:eastAsia="Times New Roman" w:hAnsi="Times New Roman"/>
                <w:sz w:val="27"/>
                <w:szCs w:val="27"/>
                <w:color w:val="auto"/>
                <w:w w:val="98"/>
                <w:vertAlign w:val="superscript"/>
              </w:rPr>
              <w:t>th</w:t>
            </w:r>
            <w:r>
              <w:rPr>
                <w:rFonts w:ascii="Times New Roman" w:cs="Times New Roman" w:eastAsia="Times New Roman" w:hAnsi="Times New Roman"/>
                <w:sz w:val="21"/>
                <w:szCs w:val="21"/>
                <w:color w:val="auto"/>
                <w:w w:val="98"/>
              </w:rPr>
              <w:t xml:space="preserve"> percentile</w:t>
            </w:r>
          </w:p>
        </w:tc>
        <w:tc>
          <w:tcPr>
            <w:tcW w:w="3220" w:type="dxa"/>
            <w:vAlign w:val="bottom"/>
            <w:tcBorders>
              <w:bottom w:val="single" w:sz="8" w:color="auto"/>
            </w:tcBorders>
            <w:gridSpan w:val="2"/>
          </w:tcPr>
          <w:p>
            <w:pPr>
              <w:jc w:val="center"/>
              <w:ind w:left="1075"/>
              <w:spacing w:after="0"/>
              <w:rPr>
                <w:sz w:val="20"/>
                <w:szCs w:val="20"/>
                <w:color w:val="auto"/>
              </w:rPr>
            </w:pPr>
            <w:r>
              <w:rPr>
                <w:rFonts w:ascii="Times New Roman" w:cs="Times New Roman" w:eastAsia="Times New Roman" w:hAnsi="Times New Roman"/>
                <w:sz w:val="21"/>
                <w:szCs w:val="21"/>
                <w:color w:val="auto"/>
                <w:w w:val="99"/>
              </w:rPr>
              <w:t>______%</w:t>
            </w:r>
          </w:p>
        </w:tc>
        <w:tc>
          <w:tcPr>
            <w:tcW w:w="1200" w:type="dxa"/>
            <w:vAlign w:val="bottom"/>
            <w:tcBorders>
              <w:bottom w:val="single" w:sz="8" w:color="auto"/>
              <w:right w:val="single" w:sz="8" w:color="auto"/>
            </w:tcBorders>
          </w:tcPr>
          <w:p>
            <w:pPr>
              <w:spacing w:after="0"/>
              <w:rPr>
                <w:sz w:val="24"/>
                <w:szCs w:val="24"/>
                <w:color w:val="auto"/>
              </w:rPr>
            </w:pPr>
          </w:p>
        </w:tc>
      </w:tr>
      <w:tr>
        <w:trPr>
          <w:trHeight w:val="375"/>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Threshold</w:t>
            </w: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color w:val="auto"/>
                <w:w w:val="97"/>
              </w:rPr>
              <w:t>___</w:t>
            </w:r>
            <w:r>
              <w:rPr>
                <w:rFonts w:ascii="Times New Roman" w:cs="Times New Roman" w:eastAsia="Times New Roman" w:hAnsi="Times New Roman"/>
                <w:sz w:val="27"/>
                <w:szCs w:val="27"/>
                <w:color w:val="auto"/>
                <w:w w:val="97"/>
                <w:vertAlign w:val="superscript"/>
              </w:rPr>
              <w:t>th</w:t>
            </w:r>
            <w:r>
              <w:rPr>
                <w:rFonts w:ascii="Times New Roman" w:cs="Times New Roman" w:eastAsia="Times New Roman" w:hAnsi="Times New Roman"/>
                <w:sz w:val="21"/>
                <w:szCs w:val="21"/>
                <w:color w:val="auto"/>
                <w:w w:val="97"/>
              </w:rPr>
              <w:t xml:space="preserve"> percentile or Lower</w:t>
            </w:r>
          </w:p>
        </w:tc>
        <w:tc>
          <w:tcPr>
            <w:tcW w:w="3220" w:type="dxa"/>
            <w:vAlign w:val="bottom"/>
            <w:tcBorders>
              <w:bottom w:val="single" w:sz="8" w:color="auto"/>
            </w:tcBorders>
            <w:gridSpan w:val="2"/>
          </w:tcPr>
          <w:p>
            <w:pPr>
              <w:jc w:val="center"/>
              <w:ind w:left="1075"/>
              <w:spacing w:after="0"/>
              <w:rPr>
                <w:sz w:val="20"/>
                <w:szCs w:val="20"/>
                <w:color w:val="auto"/>
              </w:rPr>
            </w:pPr>
            <w:r>
              <w:rPr>
                <w:rFonts w:ascii="Times New Roman" w:cs="Times New Roman" w:eastAsia="Times New Roman" w:hAnsi="Times New Roman"/>
                <w:sz w:val="21"/>
                <w:szCs w:val="21"/>
                <w:color w:val="auto"/>
                <w:w w:val="99"/>
              </w:rPr>
              <w:t>______%</w:t>
            </w:r>
          </w:p>
        </w:tc>
        <w:tc>
          <w:tcPr>
            <w:tcW w:w="1200" w:type="dxa"/>
            <w:vAlign w:val="bottom"/>
            <w:tcBorders>
              <w:bottom w:val="single" w:sz="8" w:color="auto"/>
              <w:right w:val="single" w:sz="8" w:color="auto"/>
            </w:tcBorders>
          </w:tcPr>
          <w:p>
            <w:pPr>
              <w:spacing w:after="0"/>
              <w:rPr>
                <w:sz w:val="24"/>
                <w:szCs w:val="24"/>
                <w:color w:val="auto"/>
              </w:rPr>
            </w:pPr>
          </w:p>
        </w:tc>
      </w:tr>
    </w:tbl>
    <w:p>
      <w:pPr>
        <w:spacing w:after="0" w:line="3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Following determination of both the ROIC Achievement Percentage and the Relative TSR Modifier, the final overall level of achievement (“Final Achievement Percentage”) shall be determined by multiplying the ROIC Achievement Percentage and the Relative TSR Modifier. Notwithstanding the foregoing, the Final Achievement Percentage (i) shall not exceed ______%; and (ii)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provided the ROIC Achievement Percentage is greater than or equal to ______%, shall not be less than ______%.</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final number of Units, if any, subject to this Exhibit B at the end of the Performance Period shall be calculated as the initial number (Target Level) of Units multiplied by the Final Achievement Percentage, as defined above.</w:t>
      </w:r>
    </w:p>
    <w:p>
      <w:pPr>
        <w:spacing w:after="0" w:line="169" w:lineRule="exact"/>
        <w:rPr>
          <w:sz w:val="20"/>
          <w:szCs w:val="20"/>
          <w:color w:val="auto"/>
        </w:rPr>
      </w:pPr>
    </w:p>
    <w:p>
      <w:pPr>
        <w:ind w:right="20" w:firstLine="1268"/>
        <w:spacing w:after="0" w:line="282" w:lineRule="auto"/>
        <w:tabs>
          <w:tab w:leader="none" w:pos="189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calculating the Company’s Relative TSR Performance Rank, the following definitions shall be used for the Company and each constituent of the TSR Peer Group:</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Annualized TSR shall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139700</wp:posOffset>
            </wp:positionV>
            <wp:extent cx="4127500" cy="509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7">
                      <a:extLst>
                        <a:ext uri="{28A0092B-C50C-407E-A947-70E740481C1C}"/>
                      </a:extLst>
                    </a:blip>
                    <a:srcRect/>
                    <a:stretch>
                      <a:fillRect/>
                    </a:stretch>
                  </pic:blipFill>
                  <pic:spPr bwMode="auto">
                    <a:xfrm>
                      <a:off x="0" y="0"/>
                      <a:ext cx="4127500"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where </w:t>
      </w:r>
      <w:r>
        <w:rPr>
          <w:rFonts w:ascii="Times New Roman" w:cs="Times New Roman" w:eastAsia="Times New Roman" w:hAnsi="Times New Roman"/>
          <w:sz w:val="21"/>
          <w:szCs w:val="21"/>
          <w:i w:val="1"/>
          <w:iCs w:val="1"/>
          <w:color w:val="auto"/>
        </w:rPr>
        <w:t>n</w:t>
      </w:r>
      <w:r>
        <w:rPr>
          <w:rFonts w:ascii="Times New Roman" w:cs="Times New Roman" w:eastAsia="Times New Roman" w:hAnsi="Times New Roman"/>
          <w:sz w:val="21"/>
          <w:szCs w:val="21"/>
          <w:color w:val="auto"/>
        </w:rPr>
        <w:t xml:space="preserve"> represents the number of years over which Annualized TSR is measured.</w:t>
      </w:r>
    </w:p>
    <w:p>
      <w:pPr>
        <w:spacing w:after="0" w:line="261"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Ending Average Stock Price</w:t>
      </w:r>
      <w:r>
        <w:rPr>
          <w:rFonts w:ascii="Times New Roman" w:cs="Times New Roman" w:eastAsia="Times New Roman" w:hAnsi="Times New Roman"/>
          <w:sz w:val="21"/>
          <w:szCs w:val="21"/>
          <w:color w:val="auto"/>
        </w:rPr>
        <w:t>” shall be calculated as the average Closing Stock Price for the last 10 trading days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60"/>
          </w:cols>
          <w:pgMar w:left="320" w:top="1388" w:right="319" w:bottom="1440" w:gutter="0" w:footer="0" w:header="0"/>
        </w:sectPr>
      </w:pPr>
    </w:p>
    <w:bookmarkStart w:id="153" w:name="page154"/>
    <w:bookmarkEnd w:id="153"/>
    <w:p>
      <w:pPr>
        <w:spacing w:after="0" w:line="186"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Beginning Average Stock Price</w:t>
      </w:r>
      <w:r>
        <w:rPr>
          <w:rFonts w:ascii="Times New Roman" w:cs="Times New Roman" w:eastAsia="Times New Roman" w:hAnsi="Times New Roman"/>
          <w:sz w:val="21"/>
          <w:szCs w:val="21"/>
          <w:color w:val="auto"/>
        </w:rPr>
        <w:t>” shall be calculated as the average Closing Stock Price for the last 10 trading days prior to the first day of the Performance Period.</w:t>
      </w:r>
    </w:p>
    <w:p>
      <w:pPr>
        <w:spacing w:after="0" w:line="169" w:lineRule="exact"/>
        <w:rPr>
          <w:sz w:val="20"/>
          <w:szCs w:val="20"/>
          <w:color w:val="auto"/>
        </w:rPr>
      </w:pPr>
    </w:p>
    <w:p>
      <w:pPr>
        <w:jc w:val="both"/>
        <w:ind w:left="640"/>
        <w:spacing w:after="0" w:line="295"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Closing Stock Price</w:t>
      </w:r>
      <w:r>
        <w:rPr>
          <w:rFonts w:ascii="Times New Roman" w:cs="Times New Roman" w:eastAsia="Times New Roman" w:hAnsi="Times New Roman"/>
          <w:sz w:val="21"/>
          <w:szCs w:val="21"/>
          <w:color w:val="auto"/>
        </w:rPr>
        <w:t>” of a share of Stock shall be the closing quotation on the New York Stock Exchange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for the applicable date (or an applicable substitute exchange or quotation system if the NYSE is no longer applicable).</w:t>
      </w:r>
    </w:p>
    <w:p>
      <w:pPr>
        <w:spacing w:after="0" w:line="153" w:lineRule="exact"/>
        <w:rPr>
          <w:sz w:val="20"/>
          <w:szCs w:val="20"/>
          <w:color w:val="auto"/>
        </w:rPr>
      </w:pPr>
    </w:p>
    <w:p>
      <w:pPr>
        <w:jc w:val="both"/>
        <w:ind w:left="64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Reinvested Dividend Amount</w:t>
      </w:r>
      <w:r>
        <w:rPr>
          <w:rFonts w:ascii="Times New Roman" w:cs="Times New Roman" w:eastAsia="Times New Roman" w:hAnsi="Times New Roman"/>
          <w:sz w:val="21"/>
          <w:szCs w:val="21"/>
          <w:color w:val="auto"/>
        </w:rPr>
        <w:t>” shall be calculated as the sum of the total dividends paid</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on one share of Stock during the Performance Period, assuming reinvestment of such dividends in such stock (based on the Closing Stock Price of such Stock on the ex-dividend date). For the avoidance of doubt, it is intended that the foregoing calculation of Reinvested Dividend Amount shall take into account not only the reinvestment of dividends in a share of Stock but also capital appreciation or depreciation in the shares deemed acquired by such reinvestment.</w:t>
      </w:r>
    </w:p>
    <w:p>
      <w:pPr>
        <w:spacing w:after="0" w:line="211"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The Annualized TSR for the TSR Peer Group companies will be determined using the calculation method described above based on information specific to the TSR Peer Group companies.</w:t>
      </w:r>
    </w:p>
    <w:p>
      <w:pPr>
        <w:spacing w:after="0" w:line="169" w:lineRule="exact"/>
        <w:rPr>
          <w:sz w:val="20"/>
          <w:szCs w:val="20"/>
          <w:color w:val="auto"/>
        </w:rPr>
      </w:pPr>
    </w:p>
    <w:p>
      <w:pPr>
        <w:ind w:firstLine="1268"/>
        <w:spacing w:after="0" w:line="282" w:lineRule="auto"/>
        <w:tabs>
          <w:tab w:leader="none" w:pos="189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Adjustments to TSR Peer Group. The TSR Peer Group may be adjusted or changed by the Committee as circumstances warrant, including the following:</w:t>
      </w:r>
    </w:p>
    <w:p>
      <w:pPr>
        <w:spacing w:after="0" w:line="169" w:lineRule="exact"/>
        <w:rPr>
          <w:rFonts w:ascii="Times New Roman" w:cs="Times New Roman" w:eastAsia="Times New Roman" w:hAnsi="Times New Roman"/>
          <w:sz w:val="21"/>
          <w:szCs w:val="21"/>
          <w:color w:val="auto"/>
        </w:rPr>
      </w:pPr>
    </w:p>
    <w:p>
      <w:pPr>
        <w:jc w:val="both"/>
        <w:ind w:left="1260" w:firstLine="232"/>
        <w:spacing w:after="0" w:line="260" w:lineRule="auto"/>
        <w:tabs>
          <w:tab w:leader="none" w:pos="1952"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files for bankruptcy under any chapter of the US Bankruptcy Code (“Becomes Bankrupt”), the company so filing (“Bankrupt Company”) will remain in the TSR Peer Group positioned at one level below the lowest performing non-bankrupt TSR Peer Group. In the case of multiple Bankrupt Companies, the TSR Peer Group Bankrupt Companies will be positioned below the non-Bankrupt Companies in chronological order by date of filing for bankruptcy with the first to file for bankruptcy at the bottom.</w:t>
      </w:r>
    </w:p>
    <w:p>
      <w:pPr>
        <w:spacing w:after="0" w:line="192" w:lineRule="exact"/>
        <w:rPr>
          <w:rFonts w:ascii="Times New Roman" w:cs="Times New Roman" w:eastAsia="Times New Roman" w:hAnsi="Times New Roman"/>
          <w:sz w:val="21"/>
          <w:szCs w:val="21"/>
          <w:color w:val="auto"/>
        </w:rPr>
      </w:pPr>
    </w:p>
    <w:p>
      <w:pPr>
        <w:jc w:val="both"/>
        <w:ind w:left="1260" w:firstLine="250"/>
        <w:spacing w:after="0" w:line="271" w:lineRule="auto"/>
        <w:tabs>
          <w:tab w:leader="none" w:pos="1988" w:val="left"/>
        </w:tabs>
        <w:numPr>
          <w:ilvl w:val="2"/>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is acquired by another company, including through a management buy-out or going-private transaction, the acquired TSR Peer Group company will be removed from the TSR Peer Group for the entire Performance Period; provided that if the acquired TSR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22059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8">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197" w:lineRule="exact"/>
        <w:rPr>
          <w:sz w:val="20"/>
          <w:szCs w:val="20"/>
          <w:color w:val="auto"/>
        </w:rPr>
      </w:pPr>
    </w:p>
    <w:p>
      <w:pPr>
        <w:jc w:val="both"/>
        <w:ind w:firstLine="5"/>
        <w:spacing w:after="0" w:line="248" w:lineRule="auto"/>
        <w:tabs>
          <w:tab w:leader="none" w:pos="95" w:val="left"/>
        </w:tabs>
        <w:numPr>
          <w:ilvl w:val="0"/>
          <w:numId w:val="153"/>
        </w:numPr>
        <w:rPr>
          <w:rFonts w:ascii="Georgia" w:cs="Georgia" w:eastAsia="Georgia" w:hAnsi="Georgia"/>
          <w:sz w:val="10"/>
          <w:szCs w:val="10"/>
          <w:color w:val="auto"/>
        </w:rPr>
      </w:pPr>
      <w:r>
        <w:rPr>
          <w:rFonts w:ascii="Times New Roman" w:cs="Times New Roman" w:eastAsia="Times New Roman" w:hAnsi="Times New Roman"/>
          <w:sz w:val="18"/>
          <w:szCs w:val="18"/>
          <w:color w:val="auto"/>
        </w:rPr>
        <w:t xml:space="preserve">The relevant date for determining whether a dividend is included in the calculation of “Reinvested Dividend Amount” is the ex-dividend date (and not the payment date). In the event that the stock of the measured company goes ex-dividend during the Performance Period (including the 10-day trading period during which the Ending Average Stock Price is to be calculated), such dividend shall be included in the determination of “Reinvested Dividend Amount,” notwithstanding the fact that the payment date of such dividend may actually occur after the conclusion of the Performance Period. In the event that the stock of the measured company goes ex-dividend prior to the commencement of the Performance Period (for example, during the 10-day trading period during which the Beginning Average Stock Price is to be calculated), such dividend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included in the termination of “Reinvested Dividend Amount,” notwithstanding the fact that the payment date of such dividend may actually occur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54" w:name="page155"/>
    <w:bookmarkEnd w:id="154"/>
    <w:p>
      <w:pPr>
        <w:jc w:val="both"/>
        <w:ind w:left="1260"/>
        <w:spacing w:after="0" w:line="265" w:lineRule="auto"/>
        <w:rPr>
          <w:sz w:val="20"/>
          <w:szCs w:val="20"/>
          <w:color w:val="auto"/>
        </w:rPr>
      </w:pPr>
      <w:r>
        <w:rPr>
          <w:rFonts w:ascii="Times New Roman" w:cs="Times New Roman" w:eastAsia="Times New Roman" w:hAnsi="Times New Roman"/>
          <w:sz w:val="21"/>
          <w:szCs w:val="21"/>
          <w:color w:val="auto"/>
        </w:rPr>
        <w:t>company filed for bankruptcy prior to its acquisition it shall be treated as provided in paragraph (1), above, or if it shall become delisted according to paragraph (5) below prior to its acquisition it shall be treated as provided in paragraph (5).</w:t>
      </w:r>
    </w:p>
    <w:p>
      <w:pPr>
        <w:spacing w:after="0" w:line="200" w:lineRule="exact"/>
        <w:rPr>
          <w:sz w:val="20"/>
          <w:szCs w:val="20"/>
          <w:color w:val="auto"/>
        </w:rPr>
      </w:pPr>
    </w:p>
    <w:p>
      <w:pPr>
        <w:jc w:val="both"/>
        <w:ind w:left="1260" w:firstLine="266"/>
        <w:spacing w:after="0" w:line="259" w:lineRule="auto"/>
        <w:tabs>
          <w:tab w:leader="none" w:pos="2021" w:val="left"/>
        </w:tabs>
        <w:numPr>
          <w:ilvl w:val="2"/>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spins-off a portion a portion of its business in a manner which results in the TSR Peer Group company and the spin-off company both being publicly traded, the TSR Peer Group company will be removed from the TSR Peer Group for the entire Performance Period and the spin-off company will not be added to the TSR Peer Group.</w:t>
      </w:r>
    </w:p>
    <w:p>
      <w:pPr>
        <w:spacing w:after="0" w:line="194" w:lineRule="exact"/>
        <w:rPr>
          <w:rFonts w:ascii="Times New Roman" w:cs="Times New Roman" w:eastAsia="Times New Roman" w:hAnsi="Times New Roman"/>
          <w:sz w:val="21"/>
          <w:szCs w:val="21"/>
          <w:color w:val="auto"/>
        </w:rPr>
      </w:pPr>
    </w:p>
    <w:p>
      <w:pPr>
        <w:ind w:left="1260" w:firstLine="327"/>
        <w:spacing w:after="0" w:line="295" w:lineRule="auto"/>
        <w:tabs>
          <w:tab w:leader="none" w:pos="2142" w:val="left"/>
        </w:tabs>
        <w:numPr>
          <w:ilvl w:val="3"/>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acquires another company, the acquiring TSR Peer Group company will remain in the TSR Peer Group for the Performance Period.</w:t>
      </w:r>
    </w:p>
    <w:p>
      <w:pPr>
        <w:spacing w:after="0" w:line="156" w:lineRule="exact"/>
        <w:rPr>
          <w:rFonts w:ascii="Times New Roman" w:cs="Times New Roman" w:eastAsia="Times New Roman" w:hAnsi="Times New Roman"/>
          <w:sz w:val="21"/>
          <w:szCs w:val="21"/>
          <w:color w:val="auto"/>
        </w:rPr>
      </w:pPr>
    </w:p>
    <w:p>
      <w:pPr>
        <w:jc w:val="both"/>
        <w:ind w:left="1260" w:firstLine="241"/>
        <w:spacing w:after="0" w:line="253" w:lineRule="auto"/>
        <w:tabs>
          <w:tab w:leader="none" w:pos="1971"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is delisted from either the New York Stock Exchange (NYSE) or the National Association of Securities Dealers Automated Quotations (NASDAQ) such that it is no longer listed on either exchange, such delisted TSR Peer Group company will remain in the TSR Peer Group positioned at one level below the lowest performing listed company and above the highest ranked bankrupt TSR Peer Group company (see paragraph (1) above). In the case of multiple delistings, the delisted TSR Peer Group companies will be positioned below the listed and above the TSR Peer Group Bankrupt Companies in chronological order by delisting date with the first to be delisted at the bottom of the delisted companies. If a delisted company Becomes Bankrupt, it shall be treated as provided in paragraph (1) above. If a delisted company shall be later acquired, it shall be treated as a delisted company under this paragraph. If a delisted company shall relist during the Performance Period, it shall remain in its relative delisted position determined under this paragraph.</w:t>
      </w:r>
    </w:p>
    <w:p>
      <w:pPr>
        <w:spacing w:after="0" w:line="217" w:lineRule="exact"/>
        <w:rPr>
          <w:rFonts w:ascii="Times New Roman" w:cs="Times New Roman" w:eastAsia="Times New Roman" w:hAnsi="Times New Roman"/>
          <w:sz w:val="21"/>
          <w:szCs w:val="21"/>
          <w:color w:val="auto"/>
        </w:rPr>
      </w:pPr>
    </w:p>
    <w:p>
      <w:pPr>
        <w:jc w:val="both"/>
        <w:ind w:left="1260" w:firstLine="267"/>
        <w:spacing w:after="0" w:line="259" w:lineRule="auto"/>
        <w:tabs>
          <w:tab w:leader="none" w:pos="2024"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Company’s or any TSR Peer Group company’s stock splits (or if there are other similar subdivisions, consolidations or changes in such company’s stock or capitalization), such company’s Annualized TSR performance will be adjusted for the stock split so as not to give an advantage or disadvantage to such company by comparison to the other TSR Peer Group companies.</w:t>
      </w:r>
    </w:p>
    <w:p>
      <w:pPr>
        <w:spacing w:after="0" w:line="194" w:lineRule="exact"/>
        <w:rPr>
          <w:rFonts w:ascii="Times New Roman" w:cs="Times New Roman" w:eastAsia="Times New Roman" w:hAnsi="Times New Roman"/>
          <w:sz w:val="21"/>
          <w:szCs w:val="21"/>
          <w:color w:val="auto"/>
        </w:rPr>
      </w:pPr>
    </w:p>
    <w:p>
      <w:pPr>
        <w:jc w:val="both"/>
        <w:ind w:firstLine="1268"/>
        <w:spacing w:after="0" w:line="257" w:lineRule="auto"/>
        <w:tabs>
          <w:tab w:leader="none" w:pos="189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other authority or powers granted to the Committee herein or in the 2022 Plan, the Committee shall have the authority to interpret and determine the application and calculation of any matter relating to the determination of Average ROIC, Annualized TSR, Relative TSR Performance Rank, ROIC Achievement Percentage, Relative TSR Modifier, and Final Achievement Percentage, including any terms in the Agreement or this Exhibit B related thereto. The Committee shall also have the power to make any and all adjustments it deems appropriate (1) in recognition of unusual or nonrecurring events affecting the Company or any TSR Group Company or the financial statements of the Company or any TSR Group Company, or of any changes in applicable laws, regulations or accounting principles or (2) to reflect any changes in the Company’s or any TSR Group Company’s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9" w:right="339" w:bottom="1440" w:gutter="0" w:footer="0" w:header="0"/>
        </w:sectPr>
      </w:pPr>
    </w:p>
    <w:bookmarkStart w:id="155" w:name="page156"/>
    <w:bookmarkEnd w:id="155"/>
    <w:p>
      <w:pPr>
        <w:jc w:val="both"/>
        <w:spacing w:after="0" w:line="264" w:lineRule="auto"/>
        <w:rPr>
          <w:sz w:val="20"/>
          <w:szCs w:val="20"/>
          <w:color w:val="auto"/>
        </w:rPr>
      </w:pPr>
      <w:r>
        <w:rPr>
          <w:rFonts w:ascii="Times New Roman" w:cs="Times New Roman" w:eastAsia="Times New Roman" w:hAnsi="Times New Roman"/>
          <w:sz w:val="21"/>
          <w:szCs w:val="21"/>
          <w:color w:val="auto"/>
        </w:rPr>
        <w:t>including by reason of subdivision or consolidation of Stock or other capital readjustment, the payment of a stock dividend on the Stock, other increase or reduction in the number of shares of Stock outstanding, recapitalizations, reorganizations, mergers, consolidations, combinations, split-ups, split-offs, spin-offs, exchanges or other relevant changes in capitalization or distributions to holders of Stock. The determination of the Committee with respect to any such matter shall be conclusive.</w:t>
      </w:r>
    </w:p>
    <w:p>
      <w:pPr>
        <w:spacing w:after="0" w:line="188" w:lineRule="exact"/>
        <w:rPr>
          <w:sz w:val="20"/>
          <w:szCs w:val="20"/>
          <w:color w:val="auto"/>
        </w:rPr>
      </w:pPr>
    </w:p>
    <w:p>
      <w:pPr>
        <w:ind w:firstLine="1268"/>
        <w:spacing w:after="0" w:line="282" w:lineRule="auto"/>
        <w:tabs>
          <w:tab w:leader="none" w:pos="188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Holder shall receive a Dividend Equivalent payment with respect to each share of Distributed Stock as if Holder had held such share since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8" w:right="339" w:bottom="1440" w:gutter="0" w:footer="0" w:header="0"/>
        </w:sectPr>
      </w:pPr>
    </w:p>
    <w:bookmarkStart w:id="156" w:name="page157"/>
    <w:bookmarkEnd w:id="156"/>
    <w:p>
      <w:pPr>
        <w:ind w:left="1038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48"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GRANT ID: </w:t>
      </w:r>
      <w:r>
        <w:rPr>
          <w:rFonts w:ascii="Times New Roman" w:cs="Times New Roman" w:eastAsia="Times New Roman" w:hAnsi="Times New Roman"/>
          <w:sz w:val="21"/>
          <w:szCs w:val="21"/>
          <w:b w:val="1"/>
          <w:bCs w:val="1"/>
          <w:color w:val="auto"/>
        </w:rPr>
        <w:t>___________</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GRANT DATE: </w:t>
      </w:r>
      <w:r>
        <w:rPr>
          <w:rFonts w:ascii="Times New Roman" w:cs="Times New Roman" w:eastAsia="Times New Roman" w:hAnsi="Times New Roman"/>
          <w:sz w:val="20"/>
          <w:szCs w:val="20"/>
          <w:b w:val="1"/>
          <w:bCs w:val="1"/>
          <w:color w:val="auto"/>
        </w:rPr>
        <w:t>_________, ____</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Measures Applicable To</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b w:val="1"/>
          <w:bCs w:val="1"/>
          <w:color w:val="auto"/>
        </w:rPr>
        <w:t>Performance Award - Adjusted Funds from Operations per Share Award</w:t>
      </w:r>
    </w:p>
    <w:p>
      <w:pPr>
        <w:spacing w:after="0" w:line="24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1"/>
          <w:szCs w:val="21"/>
          <w:b w:val="1"/>
          <w:bCs w:val="1"/>
          <w:color w:val="auto"/>
        </w:rPr>
        <w:t>Name:</w:t>
      </w:r>
      <w:r>
        <w:rPr>
          <w:sz w:val="20"/>
          <w:szCs w:val="20"/>
          <w:color w:val="auto"/>
        </w:rPr>
        <w:tab/>
      </w:r>
      <w:r>
        <w:rPr>
          <w:rFonts w:ascii="Times New Roman" w:cs="Times New Roman" w:eastAsia="Times New Roman" w:hAnsi="Times New Roman"/>
          <w:sz w:val="21"/>
          <w:szCs w:val="21"/>
          <w:b w:val="1"/>
          <w:bCs w:val="1"/>
          <w:color w:val="auto"/>
        </w:rPr>
        <w:t>_____________________</w:t>
      </w:r>
    </w:p>
    <w:p>
      <w:pPr>
        <w:spacing w:after="0" w:line="38"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21"/>
          <w:szCs w:val="21"/>
          <w:b w:val="1"/>
          <w:bCs w:val="1"/>
          <w:color w:val="auto"/>
        </w:rPr>
        <w:t>Target Number of Units (“</w:t>
      </w:r>
      <w:r>
        <w:rPr>
          <w:rFonts w:ascii="Times New Roman" w:cs="Times New Roman" w:eastAsia="Times New Roman" w:hAnsi="Times New Roman"/>
          <w:sz w:val="21"/>
          <w:szCs w:val="21"/>
          <w:b w:val="1"/>
          <w:bCs w:val="1"/>
          <w:u w:val="single" w:color="auto"/>
          <w:color w:val="auto"/>
        </w:rPr>
        <w:t>Target Level</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_____________________</w:t>
      </w:r>
    </w:p>
    <w:p>
      <w:pPr>
        <w:spacing w:after="0" w:line="233"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terms of this Exhibit C shall apply to the Units listed above. The terms of any other Exhibit to Holder’s Restricted Stock Unit Agreement shall only apply to the Units listed on such Exhibit.</w:t>
      </w:r>
    </w:p>
    <w:p>
      <w:pPr>
        <w:spacing w:after="0" w:line="165" w:lineRule="exact"/>
        <w:rPr>
          <w:sz w:val="20"/>
          <w:szCs w:val="20"/>
          <w:color w:val="auto"/>
        </w:rPr>
      </w:pPr>
    </w:p>
    <w:p>
      <w:pPr>
        <w:jc w:val="both"/>
        <w:ind w:firstLine="262"/>
        <w:spacing w:after="0" w:line="261" w:lineRule="auto"/>
        <w:tabs>
          <w:tab w:leader="none" w:pos="671" w:val="left"/>
        </w:tabs>
        <w:numPr>
          <w:ilvl w:val="1"/>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The Holder’s Units shall become vested based on the satisfaction of both the Time Measure and 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Measure(s), each as outlined below. The Units subject to this Exhibit are hereby designated as Performance Awards for purposes of Article IX of the 2022 Plan. The initial number of Units specified above in this Exhibit as the “Target Level” is the “target” number of shares of Stock that may be delivered upon settlement of the Units subject to this Exhibit. Such initial number of Units shall be adjusted based on the attainment of the Performance Measure(s) described in Section 3 below.</w:t>
      </w:r>
    </w:p>
    <w:p>
      <w:pPr>
        <w:spacing w:after="0" w:line="187" w:lineRule="exact"/>
        <w:rPr>
          <w:rFonts w:ascii="Times New Roman" w:cs="Times New Roman" w:eastAsia="Times New Roman" w:hAnsi="Times New Roman"/>
          <w:sz w:val="21"/>
          <w:szCs w:val="21"/>
          <w:b w:val="1"/>
          <w:bCs w:val="1"/>
          <w:color w:val="auto"/>
        </w:rPr>
      </w:pPr>
    </w:p>
    <w:p>
      <w:pPr>
        <w:jc w:val="both"/>
        <w:ind w:firstLine="292"/>
        <w:spacing w:after="0" w:line="262" w:lineRule="auto"/>
        <w:tabs>
          <w:tab w:leader="none" w:pos="727" w:val="left"/>
        </w:tabs>
        <w:numPr>
          <w:ilvl w:val="2"/>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Time Measure</w:t>
      </w:r>
      <w:r>
        <w:rPr>
          <w:rFonts w:ascii="Times New Roman" w:cs="Times New Roman" w:eastAsia="Times New Roman" w:hAnsi="Times New Roman"/>
          <w:sz w:val="21"/>
          <w:szCs w:val="21"/>
          <w:color w:val="auto"/>
        </w:rPr>
        <w:t>. The Time Measure shall be satisfied with respect to a Unit if the Holder is an employee, consultant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of the board of directors (or a similar position) of the Group for the period beginning on the Grant Date and ending</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_________, ____, which shall be the “Time Vesting Date” for each Unit subject to this Exhibit C.</w:t>
      </w:r>
    </w:p>
    <w:p>
      <w:pPr>
        <w:spacing w:after="0" w:line="230" w:lineRule="exact"/>
        <w:rPr>
          <w:rFonts w:ascii="Times New Roman" w:cs="Times New Roman" w:eastAsia="Times New Roman" w:hAnsi="Times New Roman"/>
          <w:sz w:val="21"/>
          <w:szCs w:val="21"/>
          <w:b w:val="1"/>
          <w:bCs w:val="1"/>
          <w:color w:val="auto"/>
        </w:rPr>
      </w:pPr>
    </w:p>
    <w:p>
      <w:pPr>
        <w:ind w:left="580" w:hanging="364"/>
        <w:spacing w:after="0"/>
        <w:tabs>
          <w:tab w:leader="none" w:pos="580"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Measures</w:t>
      </w:r>
      <w:r>
        <w:rPr>
          <w:rFonts w:ascii="Times New Roman" w:cs="Times New Roman" w:eastAsia="Times New Roman" w:hAnsi="Times New Roman"/>
          <w:sz w:val="21"/>
          <w:szCs w:val="21"/>
          <w:color w:val="auto"/>
        </w:rPr>
        <w:t>.</w:t>
      </w:r>
    </w:p>
    <w:p>
      <w:pPr>
        <w:spacing w:after="0" w:line="249" w:lineRule="exact"/>
        <w:rPr>
          <w:rFonts w:ascii="Times New Roman" w:cs="Times New Roman" w:eastAsia="Times New Roman" w:hAnsi="Times New Roman"/>
          <w:sz w:val="21"/>
          <w:szCs w:val="21"/>
          <w:b w:val="1"/>
          <w:bCs w:val="1"/>
          <w:color w:val="auto"/>
        </w:rPr>
      </w:pPr>
    </w:p>
    <w:p>
      <w:pPr>
        <w:jc w:val="both"/>
        <w:ind w:firstLine="1268"/>
        <w:spacing w:after="0" w:line="260" w:lineRule="auto"/>
        <w:tabs>
          <w:tab w:leader="none" w:pos="1892" w:val="left"/>
        </w:tabs>
        <w:numPr>
          <w:ilvl w:val="3"/>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initial number of Units subject to this Exhibit C is listed above, which number of Units assumes the Performance Measure(s) described in this Section 3 are attained at the Target Level. The final number of Units, if any, subject to this Exhibit C at the end of the Performance Period (defined below) shall be calculated as described below based upon the Final Achievement Percentage, which is based upon the AFFO Achievement Percentage (as defined and described in Section 3(c) of this Exhibit C) and the Relative TSR Modifier (as defined and described in Section 3(e) of this Exhibit C).</w:t>
      </w:r>
    </w:p>
    <w:p>
      <w:pPr>
        <w:spacing w:after="0" w:line="192"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90" w:val="left"/>
        </w:tabs>
        <w:numPr>
          <w:ilvl w:val="3"/>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Measure(s) determine (1) the number of Holder’s Units for which the Forfeiture Restrictions shall lapse on the Measurement Date, and (2) the number of shares of Stock delivered upon settlement of such Units. The number of Holder’s Units which cease to be subject to Forfeiture Restrictions on the Measurement Date, and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5" w:right="339" w:bottom="1440" w:gutter="0" w:footer="0" w:header="0"/>
        </w:sectPr>
      </w:pPr>
    </w:p>
    <w:bookmarkStart w:id="157" w:name="page158"/>
    <w:bookmarkEnd w:id="157"/>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of Stock delivered with respect to Holder’s Units, is based upon the Company’s Cumulative Adjusted Funds from Operations per Share (“Cumulative AFFO per Share”) for the three year period beginning on _________, ____ and ending on and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 ____(“</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which number shall be further modified based upon the Company’s Annualized Total</w:t>
      </w:r>
    </w:p>
    <w:p>
      <w:pPr>
        <w:spacing w:after="0" w:line="1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Stockholder Return (“Annualized TSR”) ranking relative to the TSR Peer Group (“Relative TSR Performance Rank”) during the Performance Period as provided in Sections 3(e) and 3(f). For this purpose, the companies identified as real estate investment trusts in the Standard &amp; Poor’s 500 Index on _________, ____ plus the Standard &amp; Poor’s 500 Index will be the “TSR Peer Group”. As</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provided in Section 3(c), Section 3(e) and Section 3(f) below, the Performance Measures may be satisfied based on the Company’s Cumulative AFFO per Share and Relative TSR Performance Rank during the Performance Period, as certified in writing by the Committee following the end of the Performance Period.</w:t>
      </w:r>
    </w:p>
    <w:p>
      <w:pPr>
        <w:spacing w:after="0" w:line="191" w:lineRule="exact"/>
        <w:rPr>
          <w:sz w:val="20"/>
          <w:szCs w:val="20"/>
          <w:color w:val="auto"/>
        </w:rPr>
      </w:pPr>
    </w:p>
    <w:p>
      <w:pPr>
        <w:jc w:val="both"/>
        <w:ind w:right="20" w:firstLine="1268"/>
        <w:spacing w:after="0" w:line="256" w:lineRule="auto"/>
        <w:tabs>
          <w:tab w:leader="none" w:pos="189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level of achievement of Cumulative AFFO per Share, the AFFO Achievement Percentage shall be determined based on the table below. If Cumulative AFFO per Share is between the levels designated in the table below, then the AFFO Achievement Percentage shall be determined via linear interpolation between applicable percentages. For example, (1) if Cumulative AFFO per Share is $____, then the AFFO Achievement Percentage would be ___% of the Target Level, and (2) if Cumulative AFFO per Share is $____, then the AFFO Achievement Percentage would be ___% of the Target Level.</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5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Level</w:t>
            </w:r>
          </w:p>
        </w:tc>
        <w:tc>
          <w:tcPr>
            <w:tcW w:w="1140" w:type="dxa"/>
            <w:vAlign w:val="bottom"/>
            <w:tcBorders>
              <w:top w:val="single" w:sz="8" w:color="auto"/>
            </w:tcBorders>
          </w:tcPr>
          <w:p>
            <w:pPr>
              <w:spacing w:after="0"/>
              <w:rPr>
                <w:sz w:val="24"/>
                <w:szCs w:val="24"/>
                <w:color w:val="auto"/>
              </w:rPr>
            </w:pPr>
          </w:p>
        </w:tc>
        <w:tc>
          <w:tcPr>
            <w:tcW w:w="37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Cumulative AFFO per Share</w:t>
            </w:r>
          </w:p>
        </w:tc>
        <w:tc>
          <w:tcPr>
            <w:tcW w:w="520" w:type="dxa"/>
            <w:vAlign w:val="bottom"/>
            <w:tcBorders>
              <w:top w:val="single" w:sz="8" w:color="auto"/>
            </w:tcBorders>
          </w:tcPr>
          <w:p>
            <w:pPr>
              <w:spacing w:after="0"/>
              <w:rPr>
                <w:sz w:val="24"/>
                <w:szCs w:val="24"/>
                <w:color w:val="auto"/>
              </w:rPr>
            </w:pPr>
          </w:p>
        </w:tc>
        <w:tc>
          <w:tcPr>
            <w:tcW w:w="3380" w:type="dxa"/>
            <w:vAlign w:val="bottom"/>
            <w:tcBorders>
              <w:top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b w:val="1"/>
                <w:bCs w:val="1"/>
                <w:color w:val="auto"/>
              </w:rPr>
              <w:t>AFFO Achievement Percentage</w:t>
            </w:r>
          </w:p>
        </w:tc>
      </w:tr>
      <w:tr>
        <w:trPr>
          <w:trHeight w:val="98"/>
        </w:trPr>
        <w:tc>
          <w:tcPr>
            <w:tcW w:w="1000" w:type="dxa"/>
            <w:vAlign w:val="bottom"/>
            <w:tcBorders>
              <w:left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0" w:type="dxa"/>
            <w:vAlign w:val="bottom"/>
            <w:tcBorders>
              <w:top w:val="single" w:sz="8" w:color="auto"/>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40" w:type="dxa"/>
            <w:vAlign w:val="bottom"/>
            <w:tcBorders>
              <w:top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256"/>
        </w:trPr>
        <w:tc>
          <w:tcPr>
            <w:tcW w:w="25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Maximum</w:t>
            </w:r>
          </w:p>
        </w:tc>
        <w:tc>
          <w:tcPr>
            <w:tcW w:w="1140" w:type="dxa"/>
            <w:vAlign w:val="bottom"/>
            <w:tcBorders>
              <w:bottom w:val="single" w:sz="8" w:color="auto"/>
            </w:tcBorders>
          </w:tcPr>
          <w:p>
            <w:pPr>
              <w:spacing w:after="0"/>
              <w:rPr>
                <w:sz w:val="22"/>
                <w:szCs w:val="22"/>
                <w:color w:val="auto"/>
              </w:rPr>
            </w:pPr>
          </w:p>
        </w:tc>
        <w:tc>
          <w:tcPr>
            <w:tcW w:w="3720" w:type="dxa"/>
            <w:vAlign w:val="bottom"/>
            <w:tcBorders>
              <w:bottom w:val="single" w:sz="8" w:color="auto"/>
              <w:right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21"/>
                <w:szCs w:val="21"/>
                <w:color w:val="auto"/>
              </w:rPr>
              <w:t>___th Percentile or Higher</w:t>
            </w: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 of Target Level</w:t>
            </w:r>
          </w:p>
        </w:tc>
      </w:tr>
      <w:tr>
        <w:trPr>
          <w:trHeight w:val="256"/>
        </w:trPr>
        <w:tc>
          <w:tcPr>
            <w:tcW w:w="25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Target</w:t>
            </w:r>
          </w:p>
        </w:tc>
        <w:tc>
          <w:tcPr>
            <w:tcW w:w="1140" w:type="dxa"/>
            <w:vAlign w:val="bottom"/>
            <w:tcBorders>
              <w:bottom w:val="single" w:sz="8" w:color="auto"/>
            </w:tcBorders>
          </w:tcPr>
          <w:p>
            <w:pPr>
              <w:spacing w:after="0"/>
              <w:rPr>
                <w:sz w:val="22"/>
                <w:szCs w:val="22"/>
                <w:color w:val="auto"/>
              </w:rPr>
            </w:pPr>
          </w:p>
        </w:tc>
        <w:tc>
          <w:tcPr>
            <w:tcW w:w="3720" w:type="dxa"/>
            <w:vAlign w:val="bottom"/>
            <w:tcBorders>
              <w:bottom w:val="single" w:sz="8" w:color="auto"/>
              <w:right w:val="single" w:sz="8" w:color="auto"/>
            </w:tcBorders>
            <w:gridSpan w:val="2"/>
          </w:tcPr>
          <w:p>
            <w:pPr>
              <w:jc w:val="center"/>
              <w:ind w:right="1180"/>
              <w:spacing w:after="0"/>
              <w:rPr>
                <w:sz w:val="20"/>
                <w:szCs w:val="20"/>
                <w:color w:val="auto"/>
              </w:rPr>
            </w:pPr>
            <w:r>
              <w:rPr>
                <w:rFonts w:ascii="Times New Roman" w:cs="Times New Roman" w:eastAsia="Times New Roman" w:hAnsi="Times New Roman"/>
                <w:sz w:val="21"/>
                <w:szCs w:val="21"/>
                <w:color w:val="auto"/>
              </w:rPr>
              <w:t>___th Percentile</w:t>
            </w: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 of Target Level</w:t>
            </w:r>
          </w:p>
        </w:tc>
      </w:tr>
      <w:tr>
        <w:trPr>
          <w:trHeight w:val="256"/>
        </w:trPr>
        <w:tc>
          <w:tcPr>
            <w:tcW w:w="25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Threshold</w:t>
            </w:r>
          </w:p>
        </w:tc>
        <w:tc>
          <w:tcPr>
            <w:tcW w:w="1140" w:type="dxa"/>
            <w:vAlign w:val="bottom"/>
            <w:tcBorders>
              <w:bottom w:val="single" w:sz="8" w:color="auto"/>
            </w:tcBorders>
          </w:tcPr>
          <w:p>
            <w:pPr>
              <w:spacing w:after="0"/>
              <w:rPr>
                <w:sz w:val="22"/>
                <w:szCs w:val="22"/>
                <w:color w:val="auto"/>
              </w:rPr>
            </w:pPr>
          </w:p>
        </w:tc>
        <w:tc>
          <w:tcPr>
            <w:tcW w:w="3720" w:type="dxa"/>
            <w:vAlign w:val="bottom"/>
            <w:tcBorders>
              <w:bottom w:val="single" w:sz="8" w:color="auto"/>
              <w:right w:val="single" w:sz="8" w:color="auto"/>
            </w:tcBorders>
            <w:gridSpan w:val="2"/>
          </w:tcPr>
          <w:p>
            <w:pPr>
              <w:jc w:val="center"/>
              <w:ind w:right="1180"/>
              <w:spacing w:after="0"/>
              <w:rPr>
                <w:sz w:val="20"/>
                <w:szCs w:val="20"/>
                <w:color w:val="auto"/>
              </w:rPr>
            </w:pPr>
            <w:r>
              <w:rPr>
                <w:rFonts w:ascii="Times New Roman" w:cs="Times New Roman" w:eastAsia="Times New Roman" w:hAnsi="Times New Roman"/>
                <w:sz w:val="21"/>
                <w:szCs w:val="21"/>
                <w:color w:val="auto"/>
              </w:rPr>
              <w:t>___th Percentile</w:t>
            </w:r>
          </w:p>
        </w:tc>
        <w:tc>
          <w:tcPr>
            <w:tcW w:w="52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1"/>
                <w:szCs w:val="21"/>
                <w:color w:val="auto"/>
                <w:w w:val="99"/>
              </w:rPr>
              <w:t>___% of Target Level</w:t>
            </w:r>
          </w:p>
        </w:tc>
      </w:tr>
      <w:tr>
        <w:trPr>
          <w:trHeight w:val="256"/>
        </w:trPr>
        <w:tc>
          <w:tcPr>
            <w:tcW w:w="25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Below Threshold</w:t>
            </w:r>
          </w:p>
        </w:tc>
        <w:tc>
          <w:tcPr>
            <w:tcW w:w="1140" w:type="dxa"/>
            <w:vAlign w:val="bottom"/>
            <w:tcBorders>
              <w:bottom w:val="single" w:sz="8" w:color="auto"/>
            </w:tcBorders>
          </w:tcPr>
          <w:p>
            <w:pPr>
              <w:spacing w:after="0"/>
              <w:rPr>
                <w:sz w:val="22"/>
                <w:szCs w:val="22"/>
                <w:color w:val="auto"/>
              </w:rPr>
            </w:pPr>
          </w:p>
        </w:tc>
        <w:tc>
          <w:tcPr>
            <w:tcW w:w="3720" w:type="dxa"/>
            <w:vAlign w:val="bottom"/>
            <w:tcBorders>
              <w:bottom w:val="single" w:sz="8" w:color="auto"/>
              <w:right w:val="single" w:sz="8" w:color="auto"/>
            </w:tcBorders>
            <w:gridSpan w:val="2"/>
          </w:tcPr>
          <w:p>
            <w:pPr>
              <w:jc w:val="center"/>
              <w:ind w:right="1180"/>
              <w:spacing w:after="0"/>
              <w:rPr>
                <w:sz w:val="20"/>
                <w:szCs w:val="20"/>
                <w:color w:val="auto"/>
              </w:rPr>
            </w:pPr>
            <w:r>
              <w:rPr>
                <w:rFonts w:ascii="Times New Roman" w:cs="Times New Roman" w:eastAsia="Times New Roman" w:hAnsi="Times New Roman"/>
                <w:sz w:val="21"/>
                <w:szCs w:val="21"/>
                <w:color w:val="auto"/>
              </w:rPr>
              <w:t>Below ___th Percentile</w:t>
            </w:r>
          </w:p>
        </w:tc>
        <w:tc>
          <w:tcPr>
            <w:tcW w:w="336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21"/>
                <w:szCs w:val="21"/>
                <w:color w:val="auto"/>
                <w:w w:val="99"/>
              </w:rPr>
              <w:t>0%</w:t>
            </w:r>
          </w:p>
        </w:tc>
        <w:tc>
          <w:tcPr>
            <w:tcW w:w="540" w:type="dxa"/>
            <w:vAlign w:val="bottom"/>
            <w:tcBorders>
              <w:bottom w:val="single" w:sz="8" w:color="auto"/>
              <w:right w:val="single" w:sz="8" w:color="auto"/>
            </w:tcBorders>
          </w:tcPr>
          <w:p>
            <w:pPr>
              <w:spacing w:after="0"/>
              <w:rPr>
                <w:sz w:val="22"/>
                <w:szCs w:val="22"/>
                <w:color w:val="auto"/>
              </w:rPr>
            </w:pPr>
          </w:p>
        </w:tc>
      </w:tr>
    </w:tbl>
    <w:p>
      <w:pPr>
        <w:spacing w:after="0" w:line="302" w:lineRule="exact"/>
        <w:rPr>
          <w:sz w:val="20"/>
          <w:szCs w:val="20"/>
          <w:color w:val="auto"/>
        </w:rPr>
      </w:pPr>
    </w:p>
    <w:p>
      <w:pPr>
        <w:ind w:left="1900" w:hanging="632"/>
        <w:spacing w:after="0"/>
        <w:tabs>
          <w:tab w:leader="none" w:pos="1900"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Cumulative AFFO per Share shall be calculated as follows: Year 1 AFFO per Share + Year 2 AFFO per share</w:t>
      </w:r>
    </w:p>
    <w:p>
      <w:pPr>
        <w:spacing w:after="0" w:line="32" w:lineRule="exact"/>
        <w:rPr>
          <w:rFonts w:ascii="Times New Roman" w:cs="Times New Roman" w:eastAsia="Times New Roman" w:hAnsi="Times New Roman"/>
          <w:sz w:val="21"/>
          <w:szCs w:val="21"/>
          <w:color w:val="auto"/>
        </w:rPr>
      </w:pPr>
    </w:p>
    <w:p>
      <w:pPr>
        <w:ind w:left="180" w:hanging="175"/>
        <w:spacing w:after="0"/>
        <w:tabs>
          <w:tab w:leader="none" w:pos="18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 3 AFFO per share.</w:t>
      </w:r>
    </w:p>
    <w:p>
      <w:pPr>
        <w:spacing w:after="0" w:line="234" w:lineRule="exact"/>
        <w:rPr>
          <w:rFonts w:ascii="Times New Roman" w:cs="Times New Roman" w:eastAsia="Times New Roman" w:hAnsi="Times New Roman"/>
          <w:sz w:val="21"/>
          <w:szCs w:val="21"/>
          <w:color w:val="auto"/>
        </w:rPr>
      </w:pPr>
    </w:p>
    <w:p>
      <w:pPr>
        <w:jc w:val="both"/>
        <w:ind w:right="20" w:firstLine="1268"/>
        <w:spacing w:after="0" w:line="232" w:lineRule="auto"/>
        <w:tabs>
          <w:tab w:leader="none" w:pos="1892"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calculation of the AFFO Achievement Percentage, and subject to the Relative TSR Performance Rank, the Relative TSR Modifier shall be determined based on the table below. If the Company’s Relative TSR Performance Rank is between the levels designated in the table below, then the Payout Modifier Percentage shall be determined via linear interpolation between applicable percentages. For example, (1) if the Company’s Relative TSR Performance Rank is at the ___</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the Relative TSR Modifier would be calculated as ___%, and (2) if the Company’s Relative TSR Performance Rank is at the ___</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then the Relative TSR Modifier would be calculated as 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60"/>
          </w:cols>
          <w:pgMar w:left="320" w:top="1388" w:right="31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tcBorders>
          </w:tcPr>
          <w:p>
            <w:pPr>
              <w:spacing w:after="0"/>
              <w:rPr>
                <w:sz w:val="24"/>
                <w:szCs w:val="24"/>
                <w:color w:val="auto"/>
              </w:rPr>
            </w:pPr>
          </w:p>
        </w:tc>
        <w:tc>
          <w:tcPr>
            <w:tcW w:w="1340" w:type="dxa"/>
            <w:vAlign w:val="bottom"/>
            <w:tcBorders>
              <w:top w:val="single" w:sz="8" w:color="auto"/>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21"/>
                <w:szCs w:val="21"/>
                <w:b w:val="1"/>
                <w:bCs w:val="1"/>
                <w:color w:val="auto"/>
              </w:rPr>
              <w:t>Level</w:t>
            </w:r>
          </w:p>
        </w:tc>
        <w:tc>
          <w:tcPr>
            <w:tcW w:w="840" w:type="dxa"/>
            <w:vAlign w:val="bottom"/>
            <w:tcBorders>
              <w:top w:val="single" w:sz="8" w:color="auto"/>
            </w:tcBorders>
          </w:tcPr>
          <w:p>
            <w:pPr>
              <w:spacing w:after="0"/>
              <w:rPr>
                <w:sz w:val="24"/>
                <w:szCs w:val="24"/>
                <w:color w:val="auto"/>
              </w:rPr>
            </w:pPr>
          </w:p>
        </w:tc>
        <w:tc>
          <w:tcPr>
            <w:tcW w:w="3820" w:type="dxa"/>
            <w:vAlign w:val="bottom"/>
            <w:tcBorders>
              <w:top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b w:val="1"/>
                <w:bCs w:val="1"/>
                <w:color w:val="auto"/>
              </w:rPr>
              <w:t>Relative TSR Performance Rank</w:t>
            </w:r>
          </w:p>
        </w:tc>
        <w:tc>
          <w:tcPr>
            <w:tcW w:w="1180" w:type="dxa"/>
            <w:vAlign w:val="bottom"/>
            <w:tcBorders>
              <w:top w:val="single" w:sz="8" w:color="auto"/>
            </w:tcBorders>
          </w:tcPr>
          <w:p>
            <w:pPr>
              <w:spacing w:after="0"/>
              <w:rPr>
                <w:sz w:val="24"/>
                <w:szCs w:val="24"/>
                <w:color w:val="auto"/>
              </w:rPr>
            </w:pPr>
          </w:p>
        </w:tc>
        <w:tc>
          <w:tcPr>
            <w:tcW w:w="3240" w:type="dxa"/>
            <w:vAlign w:val="bottom"/>
            <w:tcBorders>
              <w:top w:val="single" w:sz="8" w:color="auto"/>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21"/>
                <w:szCs w:val="21"/>
                <w:b w:val="1"/>
                <w:bCs w:val="1"/>
                <w:color w:val="auto"/>
                <w:w w:val="99"/>
              </w:rPr>
              <w:t>Relative TSR Modifier</w:t>
            </w:r>
          </w:p>
        </w:tc>
      </w:tr>
      <w:tr>
        <w:trPr>
          <w:trHeight w:val="85"/>
        </w:trPr>
        <w:tc>
          <w:tcPr>
            <w:tcW w:w="840" w:type="dxa"/>
            <w:vAlign w:val="bottom"/>
            <w:tcBorders>
              <w:left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960" w:type="dxa"/>
            <w:vAlign w:val="bottom"/>
            <w:tcBorders>
              <w:top w:val="single" w:sz="8" w:color="auto"/>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40" w:type="dxa"/>
            <w:vAlign w:val="bottom"/>
            <w:tcBorders>
              <w:top w:val="single" w:sz="8" w:color="auto"/>
              <w:bottom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r>
      <w:tr>
        <w:trPr>
          <w:trHeight w:val="375"/>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Maximum</w:t>
            </w: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color w:val="auto"/>
                <w:w w:val="98"/>
              </w:rPr>
              <w:t>___</w:t>
            </w:r>
            <w:r>
              <w:rPr>
                <w:rFonts w:ascii="Times New Roman" w:cs="Times New Roman" w:eastAsia="Times New Roman" w:hAnsi="Times New Roman"/>
                <w:sz w:val="27"/>
                <w:szCs w:val="27"/>
                <w:color w:val="auto"/>
                <w:w w:val="98"/>
                <w:vertAlign w:val="superscript"/>
              </w:rPr>
              <w:t>th</w:t>
            </w:r>
            <w:r>
              <w:rPr>
                <w:rFonts w:ascii="Times New Roman" w:cs="Times New Roman" w:eastAsia="Times New Roman" w:hAnsi="Times New Roman"/>
                <w:sz w:val="21"/>
                <w:szCs w:val="21"/>
                <w:color w:val="auto"/>
                <w:w w:val="98"/>
              </w:rPr>
              <w:t xml:space="preserve"> percentile or Higher</w:t>
            </w:r>
          </w:p>
        </w:tc>
        <w:tc>
          <w:tcPr>
            <w:tcW w:w="3220" w:type="dxa"/>
            <w:vAlign w:val="bottom"/>
            <w:tcBorders>
              <w:bottom w:val="single" w:sz="8" w:color="auto"/>
            </w:tcBorders>
            <w:gridSpan w:val="2"/>
          </w:tcPr>
          <w:p>
            <w:pPr>
              <w:jc w:val="center"/>
              <w:ind w:left="1075"/>
              <w:spacing w:after="0"/>
              <w:rPr>
                <w:sz w:val="20"/>
                <w:szCs w:val="20"/>
                <w:color w:val="auto"/>
              </w:rPr>
            </w:pPr>
            <w:r>
              <w:rPr>
                <w:rFonts w:ascii="Times New Roman" w:cs="Times New Roman" w:eastAsia="Times New Roman" w:hAnsi="Times New Roman"/>
                <w:sz w:val="21"/>
                <w:szCs w:val="21"/>
                <w:color w:val="auto"/>
                <w:w w:val="97"/>
              </w:rPr>
              <w:t>___%</w:t>
            </w:r>
          </w:p>
        </w:tc>
        <w:tc>
          <w:tcPr>
            <w:tcW w:w="1200" w:type="dxa"/>
            <w:vAlign w:val="bottom"/>
            <w:tcBorders>
              <w:bottom w:val="single" w:sz="8" w:color="auto"/>
              <w:right w:val="single" w:sz="8" w:color="auto"/>
            </w:tcBorders>
          </w:tcPr>
          <w:p>
            <w:pPr>
              <w:spacing w:after="0"/>
              <w:rPr>
                <w:sz w:val="24"/>
                <w:szCs w:val="24"/>
                <w:color w:val="auto"/>
              </w:rPr>
            </w:pPr>
          </w:p>
        </w:tc>
      </w:tr>
      <w:tr>
        <w:trPr>
          <w:trHeight w:val="375"/>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Target</w:t>
            </w: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color w:val="auto"/>
                <w:w w:val="98"/>
              </w:rPr>
              <w:t>___</w:t>
            </w:r>
            <w:r>
              <w:rPr>
                <w:rFonts w:ascii="Times New Roman" w:cs="Times New Roman" w:eastAsia="Times New Roman" w:hAnsi="Times New Roman"/>
                <w:sz w:val="27"/>
                <w:szCs w:val="27"/>
                <w:color w:val="auto"/>
                <w:w w:val="98"/>
                <w:vertAlign w:val="superscript"/>
              </w:rPr>
              <w:t>th</w:t>
            </w:r>
            <w:r>
              <w:rPr>
                <w:rFonts w:ascii="Times New Roman" w:cs="Times New Roman" w:eastAsia="Times New Roman" w:hAnsi="Times New Roman"/>
                <w:sz w:val="21"/>
                <w:szCs w:val="21"/>
                <w:color w:val="auto"/>
                <w:w w:val="98"/>
              </w:rPr>
              <w:t xml:space="preserve"> percentile</w:t>
            </w:r>
          </w:p>
        </w:tc>
        <w:tc>
          <w:tcPr>
            <w:tcW w:w="3220" w:type="dxa"/>
            <w:vAlign w:val="bottom"/>
            <w:tcBorders>
              <w:bottom w:val="single" w:sz="8" w:color="auto"/>
            </w:tcBorders>
            <w:gridSpan w:val="2"/>
          </w:tcPr>
          <w:p>
            <w:pPr>
              <w:jc w:val="center"/>
              <w:ind w:left="1075"/>
              <w:spacing w:after="0"/>
              <w:rPr>
                <w:sz w:val="20"/>
                <w:szCs w:val="20"/>
                <w:color w:val="auto"/>
              </w:rPr>
            </w:pPr>
            <w:r>
              <w:rPr>
                <w:rFonts w:ascii="Times New Roman" w:cs="Times New Roman" w:eastAsia="Times New Roman" w:hAnsi="Times New Roman"/>
                <w:sz w:val="21"/>
                <w:szCs w:val="21"/>
                <w:color w:val="auto"/>
                <w:w w:val="97"/>
              </w:rPr>
              <w:t>___%</w:t>
            </w:r>
          </w:p>
        </w:tc>
        <w:tc>
          <w:tcPr>
            <w:tcW w:w="1200" w:type="dxa"/>
            <w:vAlign w:val="bottom"/>
            <w:tcBorders>
              <w:bottom w:val="single" w:sz="8" w:color="auto"/>
              <w:right w:val="single" w:sz="8" w:color="auto"/>
            </w:tcBorders>
          </w:tcPr>
          <w:p>
            <w:pPr>
              <w:spacing w:after="0"/>
              <w:rPr>
                <w:sz w:val="24"/>
                <w:szCs w:val="24"/>
                <w:color w:val="auto"/>
              </w:rPr>
            </w:pPr>
          </w:p>
        </w:tc>
      </w:tr>
      <w:tr>
        <w:trPr>
          <w:trHeight w:val="375"/>
        </w:trPr>
        <w:tc>
          <w:tcPr>
            <w:tcW w:w="21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Threshold</w:t>
            </w: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1"/>
                <w:szCs w:val="21"/>
                <w:color w:val="auto"/>
                <w:w w:val="97"/>
              </w:rPr>
              <w:t>___</w:t>
            </w:r>
            <w:r>
              <w:rPr>
                <w:rFonts w:ascii="Times New Roman" w:cs="Times New Roman" w:eastAsia="Times New Roman" w:hAnsi="Times New Roman"/>
                <w:sz w:val="27"/>
                <w:szCs w:val="27"/>
                <w:color w:val="auto"/>
                <w:w w:val="97"/>
                <w:vertAlign w:val="superscript"/>
              </w:rPr>
              <w:t>th</w:t>
            </w:r>
            <w:r>
              <w:rPr>
                <w:rFonts w:ascii="Times New Roman" w:cs="Times New Roman" w:eastAsia="Times New Roman" w:hAnsi="Times New Roman"/>
                <w:sz w:val="21"/>
                <w:szCs w:val="21"/>
                <w:color w:val="auto"/>
                <w:w w:val="97"/>
              </w:rPr>
              <w:t xml:space="preserve"> percentile or Lower</w:t>
            </w:r>
          </w:p>
        </w:tc>
        <w:tc>
          <w:tcPr>
            <w:tcW w:w="3220" w:type="dxa"/>
            <w:vAlign w:val="bottom"/>
            <w:tcBorders>
              <w:bottom w:val="single" w:sz="8" w:color="auto"/>
            </w:tcBorders>
            <w:gridSpan w:val="2"/>
          </w:tcPr>
          <w:p>
            <w:pPr>
              <w:jc w:val="center"/>
              <w:ind w:left="1075"/>
              <w:spacing w:after="0"/>
              <w:rPr>
                <w:sz w:val="20"/>
                <w:szCs w:val="20"/>
                <w:color w:val="auto"/>
              </w:rPr>
            </w:pPr>
            <w:r>
              <w:rPr>
                <w:rFonts w:ascii="Times New Roman" w:cs="Times New Roman" w:eastAsia="Times New Roman" w:hAnsi="Times New Roman"/>
                <w:sz w:val="21"/>
                <w:szCs w:val="21"/>
                <w:color w:val="auto"/>
                <w:w w:val="97"/>
              </w:rPr>
              <w:t>___%</w:t>
            </w:r>
          </w:p>
        </w:tc>
        <w:tc>
          <w:tcPr>
            <w:tcW w:w="1200" w:type="dxa"/>
            <w:vAlign w:val="bottom"/>
            <w:tcBorders>
              <w:bottom w:val="single" w:sz="8" w:color="auto"/>
              <w:right w:val="single" w:sz="8" w:color="auto"/>
            </w:tcBorders>
          </w:tcPr>
          <w:p>
            <w:pPr>
              <w:spacing w:after="0"/>
              <w:rPr>
                <w:sz w:val="24"/>
                <w:szCs w:val="24"/>
                <w:color w:val="auto"/>
              </w:rPr>
            </w:pPr>
          </w:p>
        </w:tc>
      </w:tr>
    </w:tbl>
    <w:p>
      <w:pPr>
        <w:spacing w:after="0" w:line="31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Following determination of both the AFFO Achievement Percentage and the Relative TSR Modifier, the final overall level of achievement (“Final Achievement Percentage”) shall be determined by multiplying the AFFO Achievement Percentage and the Relative TSR Modifier. Notwithstanding the foregoing, the Final Achievement Percentage (i) shall not exceed ___%; and (ii) provided the AFFO Achievement Percentage is greater than or equal to ___%, shall not be less than ___%.</w:t>
      </w:r>
    </w:p>
    <w:p>
      <w:pPr>
        <w:spacing w:after="0" w:line="195"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21"/>
          <w:szCs w:val="21"/>
          <w:color w:val="auto"/>
        </w:rPr>
        <w:t>The final number of Units, if any, subject to this Exhibit C at the end of the Performance Period shall be calculated as the initial number (Target Level) of Units multiplied by the Final Achievement Percentage, as defined above.</w:t>
      </w:r>
    </w:p>
    <w:p>
      <w:pPr>
        <w:spacing w:after="0" w:line="156" w:lineRule="exact"/>
        <w:rPr>
          <w:sz w:val="20"/>
          <w:szCs w:val="20"/>
          <w:color w:val="auto"/>
        </w:rPr>
      </w:pPr>
    </w:p>
    <w:p>
      <w:pPr>
        <w:ind w:right="20" w:firstLine="1268"/>
        <w:spacing w:after="0" w:line="282" w:lineRule="auto"/>
        <w:tabs>
          <w:tab w:leader="none" w:pos="189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calculating the Company’s Relative TSR Performance Rank, the following definitions shall be used for the Company and each constituent of the TSR Peer Group:</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Annualized TSR shall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165100</wp:posOffset>
            </wp:positionV>
            <wp:extent cx="4127500" cy="409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9">
                      <a:extLst>
                        <a:ext uri="{28A0092B-C50C-407E-A947-70E740481C1C}"/>
                      </a:extLst>
                    </a:blip>
                    <a:srcRect/>
                    <a:stretch>
                      <a:fillRect/>
                    </a:stretch>
                  </pic:blipFill>
                  <pic:spPr bwMode="auto">
                    <a:xfrm>
                      <a:off x="0" y="0"/>
                      <a:ext cx="412750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where </w:t>
      </w:r>
      <w:r>
        <w:rPr>
          <w:rFonts w:ascii="Times New Roman" w:cs="Times New Roman" w:eastAsia="Times New Roman" w:hAnsi="Times New Roman"/>
          <w:sz w:val="21"/>
          <w:szCs w:val="21"/>
          <w:i w:val="1"/>
          <w:iCs w:val="1"/>
          <w:color w:val="auto"/>
        </w:rPr>
        <w:t>n</w:t>
      </w:r>
      <w:r>
        <w:rPr>
          <w:rFonts w:ascii="Times New Roman" w:cs="Times New Roman" w:eastAsia="Times New Roman" w:hAnsi="Times New Roman"/>
          <w:sz w:val="21"/>
          <w:szCs w:val="21"/>
          <w:color w:val="auto"/>
        </w:rPr>
        <w:t xml:space="preserve"> represents the number of years over which Annualized TSR is measured.</w:t>
      </w:r>
    </w:p>
    <w:p>
      <w:pPr>
        <w:spacing w:after="0" w:line="247"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Ending Average Stock Price</w:t>
      </w:r>
      <w:r>
        <w:rPr>
          <w:rFonts w:ascii="Times New Roman" w:cs="Times New Roman" w:eastAsia="Times New Roman" w:hAnsi="Times New Roman"/>
          <w:sz w:val="21"/>
          <w:szCs w:val="21"/>
          <w:color w:val="auto"/>
        </w:rPr>
        <w:t>” shall be calculated as the average Closing Stock Price for the last 10 trading days of the Performance Period.</w:t>
      </w:r>
    </w:p>
    <w:p>
      <w:pPr>
        <w:spacing w:after="0" w:line="183"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Beginning Average Stock Price</w:t>
      </w:r>
      <w:r>
        <w:rPr>
          <w:rFonts w:ascii="Times New Roman" w:cs="Times New Roman" w:eastAsia="Times New Roman" w:hAnsi="Times New Roman"/>
          <w:sz w:val="21"/>
          <w:szCs w:val="21"/>
          <w:color w:val="auto"/>
        </w:rPr>
        <w:t>” shall be calculated as the average Closing Stock Price for the last 10 trading days prior to the first day of the Performance Period.</w:t>
      </w:r>
    </w:p>
    <w:p>
      <w:pPr>
        <w:spacing w:after="0" w:line="169"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Closing Stock Price</w:t>
      </w:r>
      <w:r>
        <w:rPr>
          <w:rFonts w:ascii="Times New Roman" w:cs="Times New Roman" w:eastAsia="Times New Roman" w:hAnsi="Times New Roman"/>
          <w:sz w:val="21"/>
          <w:szCs w:val="21"/>
          <w:color w:val="auto"/>
        </w:rPr>
        <w:t>” of a share of Stock shall be the closing quotation on the New York Stock Exchange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for the applicable date (or an applicable substitute exchange or quotation system if the NYSE is no longer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60"/>
          </w:cols>
          <w:pgMar w:left="320" w:top="1409" w:right="319" w:bottom="1440" w:gutter="0" w:footer="0" w:header="0"/>
        </w:sectPr>
      </w:pPr>
    </w:p>
    <w:bookmarkStart w:id="159" w:name="page160"/>
    <w:bookmarkEnd w:id="159"/>
    <w:p>
      <w:pPr>
        <w:jc w:val="both"/>
        <w:ind w:left="64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Reinvested Dividend Amount</w:t>
      </w:r>
      <w:r>
        <w:rPr>
          <w:rFonts w:ascii="Times New Roman" w:cs="Times New Roman" w:eastAsia="Times New Roman" w:hAnsi="Times New Roman"/>
          <w:sz w:val="21"/>
          <w:szCs w:val="21"/>
          <w:color w:val="auto"/>
        </w:rPr>
        <w:t>” shall be calculated as the sum of the total dividends paid</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on one share of Stock during the Performance Period, assuming reinvestment of such dividends in such stock (based on the Closing Stock Price of such Stock on the ex-dividend date). For the avoidance of doubt, it is intended that the foregoing calculation of Reinvested Dividend Amount shall take into account not only the reinvestment of dividends in a share of Stock but also capital appreciation or depreciation in the shares deemed acquired by such reinvestment.</w:t>
      </w:r>
    </w:p>
    <w:p>
      <w:pPr>
        <w:spacing w:after="0" w:line="211"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The Annualized TSR for the TSR Peer Group companies will be determined using the calculation method described above based on information specific to the TSR Peer Group companies.</w:t>
      </w:r>
    </w:p>
    <w:p>
      <w:pPr>
        <w:spacing w:after="0" w:line="169" w:lineRule="exact"/>
        <w:rPr>
          <w:sz w:val="20"/>
          <w:szCs w:val="20"/>
          <w:color w:val="auto"/>
        </w:rPr>
      </w:pPr>
    </w:p>
    <w:p>
      <w:pPr>
        <w:ind w:firstLine="1268"/>
        <w:spacing w:after="0" w:line="295" w:lineRule="auto"/>
        <w:tabs>
          <w:tab w:leader="none" w:pos="189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Adjustments to TSR Peer Group. The TSR Peer Group may be adjusted or changed by the Committee as circumstances warrant, including the following:</w:t>
      </w:r>
    </w:p>
    <w:p>
      <w:pPr>
        <w:spacing w:after="0" w:line="156" w:lineRule="exact"/>
        <w:rPr>
          <w:rFonts w:ascii="Times New Roman" w:cs="Times New Roman" w:eastAsia="Times New Roman" w:hAnsi="Times New Roman"/>
          <w:sz w:val="21"/>
          <w:szCs w:val="21"/>
          <w:color w:val="auto"/>
        </w:rPr>
      </w:pPr>
    </w:p>
    <w:p>
      <w:pPr>
        <w:jc w:val="both"/>
        <w:ind w:left="1260" w:firstLine="232"/>
        <w:spacing w:after="0" w:line="256" w:lineRule="auto"/>
        <w:tabs>
          <w:tab w:leader="none" w:pos="1952"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files for bankruptcy under any chapter of the US Bankruptcy Code (“Becomes Bankrupt”), the company so filing (“Bankrupt Company”) will remain in the TSR Peer Group positioned at one level below the lowest performing non-bankrupt TSR Peer Group. In the case of multiple Bankrupt Companies, the TSR Peer Group Bankrupt Companies will be positioned below the non-Bankrupt Companies in chronological order by date of filing for bankruptcy with the first to file for bankruptcy at the bottom.</w:t>
      </w:r>
    </w:p>
    <w:p>
      <w:pPr>
        <w:spacing w:after="0" w:line="212" w:lineRule="exact"/>
        <w:rPr>
          <w:rFonts w:ascii="Times New Roman" w:cs="Times New Roman" w:eastAsia="Times New Roman" w:hAnsi="Times New Roman"/>
          <w:sz w:val="21"/>
          <w:szCs w:val="21"/>
          <w:color w:val="auto"/>
        </w:rPr>
      </w:pPr>
    </w:p>
    <w:p>
      <w:pPr>
        <w:jc w:val="both"/>
        <w:ind w:left="1260" w:firstLine="250"/>
        <w:spacing w:after="0" w:line="254" w:lineRule="auto"/>
        <w:tabs>
          <w:tab w:leader="none" w:pos="1988" w:val="left"/>
        </w:tabs>
        <w:numPr>
          <w:ilvl w:val="2"/>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is acquired by another company, including through a management buy-out or going-private transaction, the acquired TSR Peer Group company will be removed from the TSR Peer Group for the entire Performance Period; provided that if the acquired TSR Peer Group company became bankrupt prior to its acquisition it shall be treated as provided in paragraph (1), above, or if it shall become delisted according to paragraph</w:t>
      </w:r>
    </w:p>
    <w:p>
      <w:pPr>
        <w:spacing w:after="0" w:line="1" w:lineRule="exact"/>
        <w:rPr>
          <w:rFonts w:ascii="Times New Roman" w:cs="Times New Roman" w:eastAsia="Times New Roman" w:hAnsi="Times New Roman"/>
          <w:sz w:val="21"/>
          <w:szCs w:val="21"/>
          <w:color w:val="auto"/>
        </w:rPr>
      </w:pPr>
    </w:p>
    <w:p>
      <w:pPr>
        <w:ind w:left="1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 below prior to its acquisition it shall be treated as provided in paragraph (5).</w:t>
      </w:r>
    </w:p>
    <w:p>
      <w:pPr>
        <w:spacing w:after="0" w:line="234" w:lineRule="exact"/>
        <w:rPr>
          <w:rFonts w:ascii="Times New Roman" w:cs="Times New Roman" w:eastAsia="Times New Roman" w:hAnsi="Times New Roman"/>
          <w:sz w:val="21"/>
          <w:szCs w:val="21"/>
          <w:color w:val="auto"/>
        </w:rPr>
      </w:pPr>
    </w:p>
    <w:p>
      <w:pPr>
        <w:jc w:val="both"/>
        <w:ind w:left="1260" w:firstLine="266"/>
        <w:spacing w:after="0" w:line="273" w:lineRule="auto"/>
        <w:tabs>
          <w:tab w:leader="none" w:pos="2021" w:val="left"/>
        </w:tabs>
        <w:numPr>
          <w:ilvl w:val="3"/>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spins-off a portion a portion of its business in a manner which results in the TSR Peer Group company and the spin-off company both being publicly traded, the TSR Peer Group company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22059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0">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firstLine="5"/>
        <w:spacing w:after="0" w:line="248" w:lineRule="auto"/>
        <w:tabs>
          <w:tab w:leader="none" w:pos="108" w:val="left"/>
        </w:tabs>
        <w:numPr>
          <w:ilvl w:val="0"/>
          <w:numId w:val="165"/>
        </w:numPr>
        <w:rPr>
          <w:rFonts w:ascii="Georgia" w:cs="Georgia" w:eastAsia="Georgia" w:hAnsi="Georgia"/>
          <w:sz w:val="10"/>
          <w:szCs w:val="10"/>
          <w:color w:val="auto"/>
        </w:rPr>
      </w:pPr>
      <w:r>
        <w:rPr>
          <w:rFonts w:ascii="Times New Roman" w:cs="Times New Roman" w:eastAsia="Times New Roman" w:hAnsi="Times New Roman"/>
          <w:sz w:val="18"/>
          <w:szCs w:val="18"/>
          <w:color w:val="auto"/>
        </w:rPr>
        <w:t xml:space="preserve">The relevant date for determining whether a dividend is included in the calculation of “Reinvested Dividend Amount” is the ex-dividend date (and not the payment date). In the event that the stock of the measured company goes ex-dividend during the Performance Period (including the 10-day trading period during which the Ending Average Stock Price is to be calculated), such dividend shall be included in the determination of “Reinvested Dividend Amount,” notwithstanding the fact that the payment date of such dividend may actually occur after the conclusion of the Performance Period. In the event that the stock of the measured company goes ex-dividend prior to the commencement of the Performance Period (for example, during the 10-day trading period during which the Beginning Average Stock Price is to be calculated), such dividend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included in the termination of “Reinvested Dividend Amount,” notwithstanding the fact that the payment date of such dividend may actually occur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5" w:right="339" w:bottom="1440" w:gutter="0" w:footer="0" w:header="0"/>
        </w:sectPr>
      </w:pPr>
    </w:p>
    <w:bookmarkStart w:id="160" w:name="page161"/>
    <w:bookmarkEnd w:id="160"/>
    <w:p>
      <w:pPr>
        <w:ind w:left="1260"/>
        <w:spacing w:after="0" w:line="282" w:lineRule="auto"/>
        <w:rPr>
          <w:sz w:val="20"/>
          <w:szCs w:val="20"/>
          <w:color w:val="auto"/>
        </w:rPr>
      </w:pPr>
      <w:r>
        <w:rPr>
          <w:rFonts w:ascii="Times New Roman" w:cs="Times New Roman" w:eastAsia="Times New Roman" w:hAnsi="Times New Roman"/>
          <w:sz w:val="21"/>
          <w:szCs w:val="21"/>
          <w:color w:val="auto"/>
        </w:rPr>
        <w:t>removed from the TSR Peer Group for the entire Performance Period and the spin-off company will not be added to the TSR Peer Group.</w:t>
      </w:r>
    </w:p>
    <w:p>
      <w:pPr>
        <w:spacing w:after="0" w:line="169" w:lineRule="exact"/>
        <w:rPr>
          <w:sz w:val="20"/>
          <w:szCs w:val="20"/>
          <w:color w:val="auto"/>
        </w:rPr>
      </w:pPr>
    </w:p>
    <w:p>
      <w:pPr>
        <w:ind w:left="1260" w:firstLine="327"/>
        <w:spacing w:after="0" w:line="295" w:lineRule="auto"/>
        <w:tabs>
          <w:tab w:leader="none" w:pos="2142" w:val="left"/>
        </w:tabs>
        <w:numPr>
          <w:ilvl w:val="3"/>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acquires another company, the acquiring TSR Peer Group company will remain in the TSR Peer Group for the Performance Period.</w:t>
      </w:r>
    </w:p>
    <w:p>
      <w:pPr>
        <w:spacing w:after="0" w:line="156" w:lineRule="exact"/>
        <w:rPr>
          <w:rFonts w:ascii="Times New Roman" w:cs="Times New Roman" w:eastAsia="Times New Roman" w:hAnsi="Times New Roman"/>
          <w:sz w:val="21"/>
          <w:szCs w:val="21"/>
          <w:color w:val="auto"/>
        </w:rPr>
      </w:pPr>
    </w:p>
    <w:p>
      <w:pPr>
        <w:jc w:val="both"/>
        <w:ind w:left="1260" w:firstLine="241"/>
        <w:spacing w:after="0" w:line="253" w:lineRule="auto"/>
        <w:tabs>
          <w:tab w:leader="none" w:pos="1971"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TSR Peer Group company is delisted from either the New York Stock Exchange (NYSE) or the National Association of Securities Dealers Automated Quotations (NASDAQ) such that it is no longer listed on either exchange, such delisted TSR Peer Group company will remain in the TSR Peer Group positioned at one level below the lowest performing listed company and above the highest ranked bankrupt TSR Peer Group company (see paragraph (1) above). In the case of multiple delistings, the delisted TSR Peer Group companies will be positioned below the listed and above the TSR Peer Group Bankrupt Companies in chronological order by delisting date with the first to be delisted at the bottom of the delisted companies. If a delisted company Becomes Bankrupt, it shall be treated as provided in paragraph (1) above. If a delisted company shall be later acquired, it shall be treated as a delisted company under this paragraph. If a delisted company shall relist during the Performance Period, it shall remain in its relative delisted position determined under this paragraph.</w:t>
      </w:r>
    </w:p>
    <w:p>
      <w:pPr>
        <w:spacing w:after="0" w:line="217" w:lineRule="exact"/>
        <w:rPr>
          <w:rFonts w:ascii="Times New Roman" w:cs="Times New Roman" w:eastAsia="Times New Roman" w:hAnsi="Times New Roman"/>
          <w:sz w:val="21"/>
          <w:szCs w:val="21"/>
          <w:color w:val="auto"/>
        </w:rPr>
      </w:pPr>
    </w:p>
    <w:p>
      <w:pPr>
        <w:jc w:val="both"/>
        <w:ind w:left="1260" w:firstLine="267"/>
        <w:spacing w:after="0" w:line="259" w:lineRule="auto"/>
        <w:tabs>
          <w:tab w:leader="none" w:pos="2024"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Company’s or any TSR Peer Group company’s stock splits (or if there are other similar subdivisions, consolidations or changes in such company’s stock or capitalization), such company’s Annualized TSR performance will be adjusted for the stock split so as not to give an advantage or disadvantage to such company by comparison to the other TSR Peer Group companies.</w:t>
      </w:r>
    </w:p>
    <w:p>
      <w:pPr>
        <w:spacing w:after="0" w:line="194" w:lineRule="exact"/>
        <w:rPr>
          <w:rFonts w:ascii="Times New Roman" w:cs="Times New Roman" w:eastAsia="Times New Roman" w:hAnsi="Times New Roman"/>
          <w:sz w:val="21"/>
          <w:szCs w:val="21"/>
          <w:color w:val="auto"/>
        </w:rPr>
      </w:pPr>
    </w:p>
    <w:p>
      <w:pPr>
        <w:jc w:val="both"/>
        <w:ind w:firstLine="1268"/>
        <w:spacing w:after="0" w:line="253" w:lineRule="auto"/>
        <w:tabs>
          <w:tab w:leader="none" w:pos="189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other authority or powers granted to the Committee herein or in the 2022 Plan, the Committee shall have the authority to interpret and determine the application and calculation of any matter relating to the determination of Cumulative AFFO per Share, Relative TSR Performance Rank, Annualized TSR, Final Achievement Percentage, AFFO Achievement Percentage, relative TSR Modifier, including any terms in the Agreement or this Exhibit C related thereto. The Committee shall also have the power to make any and all adjustments it deems appropriate (1) in recognition of unusual or nonrecurring events affecting the Company or any TSR Group Company or the financial statements of the Company or any TSR Group Company, or of any changes in applicable laws, regulations or accounting principles or (2) reflect any changes in the Company’s or any TSR Group Company’s outstanding Stock, including by reason of subdivision or consolidation of Stock or other capital readjustment, the payment of a stock dividend on the Stock, other increase or reduction in the number of shares of Stock outstanding, recapitalizations, reorganizations, mergers, consolidations, combinations, split-ups, split-offs, spin-offs, exchanges or other relevant changes in capitalization or distributions to holders of Stock. The determination of the Committee with respect to any such matter shall be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9" w:right="339" w:bottom="1440" w:gutter="0" w:footer="0" w:header="0"/>
        </w:sectPr>
      </w:pPr>
    </w:p>
    <w:bookmarkStart w:id="161" w:name="page162"/>
    <w:bookmarkEnd w:id="161"/>
    <w:p>
      <w:pPr>
        <w:ind w:left="-20" w:firstLine="1268"/>
        <w:spacing w:after="0" w:line="282" w:lineRule="auto"/>
        <w:tabs>
          <w:tab w:leader="none" w:pos="1863"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Holder shall receive Dividend Equivalent payments with respect to each share of Distributed Stock as if Holder had held such share since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20"/>
          </w:cols>
          <w:pgMar w:left="340" w:top="1388"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144" w:lineRule="exact"/>
        <w:rPr>
          <w:sz w:val="20"/>
          <w:szCs w:val="20"/>
          <w:color w:val="auto"/>
        </w:rPr>
      </w:pPr>
    </w:p>
    <w:p>
      <w:pPr>
        <w:spacing w:after="0"/>
        <w:rPr>
          <w:sz w:val="20"/>
          <w:szCs w:val="20"/>
          <w:color w:val="auto"/>
        </w:rPr>
      </w:pPr>
      <w:r>
        <w:rPr>
          <w:rFonts w:ascii="Georgia" w:cs="Georgia" w:eastAsia="Georgia" w:hAnsi="Georgia"/>
          <w:sz w:val="37"/>
          <w:szCs w:val="37"/>
          <w:b w:val="1"/>
          <w:bCs w:val="1"/>
          <w:color w:val="7030A0"/>
        </w:rPr>
        <w:t>Insider Trading Policy</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Applicability</w:t>
      </w:r>
    </w:p>
    <w:p>
      <w:pPr>
        <w:spacing w:after="0" w:line="266" w:lineRule="exact"/>
        <w:rPr>
          <w:sz w:val="20"/>
          <w:szCs w:val="20"/>
          <w:color w:val="auto"/>
        </w:rPr>
      </w:pPr>
    </w:p>
    <w:p>
      <w:pPr>
        <w:ind w:right="120"/>
        <w:spacing w:after="0" w:line="314" w:lineRule="auto"/>
        <w:rPr>
          <w:sz w:val="20"/>
          <w:szCs w:val="20"/>
          <w:color w:val="auto"/>
        </w:rPr>
      </w:pPr>
      <w:r>
        <w:rPr>
          <w:rFonts w:ascii="Arial" w:cs="Arial" w:eastAsia="Arial" w:hAnsi="Arial"/>
          <w:sz w:val="19"/>
          <w:szCs w:val="19"/>
          <w:color w:val="auto"/>
        </w:rPr>
        <w:t>This Insider Trading Policy (“Policy”) applies to all of Crown Castle’s directors, officers, employees, contingent workers, contractors and consultants (“Covered Persons”).</w:t>
      </w:r>
    </w:p>
    <w:p>
      <w:pPr>
        <w:spacing w:after="0" w:line="207"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Policy</w:t>
      </w:r>
    </w:p>
    <w:p>
      <w:pPr>
        <w:spacing w:after="0" w:line="266" w:lineRule="exact"/>
        <w:rPr>
          <w:sz w:val="20"/>
          <w:szCs w:val="20"/>
          <w:color w:val="auto"/>
        </w:rPr>
      </w:pPr>
    </w:p>
    <w:p>
      <w:pPr>
        <w:ind w:right="440"/>
        <w:spacing w:after="0" w:line="292" w:lineRule="auto"/>
        <w:rPr>
          <w:sz w:val="20"/>
          <w:szCs w:val="20"/>
          <w:color w:val="auto"/>
        </w:rPr>
      </w:pPr>
      <w:r>
        <w:rPr>
          <w:rFonts w:ascii="Arial" w:cs="Arial" w:eastAsia="Arial" w:hAnsi="Arial"/>
          <w:sz w:val="19"/>
          <w:szCs w:val="19"/>
          <w:color w:val="auto"/>
        </w:rPr>
        <w:t>While a Covered Person is aware of material non-public information relating to Crown Castle, neither the Covered Person nor any Related Parties (as defined below) may buy, sell or otherwise trade, directly or indirectly, stock or other securities of Crown Castle (including common stock, preferred stock and debt securities) (“CCI Securities”) or engage in any other action to take advantage of, or pass on to others, that information.</w:t>
      </w:r>
    </w:p>
    <w:p>
      <w:pPr>
        <w:spacing w:after="0" w:line="188" w:lineRule="exact"/>
        <w:rPr>
          <w:sz w:val="20"/>
          <w:szCs w:val="20"/>
          <w:color w:val="auto"/>
        </w:rPr>
      </w:pPr>
    </w:p>
    <w:p>
      <w:pPr>
        <w:ind w:right="1020"/>
        <w:spacing w:after="0" w:line="251" w:lineRule="auto"/>
        <w:rPr>
          <w:sz w:val="20"/>
          <w:szCs w:val="20"/>
          <w:color w:val="auto"/>
        </w:rPr>
      </w:pPr>
      <w:r>
        <w:rPr>
          <w:rFonts w:ascii="Arial" w:cs="Arial" w:eastAsia="Arial" w:hAnsi="Arial"/>
          <w:sz w:val="19"/>
          <w:szCs w:val="19"/>
          <w:color w:val="auto"/>
        </w:rPr>
        <w:t>“Related Parties” consist of any (1) Family Member</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of the Covered Person, (2) other members of the Covered Person’s household and (3) entities controlled by the Covered Person.</w:t>
      </w:r>
    </w:p>
    <w:p>
      <w:pPr>
        <w:spacing w:after="0" w:line="233" w:lineRule="exact"/>
        <w:rPr>
          <w:sz w:val="20"/>
          <w:szCs w:val="20"/>
          <w:color w:val="auto"/>
        </w:rPr>
      </w:pPr>
    </w:p>
    <w:p>
      <w:pPr>
        <w:ind w:right="560"/>
        <w:spacing w:after="0" w:line="292" w:lineRule="auto"/>
        <w:rPr>
          <w:sz w:val="20"/>
          <w:szCs w:val="20"/>
          <w:color w:val="auto"/>
        </w:rPr>
      </w:pPr>
      <w:r>
        <w:rPr>
          <w:rFonts w:ascii="Arial" w:cs="Arial" w:eastAsia="Arial" w:hAnsi="Arial"/>
          <w:sz w:val="19"/>
          <w:szCs w:val="19"/>
          <w:color w:val="auto"/>
        </w:rPr>
        <w:t>In addition, a Covered Person is prohibited from trading in securities of another public company, including Crown Castle’s customers (current or prospective), suppliers or competitors, if, while working for or holding another position of trust at Crown Castle, the Covered Person obtains material non-public information relating to such other company or to Crown Castle, which information is reasonably likely to significantly impact either such other other company and/or its securities.</w:t>
      </w:r>
    </w:p>
    <w:p>
      <w:pPr>
        <w:spacing w:after="0" w:line="228"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What is Material Information?</w:t>
      </w:r>
    </w:p>
    <w:p>
      <w:pPr>
        <w:spacing w:after="0" w:line="266" w:lineRule="exact"/>
        <w:rPr>
          <w:sz w:val="20"/>
          <w:szCs w:val="20"/>
          <w:color w:val="auto"/>
        </w:rPr>
      </w:pPr>
    </w:p>
    <w:p>
      <w:pPr>
        <w:ind w:right="420"/>
        <w:spacing w:after="0" w:line="301" w:lineRule="auto"/>
        <w:rPr>
          <w:sz w:val="20"/>
          <w:szCs w:val="20"/>
          <w:color w:val="auto"/>
        </w:rPr>
      </w:pPr>
      <w:r>
        <w:rPr>
          <w:rFonts w:ascii="Arial" w:cs="Arial" w:eastAsia="Arial" w:hAnsi="Arial"/>
          <w:sz w:val="19"/>
          <w:szCs w:val="19"/>
          <w:color w:val="auto"/>
        </w:rPr>
        <w:t>Material information is information that a reasonable investor would consider important in a decision to buy, hold or sell stock or other securities. In short, any information which could reasonably affect the price of the stock or other securities is likely to be considered material information. Either positive or negative information may be material.</w:t>
      </w:r>
    </w:p>
    <w:p>
      <w:pPr>
        <w:spacing w:after="0" w:line="178"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While it is not possible to identify all categories of material information, common examples of information that may generally be regarded as material are:</w:t>
      </w:r>
    </w:p>
    <w:p>
      <w:pPr>
        <w:spacing w:after="0" w:line="153" w:lineRule="exact"/>
        <w:rPr>
          <w:sz w:val="20"/>
          <w:szCs w:val="20"/>
          <w:color w:val="auto"/>
        </w:rPr>
      </w:pPr>
    </w:p>
    <w:p>
      <w:pPr>
        <w:ind w:left="780" w:hanging="301"/>
        <w:spacing w:after="0"/>
        <w:tabs>
          <w:tab w:leader="none" w:pos="780" w:val="left"/>
        </w:tabs>
        <w:numPr>
          <w:ilvl w:val="0"/>
          <w:numId w:val="170"/>
        </w:numPr>
        <w:rPr>
          <w:rFonts w:ascii="Times New Roman" w:cs="Times New Roman" w:eastAsia="Times New Roman" w:hAnsi="Times New Roman"/>
          <w:sz w:val="19"/>
          <w:szCs w:val="19"/>
          <w:color w:val="auto"/>
        </w:rPr>
      </w:pPr>
      <w:r>
        <w:rPr>
          <w:rFonts w:ascii="Arial" w:cs="Arial" w:eastAsia="Arial" w:hAnsi="Arial"/>
          <w:sz w:val="19"/>
          <w:szCs w:val="19"/>
          <w:color w:val="auto"/>
        </w:rPr>
        <w:t>projections of future earnings or losses (including confirmation of previously announced projections);</w:t>
      </w:r>
    </w:p>
    <w:p>
      <w:pPr>
        <w:spacing w:after="0" w:line="43"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0"/>
        </w:numPr>
        <w:rPr>
          <w:rFonts w:ascii="Times New Roman" w:cs="Times New Roman" w:eastAsia="Times New Roman" w:hAnsi="Times New Roman"/>
          <w:sz w:val="19"/>
          <w:szCs w:val="19"/>
          <w:color w:val="auto"/>
        </w:rPr>
      </w:pPr>
      <w:r>
        <w:rPr>
          <w:rFonts w:ascii="Arial" w:cs="Arial" w:eastAsia="Arial" w:hAnsi="Arial"/>
          <w:sz w:val="19"/>
          <w:szCs w:val="19"/>
          <w:color w:val="auto"/>
        </w:rPr>
        <w:t>news of a pending or proposed merger, joint venture, acquisition or tender offer;</w:t>
      </w:r>
    </w:p>
    <w:p>
      <w:pPr>
        <w:spacing w:after="0" w:line="35"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0"/>
        </w:numPr>
        <w:rPr>
          <w:rFonts w:ascii="Times New Roman" w:cs="Times New Roman" w:eastAsia="Times New Roman" w:hAnsi="Times New Roman"/>
          <w:sz w:val="19"/>
          <w:szCs w:val="19"/>
          <w:color w:val="auto"/>
        </w:rPr>
      </w:pPr>
      <w:r>
        <w:rPr>
          <w:rFonts w:ascii="Arial" w:cs="Arial" w:eastAsia="Arial" w:hAnsi="Arial"/>
          <w:sz w:val="19"/>
          <w:szCs w:val="19"/>
          <w:color w:val="auto"/>
        </w:rPr>
        <w:t>news of a significant purchase or sale of assets or the disposition of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16040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1">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87" w:lineRule="exact"/>
        <w:rPr>
          <w:sz w:val="20"/>
          <w:szCs w:val="20"/>
          <w:color w:val="auto"/>
        </w:rPr>
      </w:pPr>
    </w:p>
    <w:p>
      <w:pPr>
        <w:ind w:right="100" w:firstLine="5"/>
        <w:spacing w:after="0" w:line="235" w:lineRule="auto"/>
        <w:tabs>
          <w:tab w:leader="none" w:pos="112" w:val="left"/>
        </w:tabs>
        <w:numPr>
          <w:ilvl w:val="0"/>
          <w:numId w:val="171"/>
        </w:numPr>
        <w:rPr>
          <w:rFonts w:ascii="Arial" w:cs="Arial" w:eastAsia="Arial" w:hAnsi="Arial"/>
          <w:sz w:val="23"/>
          <w:szCs w:val="23"/>
          <w:color w:val="auto"/>
          <w:vertAlign w:val="superscript"/>
        </w:rPr>
      </w:pPr>
      <w:r>
        <w:rPr>
          <w:rFonts w:ascii="Arial" w:cs="Arial" w:eastAsia="Arial" w:hAnsi="Arial"/>
          <w:sz w:val="18"/>
          <w:szCs w:val="18"/>
          <w:color w:val="auto"/>
        </w:rPr>
        <w:t>As used herein, with respect to any person, “Family Member” means any child, stepchild, grandchild, parent, stepparent, grandparent, spouse, sibling or domestic partner, mother-in-law, father-in-law, son-in-law, daughter-in-law, brother-in-law, or sister-in-law (including adoptive relationships), who shares the same household as such person (including a child away at school), and any such Family Members who do not share the same household but whose transactions in the CCI Securities are directed by the Covered Person or are subject to the Covered Person’s influence or control.</w:t>
      </w:r>
    </w:p>
    <w:p>
      <w:pPr>
        <w:sectPr>
          <w:pgSz w:w="11900" w:h="16838" w:orient="portrait"/>
          <w:cols w:equalWidth="0" w:num="1">
            <w:col w:w="11240"/>
          </w:cols>
          <w:pgMar w:left="320" w:top="369" w:right="339" w:bottom="1440" w:gutter="0" w:footer="0" w:header="0"/>
        </w:sectPr>
      </w:pPr>
    </w:p>
    <w:bookmarkStart w:id="163" w:name="page164"/>
    <w:bookmarkEnd w:id="163"/>
    <w:p>
      <w:pPr>
        <w:ind w:left="3880"/>
        <w:spacing w:after="0"/>
        <w:rPr>
          <w:sz w:val="20"/>
          <w:szCs w:val="20"/>
          <w:color w:val="auto"/>
        </w:rPr>
      </w:pPr>
      <w:r>
        <w:rPr>
          <w:rFonts w:ascii="Arial" w:cs="Arial" w:eastAsia="Arial" w:hAnsi="Arial"/>
          <w:sz w:val="18"/>
          <w:szCs w:val="18"/>
          <w:color w:val="FFFFFF"/>
        </w:rPr>
        <w:t>November 2024</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FFFFFF"/>
        </w:rPr>
        <w:t>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dividend policies or the declaration of a stock split or the offering of additional securities;</w:t>
      </w:r>
    </w:p>
    <w:p>
      <w:pPr>
        <w:spacing w:after="0" w:line="35"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executive management;</w:t>
      </w:r>
    </w:p>
    <w:p>
      <w:pPr>
        <w:spacing w:after="0" w:line="39"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new ventures;</w:t>
      </w:r>
    </w:p>
    <w:p>
      <w:pPr>
        <w:spacing w:after="0" w:line="35"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actual or threatened major litigation, or key developments in, or the resolution of, such litigation;</w:t>
      </w:r>
    </w:p>
    <w:p>
      <w:pPr>
        <w:spacing w:after="0" w:line="39"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impending bankruptcy or financial liquidity problems;</w:t>
      </w:r>
    </w:p>
    <w:p>
      <w:pPr>
        <w:spacing w:after="0" w:line="35"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the gain or loss of a substantial customer or supplier;</w:t>
      </w:r>
    </w:p>
    <w:p>
      <w:pPr>
        <w:spacing w:after="0" w:line="39"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cybersecurity incidents; and</w:t>
      </w:r>
    </w:p>
    <w:p>
      <w:pPr>
        <w:spacing w:after="0" w:line="35"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2"/>
        </w:numPr>
        <w:rPr>
          <w:rFonts w:ascii="Times New Roman" w:cs="Times New Roman" w:eastAsia="Times New Roman" w:hAnsi="Times New Roman"/>
          <w:sz w:val="19"/>
          <w:szCs w:val="19"/>
          <w:color w:val="auto"/>
        </w:rPr>
      </w:pPr>
      <w:r>
        <w:rPr>
          <w:rFonts w:ascii="Arial" w:cs="Arial" w:eastAsia="Arial" w:hAnsi="Arial"/>
          <w:sz w:val="19"/>
          <w:szCs w:val="19"/>
          <w:color w:val="auto"/>
        </w:rPr>
        <w:t>material financing transactions out of the ordinary course.</w:t>
      </w:r>
    </w:p>
    <w:p>
      <w:pPr>
        <w:spacing w:after="0" w:line="305"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Other Key Points</w:t>
      </w:r>
    </w:p>
    <w:p>
      <w:pPr>
        <w:spacing w:after="0" w:line="264" w:lineRule="exact"/>
        <w:rPr>
          <w:sz w:val="20"/>
          <w:szCs w:val="20"/>
          <w:color w:val="auto"/>
        </w:rPr>
      </w:pPr>
    </w:p>
    <w:p>
      <w:pPr>
        <w:ind w:right="340"/>
        <w:spacing w:after="0" w:line="293" w:lineRule="auto"/>
        <w:rPr>
          <w:sz w:val="20"/>
          <w:szCs w:val="20"/>
          <w:color w:val="auto"/>
        </w:rPr>
      </w:pPr>
      <w:r>
        <w:rPr>
          <w:rFonts w:ascii="Arial" w:cs="Arial" w:eastAsia="Arial" w:hAnsi="Arial"/>
          <w:sz w:val="19"/>
          <w:szCs w:val="19"/>
          <w:b w:val="1"/>
          <w:bCs w:val="1"/>
          <w:u w:val="single" w:color="auto"/>
          <w:color w:val="auto"/>
        </w:rPr>
        <w:t>Twenty-Twenty Hindsight</w:t>
      </w:r>
      <w:r>
        <w:rPr>
          <w:rFonts w:ascii="Arial" w:cs="Arial" w:eastAsia="Arial" w:hAnsi="Arial"/>
          <w:sz w:val="19"/>
          <w:szCs w:val="19"/>
          <w:color w:val="auto"/>
        </w:rPr>
        <w:t>. Remember, if a Covered Person’s stock or other securities transactions become the subject of</w:t>
      </w:r>
      <w:r>
        <w:rPr>
          <w:rFonts w:ascii="Arial" w:cs="Arial" w:eastAsia="Arial" w:hAnsi="Arial"/>
          <w:sz w:val="19"/>
          <w:szCs w:val="19"/>
          <w:b w:val="1"/>
          <w:bCs w:val="1"/>
          <w:color w:val="auto"/>
        </w:rPr>
        <w:t xml:space="preserve"> </w:t>
      </w:r>
      <w:r>
        <w:rPr>
          <w:rFonts w:ascii="Arial" w:cs="Arial" w:eastAsia="Arial" w:hAnsi="Arial"/>
          <w:sz w:val="19"/>
          <w:szCs w:val="19"/>
          <w:color w:val="auto"/>
        </w:rPr>
        <w:t>scrutiny, those transactions will be viewed after-the-fact. As a result, before engaging in any transaction, a Covered Person should carefully consider how regulators and others might view his or her transaction in hindsight with all of the facts disclosed, even those facts that may arise after such transaction.</w:t>
      </w:r>
    </w:p>
    <w:p>
      <w:pPr>
        <w:spacing w:after="0" w:line="196" w:lineRule="exact"/>
        <w:rPr>
          <w:sz w:val="20"/>
          <w:szCs w:val="20"/>
          <w:color w:val="auto"/>
        </w:rPr>
      </w:pPr>
    </w:p>
    <w:p>
      <w:pPr>
        <w:ind w:right="500"/>
        <w:spacing w:after="0" w:line="316" w:lineRule="auto"/>
        <w:rPr>
          <w:sz w:val="20"/>
          <w:szCs w:val="20"/>
          <w:color w:val="auto"/>
        </w:rPr>
      </w:pPr>
      <w:r>
        <w:rPr>
          <w:rFonts w:ascii="Arial" w:cs="Arial" w:eastAsia="Arial" w:hAnsi="Arial"/>
          <w:sz w:val="19"/>
          <w:szCs w:val="19"/>
          <w:b w:val="1"/>
          <w:bCs w:val="1"/>
          <w:u w:val="single" w:color="auto"/>
          <w:color w:val="auto"/>
        </w:rPr>
        <w:t>Transactions by Related Parties</w:t>
      </w:r>
      <w:r>
        <w:rPr>
          <w:rFonts w:ascii="Arial" w:cs="Arial" w:eastAsia="Arial" w:hAnsi="Arial"/>
          <w:sz w:val="19"/>
          <w:szCs w:val="19"/>
          <w:color w:val="auto"/>
        </w:rPr>
        <w:t>. The restrictions set forth in this Policy also apply to Related Parties. Covered Persons are</w:t>
      </w:r>
      <w:r>
        <w:rPr>
          <w:rFonts w:ascii="Arial" w:cs="Arial" w:eastAsia="Arial" w:hAnsi="Arial"/>
          <w:sz w:val="19"/>
          <w:szCs w:val="19"/>
          <w:b w:val="1"/>
          <w:bCs w:val="1"/>
          <w:color w:val="auto"/>
        </w:rPr>
        <w:t xml:space="preserve"> </w:t>
      </w:r>
      <w:r>
        <w:rPr>
          <w:rFonts w:ascii="Arial" w:cs="Arial" w:eastAsia="Arial" w:hAnsi="Arial"/>
          <w:sz w:val="19"/>
          <w:szCs w:val="19"/>
          <w:color w:val="auto"/>
        </w:rPr>
        <w:t>expected to be responsible for the compliance with this Policy by Related Parties.</w:t>
      </w:r>
    </w:p>
    <w:p>
      <w:pPr>
        <w:spacing w:after="0" w:line="175" w:lineRule="exact"/>
        <w:rPr>
          <w:sz w:val="20"/>
          <w:szCs w:val="20"/>
          <w:color w:val="auto"/>
        </w:rPr>
      </w:pPr>
    </w:p>
    <w:p>
      <w:pPr>
        <w:ind w:right="300"/>
        <w:spacing w:after="0" w:line="292" w:lineRule="auto"/>
        <w:rPr>
          <w:sz w:val="20"/>
          <w:szCs w:val="20"/>
          <w:color w:val="auto"/>
        </w:rPr>
      </w:pPr>
      <w:r>
        <w:rPr>
          <w:rFonts w:ascii="Arial" w:cs="Arial" w:eastAsia="Arial" w:hAnsi="Arial"/>
          <w:sz w:val="19"/>
          <w:szCs w:val="19"/>
          <w:b w:val="1"/>
          <w:bCs w:val="1"/>
          <w:u w:val="single" w:color="auto"/>
          <w:color w:val="auto"/>
        </w:rPr>
        <w:t>Gifts</w:t>
      </w:r>
      <w:r>
        <w:rPr>
          <w:rFonts w:ascii="Arial" w:cs="Arial" w:eastAsia="Arial" w:hAnsi="Arial"/>
          <w:sz w:val="19"/>
          <w:szCs w:val="19"/>
          <w:color w:val="auto"/>
        </w:rPr>
        <w:t>. Gifts (including donations to charities), whether made by a Covered Person or on the Covered Person’s behalf, are not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when the Covered Person is in possession of material non-public information relating to Crown Castle. So long as the Covered Person is not in possession of material non-public information relating to Crown Castle, gifting of CCI Securities is permitted outside of the Trading Window (defined below), provided such gift is pre-cleared with the Compliance Officer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Retirement Accounts, Managed Accounts and Dividend Reinvestments</w:t>
      </w:r>
      <w:r>
        <w:rPr>
          <w:rFonts w:ascii="Arial" w:cs="Arial" w:eastAsia="Arial" w:hAnsi="Arial"/>
          <w:sz w:val="19"/>
          <w:szCs w:val="19"/>
          <w:color w:val="auto"/>
        </w:rPr>
        <w:t>. The restrictions set forth in this Policy also apply to</w:t>
      </w:r>
    </w:p>
    <w:p>
      <w:pPr>
        <w:spacing w:after="0" w:line="48" w:lineRule="exact"/>
        <w:rPr>
          <w:sz w:val="20"/>
          <w:szCs w:val="20"/>
          <w:color w:val="auto"/>
        </w:rPr>
      </w:pPr>
    </w:p>
    <w:p>
      <w:pPr>
        <w:ind w:right="240" w:firstLine="5"/>
        <w:spacing w:after="0" w:line="300" w:lineRule="auto"/>
        <w:tabs>
          <w:tab w:leader="none" w:pos="28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CCI Securities held in the Covered Person’s retirement account (such as 401(k) or similar accounts), (2) accounts managed by financial advisors or managers (e.g., “managed accounts”) and (3) reinvestment of dividends on CCI Securities, regardless of whether they are reinvested automatically as a result of a previously made election through a broker, bank or transfer agent.</w:t>
      </w:r>
    </w:p>
    <w:p>
      <w:pPr>
        <w:spacing w:after="0" w:line="177" w:lineRule="exact"/>
        <w:rPr>
          <w:sz w:val="20"/>
          <w:szCs w:val="20"/>
          <w:color w:val="auto"/>
        </w:rPr>
      </w:pPr>
    </w:p>
    <w:p>
      <w:pPr>
        <w:jc w:val="both"/>
        <w:ind w:right="380"/>
        <w:spacing w:after="0" w:line="298" w:lineRule="auto"/>
        <w:rPr>
          <w:sz w:val="20"/>
          <w:szCs w:val="20"/>
          <w:color w:val="auto"/>
        </w:rPr>
      </w:pPr>
      <w:r>
        <w:rPr>
          <w:rFonts w:ascii="Arial" w:cs="Arial" w:eastAsia="Arial" w:hAnsi="Arial"/>
          <w:sz w:val="19"/>
          <w:szCs w:val="19"/>
          <w:b w:val="1"/>
          <w:bCs w:val="1"/>
          <w:u w:val="single" w:color="auto"/>
          <w:color w:val="auto"/>
        </w:rPr>
        <w:t>Tipping Information to Others</w:t>
      </w:r>
      <w:r>
        <w:rPr>
          <w:rFonts w:ascii="Arial" w:cs="Arial" w:eastAsia="Arial" w:hAnsi="Arial"/>
          <w:sz w:val="19"/>
          <w:szCs w:val="19"/>
          <w:color w:val="auto"/>
        </w:rPr>
        <w:t>. Whether the information is proprietary information about Crown Castle or other material non-public information that could have an impact on the price of CCI Securities or the price of securities of another public company, Covered Persons should only pass such information on to other persons who are involved with Crown Castle and who have a reasonable need to know same.</w:t>
      </w:r>
    </w:p>
    <w:p>
      <w:pPr>
        <w:spacing w:after="0" w:line="180"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In addition, a Covered Person should not recommend to anyone the purchase or sale of CCI Securities or the securities of another public company when in possession of material non-public information relating to Crown Castle or such other company. See “Policy” above. The penalties discussed below generally apply whether or not a Covered Person derives any benefit from another's actions or bad intentions.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60"/>
          </w:cols>
          <w:pgMar w:left="320" w:top="188" w:right="419" w:bottom="1440" w:gutter="0" w:footer="0" w:header="0"/>
        </w:sectPr>
      </w:pPr>
    </w:p>
    <w:bookmarkStart w:id="164" w:name="page165"/>
    <w:bookmarkEnd w:id="164"/>
    <w:p>
      <w:pPr>
        <w:ind w:left="3880"/>
        <w:spacing w:after="0"/>
        <w:rPr>
          <w:sz w:val="20"/>
          <w:szCs w:val="20"/>
          <w:color w:val="auto"/>
        </w:rPr>
      </w:pPr>
      <w:r>
        <w:rPr>
          <w:rFonts w:ascii="Arial" w:cs="Arial" w:eastAsia="Arial" w:hAnsi="Arial"/>
          <w:sz w:val="18"/>
          <w:szCs w:val="18"/>
          <w:color w:val="FFFFFF"/>
        </w:rPr>
        <w:t>November 2024</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FFFFFF"/>
        </w:rPr>
        <w:t>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20"/>
        <w:spacing w:after="0" w:line="281" w:lineRule="auto"/>
        <w:rPr>
          <w:sz w:val="20"/>
          <w:szCs w:val="20"/>
          <w:color w:val="auto"/>
        </w:rPr>
      </w:pPr>
      <w:r>
        <w:rPr>
          <w:rFonts w:ascii="Arial" w:cs="Arial" w:eastAsia="Arial" w:hAnsi="Arial"/>
          <w:sz w:val="19"/>
          <w:szCs w:val="19"/>
          <w:b w:val="1"/>
          <w:bCs w:val="1"/>
          <w:u w:val="single" w:color="auto"/>
          <w:color w:val="auto"/>
        </w:rPr>
        <w:t>When Information is Public</w:t>
      </w:r>
      <w:r>
        <w:rPr>
          <w:rFonts w:ascii="Arial" w:cs="Arial" w:eastAsia="Arial" w:hAnsi="Arial"/>
          <w:sz w:val="19"/>
          <w:szCs w:val="19"/>
          <w:color w:val="auto"/>
        </w:rPr>
        <w:t>. A Covered Person in possession of material non-public information may not trade on that</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prior to (1) a public (that is, widely disseminated) announcement by Crown Castle or the parties involved of the material information (such as through news releases or filings with the U.S. Securities and Exchange Commission (“SEC”)) and</w:t>
      </w:r>
    </w:p>
    <w:p>
      <w:pPr>
        <w:spacing w:after="0" w:line="2" w:lineRule="exact"/>
        <w:rPr>
          <w:sz w:val="20"/>
          <w:szCs w:val="20"/>
          <w:color w:val="auto"/>
        </w:rPr>
      </w:pPr>
    </w:p>
    <w:p>
      <w:pPr>
        <w:ind w:right="400" w:firstLine="5"/>
        <w:spacing w:after="0" w:line="295" w:lineRule="auto"/>
        <w:tabs>
          <w:tab w:leader="none" w:pos="289"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such information having been absorbed by the investing public. With respect to Crown Castle, the material information is deemed absorbed by the investing public at the beginning of the second trading day following the release of the material information. That is, a full trading day must pass between the time the material information is released and the time the trading occurs.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matrix illustrates when material non-public information is deemed absorbed by the investing public:</w:t>
      </w:r>
    </w:p>
    <w:p>
      <w:pPr>
        <w:spacing w:after="0" w:line="296" w:lineRule="exact"/>
        <w:rPr>
          <w:sz w:val="20"/>
          <w:szCs w:val="20"/>
          <w:color w:val="auto"/>
        </w:rPr>
      </w:pPr>
    </w:p>
    <w:tbl>
      <w:tblPr>
        <w:tblLayout w:type="fixed"/>
        <w:tblInd w:w="250" w:type="dxa"/>
        <w:tblCellMar>
          <w:top w:w="0" w:type="dxa"/>
          <w:left w:w="0" w:type="dxa"/>
          <w:bottom w:w="0" w:type="dxa"/>
          <w:right w:w="0" w:type="dxa"/>
        </w:tblCellMar>
      </w:tblPr>
      <w:tr>
        <w:trPr>
          <w:trHeight w:val="308"/>
        </w:trPr>
        <w:tc>
          <w:tcPr>
            <w:tcW w:w="1760" w:type="dxa"/>
            <w:vAlign w:val="bottom"/>
            <w:tcBorders>
              <w:top w:val="single" w:sz="8" w:color="auto"/>
              <w:left w:val="single" w:sz="8" w:color="auto"/>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Release Day</w:t>
            </w:r>
          </w:p>
        </w:tc>
        <w:tc>
          <w:tcPr>
            <w:tcW w:w="4760" w:type="dxa"/>
            <w:vAlign w:val="bottom"/>
            <w:tcBorders>
              <w:top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Release Time</w:t>
            </w:r>
          </w:p>
        </w:tc>
        <w:tc>
          <w:tcPr>
            <w:tcW w:w="4040" w:type="dxa"/>
            <w:vAlign w:val="bottom"/>
            <w:tcBorders>
              <w:top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First Possible Trading Opportunity*</w:t>
            </w:r>
          </w:p>
        </w:tc>
      </w:tr>
      <w:tr>
        <w:trPr>
          <w:trHeight w:val="243"/>
        </w:trPr>
        <w:tc>
          <w:tcPr>
            <w:tcW w:w="17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760" w:type="dxa"/>
            <w:vAlign w:val="bottom"/>
            <w:tcBorders>
              <w:top w:val="single" w:sz="8" w:color="auto"/>
              <w:bottom w:val="single" w:sz="8" w:color="auto"/>
              <w:right w:val="single" w:sz="8" w:color="auto"/>
            </w:tcBorders>
          </w:tcPr>
          <w:p>
            <w:pPr>
              <w:spacing w:after="0"/>
              <w:rPr>
                <w:sz w:val="21"/>
                <w:szCs w:val="21"/>
                <w:color w:val="auto"/>
              </w:rPr>
            </w:pPr>
          </w:p>
        </w:tc>
        <w:tc>
          <w:tcPr>
            <w:tcW w:w="4040" w:type="dxa"/>
            <w:vAlign w:val="bottom"/>
            <w:tcBorders>
              <w:top w:val="single" w:sz="8" w:color="auto"/>
              <w:bottom w:val="single" w:sz="8" w:color="auto"/>
              <w:right w:val="single" w:sz="8" w:color="auto"/>
            </w:tcBorders>
          </w:tcPr>
          <w:p>
            <w:pPr>
              <w:spacing w:after="0"/>
              <w:rPr>
                <w:sz w:val="21"/>
                <w:szCs w:val="21"/>
                <w:color w:val="auto"/>
              </w:rPr>
            </w:pPr>
          </w:p>
        </w:tc>
      </w:tr>
      <w:tr>
        <w:trPr>
          <w:trHeight w:val="247"/>
        </w:trPr>
        <w:tc>
          <w:tcPr>
            <w:tcW w:w="1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Monday</w:t>
            </w: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Before market opens (i.e., before 9:30 a.m. ET)</w:t>
            </w:r>
          </w:p>
        </w:tc>
        <w:tc>
          <w:tcPr>
            <w:tcW w:w="4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Tuesday morning</w:t>
            </w:r>
          </w:p>
        </w:tc>
      </w:tr>
      <w:tr>
        <w:trPr>
          <w:trHeight w:val="36"/>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4760" w:type="dxa"/>
            <w:vAlign w:val="bottom"/>
            <w:tcBorders>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47"/>
        </w:trPr>
        <w:tc>
          <w:tcPr>
            <w:tcW w:w="1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Monday</w:t>
            </w: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After market closes (i.e., after 4:00 p.m. ET)</w:t>
            </w:r>
          </w:p>
        </w:tc>
        <w:tc>
          <w:tcPr>
            <w:tcW w:w="4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Wednesday morning</w:t>
            </w:r>
          </w:p>
        </w:tc>
      </w:tr>
      <w:tr>
        <w:trPr>
          <w:trHeight w:val="36"/>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4760" w:type="dxa"/>
            <w:vAlign w:val="bottom"/>
            <w:tcBorders>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47"/>
        </w:trPr>
        <w:tc>
          <w:tcPr>
            <w:tcW w:w="1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Friday</w:t>
            </w: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Before market opens (i.e., before 9:30 a.m. ET)</w:t>
            </w:r>
          </w:p>
        </w:tc>
        <w:tc>
          <w:tcPr>
            <w:tcW w:w="4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Monday morning</w:t>
            </w:r>
          </w:p>
        </w:tc>
      </w:tr>
      <w:tr>
        <w:trPr>
          <w:trHeight w:val="36"/>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4760" w:type="dxa"/>
            <w:vAlign w:val="bottom"/>
            <w:tcBorders>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47"/>
        </w:trPr>
        <w:tc>
          <w:tcPr>
            <w:tcW w:w="1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Friday</w:t>
            </w: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After market closes (i.e., after 4:00 p.m. ET)</w:t>
            </w:r>
          </w:p>
        </w:tc>
        <w:tc>
          <w:tcPr>
            <w:tcW w:w="4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Tuesday morning</w:t>
            </w:r>
          </w:p>
        </w:tc>
      </w:tr>
      <w:tr>
        <w:trPr>
          <w:trHeight w:val="36"/>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4760" w:type="dxa"/>
            <w:vAlign w:val="bottom"/>
            <w:tcBorders>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255" w:lineRule="exact"/>
        <w:rPr>
          <w:sz w:val="20"/>
          <w:szCs w:val="20"/>
          <w:color w:val="auto"/>
        </w:rPr>
      </w:pPr>
    </w:p>
    <w:p>
      <w:pPr>
        <w:ind w:left="400"/>
        <w:spacing w:after="0"/>
        <w:rPr>
          <w:sz w:val="20"/>
          <w:szCs w:val="20"/>
          <w:color w:val="auto"/>
        </w:rPr>
      </w:pPr>
      <w:r>
        <w:rPr>
          <w:rFonts w:ascii="Arial" w:cs="Arial" w:eastAsia="Arial" w:hAnsi="Arial"/>
          <w:sz w:val="19"/>
          <w:szCs w:val="19"/>
          <w:color w:val="auto"/>
        </w:rPr>
        <w:t>*Subject to the other restrictions set forth in this Policy.</w:t>
      </w:r>
    </w:p>
    <w:p>
      <w:pPr>
        <w:spacing w:after="0" w:line="297"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What is a 10b5-1 Plan?</w:t>
      </w:r>
    </w:p>
    <w:p>
      <w:pPr>
        <w:spacing w:after="0" w:line="264" w:lineRule="exact"/>
        <w:rPr>
          <w:sz w:val="20"/>
          <w:szCs w:val="20"/>
          <w:color w:val="auto"/>
        </w:rPr>
      </w:pPr>
    </w:p>
    <w:p>
      <w:pPr>
        <w:ind w:right="280"/>
        <w:spacing w:after="0" w:line="292" w:lineRule="auto"/>
        <w:rPr>
          <w:sz w:val="20"/>
          <w:szCs w:val="20"/>
          <w:color w:val="auto"/>
        </w:rPr>
      </w:pPr>
      <w:r>
        <w:rPr>
          <w:rFonts w:ascii="Arial" w:cs="Arial" w:eastAsia="Arial" w:hAnsi="Arial"/>
          <w:sz w:val="19"/>
          <w:szCs w:val="19"/>
          <w:b w:val="1"/>
          <w:bCs w:val="1"/>
          <w:u w:val="single" w:color="auto"/>
          <w:color w:val="auto"/>
        </w:rPr>
        <w:t>Rule 10b5-1 Plans</w:t>
      </w:r>
      <w:r>
        <w:rPr>
          <w:rFonts w:ascii="Arial" w:cs="Arial" w:eastAsia="Arial" w:hAnsi="Arial"/>
          <w:sz w:val="19"/>
          <w:szCs w:val="19"/>
          <w:color w:val="auto"/>
        </w:rPr>
        <w:t>. Notwithstanding the other provisions of this Policy, Covered Persons may trade in CCI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gifting) while in possession of material non-public information or during the Blackout Period (with respect to the Window Group, as further described below) if such trade is made in accordance with pre-established written trading instructions, agreements or plans that satisfy the conditions of Rule 10b5-1(c) (“Rule 10b5-1(c)”) of the Securities Exchange Act of 1934, as amended (“Exchange Act”) and this Policy (“10b5-1 Plan”).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Covered Person are not permitted to establish, amend or terminate a 10b5-1 Plan:</w:t>
      </w:r>
    </w:p>
    <w:p>
      <w:pPr>
        <w:spacing w:after="0" w:line="36" w:lineRule="exact"/>
        <w:rPr>
          <w:sz w:val="20"/>
          <w:szCs w:val="20"/>
          <w:color w:val="auto"/>
        </w:rPr>
      </w:pPr>
    </w:p>
    <w:p>
      <w:pPr>
        <w:ind w:left="780" w:hanging="301"/>
        <w:spacing w:after="0"/>
        <w:tabs>
          <w:tab w:leader="none" w:pos="780" w:val="left"/>
        </w:tabs>
        <w:numPr>
          <w:ilvl w:val="0"/>
          <w:numId w:val="175"/>
        </w:numPr>
        <w:rPr>
          <w:rFonts w:ascii="Times New Roman" w:cs="Times New Roman" w:eastAsia="Times New Roman" w:hAnsi="Times New Roman"/>
          <w:sz w:val="19"/>
          <w:szCs w:val="19"/>
          <w:color w:val="auto"/>
        </w:rPr>
      </w:pPr>
      <w:r>
        <w:rPr>
          <w:rFonts w:ascii="Arial" w:cs="Arial" w:eastAsia="Arial" w:hAnsi="Arial"/>
          <w:sz w:val="19"/>
          <w:szCs w:val="19"/>
          <w:color w:val="auto"/>
        </w:rPr>
        <w:t>while such person is aware of material non-public information,</w:t>
      </w:r>
    </w:p>
    <w:p>
      <w:pPr>
        <w:spacing w:after="0" w:line="39"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5"/>
        </w:numPr>
        <w:rPr>
          <w:rFonts w:ascii="Times New Roman" w:cs="Times New Roman" w:eastAsia="Times New Roman" w:hAnsi="Times New Roman"/>
          <w:sz w:val="19"/>
          <w:szCs w:val="19"/>
          <w:color w:val="auto"/>
        </w:rPr>
      </w:pPr>
      <w:r>
        <w:rPr>
          <w:rFonts w:ascii="Arial" w:cs="Arial" w:eastAsia="Arial" w:hAnsi="Arial"/>
          <w:sz w:val="19"/>
          <w:szCs w:val="19"/>
          <w:color w:val="auto"/>
        </w:rPr>
        <w:t>during any applicable Special Trading Blackout Period (defined below),</w:t>
      </w:r>
    </w:p>
    <w:p>
      <w:pPr>
        <w:spacing w:after="0" w:line="35" w:lineRule="exact"/>
        <w:rPr>
          <w:rFonts w:ascii="Times New Roman" w:cs="Times New Roman" w:eastAsia="Times New Roman" w:hAnsi="Times New Roman"/>
          <w:sz w:val="19"/>
          <w:szCs w:val="19"/>
          <w:color w:val="auto"/>
        </w:rPr>
      </w:pPr>
    </w:p>
    <w:p>
      <w:pPr>
        <w:ind w:left="780" w:hanging="301"/>
        <w:spacing w:after="0"/>
        <w:tabs>
          <w:tab w:leader="none" w:pos="780" w:val="left"/>
        </w:tabs>
        <w:numPr>
          <w:ilvl w:val="0"/>
          <w:numId w:val="175"/>
        </w:numPr>
        <w:rPr>
          <w:rFonts w:ascii="Times New Roman" w:cs="Times New Roman" w:eastAsia="Times New Roman" w:hAnsi="Times New Roman"/>
          <w:sz w:val="19"/>
          <w:szCs w:val="19"/>
          <w:color w:val="auto"/>
        </w:rPr>
      </w:pPr>
      <w:r>
        <w:rPr>
          <w:rFonts w:ascii="Arial" w:cs="Arial" w:eastAsia="Arial" w:hAnsi="Arial"/>
          <w:sz w:val="19"/>
          <w:szCs w:val="19"/>
          <w:color w:val="auto"/>
        </w:rPr>
        <w:t>with respect to the Window Group (discussed further below), outside of a Trading Window (defined below).</w:t>
      </w:r>
    </w:p>
    <w:p>
      <w:pPr>
        <w:spacing w:after="0" w:line="276" w:lineRule="exact"/>
        <w:rPr>
          <w:sz w:val="20"/>
          <w:szCs w:val="20"/>
          <w:color w:val="auto"/>
        </w:rPr>
      </w:pPr>
    </w:p>
    <w:p>
      <w:pPr>
        <w:jc w:val="both"/>
        <w:ind w:right="260"/>
        <w:spacing w:after="0" w:line="301" w:lineRule="auto"/>
        <w:rPr>
          <w:sz w:val="20"/>
          <w:szCs w:val="20"/>
          <w:color w:val="auto"/>
        </w:rPr>
      </w:pPr>
      <w:r>
        <w:rPr>
          <w:rFonts w:ascii="Arial" w:cs="Arial" w:eastAsia="Arial" w:hAnsi="Arial"/>
          <w:sz w:val="19"/>
          <w:szCs w:val="19"/>
          <w:color w:val="auto"/>
        </w:rPr>
        <w:t>In addition, Covered Persons must comply with all other requirements or Rule 10b5-1(c), including applicable cooling off periods and restrictions on overlapping plans. Once the 10b5-1 Plan is established, the Covered Person may not exercise any influence over the amount of securities to be traded, the price at which they are to be traded, or the date of the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60"/>
          </w:cols>
          <w:pgMar w:left="320" w:top="188" w:right="419" w:bottom="1440" w:gutter="0" w:footer="0" w:header="0"/>
        </w:sectPr>
      </w:pPr>
    </w:p>
    <w:bookmarkStart w:id="165" w:name="page166"/>
    <w:bookmarkEnd w:id="165"/>
    <w:p>
      <w:pPr>
        <w:ind w:left="3880"/>
        <w:spacing w:after="0"/>
        <w:rPr>
          <w:sz w:val="20"/>
          <w:szCs w:val="20"/>
          <w:color w:val="auto"/>
        </w:rPr>
      </w:pPr>
      <w:r>
        <w:rPr>
          <w:rFonts w:ascii="Arial" w:cs="Arial" w:eastAsia="Arial" w:hAnsi="Arial"/>
          <w:sz w:val="18"/>
          <w:szCs w:val="18"/>
          <w:color w:val="FFFFFF"/>
        </w:rPr>
        <w:t>November 2024</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FFFFFF"/>
        </w:rPr>
        <w:t>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Covered Persons must obtain written approval (e-mail will suffice) from Crown Castle’s General Counsel or their designee(s) (“Compliance Officer”) prior to adopting, amending or terminating a 10b5-1 Plan, as well as provide to the Compliance Officer the material terms of any such trading plan. Any approval by the Compliance Officer will not guarantee that the 10b5-1 Plan ultimately qualifies for affirmative defense under Rule 10b5-1(c).</w:t>
      </w:r>
    </w:p>
    <w:p>
      <w:pPr>
        <w:spacing w:after="0" w:line="198" w:lineRule="exact"/>
        <w:rPr>
          <w:sz w:val="20"/>
          <w:szCs w:val="20"/>
          <w:color w:val="auto"/>
        </w:rPr>
      </w:pPr>
    </w:p>
    <w:p>
      <w:pPr>
        <w:ind w:right="320"/>
        <w:spacing w:after="0" w:line="293" w:lineRule="auto"/>
        <w:rPr>
          <w:sz w:val="20"/>
          <w:szCs w:val="20"/>
          <w:color w:val="auto"/>
        </w:rPr>
      </w:pPr>
      <w:r>
        <w:rPr>
          <w:rFonts w:ascii="Arial" w:cs="Arial" w:eastAsia="Arial" w:hAnsi="Arial"/>
          <w:sz w:val="19"/>
          <w:szCs w:val="19"/>
          <w:b w:val="1"/>
          <w:bCs w:val="1"/>
          <w:u w:val="single" w:color="auto"/>
          <w:color w:val="auto"/>
        </w:rPr>
        <w:t>Reporting Persons Obligations</w:t>
      </w:r>
      <w:r>
        <w:rPr>
          <w:rFonts w:ascii="Arial" w:cs="Arial" w:eastAsia="Arial" w:hAnsi="Arial"/>
          <w:sz w:val="19"/>
          <w:szCs w:val="19"/>
          <w:color w:val="auto"/>
        </w:rPr>
        <w:t>. In addition to the requirements discussed above, Crown Castle’s directors, executive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and certain other officers (“Reporting Persons”) are required to promptly report to the Compliance Officer each executed transaction made pursuant to a trading instruction, agreement or plan (regardless of whether such arrangement satisfies the conditions of Rule 10b5-1(c)).</w:t>
      </w:r>
    </w:p>
    <w:p>
      <w:pPr>
        <w:spacing w:after="0" w:line="227"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Are There Other Prohibited Transactions or Trading Periods?</w:t>
      </w:r>
    </w:p>
    <w:p>
      <w:pPr>
        <w:spacing w:after="0" w:line="264" w:lineRule="exact"/>
        <w:rPr>
          <w:sz w:val="20"/>
          <w:szCs w:val="20"/>
          <w:color w:val="auto"/>
        </w:rPr>
      </w:pPr>
    </w:p>
    <w:p>
      <w:pPr>
        <w:jc w:val="both"/>
        <w:ind w:right="380"/>
        <w:spacing w:after="0" w:line="302" w:lineRule="auto"/>
        <w:rPr>
          <w:sz w:val="20"/>
          <w:szCs w:val="20"/>
          <w:color w:val="auto"/>
        </w:rPr>
      </w:pPr>
      <w:r>
        <w:rPr>
          <w:rFonts w:ascii="Arial" w:cs="Arial" w:eastAsia="Arial" w:hAnsi="Arial"/>
          <w:sz w:val="19"/>
          <w:szCs w:val="19"/>
          <w:b w:val="1"/>
          <w:bCs w:val="1"/>
          <w:u w:val="single" w:color="auto"/>
          <w:color w:val="auto"/>
        </w:rPr>
        <w:t>Additional Prohibited Transactions</w:t>
      </w:r>
      <w:r>
        <w:rPr>
          <w:rFonts w:ascii="Arial" w:cs="Arial" w:eastAsia="Arial" w:hAnsi="Arial"/>
          <w:sz w:val="19"/>
          <w:szCs w:val="19"/>
          <w:color w:val="auto"/>
        </w:rPr>
        <w:t>. Because Crown Castle believes it is improper and inappropriate for Covered Persons to</w:t>
      </w:r>
      <w:r>
        <w:rPr>
          <w:rFonts w:ascii="Arial" w:cs="Arial" w:eastAsia="Arial" w:hAnsi="Arial"/>
          <w:sz w:val="19"/>
          <w:szCs w:val="19"/>
          <w:b w:val="1"/>
          <w:bCs w:val="1"/>
          <w:color w:val="auto"/>
        </w:rPr>
        <w:t xml:space="preserve"> </w:t>
      </w:r>
      <w:r>
        <w:rPr>
          <w:rFonts w:ascii="Arial" w:cs="Arial" w:eastAsia="Arial" w:hAnsi="Arial"/>
          <w:sz w:val="19"/>
          <w:szCs w:val="19"/>
          <w:color w:val="auto"/>
        </w:rPr>
        <w:t>dispose of securities during a time when a Covered Person is not permitted to trade and to engage in short-term or speculative transactions involving CCI Securities, Covered Persons may not engage in any of the following activities:</w:t>
      </w:r>
    </w:p>
    <w:p>
      <w:pPr>
        <w:spacing w:after="0" w:line="177" w:lineRule="exact"/>
        <w:rPr>
          <w:sz w:val="20"/>
          <w:szCs w:val="20"/>
          <w:color w:val="auto"/>
        </w:rPr>
      </w:pPr>
    </w:p>
    <w:p>
      <w:pPr>
        <w:ind w:left="1260" w:right="260" w:hanging="623"/>
        <w:spacing w:after="0" w:line="301" w:lineRule="auto"/>
        <w:tabs>
          <w:tab w:leader="none" w:pos="1250"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Purchases of CCI Securities on Margin</w:t>
      </w:r>
      <w:r>
        <w:rPr>
          <w:rFonts w:ascii="Arial" w:cs="Arial" w:eastAsia="Arial" w:hAnsi="Arial"/>
          <w:sz w:val="19"/>
          <w:szCs w:val="19"/>
          <w:color w:val="auto"/>
        </w:rPr>
        <w:t>. Any CCI Securities purchased in the open market should be paid for in</w:t>
      </w:r>
      <w:r>
        <w:rPr>
          <w:rFonts w:ascii="Arial" w:cs="Arial" w:eastAsia="Arial" w:hAnsi="Arial"/>
          <w:sz w:val="19"/>
          <w:szCs w:val="19"/>
          <w:i w:val="1"/>
          <w:iCs w:val="1"/>
          <w:color w:val="auto"/>
        </w:rPr>
        <w:t xml:space="preserve"> </w:t>
      </w:r>
      <w:r>
        <w:rPr>
          <w:rFonts w:ascii="Arial" w:cs="Arial" w:eastAsia="Arial" w:hAnsi="Arial"/>
          <w:sz w:val="19"/>
          <w:szCs w:val="19"/>
          <w:color w:val="auto"/>
        </w:rPr>
        <w:t>full at the time of purchase. Purchasing CCI Securities on margin (that is, borrowing money from a stockbroker or other third party to fund the purchase) is not permitted.</w:t>
      </w:r>
    </w:p>
    <w:p>
      <w:pPr>
        <w:spacing w:after="0" w:line="191" w:lineRule="exact"/>
        <w:rPr>
          <w:rFonts w:ascii="Arial" w:cs="Arial" w:eastAsia="Arial" w:hAnsi="Arial"/>
          <w:sz w:val="19"/>
          <w:szCs w:val="19"/>
          <w:color w:val="auto"/>
        </w:rPr>
      </w:pPr>
    </w:p>
    <w:p>
      <w:pPr>
        <w:ind w:left="1260" w:right="160" w:hanging="623"/>
        <w:spacing w:after="0" w:line="292" w:lineRule="auto"/>
        <w:tabs>
          <w:tab w:leader="none" w:pos="1250"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Short Sales</w:t>
      </w:r>
      <w:r>
        <w:rPr>
          <w:rFonts w:ascii="Arial" w:cs="Arial" w:eastAsia="Arial" w:hAnsi="Arial"/>
          <w:sz w:val="19"/>
          <w:szCs w:val="19"/>
          <w:color w:val="auto"/>
        </w:rPr>
        <w:t>. Any CCI Securities purchased in the open market can be sold by the purchaser at any time (provided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the guidelines outlined in this Policy are adhered to); however, selling CCI Securities short is not permitted. Selling short is the practice of selling more shares than you own, a technique used to speculate on a decline in the stock price.</w:t>
      </w:r>
    </w:p>
    <w:p>
      <w:pPr>
        <w:spacing w:after="0" w:line="199" w:lineRule="exact"/>
        <w:rPr>
          <w:rFonts w:ascii="Arial" w:cs="Arial" w:eastAsia="Arial" w:hAnsi="Arial"/>
          <w:sz w:val="19"/>
          <w:szCs w:val="19"/>
          <w:color w:val="auto"/>
        </w:rPr>
      </w:pPr>
    </w:p>
    <w:p>
      <w:pPr>
        <w:ind w:left="1260" w:right="180" w:hanging="623"/>
        <w:spacing w:after="0" w:line="291" w:lineRule="auto"/>
        <w:tabs>
          <w:tab w:leader="none" w:pos="1250"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Buying or Selling Puts or Calls</w:t>
      </w:r>
      <w:r>
        <w:rPr>
          <w:rFonts w:ascii="Arial" w:cs="Arial" w:eastAsia="Arial" w:hAnsi="Arial"/>
          <w:sz w:val="19"/>
          <w:szCs w:val="19"/>
          <w:color w:val="auto"/>
        </w:rPr>
        <w:t>. The purchase or sale of options of any kind, whether puts, calls,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derivative securities relating to CCI Securities is not permitted. A put is a right to sell at a specified price a specific number of shares by a certain date and is utilized in anticipation of a decline in the stock price. A call is a right to buy at a specified price a specified number of shares by a certain date and is utilized in anticipation of a rise in the stock price.</w:t>
      </w:r>
    </w:p>
    <w:p>
      <w:pPr>
        <w:spacing w:after="0" w:line="188" w:lineRule="exact"/>
        <w:rPr>
          <w:rFonts w:ascii="Arial" w:cs="Arial" w:eastAsia="Arial" w:hAnsi="Arial"/>
          <w:sz w:val="19"/>
          <w:szCs w:val="19"/>
          <w:color w:val="auto"/>
        </w:rPr>
      </w:pPr>
    </w:p>
    <w:p>
      <w:pPr>
        <w:ind w:left="1260" w:right="380" w:hanging="623"/>
        <w:spacing w:after="0" w:line="328" w:lineRule="auto"/>
        <w:tabs>
          <w:tab w:leader="none" w:pos="1250"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Pledging</w:t>
      </w:r>
      <w:r>
        <w:rPr>
          <w:rFonts w:ascii="Arial" w:cs="Arial" w:eastAsia="Arial" w:hAnsi="Arial"/>
          <w:sz w:val="19"/>
          <w:szCs w:val="19"/>
          <w:color w:val="auto"/>
        </w:rPr>
        <w:t>. Directors and executive officers may not pledge or hypothecate CCI Securities as collateral for a loan,</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borrowing against CCI Securities held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60"/>
          </w:cols>
          <w:pgMar w:left="320" w:top="189" w:right="419" w:bottom="1440" w:gutter="0" w:footer="0" w:header="0"/>
        </w:sectPr>
      </w:pPr>
    </w:p>
    <w:bookmarkStart w:id="166" w:name="page167"/>
    <w:bookmarkEnd w:id="166"/>
    <w:p>
      <w:pPr>
        <w:ind w:left="3880"/>
        <w:spacing w:after="0"/>
        <w:rPr>
          <w:sz w:val="20"/>
          <w:szCs w:val="20"/>
          <w:color w:val="auto"/>
        </w:rPr>
      </w:pPr>
      <w:r>
        <w:rPr>
          <w:rFonts w:ascii="Arial" w:cs="Arial" w:eastAsia="Arial" w:hAnsi="Arial"/>
          <w:sz w:val="18"/>
          <w:szCs w:val="18"/>
          <w:color w:val="FFFFFF"/>
        </w:rPr>
        <w:t>November 2024</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FFFFFF"/>
        </w:rPr>
        <w:t>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Additional Prohibited Trading Periods</w:t>
      </w:r>
      <w:r>
        <w:rPr>
          <w:rFonts w:ascii="Arial" w:cs="Arial" w:eastAsia="Arial" w:hAnsi="Arial"/>
          <w:sz w:val="19"/>
          <w:szCs w:val="19"/>
          <w:color w:val="auto"/>
        </w:rPr>
        <w:t>.</w:t>
      </w:r>
    </w:p>
    <w:p>
      <w:pPr>
        <w:spacing w:after="0" w:line="257" w:lineRule="exact"/>
        <w:rPr>
          <w:sz w:val="20"/>
          <w:szCs w:val="20"/>
          <w:color w:val="auto"/>
        </w:rPr>
      </w:pPr>
    </w:p>
    <w:p>
      <w:pPr>
        <w:ind w:left="1260" w:right="240" w:hanging="623"/>
        <w:spacing w:after="0" w:line="291" w:lineRule="auto"/>
        <w:tabs>
          <w:tab w:leader="none" w:pos="1250" w:val="left"/>
        </w:tabs>
        <w:numPr>
          <w:ilvl w:val="0"/>
          <w:numId w:val="177"/>
        </w:numPr>
        <w:rPr>
          <w:rFonts w:ascii="Arial" w:cs="Arial" w:eastAsia="Arial" w:hAnsi="Arial"/>
          <w:sz w:val="19"/>
          <w:szCs w:val="19"/>
          <w:color w:val="auto"/>
        </w:rPr>
      </w:pPr>
      <w:r>
        <w:rPr>
          <w:rFonts w:ascii="Arial" w:cs="Arial" w:eastAsia="Arial" w:hAnsi="Arial"/>
          <w:sz w:val="19"/>
          <w:szCs w:val="19"/>
          <w:i w:val="1"/>
          <w:iCs w:val="1"/>
          <w:color w:val="auto"/>
        </w:rPr>
        <w:t>Quarterly Trading Window</w:t>
      </w:r>
      <w:r>
        <w:rPr>
          <w:rFonts w:ascii="Arial" w:cs="Arial" w:eastAsia="Arial" w:hAnsi="Arial"/>
          <w:sz w:val="19"/>
          <w:szCs w:val="19"/>
          <w:color w:val="auto"/>
        </w:rPr>
        <w:t>. Because of potential access to Crown Castle’s material non-public information on a</w:t>
      </w:r>
      <w:r>
        <w:rPr>
          <w:rFonts w:ascii="Arial" w:cs="Arial" w:eastAsia="Arial" w:hAnsi="Arial"/>
          <w:sz w:val="19"/>
          <w:szCs w:val="19"/>
          <w:i w:val="1"/>
          <w:iCs w:val="1"/>
          <w:color w:val="auto"/>
        </w:rPr>
        <w:t xml:space="preserve"> </w:t>
      </w:r>
      <w:r>
        <w:rPr>
          <w:rFonts w:ascii="Arial" w:cs="Arial" w:eastAsia="Arial" w:hAnsi="Arial"/>
          <w:sz w:val="19"/>
          <w:szCs w:val="19"/>
          <w:color w:val="auto"/>
        </w:rPr>
        <w:t>regular basis, individuals included in the Window Group (described below) are subject to additional restrictions on trading in CCI Securities. Subject to the other restrictions set forth elsewhere in this Policy, the Window Group may generally trade only during a “Trading Window.” The restrictions for the Window Group are discussed below. In addition, as noted above, Covered Persons in possession of material non-public information, whether or not part of the Window Group, are subject to additional restrictions on trading, including during a Trading Window.</w:t>
      </w:r>
    </w:p>
    <w:p>
      <w:pPr>
        <w:spacing w:after="0" w:line="186" w:lineRule="exact"/>
        <w:rPr>
          <w:rFonts w:ascii="Arial" w:cs="Arial" w:eastAsia="Arial" w:hAnsi="Arial"/>
          <w:sz w:val="19"/>
          <w:szCs w:val="19"/>
          <w:color w:val="auto"/>
        </w:rPr>
      </w:pPr>
    </w:p>
    <w:p>
      <w:pPr>
        <w:ind w:left="1260" w:right="660"/>
        <w:spacing w:after="0" w:line="297" w:lineRule="auto"/>
        <w:rPr>
          <w:rFonts w:ascii="Arial" w:cs="Arial" w:eastAsia="Arial" w:hAnsi="Arial"/>
          <w:sz w:val="19"/>
          <w:szCs w:val="19"/>
          <w:color w:val="auto"/>
        </w:rPr>
      </w:pPr>
      <w:r>
        <w:rPr>
          <w:rFonts w:ascii="Arial" w:cs="Arial" w:eastAsia="Arial" w:hAnsi="Arial"/>
          <w:sz w:val="19"/>
          <w:szCs w:val="19"/>
          <w:i w:val="1"/>
          <w:iCs w:val="1"/>
          <w:color w:val="auto"/>
        </w:rPr>
        <w:t>Restrictions on the Window Group</w:t>
      </w:r>
      <w:r>
        <w:rPr>
          <w:rFonts w:ascii="Arial" w:cs="Arial" w:eastAsia="Arial" w:hAnsi="Arial"/>
          <w:sz w:val="19"/>
          <w:szCs w:val="19"/>
          <w:color w:val="auto"/>
        </w:rPr>
        <w:t>. The “Window Group” consists of all members of Crown Castle’s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all executive officers, all senior vice presidents and vice presidents and certain other teammates generally designated by Crown Castle’s Chief Executive Officer, Chief Financial Officer, General Counsel or Compliance Officer.</w:t>
      </w:r>
    </w:p>
    <w:p>
      <w:pPr>
        <w:spacing w:after="0" w:line="181"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The Window Group is subject to the following provisions with respect to trading in CCI Securities:</w:t>
      </w:r>
    </w:p>
    <w:p>
      <w:pPr>
        <w:spacing w:after="0" w:line="281" w:lineRule="exact"/>
        <w:rPr>
          <w:rFonts w:ascii="Arial" w:cs="Arial" w:eastAsia="Arial" w:hAnsi="Arial"/>
          <w:sz w:val="19"/>
          <w:szCs w:val="19"/>
          <w:color w:val="auto"/>
        </w:rPr>
      </w:pPr>
    </w:p>
    <w:p>
      <w:pPr>
        <w:ind w:left="1900" w:right="240" w:hanging="316"/>
        <w:spacing w:after="0" w:line="291" w:lineRule="auto"/>
        <w:tabs>
          <w:tab w:leader="none" w:pos="1888" w:val="left"/>
        </w:tabs>
        <w:numPr>
          <w:ilvl w:val="1"/>
          <w:numId w:val="177"/>
        </w:numPr>
        <w:rPr>
          <w:rFonts w:ascii="Times New Roman" w:cs="Times New Roman" w:eastAsia="Times New Roman" w:hAnsi="Times New Roman"/>
          <w:sz w:val="19"/>
          <w:szCs w:val="19"/>
          <w:color w:val="auto"/>
        </w:rPr>
      </w:pPr>
      <w:r>
        <w:rPr>
          <w:rFonts w:ascii="Arial" w:cs="Arial" w:eastAsia="Arial" w:hAnsi="Arial"/>
          <w:sz w:val="19"/>
          <w:szCs w:val="19"/>
          <w:color w:val="auto"/>
        </w:rPr>
        <w:t>trading in CCI Securities (including transfers out of Crown Castle stock fund and certain other 401(k) rebalancing transactions) is generally not permitted within the period commencing on the beginning of the 10th business day before the close of a fiscal quarter or year-end and continuing until the beginning of the second day after Crown Castle announces its earnings for such fiscal quarter or year-end (“Blackout Period”);</w:t>
      </w:r>
    </w:p>
    <w:p>
      <w:pPr>
        <w:spacing w:after="0" w:line="187" w:lineRule="exact"/>
        <w:rPr>
          <w:rFonts w:ascii="Times New Roman" w:cs="Times New Roman" w:eastAsia="Times New Roman" w:hAnsi="Times New Roman"/>
          <w:sz w:val="19"/>
          <w:szCs w:val="19"/>
          <w:color w:val="auto"/>
        </w:rPr>
      </w:pPr>
    </w:p>
    <w:p>
      <w:pPr>
        <w:ind w:left="1900" w:right="240" w:hanging="316"/>
        <w:spacing w:after="0" w:line="327" w:lineRule="auto"/>
        <w:tabs>
          <w:tab w:leader="none" w:pos="1888" w:val="left"/>
        </w:tabs>
        <w:numPr>
          <w:ilvl w:val="1"/>
          <w:numId w:val="177"/>
        </w:numPr>
        <w:rPr>
          <w:rFonts w:ascii="Times New Roman" w:cs="Times New Roman" w:eastAsia="Times New Roman" w:hAnsi="Times New Roman"/>
          <w:sz w:val="19"/>
          <w:szCs w:val="19"/>
          <w:color w:val="auto"/>
        </w:rPr>
      </w:pPr>
      <w:r>
        <w:rPr>
          <w:rFonts w:ascii="Arial" w:cs="Arial" w:eastAsia="Arial" w:hAnsi="Arial"/>
          <w:sz w:val="19"/>
          <w:szCs w:val="19"/>
          <w:color w:val="auto"/>
        </w:rPr>
        <w:t>trading is generally permitted during a Trading Window, which is the period outside of the Blackout Period, subject to the restrictions set forth elsewhere in this Policy;</w:t>
      </w:r>
    </w:p>
    <w:p>
      <w:pPr>
        <w:spacing w:after="0" w:line="153" w:lineRule="exact"/>
        <w:rPr>
          <w:rFonts w:ascii="Times New Roman" w:cs="Times New Roman" w:eastAsia="Times New Roman" w:hAnsi="Times New Roman"/>
          <w:sz w:val="19"/>
          <w:szCs w:val="19"/>
          <w:color w:val="auto"/>
        </w:rPr>
      </w:pPr>
    </w:p>
    <w:p>
      <w:pPr>
        <w:jc w:val="both"/>
        <w:ind w:left="1900" w:right="200" w:hanging="316"/>
        <w:spacing w:after="0" w:line="301" w:lineRule="auto"/>
        <w:tabs>
          <w:tab w:leader="none" w:pos="1888" w:val="left"/>
        </w:tabs>
        <w:numPr>
          <w:ilvl w:val="1"/>
          <w:numId w:val="177"/>
        </w:numPr>
        <w:rPr>
          <w:rFonts w:ascii="Times New Roman" w:cs="Times New Roman" w:eastAsia="Times New Roman" w:hAnsi="Times New Roman"/>
          <w:sz w:val="19"/>
          <w:szCs w:val="19"/>
          <w:color w:val="auto"/>
        </w:rPr>
      </w:pPr>
      <w:r>
        <w:rPr>
          <w:rFonts w:ascii="Arial" w:cs="Arial" w:eastAsia="Arial" w:hAnsi="Arial"/>
          <w:sz w:val="19"/>
          <w:szCs w:val="19"/>
          <w:color w:val="auto"/>
        </w:rPr>
        <w:t>individuals in the Window Group should provide advance notice to the Compliance Officer of any proposed transactions involving CCI Securities (including with respect to CCI Securities held in retirement accounts, gifts and any pledges of CCI Securities); and</w:t>
      </w:r>
    </w:p>
    <w:p>
      <w:pPr>
        <w:spacing w:after="0" w:line="190" w:lineRule="exact"/>
        <w:rPr>
          <w:rFonts w:ascii="Times New Roman" w:cs="Times New Roman" w:eastAsia="Times New Roman" w:hAnsi="Times New Roman"/>
          <w:sz w:val="19"/>
          <w:szCs w:val="19"/>
          <w:color w:val="auto"/>
        </w:rPr>
      </w:pPr>
    </w:p>
    <w:p>
      <w:pPr>
        <w:ind w:left="1900" w:right="240" w:hanging="316"/>
        <w:spacing w:after="0" w:line="313" w:lineRule="auto"/>
        <w:tabs>
          <w:tab w:leader="none" w:pos="1888" w:val="left"/>
        </w:tabs>
        <w:numPr>
          <w:ilvl w:val="1"/>
          <w:numId w:val="177"/>
        </w:numPr>
        <w:rPr>
          <w:rFonts w:ascii="Times New Roman" w:cs="Times New Roman" w:eastAsia="Times New Roman" w:hAnsi="Times New Roman"/>
          <w:sz w:val="19"/>
          <w:szCs w:val="19"/>
          <w:color w:val="auto"/>
        </w:rPr>
      </w:pPr>
      <w:r>
        <w:rPr>
          <w:rFonts w:ascii="Arial" w:cs="Arial" w:eastAsia="Arial" w:hAnsi="Arial"/>
          <w:sz w:val="19"/>
          <w:szCs w:val="19"/>
          <w:color w:val="auto"/>
        </w:rPr>
        <w:t>transactions in accordance with a 10b5-1 Plan previously established pursuant to this Policy are permitted during the Blackout Period.</w:t>
      </w:r>
    </w:p>
    <w:p>
      <w:pPr>
        <w:spacing w:after="0" w:line="179" w:lineRule="exact"/>
        <w:rPr>
          <w:rFonts w:ascii="Times New Roman" w:cs="Times New Roman" w:eastAsia="Times New Roman" w:hAnsi="Times New Roman"/>
          <w:sz w:val="19"/>
          <w:szCs w:val="19"/>
          <w:color w:val="auto"/>
        </w:rPr>
      </w:pPr>
    </w:p>
    <w:p>
      <w:pPr>
        <w:ind w:left="1260" w:right="380" w:hanging="623"/>
        <w:spacing w:after="0" w:line="291" w:lineRule="auto"/>
        <w:tabs>
          <w:tab w:leader="none" w:pos="1250" w:val="left"/>
        </w:tabs>
        <w:numPr>
          <w:ilvl w:val="0"/>
          <w:numId w:val="177"/>
        </w:numPr>
        <w:rPr>
          <w:rFonts w:ascii="Arial" w:cs="Arial" w:eastAsia="Arial" w:hAnsi="Arial"/>
          <w:sz w:val="19"/>
          <w:szCs w:val="19"/>
          <w:color w:val="auto"/>
        </w:rPr>
      </w:pPr>
      <w:r>
        <w:rPr>
          <w:rFonts w:ascii="Arial" w:cs="Arial" w:eastAsia="Arial" w:hAnsi="Arial"/>
          <w:sz w:val="19"/>
          <w:szCs w:val="19"/>
          <w:i w:val="1"/>
          <w:iCs w:val="1"/>
          <w:color w:val="auto"/>
        </w:rPr>
        <w:t>Special Trading Blackout Periods</w:t>
      </w:r>
      <w:r>
        <w:rPr>
          <w:rFonts w:ascii="Arial" w:cs="Arial" w:eastAsia="Arial" w:hAnsi="Arial"/>
          <w:sz w:val="19"/>
          <w:szCs w:val="19"/>
          <w:color w:val="auto"/>
        </w:rPr>
        <w:t>. From time to time, Crown Castle may close (or not open) a Trading Window</w:t>
      </w:r>
      <w:r>
        <w:rPr>
          <w:rFonts w:ascii="Arial" w:cs="Arial" w:eastAsia="Arial" w:hAnsi="Arial"/>
          <w:sz w:val="19"/>
          <w:szCs w:val="19"/>
          <w:i w:val="1"/>
          <w:iCs w:val="1"/>
          <w:color w:val="auto"/>
        </w:rPr>
        <w:t xml:space="preserve"> </w:t>
      </w:r>
      <w:r>
        <w:rPr>
          <w:rFonts w:ascii="Arial" w:cs="Arial" w:eastAsia="Arial" w:hAnsi="Arial"/>
          <w:sz w:val="19"/>
          <w:szCs w:val="19"/>
          <w:color w:val="auto"/>
        </w:rPr>
        <w:t>(“Special Trading Blackout Period”) in connection with certain significant developments or events that Crown Castle has not publicly disclosed. In such cases, the Compliance Officer may notify particular individuals (and in some cases, all Covered Persons) that a Special Trading Blackout Period has been imposed and that such individuals should generally not trade in CCI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160"/>
          </w:cols>
          <w:pgMar w:left="320" w:top="189" w:right="419" w:bottom="1440" w:gutter="0" w:footer="0" w:header="0"/>
        </w:sectPr>
      </w:pPr>
    </w:p>
    <w:bookmarkStart w:id="167" w:name="page168"/>
    <w:bookmarkEnd w:id="167"/>
    <w:p>
      <w:pPr>
        <w:ind w:left="3880"/>
        <w:spacing w:after="0"/>
        <w:rPr>
          <w:sz w:val="20"/>
          <w:szCs w:val="20"/>
          <w:color w:val="auto"/>
        </w:rPr>
      </w:pPr>
      <w:r>
        <w:rPr>
          <w:rFonts w:ascii="Arial" w:cs="Arial" w:eastAsia="Arial" w:hAnsi="Arial"/>
          <w:sz w:val="18"/>
          <w:szCs w:val="18"/>
          <w:color w:val="FFFFFF"/>
        </w:rPr>
        <w:t>November 2024</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FFFFFF"/>
        </w:rPr>
        <w:t>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Who Needs to Report Crown Castle Transactions?</w:t>
      </w:r>
    </w:p>
    <w:p>
      <w:pPr>
        <w:spacing w:after="0" w:line="251" w:lineRule="exact"/>
        <w:rPr>
          <w:sz w:val="20"/>
          <w:szCs w:val="20"/>
          <w:color w:val="auto"/>
        </w:rPr>
      </w:pPr>
    </w:p>
    <w:p>
      <w:pPr>
        <w:ind w:right="500"/>
        <w:spacing w:after="0" w:line="288" w:lineRule="auto"/>
        <w:rPr>
          <w:sz w:val="20"/>
          <w:szCs w:val="20"/>
          <w:color w:val="auto"/>
        </w:rPr>
      </w:pPr>
      <w:r>
        <w:rPr>
          <w:rFonts w:ascii="Arial" w:cs="Arial" w:eastAsia="Arial" w:hAnsi="Arial"/>
          <w:sz w:val="19"/>
          <w:szCs w:val="19"/>
          <w:b w:val="1"/>
          <w:bCs w:val="1"/>
          <w:u w:val="single" w:color="auto"/>
          <w:color w:val="auto"/>
        </w:rPr>
        <w:t>Section 16 Reporting Persons</w:t>
      </w:r>
      <w:r>
        <w:rPr>
          <w:rFonts w:ascii="Arial" w:cs="Arial" w:eastAsia="Arial" w:hAnsi="Arial"/>
          <w:sz w:val="19"/>
          <w:szCs w:val="19"/>
          <w:color w:val="auto"/>
        </w:rPr>
        <w:t>. Reporting Persons are required to file reports with the SEC pursuant to Section 16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Act (“Section 16”) when they engage in transactions in CCI Securities. Although Crown Castle’s Legal Department may generally assist the Reporting Persons in preparing and filing the required reports, the Reporting Persons retain responsibility for the reports. Reporting Persons should provide advance notice to the Compliance Officer of any proposed transactions involving CCI Securities (including with respect to CCI Securities held in retirement accounts and any pledges or gifts of CCI Securities). The Board will generally designate officers that are Reporting Persons.</w:t>
      </w:r>
    </w:p>
    <w:p>
      <w:pPr>
        <w:spacing w:after="0" w:line="205" w:lineRule="exact"/>
        <w:rPr>
          <w:sz w:val="20"/>
          <w:szCs w:val="20"/>
          <w:color w:val="auto"/>
        </w:rPr>
      </w:pPr>
    </w:p>
    <w:p>
      <w:pPr>
        <w:ind w:right="200"/>
        <w:spacing w:after="0" w:line="291" w:lineRule="auto"/>
        <w:rPr>
          <w:sz w:val="20"/>
          <w:szCs w:val="20"/>
          <w:color w:val="auto"/>
        </w:rPr>
      </w:pPr>
      <w:r>
        <w:rPr>
          <w:rFonts w:ascii="Arial" w:cs="Arial" w:eastAsia="Arial" w:hAnsi="Arial"/>
          <w:sz w:val="19"/>
          <w:szCs w:val="19"/>
          <w:color w:val="auto"/>
        </w:rPr>
        <w:t>The Reporting Persons are also subject to the limitations on “short-swing” transactions set forth in the federal securities laws. The practical effect of these provisions is that Reporting Persons who purchase and sell CCI Securities within a six-month period (including a sale followed by a purchase within six months) will be required to surrender to Crown Castle all profits from the transaction, whether or not such person had knowledge of any material non-public information at the time of the transactions, unless an exception is applicable.</w:t>
      </w:r>
    </w:p>
    <w:p>
      <w:pPr>
        <w:spacing w:after="0" w:line="189"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In addition, Section 16 and the related reporting requirements apply to transactions in CCI Securities by certain Related Parties of the Reporting Persons. Crown Castle maintains a Compliance Assistance Program to assist Reporting Persons in complying with Section 16 and the related reporting requirements. Additional information regarding the Compliance Assistance Program can be obtained from the Compliance Officer.</w:t>
      </w:r>
    </w:p>
    <w:p>
      <w:pPr>
        <w:spacing w:after="0" w:line="180" w:lineRule="exact"/>
        <w:rPr>
          <w:sz w:val="20"/>
          <w:szCs w:val="20"/>
          <w:color w:val="auto"/>
        </w:rPr>
      </w:pPr>
    </w:p>
    <w:p>
      <w:pPr>
        <w:ind w:right="340"/>
        <w:spacing w:after="0" w:line="292" w:lineRule="auto"/>
        <w:rPr>
          <w:sz w:val="20"/>
          <w:szCs w:val="20"/>
          <w:color w:val="auto"/>
        </w:rPr>
      </w:pPr>
      <w:r>
        <w:rPr>
          <w:rFonts w:ascii="Arial" w:cs="Arial" w:eastAsia="Arial" w:hAnsi="Arial"/>
          <w:sz w:val="19"/>
          <w:szCs w:val="19"/>
          <w:b w:val="1"/>
          <w:bCs w:val="1"/>
          <w:u w:val="single" w:color="auto"/>
          <w:color w:val="auto"/>
        </w:rPr>
        <w:t>Rule 144 Reports</w:t>
      </w:r>
      <w:r>
        <w:rPr>
          <w:rFonts w:ascii="Arial" w:cs="Arial" w:eastAsia="Arial" w:hAnsi="Arial"/>
          <w:sz w:val="19"/>
          <w:szCs w:val="19"/>
          <w:color w:val="auto"/>
        </w:rPr>
        <w:t>. Reporting Persons are generally required to comply with the provisions of Rule 144 (“Rule 144”)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of 1933, as amended, including the filing of Form 144 with the SEC. Form 144 notifies the SEC of such person’s intent to sell CCI Securities. The Form 144 is in addition to any Section 16 reports which may be required to be filed (as discussed above). In addition, certain Related Parties may also be required to comply with Rule 144 in connection with sales of CCI Securities.</w:t>
      </w:r>
    </w:p>
    <w:p>
      <w:pPr>
        <w:spacing w:after="0" w:line="202"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Additional Requirements</w:t>
      </w:r>
    </w:p>
    <w:p>
      <w:pPr>
        <w:spacing w:after="0" w:line="237" w:lineRule="exact"/>
        <w:rPr>
          <w:sz w:val="20"/>
          <w:szCs w:val="20"/>
          <w:color w:val="auto"/>
        </w:rPr>
      </w:pPr>
    </w:p>
    <w:p>
      <w:pPr>
        <w:ind w:right="220"/>
        <w:spacing w:after="0" w:line="330" w:lineRule="auto"/>
        <w:rPr>
          <w:sz w:val="20"/>
          <w:szCs w:val="20"/>
          <w:color w:val="auto"/>
        </w:rPr>
      </w:pPr>
      <w:r>
        <w:rPr>
          <w:rFonts w:ascii="Arial" w:cs="Arial" w:eastAsia="Arial" w:hAnsi="Arial"/>
          <w:sz w:val="19"/>
          <w:szCs w:val="19"/>
          <w:b w:val="1"/>
          <w:bCs w:val="1"/>
          <w:u w:val="single" w:color="auto"/>
          <w:color w:val="auto"/>
        </w:rPr>
        <w:t>Other Restrictions</w:t>
      </w:r>
      <w:r>
        <w:rPr>
          <w:rFonts w:ascii="Arial" w:cs="Arial" w:eastAsia="Arial" w:hAnsi="Arial"/>
          <w:sz w:val="19"/>
          <w:szCs w:val="19"/>
          <w:color w:val="auto"/>
        </w:rPr>
        <w:t>. Crown Castle may impose additional restrictions from time to time on the trading of CCI Securities in order</w:t>
      </w:r>
      <w:r>
        <w:rPr>
          <w:rFonts w:ascii="Arial" w:cs="Arial" w:eastAsia="Arial" w:hAnsi="Arial"/>
          <w:sz w:val="19"/>
          <w:szCs w:val="19"/>
          <w:b w:val="1"/>
          <w:bCs w:val="1"/>
          <w:color w:val="auto"/>
        </w:rPr>
        <w:t xml:space="preserve"> </w:t>
      </w:r>
      <w:r>
        <w:rPr>
          <w:rFonts w:ascii="Arial" w:cs="Arial" w:eastAsia="Arial" w:hAnsi="Arial"/>
          <w:sz w:val="19"/>
          <w:szCs w:val="19"/>
          <w:color w:val="auto"/>
        </w:rPr>
        <w:t>to comply with applicable laws or in order to take into account non-public information available to certain teammates or directors.</w:t>
      </w:r>
    </w:p>
    <w:p>
      <w:pPr>
        <w:spacing w:after="0" w:line="149" w:lineRule="exact"/>
        <w:rPr>
          <w:sz w:val="20"/>
          <w:szCs w:val="20"/>
          <w:color w:val="auto"/>
        </w:rPr>
      </w:pPr>
    </w:p>
    <w:p>
      <w:pPr>
        <w:ind w:right="460"/>
        <w:spacing w:after="0" w:line="330" w:lineRule="auto"/>
        <w:rPr>
          <w:sz w:val="20"/>
          <w:szCs w:val="20"/>
          <w:color w:val="auto"/>
        </w:rPr>
      </w:pPr>
      <w:r>
        <w:rPr>
          <w:rFonts w:ascii="Arial" w:cs="Arial" w:eastAsia="Arial" w:hAnsi="Arial"/>
          <w:sz w:val="19"/>
          <w:szCs w:val="19"/>
          <w:b w:val="1"/>
          <w:bCs w:val="1"/>
          <w:u w:val="single" w:color="auto"/>
          <w:color w:val="auto"/>
        </w:rPr>
        <w:t>Certifications</w:t>
      </w:r>
      <w:r>
        <w:rPr>
          <w:rFonts w:ascii="Arial" w:cs="Arial" w:eastAsia="Arial" w:hAnsi="Arial"/>
          <w:sz w:val="19"/>
          <w:szCs w:val="19"/>
          <w:color w:val="auto"/>
        </w:rPr>
        <w:t>. Covered Persons may be required to certify an understanding of and compliance with this Policy on a periodic</w:t>
      </w:r>
      <w:r>
        <w:rPr>
          <w:rFonts w:ascii="Arial" w:cs="Arial" w:eastAsia="Arial" w:hAnsi="Arial"/>
          <w:sz w:val="19"/>
          <w:szCs w:val="19"/>
          <w:b w:val="1"/>
          <w:bCs w:val="1"/>
          <w:color w:val="auto"/>
        </w:rPr>
        <w:t xml:space="preserve"> </w:t>
      </w:r>
      <w:r>
        <w:rPr>
          <w:rFonts w:ascii="Arial" w:cs="Arial" w:eastAsia="Arial" w:hAnsi="Arial"/>
          <w:sz w:val="19"/>
          <w:szCs w:val="19"/>
          <w:color w:val="auto"/>
        </w:rPr>
        <w:t>basis as requested by Crown Castle.</w:t>
      </w:r>
    </w:p>
    <w:p>
      <w:pPr>
        <w:spacing w:after="0" w:line="153"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Consequences of Non-Compliance</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adverse consequences of insider trading violations can be staggering. Such adverse consequences include: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160"/>
          </w:cols>
          <w:pgMar w:left="320" w:top="188" w:right="419" w:bottom="1440" w:gutter="0" w:footer="0" w:header="0"/>
        </w:sectPr>
      </w:pPr>
    </w:p>
    <w:bookmarkStart w:id="168" w:name="page169"/>
    <w:bookmarkEnd w:id="168"/>
    <w:p>
      <w:pPr>
        <w:ind w:left="3720"/>
        <w:spacing w:after="0"/>
        <w:rPr>
          <w:sz w:val="20"/>
          <w:szCs w:val="20"/>
          <w:color w:val="auto"/>
        </w:rPr>
      </w:pPr>
      <w:r>
        <w:rPr>
          <w:rFonts w:ascii="Arial" w:cs="Arial" w:eastAsia="Arial" w:hAnsi="Arial"/>
          <w:sz w:val="18"/>
          <w:szCs w:val="18"/>
          <w:color w:val="FFFFFF"/>
        </w:rPr>
        <w:t>November 2024</w:t>
      </w:r>
    </w:p>
    <w:p>
      <w:pPr>
        <w:spacing w:after="0" w:line="30" w:lineRule="exact"/>
        <w:rPr>
          <w:sz w:val="20"/>
          <w:szCs w:val="20"/>
          <w:color w:val="auto"/>
        </w:rPr>
      </w:pPr>
    </w:p>
    <w:p>
      <w:pPr>
        <w:ind w:left="3560"/>
        <w:spacing w:after="0"/>
        <w:rPr>
          <w:sz w:val="20"/>
          <w:szCs w:val="20"/>
          <w:color w:val="auto"/>
        </w:rPr>
      </w:pPr>
      <w:r>
        <w:rPr>
          <w:rFonts w:ascii="Arial" w:cs="Arial" w:eastAsia="Arial" w:hAnsi="Arial"/>
          <w:sz w:val="18"/>
          <w:szCs w:val="18"/>
          <w:color w:val="FFFFFF"/>
        </w:rPr>
        <w:t>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For individuals who trade on inside information (or tip information to others):</w:t>
      </w:r>
    </w:p>
    <w:p>
      <w:pPr>
        <w:spacing w:after="0" w:line="36" w:lineRule="exact"/>
        <w:rPr>
          <w:sz w:val="20"/>
          <w:szCs w:val="20"/>
          <w:color w:val="auto"/>
        </w:rPr>
      </w:pPr>
    </w:p>
    <w:p>
      <w:pPr>
        <w:ind w:left="780" w:hanging="303"/>
        <w:spacing w:after="0"/>
        <w:tabs>
          <w:tab w:leader="none" w:pos="780" w:val="left"/>
        </w:tabs>
        <w:numPr>
          <w:ilvl w:val="0"/>
          <w:numId w:val="178"/>
        </w:numPr>
        <w:rPr>
          <w:rFonts w:ascii="Times New Roman" w:cs="Times New Roman" w:eastAsia="Times New Roman" w:hAnsi="Times New Roman"/>
          <w:sz w:val="19"/>
          <w:szCs w:val="19"/>
          <w:color w:val="auto"/>
        </w:rPr>
      </w:pPr>
      <w:r>
        <w:rPr>
          <w:rFonts w:ascii="Arial" w:cs="Arial" w:eastAsia="Arial" w:hAnsi="Arial"/>
          <w:sz w:val="19"/>
          <w:szCs w:val="19"/>
          <w:color w:val="auto"/>
        </w:rPr>
        <w:t>A civil penalty;</w:t>
      </w:r>
    </w:p>
    <w:p>
      <w:pPr>
        <w:spacing w:after="0" w:line="26" w:lineRule="exact"/>
        <w:rPr>
          <w:rFonts w:ascii="Times New Roman" w:cs="Times New Roman" w:eastAsia="Times New Roman" w:hAnsi="Times New Roman"/>
          <w:sz w:val="19"/>
          <w:szCs w:val="19"/>
          <w:color w:val="auto"/>
        </w:rPr>
      </w:pPr>
    </w:p>
    <w:p>
      <w:pPr>
        <w:ind w:left="780" w:hanging="303"/>
        <w:spacing w:after="0"/>
        <w:tabs>
          <w:tab w:leader="none" w:pos="780" w:val="left"/>
        </w:tabs>
        <w:numPr>
          <w:ilvl w:val="0"/>
          <w:numId w:val="178"/>
        </w:numPr>
        <w:rPr>
          <w:rFonts w:ascii="Times New Roman" w:cs="Times New Roman" w:eastAsia="Times New Roman" w:hAnsi="Times New Roman"/>
          <w:sz w:val="19"/>
          <w:szCs w:val="19"/>
          <w:color w:val="auto"/>
        </w:rPr>
      </w:pPr>
      <w:r>
        <w:rPr>
          <w:rFonts w:ascii="Arial" w:cs="Arial" w:eastAsia="Arial" w:hAnsi="Arial"/>
          <w:sz w:val="19"/>
          <w:szCs w:val="19"/>
          <w:color w:val="auto"/>
        </w:rPr>
        <w:t>A criminal fine (no matter how small the profit); and/or</w:t>
      </w:r>
    </w:p>
    <w:p>
      <w:pPr>
        <w:spacing w:after="0" w:line="35" w:lineRule="exact"/>
        <w:rPr>
          <w:rFonts w:ascii="Times New Roman" w:cs="Times New Roman" w:eastAsia="Times New Roman" w:hAnsi="Times New Roman"/>
          <w:sz w:val="19"/>
          <w:szCs w:val="19"/>
          <w:color w:val="auto"/>
        </w:rPr>
      </w:pPr>
    </w:p>
    <w:p>
      <w:pPr>
        <w:ind w:left="780" w:hanging="303"/>
        <w:spacing w:after="0"/>
        <w:tabs>
          <w:tab w:leader="none" w:pos="780" w:val="left"/>
        </w:tabs>
        <w:numPr>
          <w:ilvl w:val="0"/>
          <w:numId w:val="178"/>
        </w:numPr>
        <w:rPr>
          <w:rFonts w:ascii="Times New Roman" w:cs="Times New Roman" w:eastAsia="Times New Roman" w:hAnsi="Times New Roman"/>
          <w:sz w:val="19"/>
          <w:szCs w:val="19"/>
          <w:color w:val="auto"/>
        </w:rPr>
      </w:pPr>
      <w:r>
        <w:rPr>
          <w:rFonts w:ascii="Arial" w:cs="Arial" w:eastAsia="Arial" w:hAnsi="Arial"/>
          <w:sz w:val="19"/>
          <w:szCs w:val="19"/>
          <w:color w:val="auto"/>
        </w:rPr>
        <w:t>A jail term.</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9"/>
          <w:szCs w:val="19"/>
          <w:color w:val="auto"/>
        </w:rPr>
        <w:t>For a company (as well as possibly any supervisory person) that fails to take appropriate steps to prevent illegal trading:</w:t>
      </w:r>
    </w:p>
    <w:p>
      <w:pPr>
        <w:spacing w:after="0" w:line="36" w:lineRule="exact"/>
        <w:rPr>
          <w:sz w:val="20"/>
          <w:szCs w:val="20"/>
          <w:color w:val="auto"/>
        </w:rPr>
      </w:pPr>
    </w:p>
    <w:p>
      <w:pPr>
        <w:ind w:left="780" w:hanging="303"/>
        <w:spacing w:after="0"/>
        <w:tabs>
          <w:tab w:leader="none" w:pos="780" w:val="left"/>
        </w:tabs>
        <w:numPr>
          <w:ilvl w:val="0"/>
          <w:numId w:val="179"/>
        </w:numPr>
        <w:rPr>
          <w:rFonts w:ascii="Times New Roman" w:cs="Times New Roman" w:eastAsia="Times New Roman" w:hAnsi="Times New Roman"/>
          <w:sz w:val="19"/>
          <w:szCs w:val="19"/>
          <w:color w:val="auto"/>
        </w:rPr>
      </w:pPr>
      <w:r>
        <w:rPr>
          <w:rFonts w:ascii="Arial" w:cs="Arial" w:eastAsia="Arial" w:hAnsi="Arial"/>
          <w:sz w:val="19"/>
          <w:szCs w:val="19"/>
          <w:color w:val="auto"/>
        </w:rPr>
        <w:t>A civil penalty; and/or</w:t>
      </w:r>
    </w:p>
    <w:p>
      <w:pPr>
        <w:spacing w:after="0" w:line="39" w:lineRule="exact"/>
        <w:rPr>
          <w:rFonts w:ascii="Times New Roman" w:cs="Times New Roman" w:eastAsia="Times New Roman" w:hAnsi="Times New Roman"/>
          <w:sz w:val="19"/>
          <w:szCs w:val="19"/>
          <w:color w:val="auto"/>
        </w:rPr>
      </w:pPr>
    </w:p>
    <w:p>
      <w:pPr>
        <w:ind w:left="780" w:hanging="303"/>
        <w:spacing w:after="0"/>
        <w:tabs>
          <w:tab w:leader="none" w:pos="780" w:val="left"/>
        </w:tabs>
        <w:numPr>
          <w:ilvl w:val="0"/>
          <w:numId w:val="179"/>
        </w:numPr>
        <w:rPr>
          <w:rFonts w:ascii="Times New Roman" w:cs="Times New Roman" w:eastAsia="Times New Roman" w:hAnsi="Times New Roman"/>
          <w:sz w:val="19"/>
          <w:szCs w:val="19"/>
          <w:color w:val="auto"/>
        </w:rPr>
      </w:pPr>
      <w:r>
        <w:rPr>
          <w:rFonts w:ascii="Arial" w:cs="Arial" w:eastAsia="Arial" w:hAnsi="Arial"/>
          <w:sz w:val="19"/>
          <w:szCs w:val="19"/>
          <w:color w:val="auto"/>
        </w:rPr>
        <w:t>A criminal penalty;</w:t>
      </w:r>
    </w:p>
    <w:p>
      <w:pPr>
        <w:spacing w:after="0" w:line="35" w:lineRule="exact"/>
        <w:rPr>
          <w:rFonts w:ascii="Times New Roman" w:cs="Times New Roman" w:eastAsia="Times New Roman" w:hAnsi="Times New Roman"/>
          <w:sz w:val="19"/>
          <w:szCs w:val="19"/>
          <w:color w:val="auto"/>
        </w:rPr>
      </w:pPr>
    </w:p>
    <w:p>
      <w:pPr>
        <w:ind w:left="800" w:right="180" w:hanging="323"/>
        <w:spacing w:after="0" w:line="322" w:lineRule="auto"/>
        <w:tabs>
          <w:tab w:leader="none" w:pos="789" w:val="left"/>
        </w:tabs>
        <w:numPr>
          <w:ilvl w:val="0"/>
          <w:numId w:val="179"/>
        </w:numPr>
        <w:rPr>
          <w:rFonts w:ascii="Times New Roman" w:cs="Times New Roman" w:eastAsia="Times New Roman" w:hAnsi="Times New Roman"/>
          <w:sz w:val="19"/>
          <w:szCs w:val="19"/>
          <w:color w:val="auto"/>
        </w:rPr>
      </w:pPr>
      <w:r>
        <w:rPr>
          <w:rFonts w:ascii="Arial" w:cs="Arial" w:eastAsia="Arial" w:hAnsi="Arial"/>
          <w:sz w:val="19"/>
          <w:szCs w:val="19"/>
          <w:color w:val="auto"/>
        </w:rPr>
        <w:t>The civil penalties may extend personal liability to Crown Castle’s directors, officers and other supervisory personnel if they fail to take appropriate steps to prevent insider trading violations.</w:t>
      </w:r>
    </w:p>
    <w:p>
      <w:pPr>
        <w:spacing w:after="0" w:line="158"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Moreover, if a Covered Person violates this Policy, Crown Castle-imposed sanctions, including, without limitation, dismissal for cause, could result. Needless to say, any of the above consequences, even an SEC investigation that does not result in prosecution, can tarnish one's reputation, irreparably damage a career, and result in the incurrence of significant cost and expense.</w:t>
      </w:r>
    </w:p>
    <w:p>
      <w:pPr>
        <w:spacing w:after="0" w:line="210" w:lineRule="exact"/>
        <w:rPr>
          <w:sz w:val="20"/>
          <w:szCs w:val="20"/>
          <w:color w:val="auto"/>
        </w:rPr>
      </w:pPr>
    </w:p>
    <w:p>
      <w:pPr>
        <w:spacing w:after="0"/>
        <w:rPr>
          <w:sz w:val="20"/>
          <w:szCs w:val="20"/>
          <w:color w:val="auto"/>
        </w:rPr>
      </w:pPr>
      <w:r>
        <w:rPr>
          <w:rFonts w:ascii="Georgia" w:cs="Georgia" w:eastAsia="Georgia" w:hAnsi="Georgia"/>
          <w:sz w:val="32"/>
          <w:szCs w:val="32"/>
          <w:b w:val="1"/>
          <w:bCs w:val="1"/>
          <w:color w:val="7030A0"/>
        </w:rPr>
        <w:t>Questions?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Any person who has any questions about specific transactions may obtain additional guidance from the Compliance Officer.</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The current Compliance Officer is Donald J. Reid, 8020 Katy Freeway, Houston, Texas 77024, (713) 570-3000.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000"/>
          </w:cols>
          <w:pgMar w:left="480" w:top="188" w:right="4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7780" w:type="dxa"/>
            <w:vAlign w:val="bottom"/>
            <w:gridSpan w:val="2"/>
          </w:tcPr>
          <w:p>
            <w:pPr>
              <w:ind w:left="6820"/>
              <w:spacing w:after="0"/>
              <w:rPr>
                <w:sz w:val="20"/>
                <w:szCs w:val="20"/>
                <w:color w:val="auto"/>
              </w:rPr>
            </w:pPr>
            <w:r>
              <w:rPr>
                <w:rFonts w:ascii="Times New Roman" w:cs="Times New Roman" w:eastAsia="Times New Roman" w:hAnsi="Times New Roman"/>
                <w:sz w:val="18"/>
                <w:szCs w:val="18"/>
                <w:b w:val="1"/>
                <w:bCs w:val="1"/>
                <w:color w:val="auto"/>
                <w:w w:val="94"/>
              </w:rPr>
              <w:t>EXHIBIT 21</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7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CROWN CASTLE INC. SUBSIDIARIES</w:t>
            </w:r>
          </w:p>
        </w:tc>
        <w:tc>
          <w:tcPr>
            <w:tcW w:w="0" w:type="dxa"/>
            <w:vAlign w:val="bottom"/>
          </w:tcPr>
          <w:p>
            <w:pPr>
              <w:spacing w:after="0"/>
              <w:rPr>
                <w:sz w:val="1"/>
                <w:szCs w:val="1"/>
                <w:color w:val="auto"/>
              </w:rPr>
            </w:pPr>
          </w:p>
        </w:tc>
      </w:tr>
      <w:tr>
        <w:trPr>
          <w:trHeight w:val="31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4"/>
                <w:szCs w:val="14"/>
                <w:b w:val="1"/>
                <w:bCs w:val="1"/>
                <w:color w:val="auto"/>
                <w:w w:val="99"/>
              </w:rPr>
              <w:t>Jurisdiction of</w:t>
            </w:r>
          </w:p>
        </w:tc>
        <w:tc>
          <w:tcPr>
            <w:tcW w:w="0" w:type="dxa"/>
            <w:vAlign w:val="bottom"/>
          </w:tcPr>
          <w:p>
            <w:pPr>
              <w:spacing w:after="0"/>
              <w:rPr>
                <w:sz w:val="1"/>
                <w:szCs w:val="1"/>
                <w:color w:val="auto"/>
              </w:rPr>
            </w:pPr>
          </w:p>
        </w:tc>
      </w:tr>
      <w:tr>
        <w:trPr>
          <w:trHeight w:val="190"/>
        </w:trPr>
        <w:tc>
          <w:tcPr>
            <w:tcW w:w="3300" w:type="dxa"/>
            <w:vAlign w:val="bottom"/>
            <w:vMerge w:val="continue"/>
          </w:tcPr>
          <w:p>
            <w:pPr>
              <w:spacing w:after="0"/>
              <w:rPr>
                <w:sz w:val="16"/>
                <w:szCs w:val="16"/>
                <w:color w:val="auto"/>
              </w:rPr>
            </w:pPr>
          </w:p>
        </w:tc>
        <w:tc>
          <w:tcPr>
            <w:tcW w:w="7780" w:type="dxa"/>
            <w:vAlign w:val="bottom"/>
            <w:gridSpan w:val="2"/>
          </w:tcPr>
          <w:p>
            <w:pPr>
              <w:jc w:val="center"/>
              <w:ind w:left="5865"/>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Assurable Insurance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w w:val="94"/>
              </w:rPr>
              <w:t>Texas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 Holdings GS V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 Towers Guarantor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 Towers Holding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CCATT Holdings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CCATT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CCGS Holdings Corp.</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CCTM Holdings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CCTMO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Atlantic Company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Atlantic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CA Corp.</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Fiber Holdings Corp.</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Fiber LLC</w:t>
            </w:r>
          </w:p>
        </w:tc>
        <w:tc>
          <w:tcPr>
            <w:tcW w:w="7780" w:type="dxa"/>
            <w:vAlign w:val="bottom"/>
            <w:gridSpan w:val="2"/>
          </w:tcPr>
          <w:p>
            <w:pPr>
              <w:jc w:val="center"/>
              <w:ind w:left="5865"/>
              <w:spacing w:after="0"/>
              <w:rPr>
                <w:sz w:val="20"/>
                <w:szCs w:val="20"/>
                <w:color w:val="auto"/>
              </w:rPr>
            </w:pPr>
            <w:r>
              <w:rPr>
                <w:rFonts w:ascii="Times New Roman" w:cs="Times New Roman" w:eastAsia="Times New Roman" w:hAnsi="Times New Roman"/>
                <w:sz w:val="15"/>
                <w:szCs w:val="15"/>
                <w:color w:val="auto"/>
                <w:w w:val="95"/>
              </w:rPr>
              <w:t>New York</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GT Company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GT Corp.</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GT Holding Sub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Investment II Corp.</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Operating Company</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South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Towers 06-2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Castle Towers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Crown Castle USA Inc.</w:t>
            </w:r>
          </w:p>
        </w:tc>
        <w:tc>
          <w:tcPr>
            <w:tcW w:w="7640" w:type="dxa"/>
            <w:vAlign w:val="bottom"/>
            <w:shd w:val="clear" w:color="auto" w:fill="CCEEFF"/>
          </w:tcPr>
          <w:p>
            <w:pPr>
              <w:jc w:val="center"/>
              <w:ind w:left="6005"/>
              <w:spacing w:after="0"/>
              <w:rPr>
                <w:sz w:val="20"/>
                <w:szCs w:val="20"/>
                <w:color w:val="auto"/>
              </w:rPr>
            </w:pPr>
            <w:r>
              <w:rPr>
                <w:rFonts w:ascii="Times New Roman" w:cs="Times New Roman" w:eastAsia="Times New Roman" w:hAnsi="Times New Roman"/>
                <w:sz w:val="15"/>
                <w:szCs w:val="15"/>
                <w:color w:val="auto"/>
                <w:w w:val="99"/>
              </w:rPr>
              <w:t>Pennsylvania</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Crown Communication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Global Signal Acquisitions II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Global Signal Acquisitions IV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Global Signal Holdings III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Global Signal Operating Partnership, L.P.</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Pinnacle Towers Acquisition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Pinnacle Towers Acquisition Holdings LLC</w:t>
            </w:r>
          </w:p>
        </w:tc>
        <w:tc>
          <w:tcPr>
            <w:tcW w:w="7780" w:type="dxa"/>
            <w:vAlign w:val="bottom"/>
            <w:gridSpan w:val="2"/>
          </w:tcPr>
          <w:p>
            <w:pPr>
              <w:jc w:val="center"/>
              <w:ind w:left="5845"/>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4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Pinnacle Towers LLC</w:t>
            </w:r>
          </w:p>
        </w:tc>
        <w:tc>
          <w:tcPr>
            <w:tcW w:w="7640" w:type="dxa"/>
            <w:vAlign w:val="bottom"/>
            <w:shd w:val="clear" w:color="auto" w:fill="CCEEFF"/>
          </w:tcPr>
          <w:p>
            <w:pPr>
              <w:jc w:val="center"/>
              <w:ind w:left="5985"/>
              <w:spacing w:after="0"/>
              <w:rPr>
                <w:sz w:val="20"/>
                <w:szCs w:val="20"/>
                <w:color w:val="auto"/>
              </w:rPr>
            </w:pPr>
            <w:r>
              <w:rPr>
                <w:rFonts w:ascii="Times New Roman" w:cs="Times New Roman" w:eastAsia="Times New Roman" w:hAnsi="Times New Roman"/>
                <w:sz w:val="15"/>
                <w:szCs w:val="15"/>
                <w:color w:val="auto"/>
              </w:rPr>
              <w:t>Delaware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86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0" w:lineRule="exact"/>
        <w:rPr>
          <w:sz w:val="20"/>
          <w:szCs w:val="20"/>
          <w:color w:val="auto"/>
        </w:rPr>
      </w:pPr>
    </w:p>
    <w:p>
      <w:pPr>
        <w:ind w:right="120"/>
        <w:spacing w:after="0" w:line="217"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ASR (No. 333-277989) and Form S-8 (No. 333-265081, 333-212383, 333-181715 and 333-188801) of Crown Castle Inc. of our report dated March 14, 2025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86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J. Moskowitz, certify that:</w:t>
      </w:r>
    </w:p>
    <w:p>
      <w:pPr>
        <w:spacing w:after="0" w:line="214" w:lineRule="exact"/>
        <w:rPr>
          <w:sz w:val="20"/>
          <w:szCs w:val="20"/>
          <w:color w:val="auto"/>
        </w:rPr>
      </w:pPr>
    </w:p>
    <w:p>
      <w:pPr>
        <w:ind w:left="640" w:hanging="635"/>
        <w:spacing w:after="0"/>
        <w:tabs>
          <w:tab w:leader="none" w:pos="6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Crown Castle Inc. ("registrant");</w:t>
      </w:r>
    </w:p>
    <w:p>
      <w:pPr>
        <w:spacing w:after="0" w:line="161"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1"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4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ind w:left="1260" w:hanging="623"/>
        <w:spacing w:after="0" w:line="268" w:lineRule="auto"/>
        <w:tabs>
          <w:tab w:leader="none" w:pos="1251"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4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260" w:hanging="623"/>
        <w:spacing w:after="0" w:line="268" w:lineRule="auto"/>
        <w:tabs>
          <w:tab w:leader="none" w:pos="1251"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1260" w:hanging="623"/>
        <w:spacing w:after="0" w:line="268" w:lineRule="auto"/>
        <w:tabs>
          <w:tab w:leader="none" w:pos="124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200" w:lineRule="exact"/>
        <w:rPr>
          <w:sz w:val="20"/>
          <w:szCs w:val="20"/>
          <w:color w:val="auto"/>
        </w:rPr>
      </w:pPr>
    </w:p>
    <w:p>
      <w:pPr>
        <w:spacing w:after="0" w:line="3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Steven J.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13970</wp:posOffset>
            </wp:positionV>
            <wp:extent cx="29159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2">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ind w:left="6640"/>
        <w:spacing w:after="0"/>
        <w:rPr>
          <w:sz w:val="20"/>
          <w:szCs w:val="20"/>
          <w:color w:val="auto"/>
        </w:rPr>
      </w:pPr>
      <w:r>
        <w:rPr>
          <w:rFonts w:ascii="Times New Roman" w:cs="Times New Roman" w:eastAsia="Times New Roman" w:hAnsi="Times New Roman"/>
          <w:sz w:val="18"/>
          <w:szCs w:val="18"/>
          <w:color w:val="auto"/>
        </w:rPr>
        <w:t>Steven J. Moskowitz</w:t>
      </w:r>
    </w:p>
    <w:p>
      <w:pPr>
        <w:ind w:left="6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6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14" w:lineRule="exact"/>
        <w:rPr>
          <w:sz w:val="20"/>
          <w:szCs w:val="20"/>
          <w:color w:val="auto"/>
        </w:rPr>
      </w:pPr>
    </w:p>
    <w:p>
      <w:pPr>
        <w:ind w:left="640" w:hanging="635"/>
        <w:spacing w:after="0"/>
        <w:tabs>
          <w:tab w:leader="none" w:pos="6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Crown Castle Inc. ("registrant");</w:t>
      </w:r>
    </w:p>
    <w:p>
      <w:pPr>
        <w:spacing w:after="0" w:line="161"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4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ind w:left="1260" w:hanging="623"/>
        <w:spacing w:after="0" w:line="268" w:lineRule="auto"/>
        <w:tabs>
          <w:tab w:leader="none" w:pos="125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4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260" w:hanging="623"/>
        <w:spacing w:after="0" w:line="268" w:lineRule="auto"/>
        <w:tabs>
          <w:tab w:leader="none" w:pos="125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1260" w:hanging="623"/>
        <w:spacing w:after="0" w:line="268" w:lineRule="auto"/>
        <w:tabs>
          <w:tab w:leader="none" w:pos="124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13970</wp:posOffset>
            </wp:positionV>
            <wp:extent cx="36264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3">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18"/>
          <w:szCs w:val="18"/>
          <w:color w:val="auto"/>
        </w:rPr>
        <w:t>Daniel K. Schlanger</w:t>
      </w:r>
    </w:p>
    <w:p>
      <w:pPr>
        <w:ind w:left="5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6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Crown Castle Inc., a Delaware Corporation ("Company"), for the period ended December 31, 2024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206" w:lineRule="exact"/>
        <w:rPr>
          <w:sz w:val="20"/>
          <w:szCs w:val="20"/>
          <w:color w:val="auto"/>
        </w:rPr>
      </w:pPr>
    </w:p>
    <w:p>
      <w:pPr>
        <w:ind w:left="1260" w:hanging="623"/>
        <w:spacing w:after="0"/>
        <w:tabs>
          <w:tab w:leader="none" w:pos="12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60" w:hanging="623"/>
        <w:spacing w:after="0" w:line="268" w:lineRule="auto"/>
        <w:tabs>
          <w:tab w:leader="none" w:pos="12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December 31, 2024 (the last date of the period covered by the Report).</w:t>
      </w:r>
    </w:p>
    <w:p>
      <w:pPr>
        <w:spacing w:after="0" w:line="200" w:lineRule="exact"/>
        <w:rPr>
          <w:sz w:val="20"/>
          <w:szCs w:val="20"/>
          <w:color w:val="auto"/>
        </w:rPr>
      </w:pPr>
    </w:p>
    <w:p>
      <w:pPr>
        <w:spacing w:after="0" w:line="3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Steven J.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13970</wp:posOffset>
            </wp:positionV>
            <wp:extent cx="36182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4">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8"/>
          <w:szCs w:val="18"/>
          <w:color w:val="auto"/>
        </w:rPr>
        <w:t>Steven J. Moskowitz</w:t>
      </w:r>
    </w:p>
    <w:p>
      <w:pPr>
        <w:ind w:left="5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March 14, 2025</w:t>
      </w:r>
    </w:p>
    <w:p>
      <w:pPr>
        <w:spacing w:after="0" w:line="2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13970</wp:posOffset>
            </wp:positionV>
            <wp:extent cx="36182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5">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8"/>
          <w:szCs w:val="18"/>
          <w:color w:val="auto"/>
        </w:rPr>
        <w:t>Daniel K. Schlanger</w:t>
      </w:r>
    </w:p>
    <w:p>
      <w:pPr>
        <w:ind w:left="5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March 14, 2025</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1)"/>
      <w:numFmt w:val="decimal"/>
      <w:start w:val="26"/>
    </w:lvl>
  </w:abstractNum>
  <w:abstractNum w:abstractNumId="3">
    <w:nsid w:val="CC1016F"/>
    <w:multiLevelType w:val="hybridMultilevel"/>
    <w:lvl w:ilvl="0">
      <w:lvlJc w:val="left"/>
      <w:lvlText w:val="•"/>
      <w:numFmt w:val="bullet"/>
      <w:start w:val="1"/>
    </w:lvl>
    <w:lvl w:ilvl="1">
      <w:lvlJc w:val="left"/>
      <w:lvlText w:val="◦"/>
      <w:numFmt w:val="bullet"/>
      <w:start w:val="1"/>
    </w:lvl>
  </w:abstractNum>
  <w:abstractNum w:abstractNumId="4">
    <w:nsid w:val="43F18422"/>
    <w:multiLevelType w:val="hybridMultilevel"/>
    <w:lvl w:ilvl="0">
      <w:lvlJc w:val="left"/>
      <w:lvlText w:val="(%1)"/>
      <w:numFmt w:val="decimal"/>
      <w:start w:val="2"/>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1)"/>
      <w:numFmt w:val="decimal"/>
      <w:start w:val="1"/>
    </w:lvl>
  </w:abstractNum>
  <w:abstractNum w:abstractNumId="7">
    <w:nsid w:val="7F01579B"/>
    <w:multiLevelType w:val="hybridMultilevel"/>
    <w:lvl w:ilvl="0">
      <w:lvlJc w:val="left"/>
      <w:lvlText w:val="(%1)"/>
      <w:numFmt w:val="decimal"/>
      <w:start w:val="3"/>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1FBFE8E0"/>
    <w:multiLevelType w:val="hybridMultilevel"/>
    <w:lvl w:ilvl="0">
      <w:lvlJc w:val="left"/>
      <w:lvlText w:val="•"/>
      <w:numFmt w:val="bullet"/>
      <w:start w:val="1"/>
    </w:lvl>
    <w:lvl w:ilvl="1">
      <w:lvlJc w:val="left"/>
      <w:lvlText w:val="◦"/>
      <w:numFmt w:val="bullet"/>
      <w:start w:val="1"/>
    </w:lvl>
  </w:abstractNum>
  <w:abstractNum w:abstractNumId="30">
    <w:nsid w:val="5092CA79"/>
    <w:multiLevelType w:val="hybridMultilevel"/>
    <w:lvl w:ilvl="0">
      <w:lvlJc w:val="left"/>
      <w:lvlText w:val="•"/>
      <w:numFmt w:val="bullet"/>
      <w:start w:val="1"/>
    </w:lvl>
    <w:lvl w:ilvl="1">
      <w:lvlJc w:val="left"/>
      <w:lvlText w:val="◦"/>
      <w:numFmt w:val="bullet"/>
      <w:start w:val="1"/>
    </w:lvl>
  </w:abstractNum>
  <w:abstractNum w:abstractNumId="31">
    <w:nsid w:val="1D545C4D"/>
    <w:multiLevelType w:val="hybridMultilevel"/>
    <w:lvl w:ilvl="0">
      <w:lvlJc w:val="left"/>
      <w:lvlText w:val="•"/>
      <w:numFmt w:val="bullet"/>
      <w:start w:val="1"/>
    </w:lvl>
    <w:lvl w:ilvl="1">
      <w:lvlJc w:val="left"/>
      <w:lvlText w:val="◦"/>
      <w:numFmt w:val="bullet"/>
      <w:start w:val="1"/>
    </w:lvl>
  </w:abstractNum>
  <w:abstractNum w:abstractNumId="32">
    <w:nsid w:val="59ADEA3D"/>
    <w:multiLevelType w:val="hybridMultilevel"/>
    <w:lvl w:ilvl="0">
      <w:lvlJc w:val="left"/>
      <w:lvlText w:val="(%1)"/>
      <w:numFmt w:val="lowerLetter"/>
      <w:start w:val="1"/>
    </w:lvl>
  </w:abstractNum>
  <w:abstractNum w:abstractNumId="33">
    <w:nsid w:val="288F1A34"/>
    <w:multiLevelType w:val="hybridMultilevel"/>
    <w:lvl w:ilvl="0">
      <w:lvlJc w:val="left"/>
      <w:lvlText w:val="(%1)"/>
      <w:numFmt w:val="lowerLetter"/>
      <w:start w:val="1"/>
    </w:lvl>
  </w:abstractNum>
  <w:abstractNum w:abstractNumId="34">
    <w:nsid w:val="2A155DBC"/>
    <w:multiLevelType w:val="hybridMultilevel"/>
    <w:lvl w:ilvl="0">
      <w:lvlJc w:val="left"/>
      <w:lvlText w:val="(%1)"/>
      <w:numFmt w:val="lowerLetter"/>
      <w:start w:val="1"/>
    </w:lvl>
  </w:abstractNum>
  <w:abstractNum w:abstractNumId="35">
    <w:nsid w:val="1D9F6E5F"/>
    <w:multiLevelType w:val="hybridMultilevel"/>
    <w:lvl w:ilvl="0">
      <w:lvlJc w:val="left"/>
      <w:lvlText w:val="•"/>
      <w:numFmt w:val="bullet"/>
      <w:start w:val="1"/>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1)"/>
      <w:numFmt w:val="lowerLetter"/>
      <w:start w:val="1"/>
    </w:lvl>
  </w:abstractNum>
  <w:abstractNum w:abstractNumId="40">
    <w:nsid w:val="415E286C"/>
    <w:multiLevelType w:val="hybridMultilevel"/>
    <w:lvl w:ilvl="0">
      <w:lvlJc w:val="left"/>
      <w:lvlText w:val="•"/>
      <w:numFmt w:val="bullet"/>
      <w:start w:val="1"/>
    </w:lvl>
  </w:abstractNum>
  <w:abstractNum w:abstractNumId="41">
    <w:nsid w:val="7C58FD05"/>
    <w:multiLevelType w:val="hybridMultilevel"/>
    <w:lvl w:ilvl="0">
      <w:lvlJc w:val="left"/>
      <w:lvlText w:val="•"/>
      <w:numFmt w:val="bullet"/>
      <w:start w:val="1"/>
    </w:lvl>
  </w:abstractNum>
  <w:abstractNum w:abstractNumId="42">
    <w:nsid w:val="23D86AAC"/>
    <w:multiLevelType w:val="hybridMultilevel"/>
    <w:lvl w:ilvl="0">
      <w:lvlJc w:val="left"/>
      <w:lvlText w:val="(%1)"/>
      <w:numFmt w:val="lowerLetter"/>
      <w:start w:val="1"/>
    </w:lvl>
  </w:abstractNum>
  <w:abstractNum w:abstractNumId="43">
    <w:nsid w:val="45E6D486"/>
    <w:multiLevelType w:val="hybridMultilevel"/>
    <w:lvl w:ilvl="0">
      <w:lvlJc w:val="left"/>
      <w:lvlText w:val="(%1)"/>
      <w:numFmt w:val="lowerLetter"/>
      <w:start w:val="1"/>
    </w:lvl>
  </w:abstractNum>
  <w:abstractNum w:abstractNumId="44">
    <w:nsid w:val="5C10FE21"/>
    <w:multiLevelType w:val="hybridMultilevel"/>
    <w:lvl w:ilvl="0">
      <w:lvlJc w:val="left"/>
      <w:lvlText w:val="(%1)"/>
      <w:numFmt w:val="lowerLetter"/>
      <w:start w:val="1"/>
    </w:lvl>
  </w:abstractNum>
  <w:abstractNum w:abstractNumId="45">
    <w:nsid w:val="E7FFA2B"/>
    <w:multiLevelType w:val="hybridMultilevel"/>
    <w:lvl w:ilvl="0">
      <w:lvlJc w:val="left"/>
      <w:lvlText w:val="(%1)"/>
      <w:numFmt w:val="decimal"/>
      <w:start w:val="1"/>
    </w:lvl>
  </w:abstractNum>
  <w:abstractNum w:abstractNumId="46">
    <w:nsid w:val="3C5991AA"/>
    <w:multiLevelType w:val="hybridMultilevel"/>
    <w:lvl w:ilvl="0">
      <w:lvlJc w:val="left"/>
      <w:lvlText w:val="(%1)"/>
      <w:numFmt w:val="decimal"/>
      <w:start w:val="1"/>
    </w:lvl>
  </w:abstractNum>
  <w:abstractNum w:abstractNumId="47">
    <w:nsid w:val="4BD8591A"/>
    <w:multiLevelType w:val="hybridMultilevel"/>
    <w:lvl w:ilvl="0">
      <w:lvlJc w:val="left"/>
      <w:lvlText w:val="(%1)"/>
      <w:numFmt w:val="lowerLetter"/>
      <w:start w:val="1"/>
    </w:lvl>
  </w:abstractNum>
  <w:abstractNum w:abstractNumId="48">
    <w:nsid w:val="78DF6A55"/>
    <w:multiLevelType w:val="hybridMultilevel"/>
    <w:lvl w:ilvl="0">
      <w:lvlJc w:val="left"/>
      <w:lvlText w:val="(%1)"/>
      <w:numFmt w:val="lowerLetter"/>
      <w:start w:val="2"/>
    </w:lvl>
  </w:abstractNum>
  <w:abstractNum w:abstractNumId="49">
    <w:nsid w:val="39B7AAA2"/>
    <w:multiLevelType w:val="hybridMultilevel"/>
    <w:lvl w:ilvl="0">
      <w:lvlJc w:val="left"/>
      <w:lvlText w:val="%1."/>
      <w:numFmt w:val="lowerRoman"/>
      <w:start w:val="1"/>
    </w:lvl>
  </w:abstractNum>
  <w:abstractNum w:abstractNumId="50">
    <w:nsid w:val="2B0D8DBE"/>
    <w:multiLevelType w:val="hybridMultilevel"/>
    <w:lvl w:ilvl="0">
      <w:lvlJc w:val="left"/>
      <w:lvlText w:val="%1."/>
      <w:numFmt w:val="lowerRoman"/>
      <w:start w:val="1"/>
    </w:lvl>
  </w:abstractNum>
  <w:abstractNum w:abstractNumId="51">
    <w:nsid w:val="6C80EC70"/>
    <w:multiLevelType w:val="hybridMultilevel"/>
    <w:lvl w:ilvl="0">
      <w:lvlJc w:val="left"/>
      <w:lvlText w:val="(%1)"/>
      <w:numFmt w:val="lowerLetter"/>
      <w:start w:val="1"/>
    </w:lvl>
  </w:abstractNum>
  <w:abstractNum w:abstractNumId="52">
    <w:nsid w:val="379E21B5"/>
    <w:multiLevelType w:val="hybridMultilevel"/>
    <w:lvl w:ilvl="0">
      <w:lvlJc w:val="left"/>
      <w:lvlText w:val="•"/>
      <w:numFmt w:val="bullet"/>
      <w:start w:val="1"/>
    </w:lvl>
  </w:abstractNum>
  <w:abstractNum w:abstractNumId="53">
    <w:nsid w:val="69E373"/>
    <w:multiLevelType w:val="hybridMultilevel"/>
    <w:lvl w:ilvl="0">
      <w:lvlJc w:val="left"/>
      <w:lvlText w:val="•"/>
      <w:numFmt w:val="bullet"/>
      <w:start w:val="1"/>
    </w:lvl>
  </w:abstractNum>
  <w:abstractNum w:abstractNumId="54">
    <w:nsid w:val="2C27173B"/>
    <w:multiLevelType w:val="hybridMultilevel"/>
    <w:lvl w:ilvl="0">
      <w:lvlJc w:val="left"/>
      <w:lvlText w:val="•"/>
      <w:numFmt w:val="bullet"/>
      <w:start w:val="1"/>
    </w:lvl>
  </w:abstractNum>
  <w:abstractNum w:abstractNumId="55">
    <w:nsid w:val="4C9B0904"/>
    <w:multiLevelType w:val="hybridMultilevel"/>
    <w:lvl w:ilvl="0">
      <w:lvlJc w:val="left"/>
      <w:lvlText w:val="(%1)"/>
      <w:numFmt w:val="lowerLetter"/>
      <w:start w:val="1"/>
    </w:lvl>
  </w:abstractNum>
  <w:abstractNum w:abstractNumId="56">
    <w:nsid w:val="6AA7B75C"/>
    <w:multiLevelType w:val="hybridMultilevel"/>
    <w:lvl w:ilvl="0">
      <w:lvlJc w:val="left"/>
      <w:lvlText w:val="(%1)"/>
      <w:numFmt w:val="lowerLetter"/>
      <w:start w:val="1"/>
    </w:lvl>
  </w:abstractNum>
  <w:abstractNum w:abstractNumId="57">
    <w:nsid w:val="1DF029D3"/>
    <w:multiLevelType w:val="hybridMultilevel"/>
    <w:lvl w:ilvl="0">
      <w:lvlJc w:val="left"/>
      <w:lvlText w:val="(%1)"/>
      <w:numFmt w:val="lowerLetter"/>
      <w:start w:val="1"/>
    </w:lvl>
  </w:abstractNum>
  <w:abstractNum w:abstractNumId="58">
    <w:nsid w:val="5675FF36"/>
    <w:multiLevelType w:val="hybridMultilevel"/>
    <w:lvl w:ilvl="0">
      <w:lvlJc w:val="left"/>
      <w:lvlText w:val="%1."/>
      <w:numFmt w:val="decimal"/>
      <w:start w:val="1"/>
    </w:lvl>
  </w:abstractNum>
  <w:abstractNum w:abstractNumId="59">
    <w:nsid w:val="3DD15094"/>
    <w:multiLevelType w:val="hybridMultilevel"/>
    <w:lvl w:ilvl="0">
      <w:lvlJc w:val="left"/>
      <w:lvlText w:val="%1."/>
      <w:numFmt w:val="decimal"/>
      <w:start w:val="2"/>
    </w:lvl>
  </w:abstractNum>
  <w:abstractNum w:abstractNumId="60">
    <w:nsid w:val="3DB012B3"/>
    <w:multiLevelType w:val="hybridMultilevel"/>
    <w:lvl w:ilvl="0">
      <w:lvlJc w:val="left"/>
      <w:lvlText w:val="(%1)"/>
      <w:numFmt w:val="decimal"/>
      <w:start w:val="4"/>
    </w:lvl>
  </w:abstractNum>
  <w:abstractNum w:abstractNumId="61">
    <w:nsid w:val="2708C9AF"/>
    <w:multiLevelType w:val="hybridMultilevel"/>
    <w:lvl w:ilvl="0">
      <w:lvlJc w:val="left"/>
      <w:lvlText w:val="%1."/>
      <w:numFmt w:val="decimal"/>
      <w:start w:val="3"/>
    </w:lvl>
  </w:abstractNum>
  <w:abstractNum w:abstractNumId="62">
    <w:nsid w:val="5B25ACE2"/>
    <w:multiLevelType w:val="hybridMultilevel"/>
    <w:lvl w:ilvl="0">
      <w:lvlJc w:val="left"/>
      <w:lvlText w:val="(%1)"/>
      <w:numFmt w:val="lowerLetter"/>
      <w:start w:val="1"/>
    </w:lvl>
  </w:abstractNum>
  <w:abstractNum w:abstractNumId="63">
    <w:nsid w:val="175DFCF0"/>
    <w:multiLevelType w:val="hybridMultilevel"/>
    <w:lvl w:ilvl="0">
      <w:lvlJc w:val="left"/>
      <w:lvlText w:val="%1."/>
      <w:numFmt w:val="decimal"/>
      <w:start w:val="4"/>
    </w:lvl>
  </w:abstractNum>
  <w:abstractNum w:abstractNumId="64">
    <w:nsid w:val="4F97E3E4"/>
    <w:multiLevelType w:val="hybridMultilevel"/>
    <w:lvl w:ilvl="0">
      <w:lvlJc w:val="left"/>
      <w:lvlText w:val="(%1)"/>
      <w:numFmt w:val="lowerLetter"/>
      <w:start w:val="1"/>
    </w:lvl>
  </w:abstractNum>
  <w:abstractNum w:abstractNumId="65">
    <w:nsid w:val="53B0A9E"/>
    <w:multiLevelType w:val="hybridMultilevel"/>
    <w:lvl w:ilvl="0">
      <w:lvlJc w:val="left"/>
      <w:lvlText w:val="%1."/>
      <w:numFmt w:val="decimal"/>
      <w:start w:val="5"/>
    </w:lvl>
  </w:abstractNum>
  <w:abstractNum w:abstractNumId="66">
    <w:nsid w:val="34FD6B4F"/>
    <w:multiLevelType w:val="hybridMultilevel"/>
    <w:lvl w:ilvl="0">
      <w:lvlJc w:val="left"/>
      <w:lvlText w:val="%1."/>
      <w:numFmt w:val="decimal"/>
      <w:start w:val="6"/>
    </w:lvl>
  </w:abstractNum>
  <w:abstractNum w:abstractNumId="67">
    <w:nsid w:val="5915FF32"/>
    <w:multiLevelType w:val="hybridMultilevel"/>
    <w:lvl w:ilvl="0">
      <w:lvlJc w:val="left"/>
      <w:lvlText w:val="%1."/>
      <w:numFmt w:val="decimal"/>
      <w:start w:val="7"/>
    </w:lvl>
  </w:abstractNum>
  <w:abstractNum w:abstractNumId="68">
    <w:nsid w:val="56438D15"/>
    <w:multiLevelType w:val="hybridMultilevel"/>
    <w:lvl w:ilvl="0">
      <w:lvlJc w:val="left"/>
      <w:lvlText w:val="(%1)"/>
      <w:numFmt w:val="lowerLetter"/>
      <w:start w:val="3"/>
    </w:lvl>
  </w:abstractNum>
  <w:abstractNum w:abstractNumId="69">
    <w:nsid w:val="519E3149"/>
    <w:multiLevelType w:val="hybridMultilevel"/>
    <w:lvl w:ilvl="0">
      <w:lvlJc w:val="left"/>
      <w:lvlText w:val="(%1)"/>
      <w:numFmt w:val="lowerLetter"/>
      <w:start w:val="7"/>
    </w:lvl>
  </w:abstractNum>
  <w:abstractNum w:abstractNumId="70">
    <w:nsid w:val="2C6E4AFD"/>
    <w:multiLevelType w:val="hybridMultilevel"/>
    <w:lvl w:ilvl="0">
      <w:lvlJc w:val="left"/>
      <w:lvlText w:val="(%1)"/>
      <w:numFmt w:val="lowerRoman"/>
      <w:start w:val="1"/>
    </w:lvl>
  </w:abstractNum>
  <w:abstractNum w:abstractNumId="71">
    <w:nsid w:val="17A1B582"/>
    <w:multiLevelType w:val="hybridMultilevel"/>
    <w:lvl w:ilvl="0">
      <w:lvlJc w:val="left"/>
      <w:lvlText w:val="(%1)"/>
      <w:numFmt w:val="lowerRoman"/>
      <w:start w:val="1"/>
    </w:lvl>
  </w:abstractNum>
  <w:abstractNum w:abstractNumId="72">
    <w:nsid w:val="4DF72E4E"/>
    <w:multiLevelType w:val="hybridMultilevel"/>
    <w:lvl w:ilvl="0">
      <w:lvlJc w:val="left"/>
      <w:lvlText w:val="(%1)"/>
      <w:numFmt w:val="lowerLetter"/>
      <w:start w:val="2"/>
    </w:lvl>
  </w:abstractNum>
  <w:abstractNum w:abstractNumId="73">
    <w:nsid w:val="5046B5A9"/>
    <w:multiLevelType w:val="hybridMultilevel"/>
    <w:lvl w:ilvl="0">
      <w:lvlJc w:val="left"/>
      <w:lvlText w:val="(%1)"/>
      <w:numFmt w:val="lowerLetter"/>
      <w:start w:val="2"/>
    </w:lvl>
  </w:abstractNum>
  <w:abstractNum w:abstractNumId="74">
    <w:nsid w:val="5D888A08"/>
    <w:multiLevelType w:val="hybridMultilevel"/>
    <w:lvl w:ilvl="0">
      <w:lvlJc w:val="left"/>
      <w:lvlText w:val="(%1)"/>
      <w:numFmt w:val="lowerLetter"/>
      <w:start w:val="7"/>
    </w:lvl>
  </w:abstractNum>
  <w:abstractNum w:abstractNumId="75">
    <w:nsid w:val="2A082C70"/>
    <w:multiLevelType w:val="hybridMultilevel"/>
    <w:lvl w:ilvl="0">
      <w:lvlJc w:val="left"/>
      <w:lvlText w:val="(%1)"/>
      <w:numFmt w:val="lowerRoman"/>
      <w:start w:val="1"/>
    </w:lvl>
  </w:abstractNum>
  <w:abstractNum w:abstractNumId="76">
    <w:nsid w:val="5EC6AFD4"/>
    <w:multiLevelType w:val="hybridMultilevel"/>
    <w:lvl w:ilvl="0">
      <w:lvlJc w:val="left"/>
      <w:lvlText w:val="(%1)"/>
      <w:numFmt w:val="lowerRoman"/>
      <w:start w:val="1"/>
    </w:lvl>
  </w:abstractNum>
  <w:abstractNum w:abstractNumId="77">
    <w:nsid w:val="19E21BB2"/>
    <w:multiLevelType w:val="hybridMultilevel"/>
    <w:lvl w:ilvl="0">
      <w:lvlJc w:val="left"/>
      <w:lvlText w:val="(%1)"/>
      <w:numFmt w:val="lowerLetter"/>
      <w:start w:val="1"/>
    </w:lvl>
  </w:abstractNum>
  <w:abstractNum w:abstractNumId="78">
    <w:nsid w:val="75E0858A"/>
    <w:multiLevelType w:val="hybridMultilevel"/>
    <w:lvl w:ilvl="0">
      <w:lvlJc w:val="left"/>
      <w:lvlText w:val="(%1)"/>
      <w:numFmt w:val="lowerLetter"/>
      <w:start w:val="4"/>
    </w:lvl>
  </w:abstractNum>
  <w:abstractNum w:abstractNumId="79">
    <w:nsid w:val="57A61A29"/>
    <w:multiLevelType w:val="hybridMultilevel"/>
    <w:lvl w:ilvl="0">
      <w:lvlJc w:val="left"/>
      <w:lvlText w:val="(%1)"/>
      <w:numFmt w:val="lowerLetter"/>
      <w:start w:val="1"/>
    </w:lvl>
  </w:abstractNum>
  <w:abstractNum w:abstractNumId="80">
    <w:nsid w:val="5399C654"/>
    <w:multiLevelType w:val="hybridMultilevel"/>
    <w:lvl w:ilvl="0">
      <w:lvlJc w:val="left"/>
      <w:lvlText w:val="(%1)"/>
      <w:numFmt w:val="lowerLetter"/>
      <w:start w:val="1"/>
    </w:lvl>
  </w:abstractNum>
  <w:abstractNum w:abstractNumId="81">
    <w:nsid w:val="20EE1348"/>
    <w:multiLevelType w:val="hybridMultilevel"/>
    <w:lvl w:ilvl="0">
      <w:lvlJc w:val="left"/>
      <w:lvlText w:val="%1."/>
      <w:numFmt w:val="decimal"/>
      <w:start w:val="8"/>
    </w:lvl>
  </w:abstractNum>
  <w:abstractNum w:abstractNumId="82">
    <w:nsid w:val="4427069A"/>
    <w:multiLevelType w:val="hybridMultilevel"/>
    <w:lvl w:ilvl="0">
      <w:lvlJc w:val="left"/>
      <w:lvlText w:val="%1."/>
      <w:numFmt w:val="decimal"/>
      <w:start w:val="9"/>
    </w:lvl>
  </w:abstractNum>
  <w:abstractNum w:abstractNumId="83">
    <w:nsid w:val="B37E80A"/>
    <w:multiLevelType w:val="hybridMultilevel"/>
    <w:lvl w:ilvl="0">
      <w:lvlJc w:val="left"/>
      <w:lvlText w:val="(%1)"/>
      <w:numFmt w:val="lowerLetter"/>
      <w:start w:val="1"/>
    </w:lvl>
  </w:abstractNum>
  <w:abstractNum w:abstractNumId="84">
    <w:nsid w:val="2157F6BC"/>
    <w:multiLevelType w:val="hybridMultilevel"/>
    <w:lvl w:ilvl="0">
      <w:lvlJc w:val="left"/>
      <w:lvlText w:val="(%1)"/>
      <w:numFmt w:val="lowerLetter"/>
      <w:start w:val="1"/>
    </w:lvl>
  </w:abstractNum>
  <w:abstractNum w:abstractNumId="85">
    <w:nsid w:val="704E1DD5"/>
    <w:multiLevelType w:val="hybridMultilevel"/>
    <w:lvl w:ilvl="0">
      <w:lvlJc w:val="left"/>
      <w:lvlText w:val="%1."/>
      <w:numFmt w:val="decimal"/>
      <w:start w:val="10"/>
    </w:lvl>
  </w:abstractNum>
  <w:abstractNum w:abstractNumId="86">
    <w:nsid w:val="57D2F10E"/>
    <w:multiLevelType w:val="hybridMultilevel"/>
    <w:lvl w:ilvl="0">
      <w:lvlJc w:val="left"/>
      <w:lvlText w:val="(%1)"/>
      <w:numFmt w:val="lowerLetter"/>
      <w:start w:val="1"/>
    </w:lvl>
  </w:abstractNum>
  <w:abstractNum w:abstractNumId="87">
    <w:nsid w:val="BFFAE18"/>
    <w:multiLevelType w:val="hybridMultilevel"/>
    <w:lvl w:ilvl="0">
      <w:lvlJc w:val="left"/>
      <w:lvlText w:val="(%1)"/>
      <w:numFmt w:val="lowerLetter"/>
      <w:start w:val="1"/>
    </w:lvl>
  </w:abstractNum>
  <w:abstractNum w:abstractNumId="88">
    <w:nsid w:val="E3E47A8"/>
    <w:multiLevelType w:val="hybridMultilevel"/>
    <w:lvl w:ilvl="0">
      <w:lvlJc w:val="left"/>
      <w:lvlText w:val="%1."/>
      <w:numFmt w:val="decimal"/>
      <w:start w:val="11"/>
    </w:lvl>
  </w:abstractNum>
  <w:abstractNum w:abstractNumId="89">
    <w:nsid w:val="2E48F044"/>
    <w:multiLevelType w:val="hybridMultilevel"/>
    <w:lvl w:ilvl="0">
      <w:lvlJc w:val="left"/>
      <w:lvlText w:val="%1."/>
      <w:numFmt w:val="decimal"/>
      <w:start w:val="12"/>
    </w:lvl>
  </w:abstractNum>
  <w:abstractNum w:abstractNumId="90">
    <w:nsid w:val="49D0FEAC"/>
    <w:multiLevelType w:val="hybridMultilevel"/>
    <w:lvl w:ilvl="0">
      <w:lvlJc w:val="left"/>
      <w:lvlText w:val="%1."/>
      <w:numFmt w:val="decimal"/>
      <w:start w:val="13"/>
    </w:lvl>
  </w:abstractNum>
  <w:abstractNum w:abstractNumId="91">
    <w:nsid w:val="4BEE5A5B"/>
    <w:multiLevelType w:val="hybridMultilevel"/>
    <w:lvl w:ilvl="0">
      <w:lvlJc w:val="left"/>
      <w:lvlText w:val="(%1)"/>
      <w:numFmt w:val="lowerLetter"/>
      <w:start w:val="1"/>
    </w:lvl>
  </w:abstractNum>
  <w:abstractNum w:abstractNumId="92">
    <w:nsid w:val="5551B9F3"/>
    <w:multiLevelType w:val="hybridMultilevel"/>
    <w:lvl w:ilvl="0">
      <w:lvlJc w:val="left"/>
      <w:lvlText w:val="(%1)"/>
      <w:numFmt w:val="lowerLetter"/>
      <w:start w:val="1"/>
    </w:lvl>
  </w:abstractNum>
  <w:abstractNum w:abstractNumId="93">
    <w:nsid w:val="24F6AB8E"/>
    <w:multiLevelType w:val="hybridMultilevel"/>
    <w:lvl w:ilvl="0">
      <w:lvlJc w:val="left"/>
      <w:lvlText w:val="%1."/>
      <w:numFmt w:val="decimal"/>
      <w:start w:val="14"/>
    </w:lvl>
  </w:abstractNum>
  <w:abstractNum w:abstractNumId="94">
    <w:nsid w:val="634C574C"/>
    <w:multiLevelType w:val="hybridMultilevel"/>
    <w:lvl w:ilvl="0">
      <w:lvlJc w:val="left"/>
      <w:lvlText w:val="(%1)"/>
      <w:numFmt w:val="decimal"/>
      <w:start w:val="3"/>
    </w:lvl>
  </w:abstractNum>
  <w:abstractNum w:abstractNumId="95">
    <w:nsid w:val="24E99DD7"/>
    <w:multiLevelType w:val="hybridMultilevel"/>
    <w:lvl w:ilvl="0">
      <w:lvlJc w:val="left"/>
      <w:lvlText w:val="(%1)"/>
      <w:numFmt w:val="lowerLetter"/>
      <w:start w:val="1"/>
    </w:lvl>
  </w:abstractNum>
  <w:abstractNum w:abstractNumId="96">
    <w:nsid w:val="2A31B62D"/>
    <w:multiLevelType w:val="hybridMultilevel"/>
    <w:lvl w:ilvl="0">
      <w:lvlJc w:val="left"/>
      <w:lvlText w:val="(%1)"/>
      <w:numFmt w:val="lowerLetter"/>
      <w:start w:val="1"/>
    </w:lvl>
  </w:abstractNum>
  <w:abstractNum w:abstractNumId="97">
    <w:nsid w:val="1849C29B"/>
    <w:multiLevelType w:val="hybridMultilevel"/>
    <w:lvl w:ilvl="0">
      <w:lvlJc w:val="left"/>
      <w:lvlText w:val="(%1)"/>
      <w:numFmt w:val="lowerLetter"/>
      <w:start w:val="1"/>
    </w:lvl>
  </w:abstractNum>
  <w:abstractNum w:abstractNumId="98">
    <w:nsid w:val="7DFF9D09"/>
    <w:multiLevelType w:val="hybridMultilevel"/>
    <w:lvl w:ilvl="0">
      <w:lvlJc w:val="left"/>
      <w:lvlText w:val="%1."/>
      <w:numFmt w:val="decimal"/>
      <w:start w:val="15"/>
    </w:lvl>
  </w:abstractNum>
  <w:abstractNum w:abstractNumId="99">
    <w:nsid w:val="754342"/>
    <w:multiLevelType w:val="hybridMultilevel"/>
    <w:lvl w:ilvl="0">
      <w:lvlJc w:val="left"/>
      <w:lvlText w:val="(%1)"/>
      <w:numFmt w:val="lowerLetter"/>
      <w:start w:val="1"/>
    </w:lvl>
  </w:abstractNum>
  <w:abstractNum w:abstractNumId="100">
    <w:nsid w:val="69E7F3E5"/>
    <w:multiLevelType w:val="hybridMultilevel"/>
    <w:lvl w:ilvl="0">
      <w:lvlJc w:val="left"/>
      <w:lvlText w:val="%1."/>
      <w:numFmt w:val="decimal"/>
      <w:start w:val="16"/>
    </w:lvl>
  </w:abstractNum>
  <w:abstractNum w:abstractNumId="101">
    <w:nsid w:val="2A6DE806"/>
    <w:multiLevelType w:val="hybridMultilevel"/>
    <w:lvl w:ilvl="0">
      <w:lvlJc w:val="left"/>
      <w:lvlText w:val="%1."/>
      <w:numFmt w:val="decimal"/>
      <w:start w:val="17"/>
    </w:lvl>
  </w:abstractNum>
  <w:abstractNum w:abstractNumId="102">
    <w:nsid w:val="1816F8C4"/>
    <w:multiLevelType w:val="hybridMultilevel"/>
    <w:lvl w:ilvl="0">
      <w:lvlJc w:val="left"/>
      <w:lvlText w:val="•"/>
      <w:numFmt w:val="bullet"/>
      <w:start w:val="1"/>
    </w:lvl>
  </w:abstractNum>
  <w:abstractNum w:abstractNumId="103">
    <w:nsid w:val="37DF2233"/>
    <w:multiLevelType w:val="hybridMultilevel"/>
    <w:lvl w:ilvl="0">
      <w:lvlJc w:val="left"/>
      <w:lvlText w:val="(%1)"/>
      <w:numFmt w:val="lowerLetter"/>
      <w:start w:val="1"/>
    </w:lvl>
  </w:abstractNum>
  <w:abstractNum w:abstractNumId="104">
    <w:nsid w:val="7AB49DAF"/>
    <w:multiLevelType w:val="hybridMultilevel"/>
    <w:lvl w:ilvl="0">
      <w:lvlJc w:val="left"/>
      <w:lvlText w:val="(%1)"/>
      <w:numFmt w:val="lowerLetter"/>
      <w:start w:val="1"/>
    </w:lvl>
  </w:abstractNum>
  <w:abstractNum w:abstractNumId="105">
    <w:nsid w:val="759F82CD"/>
    <w:multiLevelType w:val="hybridMultilevel"/>
    <w:lvl w:ilvl="0">
      <w:lvlJc w:val="left"/>
      <w:lvlText w:val="(%1)"/>
      <w:numFmt w:val="lowerLetter"/>
      <w:start w:val="1"/>
    </w:lvl>
  </w:abstractNum>
  <w:abstractNum w:abstractNumId="106">
    <w:nsid w:val="61E74EA3"/>
    <w:multiLevelType w:val="hybridMultilevel"/>
    <w:lvl w:ilvl="0">
      <w:lvlJc w:val="left"/>
      <w:lvlText w:val="•"/>
      <w:numFmt w:val="bullet"/>
      <w:start w:val="1"/>
    </w:lvl>
  </w:abstractNum>
  <w:abstractNum w:abstractNumId="107">
    <w:nsid w:val="597B4D84"/>
    <w:multiLevelType w:val="hybridMultilevel"/>
    <w:lvl w:ilvl="0">
      <w:lvlJc w:val="left"/>
      <w:lvlText w:val="•"/>
      <w:numFmt w:val="bullet"/>
      <w:start w:val="1"/>
    </w:lvl>
  </w:abstractNum>
  <w:abstractNum w:abstractNumId="108">
    <w:nsid w:val="F819E7F"/>
    <w:multiLevelType w:val="hybridMultilevel"/>
    <w:lvl w:ilvl="0">
      <w:lvlJc w:val="left"/>
      <w:lvlText w:val="•"/>
      <w:numFmt w:val="bullet"/>
      <w:start w:val="1"/>
    </w:lvl>
  </w:abstractNum>
  <w:abstractNum w:abstractNumId="109">
    <w:nsid w:val="57C7D42D"/>
    <w:multiLevelType w:val="hybridMultilevel"/>
    <w:lvl w:ilvl="0">
      <w:lvlJc w:val="left"/>
      <w:lvlText w:val="•"/>
      <w:numFmt w:val="bullet"/>
      <w:start w:val="1"/>
    </w:lvl>
  </w:abstractNum>
  <w:abstractNum w:abstractNumId="110">
    <w:nsid w:val="312167AD"/>
    <w:multiLevelType w:val="hybridMultilevel"/>
    <w:lvl w:ilvl="0">
      <w:lvlJc w:val="left"/>
      <w:lvlText w:val="•"/>
      <w:numFmt w:val="bullet"/>
      <w:start w:val="1"/>
    </w:lvl>
  </w:abstractNum>
  <w:abstractNum w:abstractNumId="111">
    <w:nsid w:val="631B64D4"/>
    <w:multiLevelType w:val="hybridMultilevel"/>
    <w:lvl w:ilvl="0">
      <w:lvlJc w:val="left"/>
      <w:lvlText w:val="•"/>
      <w:numFmt w:val="bullet"/>
      <w:start w:val="1"/>
    </w:lvl>
  </w:abstractNum>
  <w:abstractNum w:abstractNumId="112">
    <w:nsid w:val="78B5E776"/>
    <w:multiLevelType w:val="hybridMultilevel"/>
    <w:lvl w:ilvl="0">
      <w:lvlJc w:val="left"/>
      <w:lvlText w:val="•"/>
      <w:numFmt w:val="bullet"/>
      <w:start w:val="1"/>
    </w:lvl>
  </w:abstractNum>
  <w:abstractNum w:abstractNumId="113">
    <w:nsid w:val="75486E47"/>
    <w:multiLevelType w:val="hybridMultilevel"/>
    <w:lvl w:ilvl="0">
      <w:lvlJc w:val="left"/>
      <w:lvlText w:val="%1."/>
      <w:numFmt w:val="upperLetter"/>
      <w:start w:val="9"/>
    </w:lvl>
  </w:abstractNum>
  <w:abstractNum w:abstractNumId="114">
    <w:nsid w:val="6E534CDE"/>
    <w:multiLevelType w:val="hybridMultilevel"/>
    <w:lvl w:ilvl="0">
      <w:lvlJc w:val="left"/>
      <w:lvlText w:val="%1."/>
      <w:numFmt w:val="upperLetter"/>
      <w:start w:val="35"/>
    </w:lvl>
  </w:abstractNum>
  <w:abstractNum w:abstractNumId="115">
    <w:nsid w:val="1A0DDE32"/>
    <w:multiLevelType w:val="hybridMultilevel"/>
    <w:lvl w:ilvl="0">
      <w:lvlJc w:val="left"/>
      <w:lvlText w:val="%1."/>
      <w:numFmt w:val="upperLetter"/>
      <w:start w:val="61"/>
    </w:lvl>
    <w:lvl w:ilvl="1">
      <w:lvlJc w:val="left"/>
      <w:lvlText w:val="(%2)"/>
      <w:numFmt w:val="lowerLetter"/>
      <w:start w:val="1"/>
    </w:lvl>
  </w:abstractNum>
  <w:abstractNum w:abstractNumId="116">
    <w:nsid w:val="65968C1C"/>
    <w:multiLevelType w:val="hybridMultilevel"/>
    <w:lvl w:ilvl="0">
      <w:lvlJc w:val="left"/>
      <w:lvlText w:val="(%1)"/>
      <w:numFmt w:val="lowerLetter"/>
      <w:start w:val="1"/>
    </w:lvl>
  </w:abstractNum>
  <w:abstractNum w:abstractNumId="117">
    <w:nsid w:val="46263DEC"/>
    <w:multiLevelType w:val="hybridMultilevel"/>
    <w:lvl w:ilvl="0">
      <w:lvlJc w:val="left"/>
      <w:lvlText w:val="(%1)"/>
      <w:numFmt w:val="lowerLetter"/>
      <w:start w:val="2"/>
    </w:lvl>
  </w:abstractNum>
  <w:abstractNum w:abstractNumId="118">
    <w:nsid w:val="260D8C4A"/>
    <w:multiLevelType w:val="hybridMultilevel"/>
    <w:lvl w:ilvl="0">
      <w:lvlJc w:val="left"/>
      <w:lvlText w:val="(%1)"/>
      <w:numFmt w:val="lowerLetter"/>
      <w:start w:val="1"/>
    </w:lvl>
  </w:abstractNum>
  <w:abstractNum w:abstractNumId="119">
    <w:nsid w:val="73D4D3C4"/>
    <w:multiLevelType w:val="hybridMultilevel"/>
    <w:lvl w:ilvl="0">
      <w:lvlJc w:val="left"/>
      <w:lvlText w:val="(%1)"/>
      <w:numFmt w:val="lowerLetter"/>
      <w:start w:val="4"/>
    </w:lvl>
  </w:abstractNum>
  <w:abstractNum w:abstractNumId="120">
    <w:nsid w:val="746F2E30"/>
    <w:multiLevelType w:val="hybridMultilevel"/>
    <w:lvl w:ilvl="0">
      <w:lvlJc w:val="left"/>
      <w:lvlText w:val="(%1)"/>
      <w:numFmt w:val="lowerLetter"/>
      <w:start w:val="1"/>
    </w:lvl>
  </w:abstractNum>
  <w:abstractNum w:abstractNumId="121">
    <w:nsid w:val="6FDE8AF6"/>
    <w:multiLevelType w:val="hybridMultilevel"/>
    <w:lvl w:ilvl="0">
      <w:lvlJc w:val="left"/>
      <w:lvlText w:val="(%1)"/>
      <w:numFmt w:val="lowerRoman"/>
      <w:start w:val="2"/>
    </w:lvl>
  </w:abstractNum>
  <w:abstractNum w:abstractNumId="122">
    <w:nsid w:val="3FC32E20"/>
    <w:multiLevelType w:val="hybridMultilevel"/>
    <w:lvl w:ilvl="0">
      <w:lvlJc w:val="left"/>
      <w:lvlText w:val="(%1)"/>
      <w:numFmt w:val="lowerLetter"/>
      <w:start w:val="3"/>
    </w:lvl>
  </w:abstractNum>
  <w:abstractNum w:abstractNumId="123">
    <w:nsid w:val="49C0E823"/>
    <w:multiLevelType w:val="hybridMultilevel"/>
    <w:lvl w:ilvl="0">
      <w:lvlJc w:val="left"/>
      <w:lvlText w:val="(%1)"/>
      <w:numFmt w:val="lowerLetter"/>
      <w:start w:val="1"/>
    </w:lvl>
  </w:abstractNum>
  <w:abstractNum w:abstractNumId="124">
    <w:nsid w:val="14D53685"/>
    <w:multiLevelType w:val="hybridMultilevel"/>
    <w:lvl w:ilvl="0">
      <w:lvlJc w:val="left"/>
      <w:lvlText w:val="(%1)"/>
      <w:numFmt w:val="lowerLetter"/>
      <w:start w:val="1"/>
    </w:lvl>
  </w:abstractNum>
  <w:abstractNum w:abstractNumId="125">
    <w:nsid w:val="230F856C"/>
    <w:multiLevelType w:val="hybridMultilevel"/>
    <w:lvl w:ilvl="0">
      <w:lvlJc w:val="left"/>
      <w:lvlText w:val="%1"/>
      <w:numFmt w:val="upperLetter"/>
      <w:start w:val="1"/>
    </w:lvl>
    <w:lvl w:ilvl="1">
      <w:lvlJc w:val="left"/>
      <w:lvlText w:val="(%2)"/>
      <w:numFmt w:val="lowerLetter"/>
      <w:start w:val="2"/>
    </w:lvl>
  </w:abstractNum>
  <w:abstractNum w:abstractNumId="126">
    <w:nsid w:val="6EAA85FB"/>
    <w:multiLevelType w:val="hybridMultilevel"/>
    <w:lvl w:ilvl="0">
      <w:lvlJc w:val="left"/>
      <w:lvlText w:val="%1."/>
      <w:numFmt w:val="upperLetter"/>
      <w:start w:val="22"/>
    </w:lvl>
    <w:lvl w:ilvl="1">
      <w:lvlJc w:val="left"/>
      <w:lvlText w:val="%2"/>
      <w:numFmt w:val="lowerLetter"/>
      <w:start w:val="1"/>
    </w:lvl>
  </w:abstractNum>
  <w:abstractNum w:abstractNumId="127">
    <w:nsid w:val="3F06ECB2"/>
    <w:multiLevelType w:val="hybridMultilevel"/>
    <w:lvl w:ilvl="0">
      <w:lvlJc w:val="left"/>
      <w:lvlText w:val="(%1)"/>
      <w:numFmt w:val="lowerLetter"/>
      <w:start w:val="1"/>
    </w:lvl>
  </w:abstractNum>
  <w:abstractNum w:abstractNumId="128">
    <w:nsid w:val="3B594807"/>
    <w:multiLevelType w:val="hybridMultilevel"/>
    <w:lvl w:ilvl="0">
      <w:lvlJc w:val="left"/>
      <w:lvlText w:val="(%1)"/>
      <w:numFmt w:val="lowerLetter"/>
      <w:start w:val="2"/>
    </w:lvl>
  </w:abstractNum>
  <w:abstractNum w:abstractNumId="129">
    <w:nsid w:val="6CAA2304"/>
    <w:multiLevelType w:val="hybridMultilevel"/>
    <w:lvl w:ilvl="0">
      <w:lvlJc w:val="left"/>
      <w:lvlText w:val="(%1)"/>
      <w:numFmt w:val="lowerLetter"/>
      <w:start w:val="4"/>
    </w:lvl>
  </w:abstractNum>
  <w:abstractNum w:abstractNumId="130">
    <w:nsid w:val="3F7C2FF4"/>
    <w:multiLevelType w:val="hybridMultilevel"/>
    <w:lvl w:ilvl="0">
      <w:lvlJc w:val="left"/>
      <w:lvlText w:val="(%1)"/>
      <w:numFmt w:val="lowerLetter"/>
      <w:start w:val="1"/>
    </w:lvl>
  </w:abstractNum>
  <w:abstractNum w:abstractNumId="131">
    <w:nsid w:val="25413BEC"/>
    <w:multiLevelType w:val="hybridMultilevel"/>
    <w:lvl w:ilvl="0">
      <w:lvlJc w:val="left"/>
      <w:lvlText w:val="(%1)"/>
      <w:numFmt w:val="lowerLetter"/>
      <w:start w:val="3"/>
    </w:lvl>
  </w:abstractNum>
  <w:abstractNum w:abstractNumId="132">
    <w:nsid w:val="17180B0B"/>
    <w:multiLevelType w:val="hybridMultilevel"/>
    <w:lvl w:ilvl="0">
      <w:lvlJc w:val="left"/>
      <w:lvlText w:val="(%1)"/>
      <w:numFmt w:val="lowerLetter"/>
      <w:start w:val="1"/>
    </w:lvl>
  </w:abstractNum>
  <w:abstractNum w:abstractNumId="133">
    <w:nsid w:val="579328B9"/>
    <w:multiLevelType w:val="hybridMultilevel"/>
    <w:lvl w:ilvl="0">
      <w:lvlJc w:val="left"/>
      <w:lvlText w:val="(%1)"/>
      <w:numFmt w:val="lowerLetter"/>
      <w:start w:val="2"/>
    </w:lvl>
  </w:abstractNum>
  <w:abstractNum w:abstractNumId="134">
    <w:nsid w:val="5D205E20"/>
    <w:multiLevelType w:val="hybridMultilevel"/>
    <w:lvl w:ilvl="0">
      <w:lvlJc w:val="left"/>
      <w:lvlText w:val="(%1)"/>
      <w:numFmt w:val="lowerLetter"/>
      <w:start w:val="1"/>
    </w:lvl>
  </w:abstractNum>
  <w:abstractNum w:abstractNumId="135">
    <w:nsid w:val="11CCA8BA"/>
    <w:multiLevelType w:val="hybridMultilevel"/>
    <w:lvl w:ilvl="0">
      <w:lvlJc w:val="left"/>
      <w:lvlText w:val="(%1)"/>
      <w:numFmt w:val="lowerLetter"/>
      <w:start w:val="1"/>
    </w:lvl>
  </w:abstractNum>
  <w:abstractNum w:abstractNumId="136">
    <w:nsid w:val="4D32AB86"/>
    <w:multiLevelType w:val="hybridMultilevel"/>
    <w:lvl w:ilvl="0">
      <w:lvlJc w:val="left"/>
      <w:lvlText w:val="(%1)"/>
      <w:numFmt w:val="lowerRoman"/>
      <w:start w:val="3"/>
    </w:lvl>
  </w:abstractNum>
  <w:abstractNum w:abstractNumId="137">
    <w:nsid w:val="3F07ACC3"/>
    <w:multiLevelType w:val="hybridMultilevel"/>
    <w:lvl w:ilvl="0">
      <w:lvlJc w:val="left"/>
      <w:lvlText w:val="(%1)"/>
      <w:numFmt w:val="lowerLetter"/>
      <w:start w:val="4"/>
    </w:lvl>
  </w:abstractNum>
  <w:abstractNum w:abstractNumId="138">
    <w:nsid w:val="6B47F63E"/>
    <w:multiLevelType w:val="hybridMultilevel"/>
    <w:lvl w:ilvl="0">
      <w:lvlJc w:val="left"/>
      <w:lvlText w:val="%1."/>
      <w:numFmt w:val="decimal"/>
      <w:start w:val="1"/>
    </w:lvl>
  </w:abstractNum>
  <w:abstractNum w:abstractNumId="139">
    <w:nsid w:val="5CB44A05"/>
    <w:multiLevelType w:val="hybridMultilevel"/>
    <w:lvl w:ilvl="0">
      <w:lvlJc w:val="left"/>
      <w:lvlText w:val="%1."/>
      <w:numFmt w:val="decimal"/>
      <w:start w:val="4"/>
    </w:lvl>
    <w:lvl w:ilvl="1">
      <w:lvlJc w:val="left"/>
      <w:lvlText w:val="(%2)"/>
      <w:numFmt w:val="lowerLetter"/>
      <w:start w:val="1"/>
    </w:lvl>
  </w:abstractNum>
  <w:abstractNum w:abstractNumId="140">
    <w:nsid w:val="16CF80F1"/>
    <w:multiLevelType w:val="hybridMultilevel"/>
    <w:lvl w:ilvl="0">
      <w:lvlJc w:val="left"/>
      <w:lvlText w:val="%1."/>
      <w:numFmt w:val="decimal"/>
      <w:start w:val="6"/>
    </w:lvl>
  </w:abstractNum>
  <w:abstractNum w:abstractNumId="141">
    <w:nsid w:val="1C695DEC"/>
    <w:multiLevelType w:val="hybridMultilevel"/>
    <w:lvl w:ilvl="0">
      <w:lvlJc w:val="left"/>
      <w:lvlText w:val="%1."/>
      <w:numFmt w:val="decimal"/>
      <w:start w:val="9"/>
    </w:lvl>
    <w:lvl w:ilvl="1">
      <w:lvlJc w:val="left"/>
      <w:lvlText w:val="(%2)"/>
      <w:numFmt w:val="lowerLetter"/>
      <w:start w:val="1"/>
    </w:lvl>
  </w:abstractNum>
  <w:abstractNum w:abstractNumId="142">
    <w:nsid w:val="3FCFAED9"/>
    <w:multiLevelType w:val="hybridMultilevel"/>
    <w:lvl w:ilvl="0">
      <w:lvlJc w:val="left"/>
      <w:lvlText w:val="%1"/>
      <w:numFmt w:val="decimal"/>
      <w:start w:val="1"/>
    </w:lvl>
    <w:lvl w:ilvl="1">
      <w:lvlJc w:val="left"/>
      <w:lvlText w:val="(%2)"/>
      <w:numFmt w:val="lowerLetter"/>
      <w:start w:val="3"/>
    </w:lvl>
  </w:abstractNum>
  <w:abstractNum w:abstractNumId="143">
    <w:nsid w:val="F856867"/>
    <w:multiLevelType w:val="hybridMultilevel"/>
    <w:lvl w:ilvl="0">
      <w:lvlJc w:val="left"/>
      <w:lvlText w:val="%1."/>
      <w:numFmt w:val="decimal"/>
      <w:start w:val="11"/>
    </w:lvl>
    <w:lvl w:ilvl="1">
      <w:lvlJc w:val="left"/>
      <w:lvlText w:val="%2"/>
      <w:numFmt w:val="lowerLetter"/>
      <w:start w:val="1"/>
    </w:lvl>
  </w:abstractNum>
  <w:abstractNum w:abstractNumId="144">
    <w:nsid w:val="11B1CC33"/>
    <w:multiLevelType w:val="hybridMultilevel"/>
    <w:lvl w:ilvl="0">
      <w:lvlJc w:val="left"/>
      <w:lvlText w:val="%1."/>
      <w:numFmt w:val="decimal"/>
      <w:start w:val="1"/>
    </w:lvl>
    <w:lvl w:ilvl="1">
      <w:lvlJc w:val="left"/>
      <w:lvlText w:val="%2."/>
      <w:numFmt w:val="decimal"/>
      <w:start w:val="2"/>
    </w:lvl>
  </w:abstractNum>
  <w:abstractNum w:abstractNumId="145">
    <w:nsid w:val="2E22FBB7"/>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146">
    <w:nsid w:val="29934699"/>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47">
    <w:nsid w:val="77485850"/>
    <w:multiLevelType w:val="hybridMultilevel"/>
    <w:lvl w:ilvl="0">
      <w:lvlJc w:val="left"/>
      <w:lvlText w:val="(%1)"/>
      <w:numFmt w:val="lowerLetter"/>
      <w:start w:val="3"/>
    </w:lvl>
  </w:abstractNum>
  <w:abstractNum w:abstractNumId="148">
    <w:nsid w:val="744939A3"/>
    <w:multiLevelType w:val="hybridMultilevel"/>
    <w:lvl w:ilvl="0">
      <w:lvlJc w:val="left"/>
      <w:lvlText w:val="(%1)"/>
      <w:numFmt w:val="lowerLetter"/>
      <w:start w:val="4"/>
    </w:lvl>
  </w:abstractNum>
  <w:abstractNum w:abstractNumId="149">
    <w:nsid w:val="4FA0D2E3"/>
    <w:multiLevelType w:val="hybridMultilevel"/>
    <w:lvl w:ilvl="0">
      <w:lvlJc w:val="left"/>
      <w:lvlText w:val="(%1)"/>
      <w:numFmt w:val="lowerLetter"/>
      <w:start w:val="5"/>
    </w:lvl>
  </w:abstractNum>
  <w:abstractNum w:abstractNumId="150">
    <w:nsid w:val="6B1D2C14"/>
    <w:multiLevelType w:val="hybridMultilevel"/>
    <w:lvl w:ilvl="0">
      <w:lvlJc w:val="left"/>
      <w:lvlText w:val="(%1)"/>
      <w:numFmt w:val="lowerLetter"/>
      <w:start w:val="6"/>
    </w:lvl>
  </w:abstractNum>
  <w:abstractNum w:abstractNumId="151">
    <w:nsid w:val="68B867D3"/>
    <w:multiLevelType w:val="hybridMultilevel"/>
    <w:lvl w:ilvl="0">
      <w:lvlJc w:val="left"/>
      <w:lvlText w:val="(%1)"/>
      <w:numFmt w:val="lowerLetter"/>
      <w:start w:val="7"/>
    </w:lvl>
    <w:lvl w:ilvl="1">
      <w:lvlJc w:val="left"/>
      <w:lvlText w:val="(%2)"/>
      <w:numFmt w:val="decimal"/>
      <w:start w:val="1"/>
    </w:lvl>
    <w:lvl w:ilvl="2">
      <w:lvlJc w:val="left"/>
      <w:lvlText w:val="(%3)"/>
      <w:numFmt w:val="decimal"/>
      <w:start w:val="2"/>
    </w:lvl>
  </w:abstractNum>
  <w:abstractNum w:abstractNumId="152">
    <w:nsid w:val="3F7F5DD9"/>
    <w:multiLevelType w:val="hybridMultilevel"/>
    <w:lvl w:ilvl="0">
      <w:lvlJc w:val="left"/>
      <w:lvlText w:val="1"/>
      <w:numFmt w:val="bullet"/>
      <w:start w:val="1"/>
    </w:lvl>
  </w:abstractNum>
  <w:abstractNum w:abstractNumId="153">
    <w:nsid w:val="2AE05A34"/>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154">
    <w:nsid w:val="32794FF7"/>
    <w:multiLevelType w:val="hybridMultilevel"/>
    <w:lvl w:ilvl="0">
      <w:lvlJc w:val="left"/>
      <w:lvlText w:val="%1"/>
      <w:numFmt w:val="lowerLetter"/>
      <w:start w:val="1"/>
    </w:lvl>
    <w:lvl w:ilvl="1">
      <w:lvlJc w:val="left"/>
      <w:lvlText w:val="(%2)"/>
      <w:numFmt w:val="decimal"/>
      <w:start w:val="5"/>
    </w:lvl>
    <w:lvl w:ilvl="2">
      <w:lvlJc w:val="left"/>
      <w:lvlText w:val="(%3)"/>
      <w:numFmt w:val="decimal"/>
      <w:start w:val="6"/>
    </w:lvl>
    <w:lvl w:ilvl="3">
      <w:lvlJc w:val="left"/>
      <w:lvlText w:val="%4"/>
      <w:numFmt w:val="decimal"/>
      <w:start w:val="1"/>
    </w:lvl>
  </w:abstractNum>
  <w:abstractNum w:abstractNumId="155">
    <w:nsid w:val="5454945E"/>
    <w:multiLevelType w:val="hybridMultilevel"/>
    <w:lvl w:ilvl="0">
      <w:lvlJc w:val="left"/>
      <w:lvlText w:val="(%1)"/>
      <w:numFmt w:val="lowerLetter"/>
      <w:start w:val="8"/>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56">
    <w:nsid w:val="4DEFDFA0"/>
    <w:multiLevelType w:val="hybridMultilevel"/>
    <w:lvl w:ilvl="0">
      <w:lvlJc w:val="left"/>
      <w:lvlText w:val="(%1)"/>
      <w:numFmt w:val="lowerRoman"/>
      <w:start w:val="1"/>
    </w:lvl>
  </w:abstractNum>
  <w:abstractNum w:abstractNumId="157">
    <w:nsid w:val="2123D5F2"/>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158">
    <w:nsid w:val="135B8110"/>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59">
    <w:nsid w:val="94927A8"/>
    <w:multiLevelType w:val="hybridMultilevel"/>
    <w:lvl w:ilvl="0">
      <w:lvlJc w:val="left"/>
      <w:lvlText w:val="(%1)"/>
      <w:numFmt w:val="lowerLetter"/>
      <w:start w:val="3"/>
    </w:lvl>
  </w:abstractNum>
  <w:abstractNum w:abstractNumId="160">
    <w:nsid w:val="DCDF8F6"/>
    <w:multiLevelType w:val="hybridMultilevel"/>
    <w:lvl w:ilvl="0">
      <w:lvlJc w:val="left"/>
      <w:lvlText w:val="+"/>
      <w:numFmt w:val="bullet"/>
      <w:start w:val="1"/>
    </w:lvl>
    <w:lvl w:ilvl="1">
      <w:lvlJc w:val="left"/>
      <w:lvlText w:val="(%2)"/>
      <w:numFmt w:val="lowerLetter"/>
      <w:start w:val="4"/>
    </w:lvl>
  </w:abstractNum>
  <w:abstractNum w:abstractNumId="161">
    <w:nsid w:val="52D7B105"/>
    <w:multiLevelType w:val="hybridMultilevel"/>
    <w:lvl w:ilvl="0">
      <w:lvlJc w:val="left"/>
      <w:lvlText w:val="+"/>
      <w:numFmt w:val="bullet"/>
      <w:start w:val="1"/>
    </w:lvl>
    <w:lvl w:ilvl="1">
      <w:lvlJc w:val="left"/>
      <w:lvlText w:val="(%2)"/>
      <w:numFmt w:val="lowerLetter"/>
      <w:start w:val="5"/>
    </w:lvl>
  </w:abstractNum>
  <w:abstractNum w:abstractNumId="162">
    <w:nsid w:val="2E8A6394"/>
    <w:multiLevelType w:val="hybridMultilevel"/>
    <w:lvl w:ilvl="0">
      <w:lvlJc w:val="left"/>
      <w:lvlText w:val="(%1)"/>
      <w:numFmt w:val="lowerLetter"/>
      <w:start w:val="6"/>
    </w:lvl>
  </w:abstractNum>
  <w:abstractNum w:abstractNumId="163">
    <w:nsid w:val="24E60401"/>
    <w:multiLevelType w:val="hybridMultilevel"/>
    <w:lvl w:ilvl="0">
      <w:lvlJc w:val="left"/>
      <w:lvlText w:val="(%1)"/>
      <w:numFmt w:val="lowerLetter"/>
      <w:start w:val="7"/>
    </w:lvl>
    <w:lvl w:ilvl="1">
      <w:lvlJc w:val="left"/>
      <w:lvlText w:val="(%2)"/>
      <w:numFmt w:val="decimal"/>
      <w:start w:val="1"/>
    </w:lvl>
    <w:lvl w:ilvl="2">
      <w:lvlJc w:val="left"/>
      <w:lvlText w:val="(%3)"/>
      <w:numFmt w:val="decimal"/>
      <w:start w:val="2"/>
    </w:lvl>
    <w:lvl w:ilvl="3">
      <w:lvlJc w:val="left"/>
      <w:lvlText w:val="(%4)"/>
      <w:numFmt w:val="decimal"/>
      <w:start w:val="3"/>
    </w:lvl>
  </w:abstractNum>
  <w:abstractNum w:abstractNumId="164">
    <w:nsid w:val="2A6AD9BE"/>
    <w:multiLevelType w:val="hybridMultilevel"/>
    <w:lvl w:ilvl="0">
      <w:lvlJc w:val="left"/>
      <w:lvlText w:val="2"/>
      <w:numFmt w:val="bullet"/>
      <w:start w:val="1"/>
    </w:lvl>
  </w:abstractNum>
  <w:abstractNum w:abstractNumId="165">
    <w:nsid w:val="BAAC1B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166">
    <w:nsid w:val="36B2ACBC"/>
    <w:multiLevelType w:val="hybridMultilevel"/>
    <w:lvl w:ilvl="0">
      <w:lvlJc w:val="left"/>
      <w:lvlText w:val="%1"/>
      <w:numFmt w:val="lowerLetter"/>
      <w:start w:val="1"/>
    </w:lvl>
    <w:lvl w:ilvl="1">
      <w:lvlJc w:val="left"/>
      <w:lvlText w:val="(%2)"/>
      <w:numFmt w:val="decimal"/>
      <w:start w:val="5"/>
    </w:lvl>
    <w:lvl w:ilvl="2">
      <w:lvlJc w:val="left"/>
      <w:lvlText w:val="(%3)"/>
      <w:numFmt w:val="decimal"/>
      <w:start w:val="6"/>
    </w:lvl>
    <w:lvl w:ilvl="3">
      <w:lvlJc w:val="left"/>
      <w:lvlText w:val="%4"/>
      <w:numFmt w:val="decimal"/>
      <w:start w:val="1"/>
    </w:lvl>
  </w:abstractNum>
  <w:abstractNum w:abstractNumId="167">
    <w:nsid w:val="779D8544"/>
    <w:multiLevelType w:val="hybridMultilevel"/>
    <w:lvl w:ilvl="0">
      <w:lvlJc w:val="left"/>
      <w:lvlText w:val="(%1)"/>
      <w:numFmt w:val="lowerLetter"/>
      <w:start w:val="8"/>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68">
    <w:nsid w:val="4AB26E78"/>
    <w:multiLevelType w:val="hybridMultilevel"/>
    <w:lvl w:ilvl="0">
      <w:lvlJc w:val="left"/>
      <w:lvlText w:val="(%1)"/>
      <w:numFmt w:val="lowerRoman"/>
      <w:start w:val="1"/>
    </w:lvl>
  </w:abstractNum>
  <w:abstractNum w:abstractNumId="169">
    <w:nsid w:val="21FAA2FA"/>
    <w:multiLevelType w:val="hybridMultilevel"/>
    <w:lvl w:ilvl="0">
      <w:lvlJc w:val="left"/>
      <w:lvlText w:val="•"/>
      <w:numFmt w:val="bullet"/>
      <w:start w:val="1"/>
    </w:lvl>
  </w:abstractNum>
  <w:abstractNum w:abstractNumId="170">
    <w:nsid w:val="5451CF49"/>
    <w:multiLevelType w:val="hybridMultilevel"/>
    <w:lvl w:ilvl="0">
      <w:lvlJc w:val="left"/>
      <w:lvlText w:val="1"/>
      <w:numFmt w:val="bullet"/>
      <w:start w:val="1"/>
    </w:lvl>
  </w:abstractNum>
  <w:abstractNum w:abstractNumId="171">
    <w:nsid w:val="6181EF69"/>
    <w:multiLevelType w:val="hybridMultilevel"/>
    <w:lvl w:ilvl="0">
      <w:lvlJc w:val="left"/>
      <w:lvlText w:val="•"/>
      <w:numFmt w:val="bullet"/>
      <w:start w:val="1"/>
    </w:lvl>
  </w:abstractNum>
  <w:abstractNum w:abstractNumId="172">
    <w:nsid w:val="3E6400E6"/>
    <w:multiLevelType w:val="hybridMultilevel"/>
    <w:lvl w:ilvl="0">
      <w:lvlJc w:val="left"/>
      <w:lvlText w:val="(%1)"/>
      <w:numFmt w:val="decimal"/>
      <w:start w:val="1"/>
    </w:lvl>
  </w:abstractNum>
  <w:abstractNum w:abstractNumId="173">
    <w:nsid w:val="14217E23"/>
    <w:multiLevelType w:val="hybridMultilevel"/>
    <w:lvl w:ilvl="0">
      <w:lvlJc w:val="left"/>
      <w:lvlText w:val="(%1)"/>
      <w:numFmt w:val="decimal"/>
      <w:start w:val="2"/>
    </w:lvl>
  </w:abstractNum>
  <w:abstractNum w:abstractNumId="174">
    <w:nsid w:val="710757D0"/>
    <w:multiLevelType w:val="hybridMultilevel"/>
    <w:lvl w:ilvl="0">
      <w:lvlJc w:val="left"/>
      <w:lvlText w:val="•"/>
      <w:numFmt w:val="bullet"/>
      <w:start w:val="1"/>
    </w:lvl>
  </w:abstractNum>
  <w:abstractNum w:abstractNumId="175">
    <w:nsid w:val="5015CD1A"/>
    <w:multiLevelType w:val="hybridMultilevel"/>
    <w:lvl w:ilvl="0">
      <w:lvlJc w:val="left"/>
      <w:lvlText w:val="%1."/>
      <w:numFmt w:val="decimal"/>
      <w:start w:val="1"/>
    </w:lvl>
  </w:abstractNum>
  <w:abstractNum w:abstractNumId="176">
    <w:nsid w:val="424479DA"/>
    <w:multiLevelType w:val="hybridMultilevel"/>
    <w:lvl w:ilvl="0">
      <w:lvlJc w:val="left"/>
      <w:lvlText w:val="%1."/>
      <w:numFmt w:val="decimal"/>
      <w:start w:val="1"/>
    </w:lvl>
    <w:lvl w:ilvl="1">
      <w:lvlJc w:val="left"/>
      <w:lvlText w:val="•"/>
      <w:numFmt w:val="bullet"/>
      <w:start w:val="1"/>
    </w:lvl>
  </w:abstractNum>
  <w:abstractNum w:abstractNumId="177">
    <w:nsid w:val="1A9A9E69"/>
    <w:multiLevelType w:val="hybridMultilevel"/>
    <w:lvl w:ilvl="0">
      <w:lvlJc w:val="left"/>
      <w:lvlText w:val="•"/>
      <w:numFmt w:val="bullet"/>
      <w:start w:val="1"/>
    </w:lvl>
  </w:abstractNum>
  <w:abstractNum w:abstractNumId="178">
    <w:nsid w:val="475E256A"/>
    <w:multiLevelType w:val="hybridMultilevel"/>
    <w:lvl w:ilvl="0">
      <w:lvlJc w:val="left"/>
      <w:lvlText w:val="•"/>
      <w:numFmt w:val="bullet"/>
      <w:start w:val="1"/>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decimal"/>
      <w:start w:val="1"/>
    </w:lvl>
    <w:lvl w:ilvl="1">
      <w:lvlJc w:val="left"/>
      <w:lvlText w:val="%2)"/>
      <w:numFmt w:val="lowerLetter"/>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61"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84" Type="http://schemas.openxmlformats.org/officeDocument/2006/relationships/image" Target="media/image135.png"/><Relationship Id="rId205" Type="http://schemas.openxmlformats.org/officeDocument/2006/relationships/image" Target="media/image136.png"/><Relationship Id="rId206" Type="http://schemas.openxmlformats.org/officeDocument/2006/relationships/image" Target="media/image137.png"/><Relationship Id="rId216" Type="http://schemas.openxmlformats.org/officeDocument/2006/relationships/image" Target="media/image138.png"/><Relationship Id="rId230" Type="http://schemas.openxmlformats.org/officeDocument/2006/relationships/image" Target="media/image139.png"/><Relationship Id="rId231" Type="http://schemas.openxmlformats.org/officeDocument/2006/relationships/image" Target="media/image140.png"/><Relationship Id="rId244" Type="http://schemas.openxmlformats.org/officeDocument/2006/relationships/image" Target="media/image141.png"/><Relationship Id="rId245" Type="http://schemas.openxmlformats.org/officeDocument/2006/relationships/image" Target="media/image142.png"/><Relationship Id="rId246" Type="http://schemas.openxmlformats.org/officeDocument/2006/relationships/image" Target="media/image143.png"/><Relationship Id="rId247" Type="http://schemas.openxmlformats.org/officeDocument/2006/relationships/image" Target="media/image144.png"/><Relationship Id="rId256" Type="http://schemas.openxmlformats.org/officeDocument/2006/relationships/image" Target="media/image145.png"/><Relationship Id="rId257" Type="http://schemas.openxmlformats.org/officeDocument/2006/relationships/image" Target="media/image146.png"/><Relationship Id="rId258" Type="http://schemas.openxmlformats.org/officeDocument/2006/relationships/image" Target="media/image147.png"/><Relationship Id="rId259" Type="http://schemas.openxmlformats.org/officeDocument/2006/relationships/image" Target="media/image148.png"/><Relationship Id="rId260" Type="http://schemas.openxmlformats.org/officeDocument/2006/relationships/image" Target="media/image149.png"/><Relationship Id="rId261" Type="http://schemas.openxmlformats.org/officeDocument/2006/relationships/image" Target="media/image150.png"/><Relationship Id="rId262" Type="http://schemas.openxmlformats.org/officeDocument/2006/relationships/image" Target="media/image151.png"/><Relationship Id="rId263" Type="http://schemas.openxmlformats.org/officeDocument/2006/relationships/image" Target="media/image152.png"/><Relationship Id="rId264" Type="http://schemas.openxmlformats.org/officeDocument/2006/relationships/image" Target="media/image153.png"/><Relationship Id="rId265" Type="http://schemas.openxmlformats.org/officeDocument/2006/relationships/image" Target="media/image154.png"/><Relationship Id="rId266" Type="http://schemas.openxmlformats.org/officeDocument/2006/relationships/image" Target="media/image155.png"/><Relationship Id="rId267" Type="http://schemas.openxmlformats.org/officeDocument/2006/relationships/image" Target="media/image156.jpeg"/><Relationship Id="rId268" Type="http://schemas.openxmlformats.org/officeDocument/2006/relationships/image" Target="media/image157.png"/><Relationship Id="rId269" Type="http://schemas.openxmlformats.org/officeDocument/2006/relationships/image" Target="media/image158.jpeg"/><Relationship Id="rId270" Type="http://schemas.openxmlformats.org/officeDocument/2006/relationships/image" Target="media/image159.png"/><Relationship Id="rId271" Type="http://schemas.openxmlformats.org/officeDocument/2006/relationships/image" Target="media/image160.png"/><Relationship Id="rId272" Type="http://schemas.openxmlformats.org/officeDocument/2006/relationships/image" Target="media/image161.png"/><Relationship Id="rId273" Type="http://schemas.openxmlformats.org/officeDocument/2006/relationships/image" Target="media/image162.png"/><Relationship Id="rId274" Type="http://schemas.openxmlformats.org/officeDocument/2006/relationships/image" Target="media/image163.png"/><Relationship Id="rId275" Type="http://schemas.openxmlformats.org/officeDocument/2006/relationships/image" Target="media/image164.png"/><Relationship Id="rId135" Type="http://schemas.openxmlformats.org/officeDocument/2006/relationships/hyperlink" Target="https://www.sec.gov/Archives/edgar/data/1051470/000119312514348880/d790512dex21.htm" TargetMode="External"/><Relationship Id="rId136" Type="http://schemas.openxmlformats.org/officeDocument/2006/relationships/hyperlink" Target="https://www.sec.gov/Archives/edgar/data/1051470/000105147015000088/exhibit105033115.htm" TargetMode="External"/><Relationship Id="rId137" Type="http://schemas.openxmlformats.org/officeDocument/2006/relationships/hyperlink" Target="https://www.sec.gov/Archives/edgar/data/1051470/000105147015000114/ccalsaleagreement.htm" TargetMode="External"/><Relationship Id="rId138" Type="http://schemas.openxmlformats.org/officeDocument/2006/relationships/hyperlink" Target="https://www.sec.gov/Archives/edgar/data/1051470/000119312517230792/d417519dex21.htm" TargetMode="External"/><Relationship Id="rId139" Type="http://schemas.openxmlformats.org/officeDocument/2006/relationships/hyperlink" Target="https://www.sec.gov/Archives/edgar/data/1051470/000105147023000128/exhibit31restatedcertifica.htm" TargetMode="External"/><Relationship Id="rId140" Type="http://schemas.openxmlformats.org/officeDocument/2006/relationships/hyperlink" Target="https://www.sec.gov/Archives/edgar/data/1051470/000105147024000223/secondamendedandrestatedby.htm" TargetMode="External"/><Relationship Id="rId141" Type="http://schemas.openxmlformats.org/officeDocument/2006/relationships/hyperlink" Target="https://www.sec.gov/Archives/edgar/data/1051470/000105147025000033/exhibit31-firstamendmentto.htm" TargetMode="External"/><Relationship Id="rId142" Type="http://schemas.openxmlformats.org/officeDocument/2006/relationships/hyperlink" Target="https://www.sec.gov/Archives/edgar/data/1051470/000095015714001379/ex4-2.htm" TargetMode="External"/><Relationship Id="rId145" Type="http://schemas.openxmlformats.org/officeDocument/2006/relationships/hyperlink" Target="https://www.sec.gov/Archives/edgar/data/1051470/000119312505122907/dex41.htm" TargetMode="External"/><Relationship Id="rId146" Type="http://schemas.openxmlformats.org/officeDocument/2006/relationships/hyperlink" Target="https://www.sec.gov/Archives/edgar/data/1051470/000119312523287479/d471257dex41.htm" TargetMode="External"/><Relationship Id="rId147" Type="http://schemas.openxmlformats.org/officeDocument/2006/relationships/hyperlink" Target="https://www.sec.gov/Archives/edgar/data/1051470/000119312506200276/dex101.htm" TargetMode="External"/><Relationship Id="rId148" Type="http://schemas.openxmlformats.org/officeDocument/2006/relationships/hyperlink" Target="https://www.sec.gov/Archives/edgar/data/1051470/000119312506247029/dex41.htm" TargetMode="External"/><Relationship Id="rId149" Type="http://schemas.openxmlformats.org/officeDocument/2006/relationships/hyperlink" Target="https://www.sec.gov/Archives/edgar/data/1051470/000119312510008859/dex41.htm" TargetMode="External"/><Relationship Id="rId150" Type="http://schemas.openxmlformats.org/officeDocument/2006/relationships/hyperlink" Target="https://www.sec.gov/Archives/edgar/data/1051470/000119312510008859/dex42.htm" TargetMode="External"/><Relationship Id="rId151" Type="http://schemas.openxmlformats.org/officeDocument/2006/relationships/hyperlink" Target="https://www.sec.gov/Archives/edgar/data/1051470/000119312510008859/dex43.htm" TargetMode="External"/><Relationship Id="rId154" Type="http://schemas.openxmlformats.org/officeDocument/2006/relationships/hyperlink" Target="https://www.sec.gov/Archives/edgar/data/1051470/000095015714000732/ex4-1.htm" TargetMode="External"/><Relationship Id="rId155" Type="http://schemas.openxmlformats.org/officeDocument/2006/relationships/hyperlink" Target="https://www.sec.gov/Archives/edgar/data/1051470/000119312515196928/d931299dex41.htm" TargetMode="External"/><Relationship Id="rId156" Type="http://schemas.openxmlformats.org/officeDocument/2006/relationships/hyperlink" Target="https://www.sec.gov/Archives/edgar/data/1051470/000119312515196928/d931299dex42.htm" TargetMode="External"/><Relationship Id="rId157" Type="http://schemas.openxmlformats.org/officeDocument/2006/relationships/hyperlink" Target="https://www.sec.gov/Archives/edgar/data/1051470/000095015718000823/ex4-1.htm" TargetMode="External"/><Relationship Id="rId158" Type="http://schemas.openxmlformats.org/officeDocument/2006/relationships/hyperlink" Target="https://www.sec.gov/Archives/edgar/data/1051470/000095015718000823/ex4-2.htm" TargetMode="External"/><Relationship Id="rId159" Type="http://schemas.openxmlformats.org/officeDocument/2006/relationships/hyperlink" Target="https://www.sec.gov/Archives/edgar/data/1051470/000095015718000823/ex4-3.htm" TargetMode="External"/><Relationship Id="rId160" Type="http://schemas.openxmlformats.org/officeDocument/2006/relationships/hyperlink" Target="https://www.sec.gov/Archives/edgar/data/1051470/000119312509163853/dex41.htm" TargetMode="External"/><Relationship Id="rId162" Type="http://schemas.openxmlformats.org/officeDocument/2006/relationships/hyperlink" Target="https://www.sec.gov/Archives/edgar/data/1051470/000119312509163853/dex42.htm" TargetMode="External"/><Relationship Id="rId163" Type="http://schemas.openxmlformats.org/officeDocument/2006/relationships/hyperlink" Target="https://www.sec.gov/Archives/edgar/data/1051470/000119312514144236/d713338dex41.htm" TargetMode="External"/><Relationship Id="rId164" Type="http://schemas.openxmlformats.org/officeDocument/2006/relationships/hyperlink" Target="https://www.sec.gov/Archives/edgar/data/1051470/000095015714001379/ex4-5.htm" TargetMode="External"/><Relationship Id="rId165" Type="http://schemas.openxmlformats.org/officeDocument/2006/relationships/hyperlink" Target="https://www.sec.gov/Archives/edgar/data/1051470/000095015714001379/ex4-6.htm" TargetMode="External"/><Relationship Id="rId166" Type="http://schemas.openxmlformats.org/officeDocument/2006/relationships/hyperlink" Target="https://www.sec.gov/Archives/edgar/data/1051470/000119312516453864/d41368dex41.htm" TargetMode="External"/><Relationship Id="rId167" Type="http://schemas.openxmlformats.org/officeDocument/2006/relationships/hyperlink" Target="https://www.sec.gov/Archives/edgar/data/1051470/000119312516582022/d157695dex41.htm" TargetMode="External"/><Relationship Id="rId168" Type="http://schemas.openxmlformats.org/officeDocument/2006/relationships/hyperlink" Target="https://www.sec.gov/Archives/edgar/data/1051470/000119312517029149/d331238dex41.htm" TargetMode="External"/><Relationship Id="rId169" Type="http://schemas.openxmlformats.org/officeDocument/2006/relationships/hyperlink" Target="https://www.sec.gov/Archives/edgar/data/1051470/000119312517151930/d383093dex41.htm" TargetMode="External"/><Relationship Id="rId170" Type="http://schemas.openxmlformats.org/officeDocument/2006/relationships/hyperlink" Target="https://www.sec.gov/Archives/edgar/data/1051470/000119312517244309/d430589dex41.htm" TargetMode="External"/><Relationship Id="rId171" Type="http://schemas.openxmlformats.org/officeDocument/2006/relationships/hyperlink" Target="https://www.sec.gov/Archives/edgar/data/1051470/000119312518011458/d442729dex41.htm" TargetMode="External"/><Relationship Id="rId172" Type="http://schemas.openxmlformats.org/officeDocument/2006/relationships/hyperlink" Target="https://www.sec.gov/Archives/edgar/data/1051470/000119312519034036/d699282dex41.htm" TargetMode="External"/><Relationship Id="rId175" Type="http://schemas.openxmlformats.org/officeDocument/2006/relationships/hyperlink" Target="https://www.sec.gov/Archives/edgar/data/1051470/000119312519034036/d699282dex42.htm" TargetMode="External"/><Relationship Id="rId176" Type="http://schemas.openxmlformats.org/officeDocument/2006/relationships/hyperlink" Target="https://www.sec.gov/Archives/edgar/data/1051470/000119312519222474/d764254dex41.htm" TargetMode="External"/><Relationship Id="rId177" Type="http://schemas.openxmlformats.org/officeDocument/2006/relationships/hyperlink" Target="https://www.sec.gov/Archives/edgar/data/1051470/000119312520098160/d913754dex41.htm" TargetMode="External"/><Relationship Id="rId178" Type="http://schemas.openxmlformats.org/officeDocument/2006/relationships/hyperlink" Target="https://www.sec.gov/Archives/edgar/data/1051470/000119312520169355/d937265dex41.htm" TargetMode="External"/><Relationship Id="rId179" Type="http://schemas.openxmlformats.org/officeDocument/2006/relationships/hyperlink" Target="https://www.sec.gov/Archives/edgar/data/1051470/000119312521044925/d113438dex41.htm" TargetMode="External"/><Relationship Id="rId180" Type="http://schemas.openxmlformats.org/officeDocument/2006/relationships/hyperlink" Target="https://www.sec.gov/Archives/edgar/data/1051470/000119312521203303/d171502dex41.htm" TargetMode="External"/><Relationship Id="rId181" Type="http://schemas.openxmlformats.org/officeDocument/2006/relationships/hyperlink" Target="https://www.sec.gov/Archives/edgar/data/1051470/000156459022008774/cci-ex41_7.htm" TargetMode="External"/><Relationship Id="rId182" Type="http://schemas.openxmlformats.org/officeDocument/2006/relationships/hyperlink" Target="https://www.sec.gov/Archives/edgar/data/1051470/000119312523006491/d425037dex41.htm" TargetMode="External"/><Relationship Id="rId183" Type="http://schemas.openxmlformats.org/officeDocument/2006/relationships/hyperlink" Target="https://www.sec.gov/Archives/edgar/data/1051470/000119312523118560/d505236dex41.htm" TargetMode="External"/><Relationship Id="rId185" Type="http://schemas.openxmlformats.org/officeDocument/2006/relationships/hyperlink" Target="https://www.sec.gov/Archives/edgar/data/1051470/000119312523289915/d921016dex41.htm" TargetMode="External"/><Relationship Id="rId186" Type="http://schemas.openxmlformats.org/officeDocument/2006/relationships/hyperlink" Target="https://www.sec.gov/Archives/edgar/data/1051470/000119312524198906/d827738dex41.htm" TargetMode="External"/><Relationship Id="rId187" Type="http://schemas.openxmlformats.org/officeDocument/2006/relationships/hyperlink" Target="https://www.sec.gov/Archives/edgar/data/1051470/000119312516475878/d112338dex103.htm" TargetMode="External"/><Relationship Id="rId188" Type="http://schemas.openxmlformats.org/officeDocument/2006/relationships/hyperlink" Target="https://www.sec.gov/Archives/edgar/data/1051470/000105147024000062/exhibit102letteragreementb.htm" TargetMode="External"/><Relationship Id="rId189" Type="http://schemas.openxmlformats.org/officeDocument/2006/relationships/hyperlink" Target="https://www.sec.gov/Archives/edgar/data/1051470/000119312508151265/dex101.htm" TargetMode="External"/><Relationship Id="rId190" Type="http://schemas.openxmlformats.org/officeDocument/2006/relationships/hyperlink" Target="https://www.sec.gov/Archives/edgar/data/1051470/000118143109019533/rrd239596_27999.htm" TargetMode="External"/><Relationship Id="rId191" Type="http://schemas.openxmlformats.org/officeDocument/2006/relationships/hyperlink" Target="https://www.sec.gov/Archives/edgar/data/1051470/000119312516475878/d112338dex105.htm" TargetMode="External"/><Relationship Id="rId192" Type="http://schemas.openxmlformats.org/officeDocument/2006/relationships/hyperlink" Target="https://www.sec.gov/Archives/edgar/data/1051470/000105147016000158/ex-1047123115.htm" TargetMode="External"/><Relationship Id="rId193" Type="http://schemas.openxmlformats.org/officeDocument/2006/relationships/hyperlink" Target="https://www.sec.gov/Archives/edgar/data/1051470/000105147024000062/exhibit108letteragreementb.htm" TargetMode="External"/><Relationship Id="rId194" Type="http://schemas.openxmlformats.org/officeDocument/2006/relationships/hyperlink" Target="https://www.sec.gov/Archives/edgar/data/1051470/000119312513145964/d470276ddef14a.htm" TargetMode="External"/><Relationship Id="rId195" Type="http://schemas.openxmlformats.org/officeDocument/2006/relationships/hyperlink" Target="https://www.sec.gov/Archives/edgar/data/1051470/000105147016000262/cciq22016exhibit101.htm" TargetMode="External"/><Relationship Id="rId196" Type="http://schemas.openxmlformats.org/officeDocument/2006/relationships/hyperlink" Target="https://www.sec.gov/Archives/edgar/data/1051470/000105147022000135/amendmentto2013long-termin.htm" TargetMode="External"/><Relationship Id="rId197" Type="http://schemas.openxmlformats.org/officeDocument/2006/relationships/hyperlink" Target="https://www.sec.gov/Archives/edgar/data/1051470/000105147018000086/a102formofrsuagmt.htm" TargetMode="External"/><Relationship Id="rId198" Type="http://schemas.openxmlformats.org/officeDocument/2006/relationships/hyperlink" Target="https://www.sec.gov/Archives/edgar/data/1051470/000105147022000103/a2022proxystatement.htm#ie7fcd9d9039d4116ae6d063b104f84f6_142" TargetMode="External"/><Relationship Id="rId199" Type="http://schemas.openxmlformats.org/officeDocument/2006/relationships/hyperlink" Target="https://www.sec.gov/Archives/edgar/data/1051470/000105147023000041/exhibit1011amendmentto2022.htm" TargetMode="External"/><Relationship Id="rId200" Type="http://schemas.openxmlformats.org/officeDocument/2006/relationships/hyperlink" Target="https://www.sec.gov/Archives/edgar/data/1051470/000105147022000135/a2022ltipperformancersuawa.htm" TargetMode="External"/><Relationship Id="rId201" Type="http://schemas.openxmlformats.org/officeDocument/2006/relationships/hyperlink" Target="https://www.sec.gov/Archives/edgar/data/1051470/000105147023000041/exhibit10132022rsuagreement.htm" TargetMode="External"/><Relationship Id="rId202" Type="http://schemas.openxmlformats.org/officeDocument/2006/relationships/hyperlink" Target="https://www.sec.gov/Archives/edgar/data/1051470/000105147024000143/exhibit104formofrsuagreeme.htm" TargetMode="External"/><Relationship Id="rId203" Type="http://schemas.openxmlformats.org/officeDocument/2006/relationships/hyperlink" Target="https://www.sec.gov/Archives/edgar/data/1051470/000105147024000062/exhibit1017essp.htm" TargetMode="External"/><Relationship Id="rId204" Type="http://schemas.openxmlformats.org/officeDocument/2006/relationships/hyperlink" Target="https://www.sec.gov/Archives/edgar/data/1051470/000105147023000165/exhibit1012024emtaip.htm" TargetMode="External"/><Relationship Id="rId207" Type="http://schemas.openxmlformats.org/officeDocument/2006/relationships/hyperlink" Target="https://www.sec.gov/Archives/edgar/data/1051470/000105147025000033/exhibit101-2025emtannualin.htm" TargetMode="External"/><Relationship Id="rId208" Type="http://schemas.openxmlformats.org/officeDocument/2006/relationships/hyperlink" Target="https://www.sec.gov/Archives/edgar/data/1051470/0000950157-99-000209.txt" TargetMode="External"/><Relationship Id="rId209" Type="http://schemas.openxmlformats.org/officeDocument/2006/relationships/hyperlink" Target="https://www.sec.gov/Archives/edgar/data/1051470/000095013099003557/0000950130-99-003557.txt" TargetMode="External"/><Relationship Id="rId210" Type="http://schemas.openxmlformats.org/officeDocument/2006/relationships/hyperlink" Target="https://www.sec.gov/Archives/edgar/data/1051470/000089924300000662/0000899243-00-000662.txt" TargetMode="External"/><Relationship Id="rId211" Type="http://schemas.openxmlformats.org/officeDocument/2006/relationships/hyperlink" Target="https://www.sec.gov/Archives/edgar/data/1051470/000119312505122907/dex101.htm" TargetMode="External"/><Relationship Id="rId212" Type="http://schemas.openxmlformats.org/officeDocument/2006/relationships/hyperlink" Target="https://www.sec.gov/Archives/edgar/data/1051470/000119312506200276/dex102.htm" TargetMode="External"/><Relationship Id="rId213" Type="http://schemas.openxmlformats.org/officeDocument/2006/relationships/hyperlink" Target="https://www.sec.gov/Archives/edgar/data/1051470/000119312506247029/dex101.htm" TargetMode="External"/><Relationship Id="rId214" Type="http://schemas.openxmlformats.org/officeDocument/2006/relationships/hyperlink" Target="https://www.sec.gov/Archives/edgar/data/1051470/000119312505122907/dex102.htm" TargetMode="External"/><Relationship Id="rId215" Type="http://schemas.openxmlformats.org/officeDocument/2006/relationships/hyperlink" Target="https://www.sec.gov/Archives/edgar/data/1051470/000119312506247029/dex102.htm" TargetMode="External"/><Relationship Id="rId217" Type="http://schemas.openxmlformats.org/officeDocument/2006/relationships/hyperlink" Target="https://www.sec.gov/Archives/edgar/data/1051470/000119312505122907/dex103.htm" TargetMode="External"/><Relationship Id="rId218" Type="http://schemas.openxmlformats.org/officeDocument/2006/relationships/hyperlink" Target="https://www.sec.gov/Archives/edgar/data/1278382/000095013605003148/file002.htm" TargetMode="External"/><Relationship Id="rId219" Type="http://schemas.openxmlformats.org/officeDocument/2006/relationships/hyperlink" Target="https://www.sec.gov/Archives/edgar/data/1278382/000095013605003148/file003.htm" TargetMode="External"/><Relationship Id="rId220" Type="http://schemas.openxmlformats.org/officeDocument/2006/relationships/hyperlink" Target="https://www.sec.gov/Archives/edgar/data/1278382/000095013605003148/file004.htm" TargetMode="External"/><Relationship Id="rId221" Type="http://schemas.openxmlformats.org/officeDocument/2006/relationships/hyperlink" Target="https://www.sec.gov/Archives/edgar/data/1278382/000095013605003148/file005.htm" TargetMode="External"/><Relationship Id="rId222" Type="http://schemas.openxmlformats.org/officeDocument/2006/relationships/hyperlink" Target="https://www.sec.gov/Archives/edgar/data/1278382/000095013605003148/file006.htm" TargetMode="External"/><Relationship Id="rId223" Type="http://schemas.openxmlformats.org/officeDocument/2006/relationships/hyperlink" Target="https://www.sec.gov/Archives/edgar/data/1278382/000095013605003148/file007.htm" TargetMode="External"/><Relationship Id="rId224" Type="http://schemas.openxmlformats.org/officeDocument/2006/relationships/hyperlink" Target="https://www.sec.gov/Archives/edgar/data/1051470/000119312509163853/dex101.htm" TargetMode="External"/><Relationship Id="rId225" Type="http://schemas.openxmlformats.org/officeDocument/2006/relationships/hyperlink" Target="https://www.sec.gov/Archives/edgar/data/1051470/000119312509163853/dex102.htm" TargetMode="External"/><Relationship Id="rId226" Type="http://schemas.openxmlformats.org/officeDocument/2006/relationships/hyperlink" Target="https://www.sec.gov/Archives/edgar/data/1051470/000119312509163853/dex103.htm" TargetMode="External"/><Relationship Id="rId227" Type="http://schemas.openxmlformats.org/officeDocument/2006/relationships/hyperlink" Target="https://www.sec.gov/Archives/edgar/data/1051470/000095015712000590/ex10-1.htm" TargetMode="External"/><Relationship Id="rId228" Type="http://schemas.openxmlformats.org/officeDocument/2006/relationships/hyperlink" Target="https://www.sec.gov/Archives/edgar/data/1051470/000105147013000007/ex1040123112.htm" TargetMode="External"/><Relationship Id="rId229" Type="http://schemas.openxmlformats.org/officeDocument/2006/relationships/hyperlink" Target="https://www.sec.gov/Archives/edgar/data/1051470/000105147013000007/ex1041123112.htm" TargetMode="External"/><Relationship Id="rId232" Type="http://schemas.openxmlformats.org/officeDocument/2006/relationships/hyperlink" Target="https://www.sec.gov/Archives/edgar/data/1051470/000105147013000007/ex1042123112.htm" TargetMode="External"/><Relationship Id="rId233" Type="http://schemas.openxmlformats.org/officeDocument/2006/relationships/hyperlink" Target="https://www.sec.gov/Archives/edgar/data/1051470/000105147013000007/ex1043123112.htm" TargetMode="External"/><Relationship Id="rId234" Type="http://schemas.openxmlformats.org/officeDocument/2006/relationships/hyperlink" Target="https://www.sec.gov/Archives/edgar/data/1051470/000119312513404589/d614058dex101.htm" TargetMode="External"/><Relationship Id="rId235" Type="http://schemas.openxmlformats.org/officeDocument/2006/relationships/hyperlink" Target="https://www.sec.gov/Archives/edgar/data/1051470/000105147014000008/exhibit1049.htm" TargetMode="External"/><Relationship Id="rId236" Type="http://schemas.openxmlformats.org/officeDocument/2006/relationships/hyperlink" Target="https://www.sec.gov/Archives/edgar/data/1051470/000105147014000008/exhibit1050.htm" TargetMode="External"/><Relationship Id="rId237" Type="http://schemas.openxmlformats.org/officeDocument/2006/relationships/hyperlink" Target="https://www.sec.gov/Archives/edgar/data/1051470/000105147014000008/exhibit1051.htm" TargetMode="External"/><Relationship Id="rId238" Type="http://schemas.openxmlformats.org/officeDocument/2006/relationships/hyperlink" Target="https://www.sec.gov/Archives/edgar/data/1051470/000105147014000008/exhibit1052.htm" TargetMode="External"/><Relationship Id="rId239" Type="http://schemas.openxmlformats.org/officeDocument/2006/relationships/hyperlink" Target="https://www.sec.gov/Archives/edgar/data/1051470/000095015716001486/ex10-1.htm" TargetMode="External"/><Relationship Id="rId240" Type="http://schemas.openxmlformats.org/officeDocument/2006/relationships/hyperlink" Target="https://www.sec.gov/Archives/edgar/data/1051470/000095015717000251/ex10_1.htm" TargetMode="External"/><Relationship Id="rId241" Type="http://schemas.openxmlformats.org/officeDocument/2006/relationships/hyperlink" Target="https://www.sec.gov/Archives/edgar/data/1051470/000095015717001243/ex10-1.htm" TargetMode="External"/><Relationship Id="rId242" Type="http://schemas.openxmlformats.org/officeDocument/2006/relationships/hyperlink" Target="https://www.sec.gov/Archives/edgar/data/1051470/000119312518193017/d609451dex101.htm" TargetMode="External"/><Relationship Id="rId243" Type="http://schemas.openxmlformats.org/officeDocument/2006/relationships/hyperlink" Target="https://www.sec.gov/Archives/edgar/data/1051470/000119312519080964/d724597dex101.htm" TargetMode="External"/><Relationship Id="rId248" Type="http://schemas.openxmlformats.org/officeDocument/2006/relationships/hyperlink" Target="https://www.sec.gov/Archives/edgar/data/1051470/000119312519178944/d765690dex101.htm" TargetMode="External"/><Relationship Id="rId249" Type="http://schemas.openxmlformats.org/officeDocument/2006/relationships/hyperlink" Target="https://www.sec.gov/Archives/edgar/data/1051470/000119312521196368/d34803dex101.htm" TargetMode="External"/><Relationship Id="rId250" Type="http://schemas.openxmlformats.org/officeDocument/2006/relationships/hyperlink" Target="https://www.sec.gov/Archives/edgar/data/1051470/000119312522190527/d536644dex101.htm" TargetMode="External"/><Relationship Id="rId251" Type="http://schemas.openxmlformats.org/officeDocument/2006/relationships/hyperlink" Target="https://www.sec.gov/Archives/edgar/data/1051470/000095015719000437/ex10-1.htm" TargetMode="External"/><Relationship Id="rId252" Type="http://schemas.openxmlformats.org/officeDocument/2006/relationships/hyperlink" Target="https://www.sec.gov/Archives/edgar/data/1051470/000119312523299402/d761825dex101.htm" TargetMode="External"/><Relationship Id="rId253" Type="http://schemas.openxmlformats.org/officeDocument/2006/relationships/hyperlink" Target="https://www.sec.gov/Archives/edgar/data/1051470/000095014224000618/eh240454086_ex1001.htm" TargetMode="External"/><Relationship Id="rId254" Type="http://schemas.openxmlformats.org/officeDocument/2006/relationships/hyperlink" Target="https://www.sec.gov/Archives/edgar/data/1051470/000119312524072755/d805818dex11.htm" TargetMode="External"/><Relationship Id="rId255" Type="http://schemas.openxmlformats.org/officeDocument/2006/relationships/hyperlink" Target="https://www.sec.gov/Archives/edgar/data/1051470/000105147024000062/exhibit97crowncastleinc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2025-03-14T16:04:20Z</dcterms:created>
  <dcterms:modified xsi:type="dcterms:W3CDTF">2025-03-14T16:04:20Z</dcterms:modified>
</cp:coreProperties>
</file>