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46" w:lineRule="exact"/>
        <w:rPr>
          <w:sz w:val="24"/>
          <w:szCs w:val="24"/>
          <w:color w:val="auto"/>
        </w:rPr>
      </w:pPr>
    </w:p>
    <w:p>
      <w:pPr>
        <w:ind w:left="1460" w:hanging="239"/>
        <w:spacing w:after="0"/>
        <w:tabs>
          <w:tab w:leader="none" w:pos="14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 the quarterly period ended June 30, 2018</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244" w:lineRule="exact"/>
        <w:rPr>
          <w:sz w:val="24"/>
          <w:szCs w:val="24"/>
          <w:color w:val="auto"/>
        </w:rPr>
      </w:pPr>
    </w:p>
    <w:p>
      <w:pPr>
        <w:ind w:left="1460" w:hanging="239"/>
        <w:spacing w:after="0"/>
        <w:tabs>
          <w:tab w:leader="none" w:pos="14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4" w:lineRule="exact"/>
        <w:rPr>
          <w:sz w:val="24"/>
          <w:szCs w:val="24"/>
          <w:color w:val="auto"/>
        </w:rPr>
      </w:pPr>
    </w:p>
    <w:p>
      <w:pPr>
        <w:ind w:left="4240"/>
        <w:spacing w:after="0"/>
        <w:tabs>
          <w:tab w:leader="none" w:pos="6480" w:val="left"/>
        </w:tabs>
        <w:rPr>
          <w:sz w:val="20"/>
          <w:szCs w:val="20"/>
          <w:color w:val="auto"/>
        </w:rPr>
      </w:pPr>
      <w:r>
        <w:rPr>
          <w:rFonts w:ascii="Arial" w:cs="Arial" w:eastAsia="Arial" w:hAnsi="Arial"/>
          <w:sz w:val="17"/>
          <w:szCs w:val="17"/>
          <w:color w:val="auto"/>
        </w:rPr>
        <w:t>For the transition period</w:t>
      </w:r>
      <w:r>
        <w:rPr>
          <w:sz w:val="20"/>
          <w:szCs w:val="20"/>
          <w:color w:val="auto"/>
        </w:rPr>
        <w:tab/>
      </w:r>
      <w:r>
        <w:rPr>
          <w:rFonts w:ascii="Arial" w:cs="Arial" w:eastAsia="Arial" w:hAnsi="Arial"/>
          <w:sz w:val="16"/>
          <w:szCs w:val="16"/>
          <w:color w:val="auto"/>
        </w:rPr>
        <w:t>to</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Commission File Number 333-187970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CC HOLDINGS GS V LLC</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90" w:lineRule="exact"/>
        <w:rPr>
          <w:sz w:val="24"/>
          <w:szCs w:val="24"/>
          <w:color w:val="auto"/>
        </w:rPr>
      </w:pPr>
    </w:p>
    <w:tbl>
      <w:tblPr>
        <w:tblLayout w:type="fixed"/>
        <w:tblInd w:w="2720" w:type="dxa"/>
        <w:tblCellMar>
          <w:top w:w="0" w:type="dxa"/>
          <w:left w:w="0" w:type="dxa"/>
          <w:bottom w:w="0" w:type="dxa"/>
          <w:right w:w="0" w:type="dxa"/>
        </w:tblCellMar>
      </w:tblPr>
      <w:tr>
        <w:trPr>
          <w:trHeight w:val="222"/>
        </w:trPr>
        <w:tc>
          <w:tcPr>
            <w:tcW w:w="3200" w:type="dxa"/>
            <w:vAlign w:val="bottom"/>
          </w:tcPr>
          <w:p>
            <w:pPr>
              <w:jc w:val="center"/>
              <w:ind w:right="1350"/>
              <w:spacing w:after="0"/>
              <w:rPr>
                <w:sz w:val="20"/>
                <w:szCs w:val="20"/>
                <w:color w:val="auto"/>
              </w:rPr>
            </w:pPr>
            <w:r>
              <w:rPr>
                <w:rFonts w:ascii="Arial" w:cs="Arial" w:eastAsia="Arial" w:hAnsi="Arial"/>
                <w:sz w:val="17"/>
                <w:szCs w:val="17"/>
                <w:b w:val="1"/>
                <w:bCs w:val="1"/>
                <w:color w:val="auto"/>
                <w:w w:val="93"/>
              </w:rPr>
              <w:t>Delaware</w:t>
            </w:r>
          </w:p>
        </w:tc>
        <w:tc>
          <w:tcPr>
            <w:tcW w:w="2400" w:type="dxa"/>
            <w:vAlign w:val="bottom"/>
          </w:tcPr>
          <w:p>
            <w:pPr>
              <w:jc w:val="center"/>
              <w:ind w:left="1330"/>
              <w:spacing w:after="0"/>
              <w:rPr>
                <w:sz w:val="20"/>
                <w:szCs w:val="20"/>
                <w:color w:val="auto"/>
              </w:rPr>
            </w:pPr>
            <w:r>
              <w:rPr>
                <w:rFonts w:ascii="Arial" w:cs="Arial" w:eastAsia="Arial" w:hAnsi="Arial"/>
                <w:sz w:val="17"/>
                <w:szCs w:val="17"/>
                <w:b w:val="1"/>
                <w:bCs w:val="1"/>
                <w:color w:val="auto"/>
                <w:w w:val="92"/>
              </w:rPr>
              <w:t>20-4300339</w:t>
            </w:r>
          </w:p>
        </w:tc>
      </w:tr>
      <w:tr>
        <w:trPr>
          <w:trHeight w:val="175"/>
        </w:trPr>
        <w:tc>
          <w:tcPr>
            <w:tcW w:w="3200" w:type="dxa"/>
            <w:vAlign w:val="bottom"/>
          </w:tcPr>
          <w:p>
            <w:pPr>
              <w:jc w:val="center"/>
              <w:ind w:right="1370"/>
              <w:spacing w:after="0"/>
              <w:rPr>
                <w:sz w:val="20"/>
                <w:szCs w:val="20"/>
                <w:color w:val="auto"/>
              </w:rPr>
            </w:pPr>
            <w:r>
              <w:rPr>
                <w:rFonts w:ascii="Arial" w:cs="Arial" w:eastAsia="Arial" w:hAnsi="Arial"/>
                <w:sz w:val="13"/>
                <w:szCs w:val="13"/>
                <w:b w:val="1"/>
                <w:bCs w:val="1"/>
                <w:color w:val="auto"/>
                <w:w w:val="88"/>
              </w:rPr>
              <w:t>(State or other jurisdiction</w:t>
            </w:r>
          </w:p>
        </w:tc>
        <w:tc>
          <w:tcPr>
            <w:tcW w:w="2400" w:type="dxa"/>
            <w:vAlign w:val="bottom"/>
          </w:tcPr>
          <w:p>
            <w:pPr>
              <w:jc w:val="center"/>
              <w:ind w:left="1330"/>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3200" w:type="dxa"/>
            <w:vAlign w:val="bottom"/>
          </w:tcPr>
          <w:p>
            <w:pPr>
              <w:jc w:val="center"/>
              <w:ind w:right="1350"/>
              <w:spacing w:after="0"/>
              <w:rPr>
                <w:sz w:val="20"/>
                <w:szCs w:val="20"/>
                <w:color w:val="auto"/>
              </w:rPr>
            </w:pPr>
            <w:r>
              <w:rPr>
                <w:rFonts w:ascii="Arial" w:cs="Arial" w:eastAsia="Arial" w:hAnsi="Arial"/>
                <w:sz w:val="13"/>
                <w:szCs w:val="13"/>
                <w:b w:val="1"/>
                <w:bCs w:val="1"/>
                <w:color w:val="auto"/>
                <w:w w:val="88"/>
              </w:rPr>
              <w:t>of incorporation or organization)</w:t>
            </w:r>
          </w:p>
        </w:tc>
        <w:tc>
          <w:tcPr>
            <w:tcW w:w="2400" w:type="dxa"/>
            <w:vAlign w:val="bottom"/>
          </w:tcPr>
          <w:p>
            <w:pPr>
              <w:jc w:val="center"/>
              <w:ind w:left="1330"/>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1220 Augusta Drive, Suite 600, Houston, Texas 77057-2261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executives office) (Zip Code)</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(713) 570-3000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30" w:lineRule="exact"/>
        <w:rPr>
          <w:sz w:val="24"/>
          <w:szCs w:val="24"/>
          <w:color w:val="auto"/>
        </w:rPr>
      </w:pPr>
    </w:p>
    <w:p>
      <w:pPr>
        <w:jc w:val="both"/>
        <w:ind w:right="540" w:firstLine="32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129" w:lineRule="exact"/>
        <w:rPr>
          <w:sz w:val="24"/>
          <w:szCs w:val="24"/>
          <w:color w:val="auto"/>
        </w:rPr>
      </w:pPr>
    </w:p>
    <w:p>
      <w:pPr>
        <w:ind w:right="400" w:firstLine="324"/>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ind w:right="40" w:firstLine="324"/>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1240" w:type="dxa"/>
        <w:tblCellMar>
          <w:top w:w="0" w:type="dxa"/>
          <w:left w:w="0" w:type="dxa"/>
          <w:bottom w:w="0" w:type="dxa"/>
          <w:right w:w="0" w:type="dxa"/>
        </w:tblCellMar>
      </w:tblPr>
      <w:tr>
        <w:trPr>
          <w:trHeight w:val="206"/>
        </w:trPr>
        <w:tc>
          <w:tcPr>
            <w:tcW w:w="1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40" w:type="dxa"/>
            <w:vAlign w:val="bottom"/>
          </w:tcPr>
          <w:p>
            <w:pPr>
              <w:ind w:left="260"/>
              <w:spacing w:after="0"/>
              <w:rPr>
                <w:sz w:val="20"/>
                <w:szCs w:val="20"/>
                <w:color w:val="auto"/>
              </w:rPr>
            </w:pPr>
            <w:r>
              <w:rPr>
                <w:rFonts w:ascii="Arial" w:cs="Arial" w:eastAsia="Arial" w:hAnsi="Arial"/>
                <w:sz w:val="16"/>
                <w:szCs w:val="16"/>
                <w:color w:val="auto"/>
              </w:rPr>
              <w:t>o</w:t>
            </w:r>
          </w:p>
        </w:tc>
        <w:tc>
          <w:tcPr>
            <w:tcW w:w="3500" w:type="dxa"/>
            <w:vAlign w:val="bottom"/>
          </w:tcPr>
          <w:p>
            <w:pPr>
              <w:spacing w:after="0"/>
              <w:rPr>
                <w:sz w:val="17"/>
                <w:szCs w:val="17"/>
                <w:color w:val="auto"/>
              </w:rPr>
            </w:pPr>
          </w:p>
        </w:tc>
        <w:tc>
          <w:tcPr>
            <w:tcW w:w="2620" w:type="dxa"/>
            <w:vAlign w:val="bottom"/>
          </w:tcPr>
          <w:p>
            <w:pPr>
              <w:ind w:left="40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70"/>
        </w:trPr>
        <w:tc>
          <w:tcPr>
            <w:tcW w:w="1720" w:type="dxa"/>
            <w:vAlign w:val="bottom"/>
          </w:tcPr>
          <w:p>
            <w:pPr>
              <w:spacing w:after="0"/>
              <w:rPr>
                <w:sz w:val="20"/>
                <w:szCs w:val="20"/>
                <w:color w:val="auto"/>
              </w:rPr>
            </w:pPr>
            <w:r>
              <w:rPr>
                <w:rFonts w:ascii="Arial" w:cs="Arial" w:eastAsia="Arial" w:hAnsi="Arial"/>
                <w:sz w:val="16"/>
                <w:szCs w:val="16"/>
                <w:color w:val="auto"/>
              </w:rPr>
              <w:t>Non-accelerated filer</w:t>
            </w:r>
          </w:p>
        </w:tc>
        <w:tc>
          <w:tcPr>
            <w:tcW w:w="440" w:type="dxa"/>
            <w:vAlign w:val="bottom"/>
          </w:tcPr>
          <w:p>
            <w:pPr>
              <w:ind w:left="260"/>
              <w:spacing w:after="0"/>
              <w:rPr>
                <w:sz w:val="20"/>
                <w:szCs w:val="20"/>
                <w:color w:val="auto"/>
              </w:rPr>
            </w:pPr>
            <w:r>
              <w:rPr>
                <w:rFonts w:ascii="Arial" w:cs="Arial" w:eastAsia="Arial" w:hAnsi="Arial"/>
                <w:sz w:val="16"/>
                <w:szCs w:val="16"/>
                <w:color w:val="auto"/>
              </w:rPr>
              <w:t>x</w:t>
            </w:r>
          </w:p>
        </w:tc>
        <w:tc>
          <w:tcPr>
            <w:tcW w:w="3500" w:type="dxa"/>
            <w:vAlign w:val="bottom"/>
          </w:tcPr>
          <w:p>
            <w:pPr>
              <w:ind w:left="80"/>
              <w:spacing w:after="0"/>
              <w:rPr>
                <w:sz w:val="20"/>
                <w:szCs w:val="20"/>
                <w:color w:val="auto"/>
              </w:rPr>
            </w:pPr>
            <w:r>
              <w:rPr>
                <w:rFonts w:ascii="Arial" w:cs="Arial" w:eastAsia="Arial" w:hAnsi="Arial"/>
                <w:sz w:val="16"/>
                <w:szCs w:val="16"/>
                <w:color w:val="auto"/>
              </w:rPr>
              <w:t>(Do not check if a smaller reporting company)</w:t>
            </w:r>
          </w:p>
        </w:tc>
        <w:tc>
          <w:tcPr>
            <w:tcW w:w="2620" w:type="dxa"/>
            <w:vAlign w:val="bottom"/>
          </w:tcPr>
          <w:p>
            <w:pPr>
              <w:ind w:left="40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70"/>
        </w:trPr>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2620" w:type="dxa"/>
            <w:vAlign w:val="bottom"/>
          </w:tcPr>
          <w:p>
            <w:pPr>
              <w:ind w:left="40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bl>
    <w:p>
      <w:pPr>
        <w:spacing w:after="0" w:line="50" w:lineRule="exact"/>
        <w:rPr>
          <w:sz w:val="24"/>
          <w:szCs w:val="24"/>
          <w:color w:val="auto"/>
        </w:rPr>
      </w:pPr>
    </w:p>
    <w:p>
      <w:pPr>
        <w:ind w:left="1240" w:right="1860"/>
        <w:spacing w:after="0" w:line="36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9" w:lineRule="exact"/>
        <w:rPr>
          <w:sz w:val="24"/>
          <w:szCs w:val="24"/>
          <w:color w:val="auto"/>
        </w:rPr>
      </w:pPr>
    </w:p>
    <w:p>
      <w:pPr>
        <w:ind w:left="340"/>
        <w:spacing w:after="0"/>
        <w:tabs>
          <w:tab w:leader="none" w:pos="7840" w:val="left"/>
          <w:tab w:leader="none" w:pos="84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No x</w:t>
      </w:r>
    </w:p>
    <w:p>
      <w:pPr>
        <w:spacing w:after="0" w:line="167"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June 30, 2018, the only member of the registrant is a wholly-owned indirect subsidiary of Crown Castle International Corp.</w:t>
      </w:r>
    </w:p>
    <w:p>
      <w:pPr>
        <w:spacing w:after="0" w:line="167" w:lineRule="exact"/>
        <w:rPr>
          <w:sz w:val="24"/>
          <w:szCs w:val="24"/>
          <w:color w:val="auto"/>
        </w:rPr>
      </w:pPr>
    </w:p>
    <w:p>
      <w:pPr>
        <w:ind w:right="320" w:firstLine="324"/>
        <w:spacing w:after="0" w:line="275" w:lineRule="auto"/>
        <w:rPr>
          <w:sz w:val="20"/>
          <w:szCs w:val="20"/>
          <w:color w:val="auto"/>
        </w:rPr>
      </w:pPr>
      <w:r>
        <w:rPr>
          <w:rFonts w:ascii="Arial" w:cs="Arial" w:eastAsia="Arial" w:hAnsi="Arial"/>
          <w:sz w:val="16"/>
          <w:szCs w:val="16"/>
          <w:color w:val="auto"/>
        </w:rPr>
        <w:t>The registrant is a wholly-owned indirect subsidiary of Crown Castle International Corp. and meets the conditions set forth in General Instruction (H)(1)(a) and (b) of Form 10-Q, and is therefore filing this form with the reduced disclosure format.</w:t>
      </w:r>
    </w:p>
    <w:p>
      <w:pPr>
        <w:sectPr>
          <w:pgSz w:w="11900" w:h="16838" w:orient="portrait"/>
          <w:cols w:equalWidth="0" w:num="1">
            <w:col w:w="11420"/>
          </w:cols>
          <w:pgMar w:left="240" w:top="11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29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8"/>
              </w:rPr>
              <w:t>PART I—FINANCIAL INFORMATION</w:t>
            </w:r>
          </w:p>
        </w:tc>
        <w:tc>
          <w:tcPr>
            <w:tcW w:w="7240" w:type="dxa"/>
            <w:vAlign w:val="bottom"/>
            <w:gridSpan w:val="10"/>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11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5"/>
              </w:rPr>
              <w:t>CONDENSED CONSOLIDATED BALANCE SHEET</w:t>
            </w:r>
          </w:p>
        </w:tc>
        <w:tc>
          <w:tcPr>
            <w:tcW w:w="4500" w:type="dxa"/>
            <w:vAlign w:val="bottom"/>
            <w:gridSpan w:val="6"/>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3"/>
              </w:rPr>
              <w:t>CONDENSED CONSOLIDATED STATEMENT OF OPERATIONS (Unaudited)</w:t>
            </w:r>
          </w:p>
        </w:tc>
        <w:tc>
          <w:tcPr>
            <w:tcW w:w="2580" w:type="dxa"/>
            <w:vAlign w:val="bottom"/>
            <w:gridSpan w:val="5"/>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Arial" w:cs="Arial" w:eastAsia="Arial" w:hAnsi="Arial"/>
                <w:sz w:val="18"/>
                <w:szCs w:val="18"/>
                <w:color w:val="auto"/>
              </w:rPr>
              <w:t>CONDENSED CONSOLIDATED STATEMENT OF CASH FLOWS (Unaudited)</w:t>
            </w:r>
          </w:p>
        </w:tc>
        <w:tc>
          <w:tcPr>
            <w:tcW w:w="11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Arial" w:cs="Arial" w:eastAsia="Arial" w:hAnsi="Arial"/>
                <w:sz w:val="18"/>
                <w:szCs w:val="18"/>
                <w:color w:val="auto"/>
              </w:rPr>
              <w:t>CONDENSED CONSOLIDATED STATEMENT OF CHANGES IN MEMBER'S EQUITY (Unaudited)</w:t>
            </w:r>
          </w:p>
        </w:tc>
        <w:tc>
          <w:tcPr>
            <w:tcW w:w="11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NOTES TO CONDENSED CONSOLIDATED FINANCIAL STATEMENTS—Unaudited</w:t>
            </w:r>
          </w:p>
        </w:tc>
        <w:tc>
          <w:tcPr>
            <w:tcW w:w="940" w:type="dxa"/>
            <w:vAlign w:val="bottom"/>
            <w:gridSpan w:val="2"/>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74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7"/>
              </w:rPr>
              <w:t>MANAGEMENT'S DISCUSSION AND ANALYSIS OF FINANCIAL CONDITION AND RESULTS OF</w:t>
            </w: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Arial" w:cs="Arial" w:eastAsia="Arial" w:hAnsi="Arial"/>
                <w:sz w:val="18"/>
                <w:szCs w:val="18"/>
                <w:color w:val="auto"/>
                <w:w w:val="91"/>
              </w:rPr>
              <w:t>OPERATIONS</w:t>
            </w:r>
          </w:p>
        </w:tc>
        <w:tc>
          <w:tcPr>
            <w:tcW w:w="7400" w:type="dxa"/>
            <w:vAlign w:val="bottom"/>
            <w:gridSpan w:val="12"/>
          </w:tcPr>
          <w:p>
            <w:pPr>
              <w:spacing w:after="0"/>
              <w:rPr>
                <w:sz w:val="17"/>
                <w:szCs w:val="17"/>
                <w:color w:val="auto"/>
              </w:rPr>
            </w:pPr>
          </w:p>
        </w:tc>
        <w:tc>
          <w:tcPr>
            <w:tcW w:w="1140" w:type="dxa"/>
            <w:vAlign w:val="bottom"/>
            <w:gridSpan w:val="3"/>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600" w:type="dxa"/>
            <w:vAlign w:val="bottom"/>
            <w:gridSpan w:val="8"/>
          </w:tcPr>
          <w:p>
            <w:pPr>
              <w:spacing w:after="0"/>
              <w:rPr>
                <w:sz w:val="20"/>
                <w:szCs w:val="20"/>
                <w:color w:val="auto"/>
              </w:rPr>
            </w:pPr>
            <w:r>
              <w:rPr>
                <w:rFonts w:ascii="Arial" w:cs="Arial" w:eastAsia="Arial" w:hAnsi="Arial"/>
                <w:sz w:val="18"/>
                <w:szCs w:val="18"/>
                <w:color w:val="auto"/>
                <w:w w:val="93"/>
              </w:rPr>
              <w:t>CONTROLS AND PROCEDURES</w:t>
            </w:r>
          </w:p>
        </w:tc>
        <w:tc>
          <w:tcPr>
            <w:tcW w:w="5900" w:type="dxa"/>
            <w:vAlign w:val="bottom"/>
            <w:gridSpan w:val="7"/>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5"/>
          </w:tcPr>
          <w:p>
            <w:pPr>
              <w:spacing w:after="0"/>
              <w:rPr>
                <w:sz w:val="20"/>
                <w:szCs w:val="20"/>
                <w:color w:val="auto"/>
              </w:rPr>
            </w:pPr>
            <w:r>
              <w:rPr>
                <w:rFonts w:ascii="Arial" w:cs="Arial" w:eastAsia="Arial" w:hAnsi="Arial"/>
                <w:sz w:val="18"/>
                <w:szCs w:val="18"/>
                <w:color w:val="auto"/>
                <w:w w:val="95"/>
              </w:rPr>
              <w:t>PART II—OTHER INFORMATION</w:t>
            </w:r>
          </w:p>
        </w:tc>
        <w:tc>
          <w:tcPr>
            <w:tcW w:w="7560" w:type="dxa"/>
            <w:vAlign w:val="bottom"/>
            <w:gridSpan w:val="13"/>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5"/>
          </w:tcPr>
          <w:p>
            <w:pPr>
              <w:spacing w:after="0"/>
              <w:rPr>
                <w:sz w:val="20"/>
                <w:szCs w:val="20"/>
                <w:color w:val="auto"/>
              </w:rPr>
            </w:pPr>
            <w:r>
              <w:rPr>
                <w:rFonts w:ascii="Arial" w:cs="Arial" w:eastAsia="Arial" w:hAnsi="Arial"/>
                <w:sz w:val="18"/>
                <w:szCs w:val="18"/>
                <w:color w:val="auto"/>
              </w:rPr>
              <w:t>LEGAL PROCEEDINGS</w:t>
            </w:r>
          </w:p>
        </w:tc>
        <w:tc>
          <w:tcPr>
            <w:tcW w:w="11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240" w:type="dxa"/>
            <w:vAlign w:val="bottom"/>
            <w:gridSpan w:val="4"/>
          </w:tcPr>
          <w:p>
            <w:pPr>
              <w:spacing w:after="0"/>
              <w:rPr>
                <w:sz w:val="20"/>
                <w:szCs w:val="20"/>
                <w:color w:val="auto"/>
              </w:rPr>
            </w:pPr>
            <w:r>
              <w:rPr>
                <w:rFonts w:ascii="Arial" w:cs="Arial" w:eastAsia="Arial" w:hAnsi="Arial"/>
                <w:sz w:val="18"/>
                <w:szCs w:val="18"/>
                <w:color w:val="auto"/>
                <w:w w:val="91"/>
              </w:rPr>
              <w:t>RISK FACTORS</w:t>
            </w:r>
          </w:p>
        </w:tc>
        <w:tc>
          <w:tcPr>
            <w:tcW w:w="620" w:type="dxa"/>
            <w:vAlign w:val="bottom"/>
            <w:gridSpan w:val="2"/>
          </w:tcPr>
          <w:p>
            <w:pPr>
              <w:spacing w:after="0"/>
              <w:rPr>
                <w:sz w:val="21"/>
                <w:szCs w:val="21"/>
                <w:color w:val="auto"/>
              </w:rPr>
            </w:pPr>
          </w:p>
        </w:tc>
        <w:tc>
          <w:tcPr>
            <w:tcW w:w="6640" w:type="dxa"/>
            <w:vAlign w:val="bottom"/>
            <w:gridSpan w:val="9"/>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26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20" w:type="dxa"/>
            <w:vAlign w:val="bottom"/>
          </w:tcPr>
          <w:p>
            <w:pPr>
              <w:spacing w:after="0"/>
              <w:rPr>
                <w:sz w:val="20"/>
                <w:szCs w:val="20"/>
                <w:color w:val="auto"/>
              </w:rPr>
            </w:pPr>
            <w:r>
              <w:rPr>
                <w:rFonts w:ascii="Arial" w:cs="Arial" w:eastAsia="Arial" w:hAnsi="Arial"/>
                <w:sz w:val="18"/>
                <w:szCs w:val="18"/>
                <w:color w:val="auto"/>
                <w:w w:val="97"/>
              </w:rPr>
              <w:t>EXHIBITS</w:t>
            </w:r>
          </w:p>
        </w:tc>
        <w:tc>
          <w:tcPr>
            <w:tcW w:w="420" w:type="dxa"/>
            <w:vAlign w:val="bottom"/>
            <w:gridSpan w:val="3"/>
          </w:tcPr>
          <w:p>
            <w:pPr>
              <w:spacing w:after="0"/>
              <w:rPr>
                <w:sz w:val="21"/>
                <w:szCs w:val="21"/>
                <w:color w:val="auto"/>
              </w:rPr>
            </w:pPr>
          </w:p>
        </w:tc>
        <w:tc>
          <w:tcPr>
            <w:tcW w:w="7260" w:type="dxa"/>
            <w:vAlign w:val="bottom"/>
            <w:gridSpan w:val="11"/>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Arial" w:cs="Arial" w:eastAsia="Arial" w:hAnsi="Arial"/>
                <w:sz w:val="18"/>
                <w:szCs w:val="18"/>
                <w:color w:val="auto"/>
                <w:w w:val="99"/>
              </w:rPr>
              <w:t>EXHIBIT INDEX</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w w:val="92"/>
              </w:rPr>
              <w:t>SIGNATURES</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and any variation of these words,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"Part I—Item 2. Management's Discussion and Analysis of Financial Condition and Results of Operations"</w:t>
      </w:r>
      <w:r>
        <w:rPr>
          <w:rFonts w:ascii="Arial" w:cs="Arial" w:eastAsia="Arial" w:hAnsi="Arial"/>
          <w:sz w:val="16"/>
          <w:szCs w:val="16"/>
          <w:color w:val="auto"/>
        </w:rPr>
        <w:t xml:space="preserve"> ("MD&amp;A") herein. Such forward-looking statements include (1) expectations regarding anticipated growth in the wireless industry, carriers' investments in their networks, tenant additions, and demand for data and our communications infrastructure, (2) expectations regarding tenant leasing and non-renewals of tenant contracts (including the impact of our customers' decommissioning of the former Leap Wireless, MetroPCS and Clearwire networks (collectively, "Acquired Networks")), (3) availability and adequacy of cash flows and liquidity for, or plans regarding, future discretionary investments, including capital expenditure limitations created as a result of being a wholly-owned indirect subsidiary of Crown Castle International Corp. ("CCIC" or "Crown Castle") and reliance on strategic decisions made by CCIC management that enable such discretionary investments, (4) potential benefits of our discretionary investments,</w:t>
      </w:r>
    </w:p>
    <w:p>
      <w:pPr>
        <w:spacing w:after="0" w:line="5" w:lineRule="exact"/>
        <w:rPr>
          <w:sz w:val="20"/>
          <w:szCs w:val="20"/>
          <w:color w:val="auto"/>
        </w:rPr>
      </w:pPr>
    </w:p>
    <w:p>
      <w:pPr>
        <w:jc w:val="both"/>
        <w:ind w:firstLine="8"/>
        <w:spacing w:after="0" w:line="271" w:lineRule="auto"/>
        <w:tabs>
          <w:tab w:leader="none" w:pos="268" w:val="left"/>
        </w:tabs>
        <w:numPr>
          <w:ilvl w:val="0"/>
          <w:numId w:val="3"/>
        </w:numPr>
        <w:rPr>
          <w:rFonts w:ascii="Arial" w:cs="Arial" w:eastAsia="Arial" w:hAnsi="Arial"/>
          <w:sz w:val="17"/>
          <w:szCs w:val="17"/>
          <w:color w:val="auto"/>
        </w:rPr>
      </w:pPr>
      <w:r>
        <w:rPr>
          <w:rFonts w:ascii="Arial" w:cs="Arial" w:eastAsia="Arial" w:hAnsi="Arial"/>
          <w:sz w:val="17"/>
          <w:szCs w:val="17"/>
          <w:color w:val="auto"/>
        </w:rPr>
        <w:t>anticipated changes in our financial results, including future revenues and operating cash flows, (6) expectations regarding our capital structure and the credit markets, net cash, debt maturities, our availability and cost of capital, or our ability to service our debt and comply with debt covenants, (7) expectations for sustaining capital expenditures, (8) expectations related to CCIC's ability to remain qualified as a real estate investment trust ("REIT") and the advantages, benefits or impact of, or opportunities created by the inclusion of our assets and operations in CCIC's REIT and (9) expectations related to the impact of customer consolidation or ownership changes, including the impact of the potential combination of T-Mobile and Sprint.</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of our Annual Report on Form 10-K for the fiscal year ended December 31, 2017 ("2017 Form 10-K") and other factors. Should one or more of these risks or uncertainties materialize, or should underlying assumptions prove incorrect, actual results may vary materially from those expected. As used herein, the term "including," and any variation thereof, means "including without limitation." The use of the word "or" herein is not exclusive.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76"/>
        </w:trPr>
        <w:tc>
          <w:tcPr>
            <w:tcW w:w="1260" w:type="dxa"/>
            <w:vAlign w:val="bottom"/>
          </w:tcPr>
          <w:p>
            <w:pPr>
              <w:spacing w:after="0"/>
              <w:rPr>
                <w:sz w:val="24"/>
                <w:szCs w:val="24"/>
                <w:color w:val="auto"/>
              </w:rPr>
            </w:pPr>
          </w:p>
        </w:tc>
        <w:tc>
          <w:tcPr>
            <w:tcW w:w="6860" w:type="dxa"/>
            <w:vAlign w:val="bottom"/>
          </w:tcPr>
          <w:p>
            <w:pPr>
              <w:jc w:val="center"/>
              <w:ind w:left="1953"/>
              <w:spacing w:after="0"/>
              <w:rPr>
                <w:sz w:val="20"/>
                <w:szCs w:val="20"/>
                <w:color w:val="auto"/>
              </w:rPr>
            </w:pPr>
            <w:r>
              <w:rPr>
                <w:rFonts w:ascii="Arial" w:cs="Arial" w:eastAsia="Arial" w:hAnsi="Arial"/>
                <w:sz w:val="18"/>
                <w:szCs w:val="18"/>
                <w:b w:val="1"/>
                <w:bCs w:val="1"/>
                <w:color w:val="auto"/>
                <w:w w:val="99"/>
              </w:rPr>
              <w:t>CC HOLDINGS GS V LLC</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7140" w:type="dxa"/>
            <w:vAlign w:val="bottom"/>
            <w:gridSpan w:val="2"/>
          </w:tcPr>
          <w:p>
            <w:pPr>
              <w:jc w:val="center"/>
              <w:ind w:left="1693"/>
              <w:spacing w:after="0"/>
              <w:rPr>
                <w:sz w:val="20"/>
                <w:szCs w:val="20"/>
                <w:color w:val="auto"/>
              </w:rPr>
            </w:pPr>
            <w:r>
              <w:rPr>
                <w:rFonts w:ascii="Arial" w:cs="Arial" w:eastAsia="Arial" w:hAnsi="Arial"/>
                <w:sz w:val="18"/>
                <w:szCs w:val="18"/>
                <w:b w:val="1"/>
                <w:bCs w:val="1"/>
                <w:color w:val="auto"/>
                <w:w w:val="97"/>
              </w:rPr>
              <w:t>CONDENSED CONSOLIDATED BALANCE SHEET (Unaudited)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6860" w:type="dxa"/>
            <w:vAlign w:val="bottom"/>
          </w:tcPr>
          <w:p>
            <w:pPr>
              <w:jc w:val="center"/>
              <w:ind w:left="1973"/>
              <w:spacing w:after="0"/>
              <w:rPr>
                <w:sz w:val="20"/>
                <w:szCs w:val="20"/>
                <w:color w:val="auto"/>
              </w:rPr>
            </w:pPr>
            <w:r>
              <w:rPr>
                <w:rFonts w:ascii="Arial" w:cs="Arial" w:eastAsia="Arial" w:hAnsi="Arial"/>
                <w:sz w:val="18"/>
                <w:szCs w:val="18"/>
                <w:b w:val="1"/>
                <w:bCs w:val="1"/>
                <w:color w:val="auto"/>
                <w:w w:val="89"/>
              </w:rPr>
              <w:t>(In thousands of dollars)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07"/>
        </w:trPr>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4"/>
                <w:szCs w:val="24"/>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2017</w:t>
            </w:r>
          </w:p>
        </w:tc>
      </w:tr>
      <w:tr>
        <w:trPr>
          <w:trHeight w:val="236"/>
        </w:trPr>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6860" w:type="dxa"/>
            <w:vAlign w:val="bottom"/>
            <w:tcBorders>
              <w:top w:val="single" w:sz="8" w:color="CCEEFF"/>
              <w:bottom w:val="single" w:sz="8" w:color="CCEEFF"/>
            </w:tcBorders>
            <w:shd w:val="clear" w:color="auto" w:fill="CCEEFF"/>
          </w:tcPr>
          <w:p>
            <w:pPr>
              <w:jc w:val="center"/>
              <w:ind w:right="1173"/>
              <w:spacing w:after="0"/>
              <w:rPr>
                <w:sz w:val="20"/>
                <w:szCs w:val="20"/>
                <w:color w:val="auto"/>
              </w:rPr>
            </w:pPr>
            <w:r>
              <w:rPr>
                <w:rFonts w:ascii="Arial" w:cs="Arial" w:eastAsia="Arial" w:hAnsi="Arial"/>
                <w:sz w:val="16"/>
                <w:szCs w:val="16"/>
                <w:b w:val="1"/>
                <w:bCs w:val="1"/>
                <w:color w:val="auto"/>
                <w:w w:val="93"/>
              </w:rPr>
              <w:t>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8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30,771</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2,581</w:t>
            </w:r>
          </w:p>
        </w:tc>
      </w:tr>
      <w:tr>
        <w:trPr>
          <w:trHeight w:val="33"/>
        </w:trPr>
        <w:tc>
          <w:tcPr>
            <w:tcW w:w="8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24,300</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Deferred site rental receivables and other current assets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39,928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25,105</w:t>
            </w:r>
          </w:p>
        </w:tc>
      </w:tr>
      <w:tr>
        <w:trPr>
          <w:trHeight w:val="33"/>
        </w:trPr>
        <w:tc>
          <w:tcPr>
            <w:tcW w:w="81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91,377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82,757</w:t>
            </w:r>
          </w:p>
        </w:tc>
      </w:tr>
      <w:tr>
        <w:trPr>
          <w:trHeight w:val="237"/>
        </w:trPr>
        <w:tc>
          <w:tcPr>
            <w:tcW w:w="8120" w:type="dxa"/>
            <w:vAlign w:val="bottom"/>
            <w:gridSpan w:val="2"/>
          </w:tcPr>
          <w:p>
            <w:pPr>
              <w:spacing w:after="0"/>
              <w:rPr>
                <w:sz w:val="20"/>
                <w:szCs w:val="20"/>
                <w:color w:val="auto"/>
              </w:rPr>
            </w:pPr>
            <w:r>
              <w:rPr>
                <w:rFonts w:ascii="Arial" w:cs="Arial" w:eastAsia="Arial" w:hAnsi="Arial"/>
                <w:sz w:val="16"/>
                <w:szCs w:val="16"/>
                <w:color w:val="auto"/>
              </w:rPr>
              <w:t>Deferred site rental receivables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325,070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333,164</w:t>
            </w:r>
          </w:p>
        </w:tc>
      </w:tr>
      <w:tr>
        <w:trPr>
          <w:trHeight w:val="33"/>
        </w:trPr>
        <w:tc>
          <w:tcPr>
            <w:tcW w:w="8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and equipment, net of accumulated depreciation of $965,913 and $919,546,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1,041,157</w:t>
            </w: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Goodwill</w:t>
            </w:r>
          </w:p>
        </w:tc>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1,338,730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1,338,730</w:t>
            </w:r>
          </w:p>
        </w:tc>
      </w:tr>
      <w:tr>
        <w:trPr>
          <w:trHeight w:val="33"/>
        </w:trPr>
        <w:tc>
          <w:tcPr>
            <w:tcW w:w="8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864,946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922,526</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38,999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38,154</w:t>
            </w:r>
          </w:p>
        </w:tc>
      </w:tr>
      <w:tr>
        <w:trPr>
          <w:trHeight w:val="33"/>
        </w:trPr>
        <w:tc>
          <w:tcPr>
            <w:tcW w:w="81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3,684,372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3,756,488</w:t>
            </w:r>
          </w:p>
        </w:tc>
      </w:tr>
      <w:tr>
        <w:trPr>
          <w:trHeight w:val="20"/>
        </w:trPr>
        <w:tc>
          <w:tcPr>
            <w:tcW w:w="12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7"/>
        </w:trPr>
        <w:tc>
          <w:tcPr>
            <w:tcW w:w="12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0"/>
        </w:trPr>
        <w:tc>
          <w:tcPr>
            <w:tcW w:w="126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jc w:val="center"/>
              <w:ind w:right="1173"/>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w w:val="97"/>
              </w:rPr>
              <w:t>Current liabilities:</w:t>
            </w:r>
          </w:p>
        </w:tc>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8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Accrued expenses and payables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1,801</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8,126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8,126</w:t>
            </w:r>
          </w:p>
        </w:tc>
      </w:tr>
      <w:tr>
        <w:trPr>
          <w:trHeight w:val="33"/>
        </w:trPr>
        <w:tc>
          <w:tcPr>
            <w:tcW w:w="8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11,586</w:t>
            </w: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Other accrued liabilities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8,828</w:t>
            </w:r>
          </w:p>
        </w:tc>
      </w:tr>
      <w:tr>
        <w:trPr>
          <w:trHeight w:val="33"/>
        </w:trPr>
        <w:tc>
          <w:tcPr>
            <w:tcW w:w="81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30,341</w:t>
            </w: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Debt</w:t>
            </w:r>
          </w:p>
        </w:tc>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993,355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992,663</w:t>
            </w:r>
          </w:p>
        </w:tc>
      </w:tr>
      <w:tr>
        <w:trPr>
          <w:trHeight w:val="33"/>
        </w:trPr>
        <w:tc>
          <w:tcPr>
            <w:tcW w:w="8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ground lease payable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107,673</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49,688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49,340</w:t>
            </w:r>
          </w:p>
        </w:tc>
      </w:tr>
      <w:tr>
        <w:trPr>
          <w:trHeight w:val="33"/>
        </w:trPr>
        <w:tc>
          <w:tcPr>
            <w:tcW w:w="81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1,185,588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1,180,017</w:t>
            </w:r>
          </w:p>
        </w:tc>
      </w:tr>
      <w:tr>
        <w:trPr>
          <w:trHeight w:val="217"/>
        </w:trPr>
        <w:tc>
          <w:tcPr>
            <w:tcW w:w="8120" w:type="dxa"/>
            <w:vAlign w:val="bottom"/>
            <w:gridSpan w:val="2"/>
          </w:tcPr>
          <w:p>
            <w:pPr>
              <w:spacing w:after="0"/>
              <w:rPr>
                <w:sz w:val="20"/>
                <w:szCs w:val="20"/>
                <w:color w:val="auto"/>
              </w:rPr>
            </w:pPr>
            <w:r>
              <w:rPr>
                <w:rFonts w:ascii="Arial" w:cs="Arial" w:eastAsia="Arial" w:hAnsi="Arial"/>
                <w:sz w:val="16"/>
                <w:szCs w:val="16"/>
                <w:color w:val="auto"/>
              </w:rPr>
              <w:t>Commitments and contingencies (note 7)</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33"/>
        </w:trPr>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Member's equity:</w:t>
            </w:r>
          </w:p>
        </w:tc>
        <w:tc>
          <w:tcPr>
            <w:tcW w:w="6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Member's equity</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2,498,784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2,576,471</w:t>
            </w:r>
          </w:p>
        </w:tc>
      </w:tr>
      <w:tr>
        <w:trPr>
          <w:trHeight w:val="33"/>
        </w:trPr>
        <w:tc>
          <w:tcPr>
            <w:tcW w:w="8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120" w:type="dxa"/>
            <w:vAlign w:val="bottom"/>
            <w:gridSpan w:val="2"/>
          </w:tcPr>
          <w:p>
            <w:pPr>
              <w:ind w:left="600"/>
              <w:spacing w:after="0"/>
              <w:rPr>
                <w:sz w:val="20"/>
                <w:szCs w:val="20"/>
                <w:color w:val="auto"/>
              </w:rPr>
            </w:pPr>
            <w:r>
              <w:rPr>
                <w:rFonts w:ascii="Arial" w:cs="Arial" w:eastAsia="Arial" w:hAnsi="Arial"/>
                <w:sz w:val="16"/>
                <w:szCs w:val="16"/>
                <w:color w:val="auto"/>
              </w:rPr>
              <w:t>Total member's equity</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2,498,784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2,576,471</w:t>
            </w:r>
          </w:p>
        </w:tc>
      </w:tr>
      <w:tr>
        <w:trPr>
          <w:trHeight w:val="33"/>
        </w:trPr>
        <w:tc>
          <w:tcPr>
            <w:tcW w:w="81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3,684,372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3,756,488</w:t>
            </w:r>
          </w:p>
        </w:tc>
      </w:tr>
      <w:tr>
        <w:trPr>
          <w:trHeight w:val="20"/>
        </w:trPr>
        <w:tc>
          <w:tcPr>
            <w:tcW w:w="12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1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36"/>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164,056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153,215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327,050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306,296</w:t>
            </w:r>
          </w:p>
        </w:tc>
      </w:tr>
      <w:tr>
        <w:trPr>
          <w:trHeight w:val="270"/>
        </w:trPr>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38,355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37,868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75,862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75,681</w:t>
            </w:r>
          </w:p>
        </w:tc>
      </w:tr>
      <w:tr>
        <w:trPr>
          <w:trHeight w:val="270"/>
        </w:trPr>
        <w:tc>
          <w:tcPr>
            <w:tcW w:w="56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9,700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9,101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19,306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18,041</w:t>
            </w:r>
          </w:p>
        </w:tc>
      </w:tr>
      <w:tr>
        <w:trPr>
          <w:trHeight w:val="250"/>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32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48,055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46,969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95,168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93,722</w:t>
            </w:r>
          </w:p>
        </w:tc>
      </w:tr>
      <w:tr>
        <w:trPr>
          <w:trHeight w:val="250"/>
        </w:trPr>
        <w:tc>
          <w:tcPr>
            <w:tcW w:w="56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Management fee—related party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23,290</w:t>
            </w:r>
          </w:p>
        </w:tc>
      </w:tr>
      <w:tr>
        <w:trPr>
          <w:trHeight w:val="237"/>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Asset write-down charges</w:t>
            </w:r>
          </w:p>
        </w:tc>
        <w:tc>
          <w:tcPr>
            <w:tcW w:w="3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52,731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52,543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105,432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105,172</w:t>
            </w:r>
          </w:p>
        </w:tc>
      </w:tr>
      <w:tr>
        <w:trPr>
          <w:trHeight w:val="217"/>
        </w:trPr>
        <w:tc>
          <w:tcPr>
            <w:tcW w:w="5620" w:type="dxa"/>
            <w:vAlign w:val="bottom"/>
            <w:gridSpan w:val="3"/>
          </w:tcPr>
          <w:p>
            <w:pPr>
              <w:ind w:left="7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112,817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111,195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224,964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222,184</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51,239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102,086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84,112</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(19,937)</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849</w:t>
            </w: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41,311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31,870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82,122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65,024</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41,218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31,782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81,936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64,848</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81,936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64,848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105,432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105,172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692</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Asset write-down charges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Increase (decrease) in accounts payable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2,252</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Decrease (increase) in receivables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1,918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Decrease (increase) in other current assets, deferred site rental receivable, long-term prepaid rent and 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w:t>
            </w:r>
          </w:p>
        </w:tc>
      </w:tr>
      <w:tr>
        <w:trPr>
          <w:trHeight w:val="217"/>
        </w:trPr>
        <w:tc>
          <w:tcPr>
            <w:tcW w:w="8580" w:type="dxa"/>
            <w:vAlign w:val="bottom"/>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182,921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172,755</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(26,099)</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(26,099)</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(159,623)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(143,402)</w:t>
            </w:r>
          </w:p>
        </w:tc>
      </w:tr>
      <w:tr>
        <w:trPr>
          <w:trHeight w:val="217"/>
        </w:trPr>
        <w:tc>
          <w:tcPr>
            <w:tcW w:w="8580" w:type="dxa"/>
            <w:vAlign w:val="bottom"/>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(159,623)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(143,402)</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30,771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19,550</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21,655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22,804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2,519,881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2,519,881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(21,097)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(41,218)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(62,315)</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41,218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41,218</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June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2,498,784</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2,498,784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2,682,740</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2,682,740</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(22,049)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(31,782)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(53,831)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31,782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31,782</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June 30,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2,660,691</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2,660,691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2,576,471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2,576,471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(77,687)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(81,936)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(159,623)</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81,936</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81,936</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June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2,498,784</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2,498,784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2,739,245</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2,739,245</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(78,554)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(64,848)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(143,402)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64,848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64,848</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June 30,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2,660,691</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2,660,691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or "Crown Castle").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in the following notes to the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2017, and related notes thereto, included in the 2017 Form 10-K filed by the Company with the SEC.</w:t>
      </w:r>
    </w:p>
    <w:p>
      <w:pPr>
        <w:spacing w:after="0" w:line="13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is organized specifically to own, lease and manage towers and other structures (collectively, "towers"), and to a lesser extent, interests in land under third party and related party towers in various forms ("land interests") (collectively, "communications infrastructure" or "sites") that are geographically dispersed across the United States ("U.S."). The Company's core business is providing access, including space or capacity, to its sites via long-term contracts in various forms, including lease, license, and sublease agreements (collectively, "contracts"). The Company's customers on its communication infrastructure are referred to herein as "tenants." Management services related to the Company's sites are performed by Crown Castle USA Inc. ("CCUSA"), an affiliate of the Company, under the Management Agreement, as the Company has no employees.</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Approximately 68% of the Company's sites are leased or subleased or operated and managed for an initial period of 32 years (through May 2037) under master lease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 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are unaudited; however, they include all adjustments (consisting only of normal recurring adjustments) which, in the opinion of management, are necessary to state fairly the consolidated financial position of the Company at June 30, 2018, and the consolidated results of operations and the consolidated cash flows for the six months ended June 30, 2018 and 2017.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full year.</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those estimates.</w:t>
      </w:r>
    </w:p>
    <w:p>
      <w:pPr>
        <w:spacing w:after="0" w:line="33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significant accounting policies used in the preparation of the Company's condensed consolidated financial statements are disclosed in the 2017 Form 10-K, other than as updated by certain recent accounting pronouncements described below.</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January 2017, the FASB issued new guidance which clarifies the definition of a business in order to assist companies in evaluating whether transactions should be accounted for as acquisitions or disposals of assets or businesses. The Company adopted the guidance on January 1, 2018, and the adoption of this guidance did not have a material impact on its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May 2014, the FASB released updated guidance regarding the recognition of revenue from contracts with customers not otherwise addressed by specific guidance (commonly referred to as "ASC 606" or "the revenue recognition standard").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the customer; (2) identify the performance obligations in the contract; (3) determine the contract price; (4) allocate the transaction price to the performance obligations in the contract; and (5) recognize revenue when (or as) the entity satisfies a performance obligation. This guidance was effective for the Company on January 1, 2018. The Company's site rental revenues are within the scope of lease accounting and were not impacted by this guidance.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 This guidance is effective for the Company as of January 1, 2019. This guidance is required to be applied, at the Company's election, either using a (1) modified retrospective approach for all leases existing at, or entered into after, the beginning of the earliest comparative period presented, or (2) cumulative-effect approach for all leases existing at, or entered into, after the effective date. The Company expects to apply the guidance using the cumulative-effect approach, thereby applying the new guidance at the effective date, without adjusting the comparative periods and, if necessary, recognizing a cumulative-effect adjustment to the opening balance of retained earnings in the period of adoption. Although early adoption is permitted, the Company will not adopt the new guidance prior to January 1, 2019.</w:t>
      </w:r>
    </w:p>
    <w:p>
      <w:pPr>
        <w:spacing w:after="0" w:line="11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expects that (1) lessee arrangements will continue to be classified as operating leases under the new guidance; (2) this guidance will have a material impact on its condensed consolidated balance sheet due to the addition of right-of-use assets and lease liabilities for lessee arrangements (which primarily consist of ground leases under the Company's towers); and (3) there will not be a material impact to its condensed consolidated statement of operations and condensed consolidated statement of cash flows. CCIC is in the process of updating certain of its existing information technology systems to integrate the new guidance requirement.</w:t>
      </w:r>
    </w:p>
    <w:p>
      <w:pPr>
        <w:spacing w:after="0" w:line="346"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rFonts w:ascii="Arial" w:cs="Arial" w:eastAsia="Arial" w:hAnsi="Arial"/>
          <w:sz w:val="18"/>
          <w:szCs w:val="18"/>
          <w:b w:val="1"/>
          <w:bCs w:val="1"/>
          <w:color w:val="auto"/>
        </w:rPr>
      </w:pPr>
    </w:p>
    <w:p>
      <w:pPr>
        <w:ind w:left="420" w:right="1060"/>
        <w:spacing w:after="0" w:line="438" w:lineRule="auto"/>
        <w:rPr>
          <w:rFonts w:ascii="Arial" w:cs="Arial" w:eastAsia="Arial" w:hAnsi="Arial"/>
          <w:sz w:val="18"/>
          <w:szCs w:val="18"/>
          <w:b w:val="1"/>
          <w:bCs w:val="1"/>
          <w:color w:val="auto"/>
        </w:rPr>
      </w:pPr>
      <w:r>
        <w:rPr>
          <w:rFonts w:ascii="Arial" w:cs="Arial" w:eastAsia="Arial" w:hAnsi="Arial"/>
          <w:sz w:val="18"/>
          <w:szCs w:val="18"/>
          <w:color w:val="auto"/>
        </w:rPr>
        <w:t xml:space="preserve">The outstanding balance of the 3.849% Secured Notes due April 2023 as of both June 30, 2018 and December 31, 2017 was $993 million. </w:t>
      </w:r>
      <w:r>
        <w:rPr>
          <w:rFonts w:ascii="Arial" w:cs="Arial" w:eastAsia="Arial" w:hAnsi="Arial"/>
          <w:sz w:val="18"/>
          <w:szCs w:val="18"/>
          <w:i w:val="1"/>
          <w:iCs w:val="1"/>
          <w:color w:val="auto"/>
        </w:rPr>
        <w:t>Interest Expense and Amortization of Deferred Financing Costs</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interest expense and amortization of deferred financing costs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on debt obligations</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9,622</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19,245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19,245</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692</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9,968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9,968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19,937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19,937</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 Further, in connection with its role as Manager, CCUSA may make certain modifications to the Company's towers.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CCUSA may perform installation services on the Company's towers, for which the Company is not a party to any agreement and for which no operating results are reflected herein.</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part of the CCIC strategy to obtain long-term control of the land under its towers, affiliates of the Company have acquired rights to land under the Company's towers. These affiliates then lease the land to the Company. Under such circumstances, the Company's obligation typically continues with the same or similar economic terms as the contract for the land that existed prior to an affiliate acquiring rights to such land. As of June 30, 2018, approximately 30% of the Company's towers were located on land which was controlled by an affiliate. Also, the Company receives site rental revenue from affiliates for land controlled by the Company on which affiliates have towers and pays ground rent expense to affiliates for land owned by affiliates on which the Company has towers.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six months ended June 30, 2018 and 2017, the Company recorded equity distributions of $159.6 million and $143.4 million, respectively, reflecting distributions to its member. Cash on hand above the amount that is required by the Management Agreement has been, and is expected to continue to be, distributed to the Company's parent company. As of June 30, 2018 and 2017, the Company had no material related party assets or liabilities on its condensed consolidated balance sheet.</w:t>
      </w:r>
    </w:p>
    <w:p>
      <w:pPr>
        <w:spacing w:after="0" w:line="345"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included in the CCIC REIT.</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six months ended June 30, 2018 and 2017, the Company's effective tax rate differed from the federal statutory rate predominately due to (1) CCIC's REIT status, including the dividends paid deduction and (2) state taxes.</w:t>
      </w:r>
    </w:p>
    <w:p>
      <w:pPr>
        <w:spacing w:after="0" w:line="329"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applicable. There were no changes since December 31, 2017 in the Company's valuation techniques used to measure fair values. The estimated fair values of the Company's financial instruments, along with the carrying amounts of the related assets and liabilities, are as follows:</w:t>
      </w: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Level in Fair</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30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13"/>
                <w:szCs w:val="13"/>
                <w:color w:val="auto"/>
              </w:rPr>
            </w:pPr>
          </w:p>
        </w:tc>
        <w:tc>
          <w:tcPr>
            <w:tcW w:w="86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88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Hierarchy</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6"/>
                <w:szCs w:val="16"/>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88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r>
      <w:tr>
        <w:trPr>
          <w:trHeight w:val="25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21,655</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21,655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30,771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30,771</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Debt</w:t>
            </w:r>
          </w:p>
        </w:tc>
        <w:tc>
          <w:tcPr>
            <w:tcW w:w="1020" w:type="dxa"/>
            <w:vAlign w:val="bottom"/>
          </w:tcPr>
          <w:p>
            <w:pPr>
              <w:jc w:val="center"/>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993,355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991,660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992,663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1,032,530</w:t>
            </w:r>
          </w:p>
        </w:tc>
      </w:tr>
    </w:tbl>
    <w:p>
      <w:pPr>
        <w:spacing w:after="0" w:line="393"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In addition, CCIC, through its subsidiaries (including the Company), has the option to purchase in 2037 all (but not less than all) of the Sprint Sites, which represent approximately 68% of the Company's sites. CCIC has no obligation to exercise the purchase option.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5"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34"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792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103" w:lineRule="exact"/>
        <w:rPr>
          <w:sz w:val="20"/>
          <w:szCs w:val="20"/>
          <w:color w:val="auto"/>
        </w:rPr>
      </w:pPr>
    </w:p>
    <w:p>
      <w:pPr>
        <w:ind w:left="9040"/>
        <w:spacing w:after="0"/>
        <w:tabs>
          <w:tab w:leader="none" w:pos="105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23495</wp:posOffset>
            </wp:positionV>
            <wp:extent cx="720344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Supplemental disclosure of cash flow information:</w:t>
      </w:r>
    </w:p>
    <w:p>
      <w:pPr>
        <w:spacing w:after="0" w:line="86" w:lineRule="exact"/>
        <w:rPr>
          <w:sz w:val="20"/>
          <w:szCs w:val="20"/>
          <w:color w:val="auto"/>
        </w:rPr>
      </w:pPr>
    </w:p>
    <w:p>
      <w:pPr>
        <w:ind w:left="320"/>
        <w:spacing w:after="0"/>
        <w:tabs>
          <w:tab w:leader="none" w:pos="8580" w:val="left"/>
          <w:tab w:leader="none" w:pos="9360" w:val="left"/>
          <w:tab w:leader="none" w:pos="10040" w:val="left"/>
          <w:tab w:leader="none" w:pos="10820" w:val="left"/>
        </w:tabs>
        <w:rPr>
          <w:sz w:val="20"/>
          <w:szCs w:val="20"/>
          <w:color w:val="auto"/>
        </w:rPr>
      </w:pPr>
      <w:r>
        <w:rPr>
          <w:rFonts w:ascii="Arial" w:cs="Arial" w:eastAsia="Arial" w:hAnsi="Arial"/>
          <w:sz w:val="16"/>
          <w:szCs w:val="16"/>
          <w:color w:val="auto"/>
        </w:rPr>
        <w:t>Interest paid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19,245</w:t>
        <w:tab/>
        <w:t>$</w:t>
      </w:r>
      <w:r>
        <w:rPr>
          <w:sz w:val="20"/>
          <w:szCs w:val="20"/>
          <w:color w:val="auto"/>
        </w:rPr>
        <w:tab/>
      </w:r>
      <w:r>
        <w:rPr>
          <w:rFonts w:ascii="Arial" w:cs="Arial" w:eastAsia="Arial" w:hAnsi="Arial"/>
          <w:sz w:val="14"/>
          <w:szCs w:val="14"/>
          <w:color w:val="auto"/>
        </w:rPr>
        <w:t>19,245</w:t>
      </w:r>
    </w:p>
    <w:p>
      <w:pPr>
        <w:spacing w:after="0" w:line="200" w:lineRule="exact"/>
        <w:rPr>
          <w:sz w:val="20"/>
          <w:szCs w:val="20"/>
          <w:color w:val="auto"/>
        </w:rPr>
      </w:pPr>
    </w:p>
    <w:p>
      <w:pPr>
        <w:spacing w:after="0" w:line="215"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Subsidiaries</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CCL has no independent assets or operations. The 3.849% Secured Notes are guaranteed by all subsidiaries of CCL, each of which is a wholly-owned subsidiary of CCL, other than Crown Castle GS III Corp., which is a co-issuer of the 2012 Secured Notes and a wholly-owned finance subsidiary. Such guarantees are full and unconditional and joint and several.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5" w:right="239" w:bottom="1440" w:gutter="0" w:footer="0" w:header="0"/>
        </w:sectPr>
      </w:pPr>
    </w:p>
    <w:bookmarkStart w:id="10" w:name="page11"/>
    <w:bookmarkEnd w:id="10"/>
    <w:p>
      <w:pPr>
        <w:spacing w:after="0"/>
        <w:tabs>
          <w:tab w:leader="none" w:pos="120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following discussion should be read in conjunction with the response to Part I, Item 1 of this report and the consolidated financial statements of the Company including the related notes and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("MD&amp;A") included in our 2017 Form 10-K. Capitalized terms used but not defined in this Form 10-Q have the same meaning given to them in our 2017 Form 10-K. Unless this Quarterly Report on Form 10-Q indicates otherwise or the context requires, the terms "we," "our," "our company," "the company," or "us" as used herein refer to CC Holdings GS V LLC and its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own, lease or manage sites that are geographically dispersed throughout the United States. The vast majority of our site rental revenues is of a recurring nature and is subject to long-term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six months ended June 30, 2018.</w:t>
      </w:r>
    </w:p>
    <w:p>
      <w:pPr>
        <w:spacing w:after="0" w:line="23" w:lineRule="exact"/>
        <w:rPr>
          <w:sz w:val="20"/>
          <w:szCs w:val="20"/>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data</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expect wireless carriers will continue their focus on improving network quality and expanding capacity by adding additional antennas or other equipment on our towers.</w:t>
      </w:r>
    </w:p>
    <w:p>
      <w:pPr>
        <w:jc w:val="both"/>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expect existing and potential new customer demand for our towers will result from (1) new technologies, (2) increased usage of mobile entertainment, mobile internet usage, and machine-to-machine applications, (3) adoption of other emerging and embedded wireless devices (including laptops, tablets, and other devices), (4) increasing smartphone penetration, (5) wireless carrier focus on expanding both network quality and capacity and (6) the availability of additional spectrum.</w:t>
      </w:r>
    </w:p>
    <w:p>
      <w:pPr>
        <w:spacing w:after="0" w:line="1"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Substantially all of our towers can accommodate additional tenancy, either as currently constructed or with appropriate modifications to the structure (which may include extensions or structural reinforcement).</w:t>
      </w: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U.S. federal income tax purposes, CCIC operates as a REIT and, as its indirect subsidiary, our assets and operations are included in the</w:t>
      </w:r>
    </w:p>
    <w:p>
      <w:pPr>
        <w:spacing w:after="0" w:line="3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8"/>
          <w:szCs w:val="18"/>
          <w:color w:val="auto"/>
        </w:rPr>
        <w:t>CCIC REIT.</w:t>
      </w:r>
    </w:p>
    <w:p>
      <w:pPr>
        <w:spacing w:after="0" w:line="9" w:lineRule="exact"/>
        <w:rPr>
          <w:rFonts w:ascii="Arial" w:cs="Arial" w:eastAsia="Arial" w:hAnsi="Arial"/>
          <w:sz w:val="16"/>
          <w:szCs w:val="16"/>
          <w:color w:val="auto"/>
        </w:rPr>
      </w:pPr>
    </w:p>
    <w:p>
      <w:pPr>
        <w:ind w:left="1220" w:right="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communications infrastructure, such as towers or other structures, and have no employees.</w:t>
      </w:r>
    </w:p>
    <w:p>
      <w:pPr>
        <w:ind w:left="1220" w:hanging="402"/>
        <w:spacing w:after="0" w:line="281"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Initial terms of five to 15 years for site rental revenues derived from tenants, with contractual escalations and multiple renewal periods at the option of the tenant of five to ten years each.</w:t>
      </w:r>
    </w:p>
    <w:p>
      <w:pPr>
        <w:jc w:val="both"/>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weighted-average remaining term (calculated by weighting the remaining term for each contract by the related site rental revenue) of approximately six years, exclusive of renewals at the tenants' option, currently representing approximately $4.2 billion of expected future cash inflows.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predominately from large wireless carriers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Approximately 89% of our site rental revenues were derived from Sprint, AT&amp;T, T-Mobile and Verizon Wireless.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Majority of land interests under our towers are under long-term control</w:t>
      </w:r>
    </w:p>
    <w:p>
      <w:pPr>
        <w:spacing w:after="0" w:line="9" w:lineRule="exact"/>
        <w:rPr>
          <w:rFonts w:ascii="Arial" w:cs="Arial" w:eastAsia="Arial" w:hAnsi="Arial"/>
          <w:sz w:val="18"/>
          <w:szCs w:val="18"/>
          <w:color w:val="auto"/>
        </w:rPr>
      </w:pPr>
    </w:p>
    <w:p>
      <w:pPr>
        <w:ind w:left="1220" w:hanging="402"/>
        <w:spacing w:after="0" w:line="281"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More than 80% and more than 50% of our sites are under our control for greater than 10 and 20 years, respectively. The aforementioned percentages include towers that reside on land interests that are owned by us, including fee interests and perpetual easements.</w:t>
      </w:r>
    </w:p>
    <w:p>
      <w:pPr>
        <w:spacing w:after="0" w:line="1" w:lineRule="exact"/>
        <w:rPr>
          <w:rFonts w:ascii="Arial" w:cs="Arial" w:eastAsia="Arial" w:hAnsi="Arial"/>
          <w:sz w:val="16"/>
          <w:szCs w:val="16"/>
          <w:color w:val="auto"/>
        </w:rPr>
      </w:pPr>
    </w:p>
    <w:p>
      <w:pPr>
        <w:jc w:val="both"/>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Approximately 20% of our site rental cost of operations represents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1% of site rental revenues.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1" w:name="page12"/>
    <w:bookmarkEnd w:id="11"/>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23"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debt consists of $1.0 billion aggregate principal amount of 3.849% Secured Notes. See note 3 to our condensed consolidated financial statements.</w:t>
      </w: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$182.9 million. See </w:t>
      </w:r>
      <w:r>
        <w:rPr>
          <w:rFonts w:ascii="Arial" w:cs="Arial" w:eastAsia="Arial" w:hAnsi="Arial"/>
          <w:sz w:val="18"/>
          <w:szCs w:val="18"/>
          <w:i w:val="1"/>
          <w:iCs w:val="1"/>
          <w:color w:val="auto"/>
        </w:rPr>
        <w:t>"Item 2. MD&amp;A—Liquidity and Capital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 Highlights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outlook that impact our business fundamentals described above.</w:t>
      </w:r>
    </w:p>
    <w:p>
      <w:pPr>
        <w:spacing w:after="0" w:line="23" w:lineRule="exact"/>
        <w:rPr>
          <w:sz w:val="20"/>
          <w:szCs w:val="20"/>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expect demand for tenant leasing to continue during 2018.</w:t>
      </w:r>
    </w:p>
    <w:p>
      <w:pPr>
        <w:spacing w:after="0" w:line="9" w:lineRule="exact"/>
        <w:rPr>
          <w:rFonts w:ascii="Arial" w:cs="Arial" w:eastAsia="Arial" w:hAnsi="Arial"/>
          <w:sz w:val="18"/>
          <w:szCs w:val="18"/>
          <w:color w:val="auto"/>
        </w:rPr>
      </w:pPr>
    </w:p>
    <w:p>
      <w:pPr>
        <w:ind w:left="1220" w:hanging="807"/>
        <w:spacing w:after="0" w:line="261"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2018, we also expect that the impact from tenant leasing will be offset by non-renewals of tenant contracts, primarily from our customers' decommissioning of the Acquired Networks, at least in part.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our condensed consolidated financial statements and our 2017 Form 10-K. The following discussion of our results of operations is based on our condensed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2. MD&amp;A—Accounting and Reporting Matters—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Critical Accounting Policies and Estimates" </w:t>
      </w:r>
      <w:r>
        <w:rPr>
          <w:rFonts w:ascii="Arial" w:cs="Arial" w:eastAsia="Arial" w:hAnsi="Arial"/>
          <w:sz w:val="18"/>
          <w:szCs w:val="18"/>
          <w:color w:val="auto"/>
        </w:rPr>
        <w:t>herein and note 2 to our 2017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Consolidated 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information is derived from our historical consolidated statements of operations for the periods indicated.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4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Three Months Ended June</w:t>
            </w:r>
          </w:p>
        </w:tc>
        <w:tc>
          <w:tcPr>
            <w:tcW w:w="220" w:type="dxa"/>
            <w:vAlign w:val="bottom"/>
          </w:tcPr>
          <w:p>
            <w:pPr>
              <w:spacing w:after="0"/>
              <w:rPr>
                <w:sz w:val="14"/>
                <w:szCs w:val="14"/>
                <w:color w:val="auto"/>
              </w:rPr>
            </w:pPr>
          </w:p>
        </w:tc>
        <w:tc>
          <w:tcPr>
            <w:tcW w:w="1060" w:type="dxa"/>
            <w:vAlign w:val="bottom"/>
          </w:tcPr>
          <w:p>
            <w:pPr>
              <w:jc w:val="right"/>
              <w:ind w:right="22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30, 2018</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w w:val="95"/>
              </w:rPr>
              <w:t>30, 2017</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164,056</w:t>
            </w: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153,215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6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380" w:type="dxa"/>
            <w:vAlign w:val="bottom"/>
          </w:tcPr>
          <w:p>
            <w:pPr>
              <w:spacing w:after="0"/>
              <w:rPr>
                <w:sz w:val="23"/>
                <w:szCs w:val="23"/>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48,055</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46,969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12,031</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Asset write-down charges</w:t>
            </w:r>
          </w:p>
        </w:tc>
        <w:tc>
          <w:tcPr>
            <w:tcW w:w="38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52,731</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52,543</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ind w:left="5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112,817</w:t>
            </w: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111,195</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6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51,239</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42,020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(9,968)</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(9,968)</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41,311</w:t>
            </w: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31,870</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41,218</w:t>
            </w:r>
          </w:p>
        </w:tc>
        <w:tc>
          <w:tcPr>
            <w:tcW w:w="22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31,782</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w:t>
            </w: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28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6080" w:type="dxa"/>
            <w:vAlign w:val="bottom"/>
          </w:tcPr>
          <w:p>
            <w:pPr>
              <w:ind w:left="140"/>
              <w:spacing w:after="0"/>
              <w:rPr>
                <w:sz w:val="20"/>
                <w:szCs w:val="20"/>
                <w:color w:val="auto"/>
              </w:rPr>
            </w:pPr>
            <w:r>
              <w:rPr>
                <w:rFonts w:ascii="Arial" w:cs="Arial" w:eastAsia="Arial" w:hAnsi="Arial"/>
                <w:sz w:val="14"/>
                <w:szCs w:val="14"/>
                <w:color w:val="auto"/>
              </w:rPr>
              <w:t>Percentage not meaningful</w:t>
            </w: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Inclusive of related party transactions.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220" w:type="dxa"/>
            <w:vAlign w:val="bottom"/>
          </w:tcPr>
          <w:p>
            <w:pPr>
              <w:spacing w:after="0"/>
              <w:rPr>
                <w:sz w:val="14"/>
                <w:szCs w:val="14"/>
                <w:color w:val="auto"/>
              </w:rPr>
            </w:pPr>
          </w:p>
        </w:tc>
        <w:tc>
          <w:tcPr>
            <w:tcW w:w="1080" w:type="dxa"/>
            <w:vAlign w:val="bottom"/>
          </w:tcPr>
          <w:p>
            <w:pPr>
              <w:jc w:val="right"/>
              <w:ind w:right="24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0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6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(Dollars in thousands)</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4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327,050</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306,296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626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42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95,168</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93,722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24,020</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23,290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Asset write-down charges</w:t>
            </w:r>
          </w:p>
        </w:tc>
        <w:tc>
          <w:tcPr>
            <w:tcW w:w="4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344</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105,432</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105,172</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00" w:type="dxa"/>
            <w:vAlign w:val="bottom"/>
          </w:tcPr>
          <w:p>
            <w:pPr>
              <w:ind w:left="54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224,964</w:t>
            </w: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222,184</w:t>
            </w:r>
          </w:p>
        </w:tc>
        <w:tc>
          <w:tcPr>
            <w:tcW w:w="2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6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102,086</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84,112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(19,937)</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(19,937)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849</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82,122</w:t>
            </w: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65,024</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4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81,936</w:t>
            </w:r>
          </w:p>
        </w:tc>
        <w:tc>
          <w:tcPr>
            <w:tcW w:w="2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64,848</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w:t>
            </w: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30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6100" w:type="dxa"/>
            <w:vAlign w:val="bottom"/>
          </w:tcPr>
          <w:p>
            <w:pPr>
              <w:ind w:left="140"/>
              <w:spacing w:after="0"/>
              <w:rPr>
                <w:sz w:val="20"/>
                <w:szCs w:val="20"/>
                <w:color w:val="auto"/>
              </w:rPr>
            </w:pPr>
            <w:r>
              <w:rPr>
                <w:rFonts w:ascii="Arial" w:cs="Arial" w:eastAsia="Arial" w:hAnsi="Arial"/>
                <w:sz w:val="14"/>
                <w:szCs w:val="14"/>
                <w:color w:val="auto"/>
              </w:rPr>
              <w:t>Percentage not meaningful</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Inclusive of related party transactions.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Second Quarter 2018 and 2017</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Site rental revenues for the three months ended June 30, 2018 increased by $10.8 million, or 7%, from the same period in the prior year. This increase in site rental revenues was impacted by the following items, inclusive of straight-line accounting: tenant additions across our entire portfolio, renewals or extensions of tenant contracts, escalations and non-renewals of tenant contracts. Tenant additions were influenced by our customers' ongoing efforts to improve network quality and capacity. See also </w:t>
      </w:r>
      <w:r>
        <w:rPr>
          <w:rFonts w:ascii="Arial" w:cs="Arial" w:eastAsia="Arial" w:hAnsi="Arial"/>
          <w:sz w:val="18"/>
          <w:szCs w:val="18"/>
          <w:i w:val="1"/>
          <w:iCs w:val="1"/>
          <w:color w:val="auto"/>
        </w:rPr>
        <w:t>"Item 2. MD&amp;A—General Overview"</w:t>
      </w:r>
      <w:r>
        <w:rPr>
          <w:rFonts w:ascii="Arial" w:cs="Arial" w:eastAsia="Arial" w:hAnsi="Arial"/>
          <w:sz w:val="18"/>
          <w:szCs w:val="18"/>
          <w:color w:val="auto"/>
        </w:rPr>
        <w:t xml:space="preserve"> and our 2017 Form 10-K for further discussion regarding our customers' decommissioning of the Acquired Networks.</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Operating income for the three months ended June 30, 2018 increased by $9.2 million, or 22%, from the same period in the prior year. The increase in operating income was predominately due to the aforementioned increase in site rental revenues, partially offset by an increase in the cost of operations from the three months ended June 30, 2017.</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three months ended June 30, 2018 remained unchanged from the same period in the prior year.</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Net income for the three months ended June 30, 2018 was $41.2 million, compared to net income of $31.8 million for the three months ended June 30, 2017. The increase was due primarily to the aforementioned increase in site rental revenues.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First Six Months 2018 and 2017</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Site rental revenues for the six months ended June 30, 2018 increased by $20.8 million, or 7%, from the same period in the prior year. The increase in site rental revenues was impacted by the following items, inclusive of straight-line accounting: new tenant additions across our entire portfolio, renewals or extensions of tenant leases, escalations and non-renewal of tenant contracts. Tenant additions were influenced by our customers' ongoing efforts to improve network quality and capacity. See also </w:t>
      </w:r>
      <w:r>
        <w:rPr>
          <w:rFonts w:ascii="Arial" w:cs="Arial" w:eastAsia="Arial" w:hAnsi="Arial"/>
          <w:sz w:val="18"/>
          <w:szCs w:val="18"/>
          <w:i w:val="1"/>
          <w:iCs w:val="1"/>
          <w:color w:val="auto"/>
        </w:rPr>
        <w:t>"Item 2. MD&amp;A—General Overview"</w:t>
      </w:r>
      <w:r>
        <w:rPr>
          <w:rFonts w:ascii="Arial" w:cs="Arial" w:eastAsia="Arial" w:hAnsi="Arial"/>
          <w:sz w:val="18"/>
          <w:szCs w:val="18"/>
          <w:color w:val="auto"/>
        </w:rPr>
        <w:t xml:space="preserve"> and our 2017 Form 10-K for further discussion regarding our customers' decommissioning of the Acquired Networks.</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Operating income for the six months ended June 30, 2018 increased by $18.0 million, or 21%, from the same period in the prior year. The increase in operating income was predominately due to the aforementioned increase in site rental revenues, partially offset by an increase in the cost of operations from the six months ended June 30, 2017.</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six months ended June 30, 2018 remained unchanged from the same period in the prior year.</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income for the six months ended June 30, 2018 was $81.9 million compared to net income of $64.8 million for the six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1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months ended June 30, 2017. The increase was due primarily to the aforementioned increase in site rental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core business generates revenues under long-term contracts (See</w:t>
      </w:r>
      <w:r>
        <w:rPr>
          <w:rFonts w:ascii="Arial" w:cs="Arial" w:eastAsia="Arial" w:hAnsi="Arial"/>
          <w:sz w:val="17"/>
          <w:szCs w:val="17"/>
          <w:i w:val="1"/>
          <w:iCs w:val="1"/>
          <w:color w:val="auto"/>
        </w:rPr>
        <w:t xml:space="preserve"> "Item 2. MD&amp;A—General Overview")</w:t>
      </w:r>
      <w:r>
        <w:rPr>
          <w:rFonts w:ascii="Arial" w:cs="Arial" w:eastAsia="Arial" w:hAnsi="Arial"/>
          <w:sz w:val="17"/>
          <w:szCs w:val="17"/>
          <w:color w:val="auto"/>
        </w:rPr>
        <w:t>, predominantly from the largest</w:t>
      </w:r>
      <w:r>
        <w:rPr>
          <w:rFonts w:ascii="Arial" w:cs="Arial" w:eastAsia="Arial" w:hAnsi="Arial"/>
          <w:sz w:val="17"/>
          <w:szCs w:val="17"/>
          <w:i w:val="1"/>
          <w:iCs w:val="1"/>
          <w:color w:val="auto"/>
        </w:rPr>
        <w:t xml:space="preserve"> </w:t>
      </w:r>
      <w:r>
        <w:rPr>
          <w:rFonts w:ascii="Arial" w:cs="Arial" w:eastAsia="Arial" w:hAnsi="Arial"/>
          <w:sz w:val="17"/>
          <w:szCs w:val="17"/>
          <w:color w:val="auto"/>
        </w:rPr>
        <w:t>U.S. wireless carriers. Historically, our net cash provided by operating activities has exceeded our capital expenditures. For the foreseeable future, we expect to generate net cash provided by operating activities (exclusive of movements in working capital) that exceeds our capital expenditures. We seek to allocate the net cash generated from our business in a manner that we believe drives value for our member.</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REIT for U.S. federal income tax purposes. For U.S. federal income tax purposes, our assets and operations are included in the CCIC REIT. We expect to continue to pay minimal cash income taxes as a result of CCIC's REIT status and NOLs.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June 30, 2018:</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60" w:type="dxa"/>
            <w:vAlign w:val="bottom"/>
          </w:tcPr>
          <w:p>
            <w:pPr>
              <w:jc w:val="right"/>
              <w:ind w:right="601"/>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0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21,655</w:t>
            </w:r>
          </w:p>
        </w:tc>
      </w:tr>
      <w:tr>
        <w:trPr>
          <w:trHeight w:val="224"/>
        </w:trPr>
        <w:tc>
          <w:tcPr>
            <w:tcW w:w="5440" w:type="dxa"/>
            <w:vAlign w:val="bottom"/>
          </w:tcPr>
          <w:p>
            <w:pPr>
              <w:ind w:left="20"/>
              <w:spacing w:after="0"/>
              <w:rPr>
                <w:sz w:val="20"/>
                <w:szCs w:val="20"/>
                <w:color w:val="auto"/>
              </w:rPr>
            </w:pPr>
            <w:r>
              <w:rPr>
                <w:rFonts w:ascii="Arial" w:cs="Arial" w:eastAsia="Arial" w:hAnsi="Arial"/>
                <w:sz w:val="16"/>
                <w:szCs w:val="16"/>
                <w:color w:val="auto"/>
              </w:rPr>
              <w:t>Debt</w:t>
            </w:r>
          </w:p>
        </w:tc>
        <w:tc>
          <w:tcPr>
            <w:tcW w:w="408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993,355</w:t>
            </w:r>
          </w:p>
        </w:tc>
      </w:tr>
      <w:tr>
        <w:trPr>
          <w:trHeight w:val="33"/>
        </w:trPr>
        <w:tc>
          <w:tcPr>
            <w:tcW w:w="54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member's equity</w:t>
            </w:r>
          </w:p>
        </w:tc>
        <w:tc>
          <w:tcPr>
            <w:tcW w:w="40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2,498,784</w:t>
            </w:r>
          </w:p>
        </w:tc>
      </w:tr>
      <w:tr>
        <w:trPr>
          <w:trHeight w:val="33"/>
        </w:trPr>
        <w:tc>
          <w:tcPr>
            <w:tcW w:w="544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no debt maturities.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562"/>
              <w:spacing w:after="0"/>
              <w:rPr>
                <w:sz w:val="20"/>
                <w:szCs w:val="20"/>
                <w:color w:val="auto"/>
              </w:rPr>
            </w:pPr>
            <w:r>
              <w:rPr>
                <w:rFonts w:ascii="Arial" w:cs="Arial" w:eastAsia="Arial" w:hAnsi="Arial"/>
                <w:sz w:val="14"/>
                <w:szCs w:val="14"/>
                <w:b w:val="1"/>
                <w:bCs w:val="1"/>
                <w:color w:val="auto"/>
                <w:w w:val="92"/>
              </w:rPr>
              <w:t>Six Months Ended June 30,</w:t>
            </w:r>
          </w:p>
        </w:tc>
        <w:tc>
          <w:tcPr>
            <w:tcW w:w="90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Change</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754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182,921</w:t>
            </w:r>
          </w:p>
        </w:tc>
        <w:tc>
          <w:tcPr>
            <w:tcW w:w="120" w:type="dxa"/>
            <w:vAlign w:val="bottom"/>
          </w:tcPr>
          <w:p>
            <w:pPr>
              <w:spacing w:after="0"/>
              <w:rPr>
                <w:sz w:val="20"/>
                <w:szCs w:val="20"/>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172,755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10,166</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(6,315)</w:t>
            </w:r>
          </w:p>
        </w:tc>
      </w:tr>
      <w:tr>
        <w:trPr>
          <w:trHeight w:val="237"/>
        </w:trPr>
        <w:tc>
          <w:tcPr>
            <w:tcW w:w="754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(159,623)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(143,402)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(16,221)</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(12,370)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increase in net cash provided by operating activities for the first six months of 2018 of $10.2 million, or 6%, from the first six months of 2017, was due primarily to growth in cash revenues, including cash escalations that are subject to straight-line accounting, offset by a net decrease from changes in working capital. Changes in working capital (including changes in accounts receivables, deferred site rental receivables and prepaid ground leases) contribute to variability in net cash provided by operating activities, largely due to the timing of advanced payments by us and advanced receipts from customers.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capital expenditures include the following:</w:t>
      </w:r>
    </w:p>
    <w:p>
      <w:pPr>
        <w:spacing w:after="0" w:line="63" w:lineRule="exact"/>
        <w:rPr>
          <w:sz w:val="20"/>
          <w:szCs w:val="20"/>
          <w:color w:val="auto"/>
        </w:rPr>
      </w:pPr>
    </w:p>
    <w:p>
      <w:pPr>
        <w:jc w:val="both"/>
        <w:ind w:left="1140" w:hanging="241"/>
        <w:spacing w:after="0" w:line="288"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Site improvement capital expenditures consist of improvements to existing sites to accommodate new leasing and typically vary based on, among other factors: (1) the type of site, (2) the scope, volume, and mix of work performed on the site, (3) existing capacity prior to installation, or (4) changes in structural engineering regulations and standards. Our decisions regarding capital expenditures are influenced by</w:t>
      </w:r>
    </w:p>
    <w:p>
      <w:pPr>
        <w:ind w:left="1140" w:firstLine="2"/>
        <w:spacing w:after="0" w:line="261" w:lineRule="auto"/>
        <w:tabs>
          <w:tab w:leader="none" w:pos="1411"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sufficient potential to enhance CCIC's long-term stockholder value, (2) CCIC's availability and cost of capital and (3) CCIC's expected returns on alternative uses of cash, such as payments of dividends and investments.</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Sustaining capital expenditures consist of capital improvements on our sites that enable our customers' ongoing quiet enjoyment of the site.</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 expenditures for the six months ended June 30, 2018 and 2017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563"/>
              <w:spacing w:after="0"/>
              <w:rPr>
                <w:sz w:val="20"/>
                <w:szCs w:val="20"/>
                <w:color w:val="auto"/>
              </w:rPr>
            </w:pPr>
            <w:r>
              <w:rPr>
                <w:rFonts w:ascii="Arial" w:cs="Arial" w:eastAsia="Arial" w:hAnsi="Arial"/>
                <w:sz w:val="14"/>
                <w:szCs w:val="14"/>
                <w:b w:val="1"/>
                <w:bCs w:val="1"/>
                <w:color w:val="auto"/>
                <w:w w:val="92"/>
              </w:rPr>
              <w:t>Six Months Ended June 30,</w:t>
            </w:r>
          </w:p>
        </w:tc>
        <w:tc>
          <w:tcPr>
            <w:tcW w:w="90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Change</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improvements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28,751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22,798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5,953</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Sustaining</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3,663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3,301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362</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32,414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6,315</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net cash flows used for financing activities in the six months ended June 30, 2018 and 2017 includes the impact from our continued practice of distributing excess cash to our member.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Secured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See our 2017 Form 10-K for a discussion of the 2012 Secured Notes, debt restrictions, and disclosures about market risk. There are no financial maintenance covenants in the Secured Notes Indenture. We are currently not restricted in our ability to incur additional indebtedness or distribute cash to affiliates or issue dividends to our parent.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2018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2017 are described in </w:t>
      </w:r>
      <w:r>
        <w:rPr>
          <w:rFonts w:ascii="Arial" w:cs="Arial" w:eastAsia="Arial" w:hAnsi="Arial"/>
          <w:sz w:val="18"/>
          <w:szCs w:val="18"/>
          <w:i w:val="1"/>
          <w:iCs w:val="1"/>
          <w:color w:val="auto"/>
        </w:rPr>
        <w:t>"Item 7. MD&amp;A—Accounting and Reporting Matters"</w:t>
      </w:r>
      <w:r>
        <w:rPr>
          <w:rFonts w:ascii="Arial" w:cs="Arial" w:eastAsia="Arial" w:hAnsi="Arial"/>
          <w:sz w:val="18"/>
          <w:szCs w:val="18"/>
          <w:color w:val="auto"/>
        </w:rPr>
        <w:t xml:space="preserve"> and in note 2 in our 2017 Form 10-K. The critical accounting policies and estimates for the first six months of 2018 have not changed from the critical accounting policies for the year ended December 31,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2 to our condensed consolidated financial statements.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See note 2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5" w:name="page16"/>
    <w:bookmarkEnd w:id="15"/>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covered by this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PART II—OTHER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the disclosure in note 7 to our condensed consolidated financial statements set forth in Part I, Item 1 of this Quarterly Report on Form 10-Q, which disclosure is hereby incorporated herein by reference.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In Item 1A of our 2017 Form 10-K, we have previously included the risk factor captioned “</w:t>
      </w:r>
      <w:r>
        <w:rPr>
          <w:rFonts w:ascii="Arial" w:cs="Arial" w:eastAsia="Arial" w:hAnsi="Arial"/>
          <w:sz w:val="16"/>
          <w:szCs w:val="16"/>
          <w:b w:val="1"/>
          <w:bCs w:val="1"/>
          <w:i w:val="1"/>
          <w:iCs w:val="1"/>
          <w:color w:val="auto"/>
        </w:rPr>
        <w:t>A substantial portion of our revenues is derived from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small number of customers, and the loss, consolidation or financial instability of any of such customers may materially decrease revenues or reduce demand for our communications infrastructure.</w:t>
      </w:r>
      <w:r>
        <w:rPr>
          <w:rFonts w:ascii="Arial" w:cs="Arial" w:eastAsia="Arial" w:hAnsi="Arial"/>
          <w:sz w:val="16"/>
          <w:szCs w:val="16"/>
          <w:color w:val="auto"/>
        </w:rPr>
        <w:t>” Information set forth below is an update to that risk factor. You should carefully consider the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in this document and the risk factors contained in our 2017 Form 10-K, as updated by the information contained below.</w:t>
      </w:r>
    </w:p>
    <w:p>
      <w:pPr>
        <w:spacing w:after="0" w:line="1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April 2018, T-Mobile and Sprint entered into a definitive agreement to merge, subject to regulatory approval and other closing conditions. This potential transaction may result in a decrease or delay in demand for our communications infrastructure, as a result of the anticipated integration of the T-Mobile and Sprint networks and related duplicate or overlapping parts of their networks, which may lead to a reduction in our revenues or cash flows and may trigger a review for impairment of certain long-lived assets.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660" w:type="dxa"/>
            <w:vAlign w:val="bottom"/>
            <w:gridSpan w:val="9"/>
          </w:tcPr>
          <w:p>
            <w:pPr>
              <w:ind w:left="380"/>
              <w:spacing w:after="0"/>
              <w:rPr>
                <w:sz w:val="20"/>
                <w:szCs w:val="20"/>
                <w:color w:val="auto"/>
              </w:rPr>
            </w:pPr>
            <w:r>
              <w:rPr>
                <w:rFonts w:ascii="Arial" w:cs="Arial" w:eastAsia="Arial" w:hAnsi="Arial"/>
                <w:sz w:val="18"/>
                <w:szCs w:val="18"/>
                <w:b w:val="1"/>
                <w:bCs w:val="1"/>
                <w:color w:val="auto"/>
              </w:rPr>
              <w:t>EXHIBITS</w:t>
            </w:r>
          </w:p>
        </w:tc>
      </w:tr>
      <w:tr>
        <w:trPr>
          <w:trHeight w:val="55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Arial" w:cs="Arial" w:eastAsia="Arial" w:hAnsi="Arial"/>
                <w:sz w:val="18"/>
                <w:szCs w:val="18"/>
                <w:b w:val="1"/>
                <w:bCs w:val="1"/>
                <w:color w:val="auto"/>
              </w:rPr>
              <w:t>Exhibit Index</w:t>
            </w:r>
          </w:p>
        </w:tc>
      </w:tr>
      <w:tr>
        <w:trPr>
          <w:trHeight w:val="358"/>
        </w:trPr>
        <w:tc>
          <w:tcPr>
            <w:tcW w:w="92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4340" w:type="dxa"/>
            <w:vAlign w:val="bottom"/>
            <w:gridSpan w:val="5"/>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4760" w:type="dxa"/>
            <w:vAlign w:val="bottom"/>
            <w:tcBorders>
              <w:bottom w:val="single" w:sz="8" w:color="0000FF"/>
            </w:tcBorders>
            <w:gridSpan w:val="4"/>
          </w:tcPr>
          <w:p>
            <w:pPr>
              <w:spacing w:after="0"/>
              <w:rPr>
                <w:rFonts w:ascii="Arial" w:cs="Arial" w:eastAsia="Arial" w:hAnsi="Arial"/>
                <w:sz w:val="18"/>
                <w:szCs w:val="18"/>
                <w:color w:val="0000FF"/>
                <w:w w:val="92"/>
              </w:rPr>
            </w:pPr>
            <w:hyperlink r:id="rId11">
              <w:r>
                <w:rPr>
                  <w:rFonts w:ascii="Arial" w:cs="Arial" w:eastAsia="Arial" w:hAnsi="Arial"/>
                  <w:sz w:val="18"/>
                  <w:szCs w:val="18"/>
                  <w:color w:val="0000FF"/>
                  <w:w w:val="92"/>
                </w:rPr>
                <w:t>Certificate of Formation, as amended, of CC Holdings GS V LLC</w:t>
              </w:r>
            </w:hyperlink>
          </w:p>
        </w:tc>
        <w:tc>
          <w:tcPr>
            <w:tcW w:w="4180" w:type="dxa"/>
            <w:vAlign w:val="bottom"/>
            <w:gridSpan w:val="4"/>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7140" w:type="dxa"/>
            <w:vAlign w:val="bottom"/>
            <w:tcBorders>
              <w:bottom w:val="single" w:sz="8" w:color="0000FF"/>
            </w:tcBorders>
            <w:gridSpan w:val="7"/>
          </w:tcPr>
          <w:p>
            <w:pPr>
              <w:spacing w:after="0"/>
              <w:rPr>
                <w:rFonts w:ascii="Arial" w:cs="Arial" w:eastAsia="Arial" w:hAnsi="Arial"/>
                <w:sz w:val="18"/>
                <w:szCs w:val="18"/>
                <w:color w:val="0000FF"/>
                <w:w w:val="92"/>
              </w:rPr>
            </w:pPr>
            <w:hyperlink r:id="rId12">
              <w:r>
                <w:rPr>
                  <w:rFonts w:ascii="Arial" w:cs="Arial" w:eastAsia="Arial" w:hAnsi="Arial"/>
                  <w:sz w:val="18"/>
                  <w:szCs w:val="18"/>
                  <w:color w:val="0000FF"/>
                  <w:w w:val="92"/>
                </w:rPr>
                <w:t>Second Amended and Restated Limited Liability Company Agreement of CC Holdings GS V LLC</w:t>
              </w:r>
            </w:hyperlink>
          </w:p>
        </w:tc>
        <w:tc>
          <w:tcPr>
            <w:tcW w:w="1800" w:type="dxa"/>
            <w:vAlign w:val="bottom"/>
          </w:tcPr>
          <w:p>
            <w:pPr>
              <w:spacing w:after="0"/>
              <w:rPr>
                <w:sz w:val="24"/>
                <w:szCs w:val="24"/>
                <w:color w:val="auto"/>
              </w:rPr>
            </w:pPr>
          </w:p>
        </w:tc>
      </w:tr>
      <w:tr>
        <w:trPr>
          <w:trHeight w:val="37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940" w:type="dxa"/>
            <w:vAlign w:val="bottom"/>
            <w:gridSpan w:val="8"/>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Certification of Chief Executive Officer pursuant to Section 302 of Sarbanes-Oxley Act of 2002</w:t>
              </w:r>
            </w:hyperlink>
          </w:p>
        </w:tc>
      </w:tr>
      <w:tr>
        <w:trPr>
          <w:trHeight w:val="37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68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20">
              <w:r>
                <w:rPr>
                  <w:rFonts w:ascii="Arial" w:cs="Arial" w:eastAsia="Arial" w:hAnsi="Arial"/>
                  <w:sz w:val="18"/>
                  <w:szCs w:val="18"/>
                  <w:color w:val="0000FF"/>
                  <w:w w:val="92"/>
                </w:rPr>
                <w:t>Certification of Chief Financial Officer pursuant to Section 302 of Sarbanes-Oxley Act of 2002</w:t>
              </w:r>
            </w:hyperlink>
          </w:p>
        </w:tc>
        <w:tc>
          <w:tcPr>
            <w:tcW w:w="40" w:type="dxa"/>
            <w:vAlign w:val="bottom"/>
            <w:tcBorders>
              <w:top w:val="single" w:sz="8" w:color="0000FF"/>
            </w:tcBorders>
          </w:tcPr>
          <w:p>
            <w:pPr>
              <w:spacing w:after="0"/>
              <w:rPr>
                <w:sz w:val="24"/>
                <w:szCs w:val="24"/>
                <w:color w:val="auto"/>
              </w:rPr>
            </w:pPr>
          </w:p>
        </w:tc>
        <w:tc>
          <w:tcPr>
            <w:tcW w:w="2020" w:type="dxa"/>
            <w:vAlign w:val="bottom"/>
            <w:gridSpan w:val="2"/>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94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21">
              <w:r>
                <w:rPr>
                  <w:rFonts w:ascii="Arial" w:cs="Arial" w:eastAsia="Arial" w:hAnsi="Arial"/>
                  <w:sz w:val="18"/>
                  <w:szCs w:val="18"/>
                  <w:color w:val="0000FF"/>
                  <w:w w:val="92"/>
                </w:rPr>
                <w:t>Certification of Chief Executive Officer and Chief Financial Officer pursuant to Section 906 of Sarbanes-Oxley Act of 2002</w:t>
              </w:r>
            </w:hyperlink>
          </w:p>
        </w:tc>
      </w:tr>
    </w:tbl>
    <w:p>
      <w:pPr>
        <w:spacing w:after="0" w:line="188" w:lineRule="exact"/>
        <w:rPr>
          <w:sz w:val="20"/>
          <w:szCs w:val="20"/>
          <w:color w:val="auto"/>
        </w:rPr>
      </w:pPr>
    </w:p>
    <w:p>
      <w:pPr>
        <w:ind w:left="500" w:hanging="307"/>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101.INS</w:t>
      </w:r>
      <w:r>
        <w:rPr>
          <w:rFonts w:ascii="Arial" w:cs="Arial" w:eastAsia="Arial" w:hAnsi="Arial"/>
          <w:sz w:val="16"/>
          <w:szCs w:val="16"/>
          <w:color w:val="auto"/>
        </w:rPr>
        <w:t>XBRL Instance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101.SCH</w:t>
      </w:r>
      <w:r>
        <w:rPr>
          <w:rFonts w:ascii="Arial" w:cs="Arial" w:eastAsia="Arial" w:hAnsi="Arial"/>
          <w:sz w:val="16"/>
          <w:szCs w:val="16"/>
          <w:color w:val="auto"/>
        </w:rPr>
        <w:t>XBRL Taxonomy Extension Schema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101.DEF</w:t>
      </w:r>
      <w:r>
        <w:rPr>
          <w:rFonts w:ascii="Arial" w:cs="Arial" w:eastAsia="Arial" w:hAnsi="Arial"/>
          <w:sz w:val="16"/>
          <w:szCs w:val="16"/>
          <w:color w:val="auto"/>
        </w:rPr>
        <w:t>XBRL Taxonomy Extension Definition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101.CAL</w:t>
      </w:r>
      <w:r>
        <w:rPr>
          <w:rFonts w:ascii="Arial" w:cs="Arial" w:eastAsia="Arial" w:hAnsi="Arial"/>
          <w:sz w:val="16"/>
          <w:szCs w:val="16"/>
          <w:color w:val="auto"/>
        </w:rPr>
        <w:t>XBRL Taxonomy Extension Calculation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101.LAB</w:t>
      </w:r>
      <w:r>
        <w:rPr>
          <w:rFonts w:ascii="Arial" w:cs="Arial" w:eastAsia="Arial" w:hAnsi="Arial"/>
          <w:sz w:val="16"/>
          <w:szCs w:val="16"/>
          <w:color w:val="auto"/>
        </w:rPr>
        <w:t>XBRL Taxonomy Extension Label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101.PRE</w:t>
      </w:r>
      <w:r>
        <w:rPr>
          <w:rFonts w:ascii="Arial" w:cs="Arial" w:eastAsia="Arial" w:hAnsi="Arial"/>
          <w:sz w:val="16"/>
          <w:szCs w:val="16"/>
          <w:color w:val="auto"/>
        </w:rPr>
        <w:t>XBRL Taxonomy Extension Presentation Linkbase Document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 Incorporated by reference to the exhibit previously filed by the Registrant on Form S-4 (Registration No. 333-187970) on April 17, 2013.</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CC HOLDINGS GS V LLC</w:t>
      </w:r>
    </w:p>
    <w:p>
      <w:pPr>
        <w:spacing w:after="0" w:line="333" w:lineRule="exact"/>
        <w:rPr>
          <w:sz w:val="20"/>
          <w:szCs w:val="20"/>
          <w:color w:val="auto"/>
        </w:rPr>
      </w:pPr>
    </w:p>
    <w:p>
      <w:pPr>
        <w:ind w:left="1240"/>
        <w:spacing w:after="0"/>
        <w:tabs>
          <w:tab w:leader="none" w:pos="5900" w:val="left"/>
          <w:tab w:leader="none" w:pos="7400" w:val="left"/>
        </w:tabs>
        <w:rPr>
          <w:sz w:val="20"/>
          <w:szCs w:val="20"/>
          <w:color w:val="auto"/>
        </w:rPr>
      </w:pPr>
      <w:r>
        <w:rPr>
          <w:rFonts w:ascii="Arial" w:cs="Arial" w:eastAsia="Arial" w:hAnsi="Arial"/>
          <w:sz w:val="18"/>
          <w:szCs w:val="18"/>
          <w:color w:val="auto"/>
        </w:rPr>
        <w:t>Date: August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Daniel K. Schlanger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Senior Vice President, Chief Financial Officer and Treasurer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Financial Officer)</w:t>
      </w:r>
    </w:p>
    <w:p>
      <w:pPr>
        <w:spacing w:after="0" w:line="320" w:lineRule="exact"/>
        <w:rPr>
          <w:sz w:val="20"/>
          <w:szCs w:val="20"/>
          <w:color w:val="auto"/>
        </w:rPr>
      </w:pPr>
    </w:p>
    <w:p>
      <w:pPr>
        <w:ind w:left="1240"/>
        <w:spacing w:after="0"/>
        <w:tabs>
          <w:tab w:leader="none" w:pos="5900" w:val="left"/>
          <w:tab w:leader="none" w:pos="7500" w:val="left"/>
        </w:tabs>
        <w:rPr>
          <w:sz w:val="20"/>
          <w:szCs w:val="20"/>
          <w:color w:val="auto"/>
        </w:rPr>
      </w:pPr>
      <w:r>
        <w:rPr>
          <w:rFonts w:ascii="Arial" w:cs="Arial" w:eastAsia="Arial" w:hAnsi="Arial"/>
          <w:sz w:val="18"/>
          <w:szCs w:val="18"/>
          <w:color w:val="auto"/>
        </w:rPr>
        <w:t>Date: August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Robert S. Collins</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Vice President and Controller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2975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40"/>
          </w:cols>
          <w:pgMar w:left="240" w:top="580"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00" w:lineRule="exact"/>
        <w:rPr>
          <w:sz w:val="20"/>
          <w:szCs w:val="20"/>
          <w:color w:val="auto"/>
        </w:rPr>
      </w:pPr>
    </w:p>
    <w:p>
      <w:pPr>
        <w:spacing w:after="0" w:line="34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095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40"/>
          </w:cols>
          <w:pgMar w:left="240" w:top="580"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on Form 10-Q of CC Holdings GS V LLC, a Delaware Corporation (“Company”), for the period ending June 30, 2018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47"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June 30, 2018 (the last date of the period covered by the Report).</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August 6, 2018</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and Chief Financial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August 6, 2018</w:t>
      </w:r>
    </w:p>
    <w:p>
      <w:pPr>
        <w:spacing w:after="0" w:line="19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5"/>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decimal"/>
      <w:start w:val="4"/>
    </w:lvl>
  </w:abstractNum>
  <w:abstractNum w:abstractNumId="8">
    <w:nsid w:val="519B500D"/>
    <w:multiLevelType w:val="hybridMultilevel"/>
    <w:lvl w:ilvl="0">
      <w:lvlJc w:val="left"/>
      <w:lvlText w:val="%1."/>
      <w:numFmt w:val="decimal"/>
      <w:start w:val="5"/>
    </w:lvl>
  </w:abstractNum>
  <w:abstractNum w:abstractNumId="9">
    <w:nsid w:val="431BD7B7"/>
    <w:multiLevelType w:val="hybridMultilevel"/>
    <w:lvl w:ilvl="0">
      <w:lvlJc w:val="left"/>
      <w:lvlText w:val="%1."/>
      <w:numFmt w:val="decimal"/>
      <w:start w:val="6"/>
    </w:lvl>
  </w:abstractNum>
  <w:abstractNum w:abstractNumId="10">
    <w:nsid w:val="3F2DBA31"/>
    <w:multiLevelType w:val="hybridMultilevel"/>
    <w:lvl w:ilvl="0">
      <w:lvlJc w:val="left"/>
      <w:lvlText w:val="%1."/>
      <w:numFmt w:val="decimal"/>
      <w:start w:val="7"/>
    </w:lvl>
  </w:abstractNum>
  <w:abstractNum w:abstractNumId="11">
    <w:nsid w:val="7C83E458"/>
    <w:multiLevelType w:val="hybridMultilevel"/>
    <w:lvl w:ilvl="0">
      <w:lvlJc w:val="left"/>
      <w:lvlText w:val="%1."/>
      <w:numFmt w:val="decimal"/>
      <w:start w:val="8"/>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
      <w:numFmt w:val="bullet"/>
      <w:start w:val="1"/>
    </w:lvl>
    <w:lvl w:ilvl="1">
      <w:lvlJc w:val="left"/>
      <w:lvlText w:val="◦"/>
      <w:numFmt w:val="bullet"/>
      <w:start w:val="1"/>
    </w:lvl>
  </w:abstractNum>
  <w:abstractNum w:abstractNumId="14">
    <w:nsid w:val="436C6125"/>
    <w:multiLevelType w:val="hybridMultilevel"/>
    <w:lvl w:ilvl="0">
      <w:lvlJc w:val="left"/>
      <w:lvlText w:val="•"/>
      <w:numFmt w:val="bullet"/>
      <w:start w:val="1"/>
    </w:lvl>
    <w:lvl w:ilvl="1">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lvl w:ilvl="1">
      <w:lvlJc w:val="left"/>
      <w:lvlText w:val="(%2)"/>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Archives/edgar/data/1574211/000119312513158983/d519395dex31.htm" TargetMode="External"/><Relationship Id="rId12" Type="http://schemas.openxmlformats.org/officeDocument/2006/relationships/hyperlink" Target="http://www.sec.gov/Archives/edgar/data/1574211/000119312513158983/d5193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2019-12-28T20:39:31Z</dcterms:created>
  <dcterms:modified xsi:type="dcterms:W3CDTF">2019-12-28T20:39:31Z</dcterms:modified>
</cp:coreProperties>
</file>