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146" w:lineRule="exact"/>
        <w:rPr>
          <w:sz w:val="24"/>
          <w:szCs w:val="24"/>
          <w:color w:val="auto"/>
        </w:rPr>
      </w:pPr>
    </w:p>
    <w:p>
      <w:pPr>
        <w:ind w:left="1460" w:hanging="239"/>
        <w:spacing w:after="0"/>
        <w:tabs>
          <w:tab w:leader="none" w:pos="14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June 30, 2016</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3" w:lineRule="exact"/>
        <w:rPr>
          <w:sz w:val="24"/>
          <w:szCs w:val="24"/>
          <w:color w:val="auto"/>
        </w:rPr>
      </w:pPr>
    </w:p>
    <w:p>
      <w:pPr>
        <w:ind w:left="1460" w:hanging="239"/>
        <w:spacing w:after="0"/>
        <w:tabs>
          <w:tab w:leader="none" w:pos="14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8" w:lineRule="exact"/>
        <w:rPr>
          <w:sz w:val="24"/>
          <w:szCs w:val="24"/>
          <w:color w:val="auto"/>
        </w:rPr>
      </w:pPr>
    </w:p>
    <w:p>
      <w:pPr>
        <w:ind w:left="4160"/>
        <w:spacing w:after="0"/>
        <w:tabs>
          <w:tab w:leader="none" w:pos="6520" w:val="left"/>
        </w:tabs>
        <w:rPr>
          <w:sz w:val="20"/>
          <w:szCs w:val="20"/>
          <w:color w:val="auto"/>
        </w:rPr>
      </w:pPr>
      <w:r>
        <w:rPr>
          <w:rFonts w:ascii="Arial" w:cs="Arial" w:eastAsia="Arial" w:hAnsi="Arial"/>
          <w:sz w:val="18"/>
          <w:szCs w:val="18"/>
          <w:color w:val="auto"/>
        </w:rPr>
        <w:t>For the transition period</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333-187970</w:t>
      </w:r>
    </w:p>
    <w:p>
      <w:pPr>
        <w:spacing w:after="0" w:line="23"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CC HOLDINGS GS V LLC</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96" w:lineRule="exact"/>
        <w:rPr>
          <w:sz w:val="24"/>
          <w:szCs w:val="24"/>
          <w:color w:val="auto"/>
        </w:rPr>
      </w:pPr>
    </w:p>
    <w:tbl>
      <w:tblPr>
        <w:tblLayout w:type="fixed"/>
        <w:tblInd w:w="2720" w:type="dxa"/>
        <w:tblCellMar>
          <w:top w:w="0" w:type="dxa"/>
          <w:left w:w="0" w:type="dxa"/>
          <w:bottom w:w="0" w:type="dxa"/>
          <w:right w:w="0" w:type="dxa"/>
        </w:tblCellMar>
      </w:tblPr>
      <w:tr>
        <w:trPr>
          <w:trHeight w:val="234"/>
        </w:trPr>
        <w:tc>
          <w:tcPr>
            <w:tcW w:w="3200" w:type="dxa"/>
            <w:vAlign w:val="bottom"/>
          </w:tcPr>
          <w:p>
            <w:pPr>
              <w:jc w:val="center"/>
              <w:ind w:right="1348"/>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jc w:val="center"/>
              <w:ind w:left="1328"/>
              <w:spacing w:after="0"/>
              <w:rPr>
                <w:sz w:val="20"/>
                <w:szCs w:val="20"/>
                <w:color w:val="auto"/>
              </w:rPr>
            </w:pPr>
            <w:r>
              <w:rPr>
                <w:rFonts w:ascii="Arial" w:cs="Arial" w:eastAsia="Arial" w:hAnsi="Arial"/>
                <w:sz w:val="18"/>
                <w:szCs w:val="18"/>
                <w:b w:val="1"/>
                <w:bCs w:val="1"/>
                <w:color w:val="auto"/>
                <w:w w:val="91"/>
              </w:rPr>
              <w:t>20-4300339</w:t>
            </w:r>
          </w:p>
        </w:tc>
      </w:tr>
      <w:tr>
        <w:trPr>
          <w:trHeight w:val="171"/>
        </w:trPr>
        <w:tc>
          <w:tcPr>
            <w:tcW w:w="3200" w:type="dxa"/>
            <w:vAlign w:val="bottom"/>
          </w:tcPr>
          <w:p>
            <w:pPr>
              <w:jc w:val="center"/>
              <w:ind w:right="1368"/>
              <w:spacing w:after="0"/>
              <w:rPr>
                <w:sz w:val="20"/>
                <w:szCs w:val="20"/>
                <w:color w:val="auto"/>
              </w:rPr>
            </w:pPr>
            <w:r>
              <w:rPr>
                <w:rFonts w:ascii="Arial" w:cs="Arial" w:eastAsia="Arial" w:hAnsi="Arial"/>
                <w:sz w:val="13"/>
                <w:szCs w:val="13"/>
                <w:b w:val="1"/>
                <w:bCs w:val="1"/>
                <w:color w:val="auto"/>
                <w:w w:val="88"/>
              </w:rPr>
              <w:t>(State or other jurisdiction</w:t>
            </w:r>
          </w:p>
        </w:tc>
        <w:tc>
          <w:tcPr>
            <w:tcW w:w="2400" w:type="dxa"/>
            <w:vAlign w:val="bottom"/>
          </w:tcPr>
          <w:p>
            <w:pPr>
              <w:jc w:val="center"/>
              <w:ind w:left="1328"/>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1348"/>
              <w:spacing w:after="0"/>
              <w:rPr>
                <w:sz w:val="20"/>
                <w:szCs w:val="20"/>
                <w:color w:val="auto"/>
              </w:rPr>
            </w:pPr>
            <w:r>
              <w:rPr>
                <w:rFonts w:ascii="Arial" w:cs="Arial" w:eastAsia="Arial" w:hAnsi="Arial"/>
                <w:sz w:val="13"/>
                <w:szCs w:val="13"/>
                <w:b w:val="1"/>
                <w:bCs w:val="1"/>
                <w:color w:val="auto"/>
                <w:w w:val="88"/>
              </w:rPr>
              <w:t>of incorporation or organization)</w:t>
            </w:r>
          </w:p>
        </w:tc>
        <w:tc>
          <w:tcPr>
            <w:tcW w:w="2400" w:type="dxa"/>
            <w:vAlign w:val="bottom"/>
          </w:tcPr>
          <w:p>
            <w:pPr>
              <w:jc w:val="center"/>
              <w:ind w:left="132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1220 Augusta Drive, Suite 600, Houston, Texas 77057-2261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570-3000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92" w:right="239" w:bottom="1440" w:gutter="0" w:footer="0" w:header="0"/>
        </w:sectPr>
      </w:pPr>
    </w:p>
    <w:p>
      <w:pPr>
        <w:spacing w:after="0" w:line="279"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3760" w:space="380"/>
            <w:col w:w="1540" w:space="720"/>
            <w:col w:w="1920" w:space="720"/>
            <w:col w:w="2380"/>
          </w:cols>
          <w:pgMar w:left="240" w:top="1192" w:right="239" w:bottom="1440" w:gutter="0" w:footer="0" w:header="0"/>
          <w:type w:val="continuous"/>
        </w:sectPr>
      </w:pPr>
    </w:p>
    <w:p>
      <w:pPr>
        <w:ind w:left="2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9" w:lineRule="exact"/>
        <w:rPr>
          <w:sz w:val="24"/>
          <w:szCs w:val="24"/>
          <w:color w:val="auto"/>
        </w:rPr>
      </w:pPr>
    </w:p>
    <w:p>
      <w:pPr>
        <w:sectPr>
          <w:pgSz w:w="11900" w:h="16838" w:orient="portrait"/>
          <w:cols w:equalWidth="0" w:num="4">
            <w:col w:w="3680" w:space="460"/>
            <w:col w:w="1540" w:space="720"/>
            <w:col w:w="1980" w:space="660"/>
            <w:col w:w="2380"/>
          </w:cols>
          <w:pgMar w:left="240" w:top="1192"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4"/>
          <w:szCs w:val="24"/>
          <w:color w:val="auto"/>
        </w:rPr>
      </w:pPr>
    </w:p>
    <w:p>
      <w:pPr>
        <w:sectPr>
          <w:pgSz w:w="11900" w:h="16838" w:orient="portrait"/>
          <w:cols w:equalWidth="0" w:num="3">
            <w:col w:w="7760" w:space="160"/>
            <w:col w:w="440" w:space="180"/>
            <w:col w:w="2880"/>
          </w:cols>
          <w:pgMar w:left="240" w:top="1192"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As of June 30, 2016, the only member of the registrant is a wholly-owned indirect subsidiary of Crown Castle International Corp.</w:t>
      </w:r>
    </w:p>
    <w:p>
      <w:pPr>
        <w:spacing w:after="0" w:line="17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registrant is a wholly-owned indirect subsidiary of Crown Castle International Corp. and meets the conditions set forth in General Instruction (H)(1)(a) and (b) of Form 10-Q, and is therefore filing this form with the reduced disclosure format.</w:t>
      </w:r>
    </w:p>
    <w:p>
      <w:pPr>
        <w:sectPr>
          <w:pgSz w:w="11900" w:h="16838" w:orient="portrait"/>
          <w:cols w:equalWidth="0" w:num="1">
            <w:col w:w="11420"/>
          </w:cols>
          <w:pgMar w:left="240" w:top="119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8"/>
              </w:rPr>
              <w:t>PART I—FINANCIAL INFORMATION</w:t>
            </w:r>
          </w:p>
        </w:tc>
        <w:tc>
          <w:tcPr>
            <w:tcW w:w="7240" w:type="dxa"/>
            <w:vAlign w:val="bottom"/>
            <w:gridSpan w:val="9"/>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5"/>
              </w:rPr>
              <w:t>CONDENSED CONSOLIDATED BALANCE SHEET</w:t>
            </w:r>
          </w:p>
        </w:tc>
        <w:tc>
          <w:tcPr>
            <w:tcW w:w="4500" w:type="dxa"/>
            <w:vAlign w:val="bottom"/>
            <w:gridSpan w:val="5"/>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60" w:type="dxa"/>
            <w:vAlign w:val="bottom"/>
            <w:gridSpan w:val="4"/>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auto"/>
              </w:rPr>
              <w:t>CONDENSED CONSOLIDATED STATEMENT OF CASH FLOWS (Unaudited)</w:t>
            </w:r>
          </w:p>
        </w:tc>
        <w:tc>
          <w:tcPr>
            <w:tcW w:w="114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auto"/>
              </w:rPr>
              <w:t>CONDENSED CONSOLIDATED STATEMENT OF CHANGES IN MEMBER'S EQUITY (Unaudited)</w:t>
            </w:r>
          </w:p>
        </w:tc>
        <w:tc>
          <w:tcPr>
            <w:tcW w:w="11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NOTES TO CONDENSED CONSOLIDATED FINANCIAL STATEMENTS—Unaudited</w:t>
            </w:r>
          </w:p>
        </w:tc>
        <w:tc>
          <w:tcPr>
            <w:tcW w:w="94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920" w:type="dxa"/>
            <w:vAlign w:val="bottom"/>
            <w:gridSpan w:val="3"/>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7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7"/>
              </w:rPr>
              <w:t>MANAGEMENT'S DISCUSSION AND ANALYSIS OF FINANCIAL CONDITION AND RESULTS OF</w:t>
            </w: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color w:val="auto"/>
                <w:w w:val="91"/>
              </w:rPr>
              <w:t>OPERATIONS</w:t>
            </w:r>
          </w:p>
        </w:tc>
        <w:tc>
          <w:tcPr>
            <w:tcW w:w="7400" w:type="dxa"/>
            <w:vAlign w:val="bottom"/>
            <w:gridSpan w:val="11"/>
          </w:tcPr>
          <w:p>
            <w:pPr>
              <w:spacing w:after="0"/>
              <w:rPr>
                <w:sz w:val="17"/>
                <w:szCs w:val="17"/>
                <w:color w:val="auto"/>
              </w:rPr>
            </w:pPr>
          </w:p>
        </w:tc>
        <w:tc>
          <w:tcPr>
            <w:tcW w:w="1140" w:type="dxa"/>
            <w:vAlign w:val="bottom"/>
            <w:gridSpan w:val="3"/>
          </w:tcPr>
          <w:p>
            <w:pPr>
              <w:jc w:val="right"/>
              <w:spacing w:after="0" w:line="196" w:lineRule="exact"/>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sz w:val="20"/>
                <w:szCs w:val="20"/>
                <w:color w:val="auto"/>
              </w:rPr>
            </w:pPr>
            <w:r>
              <w:rPr>
                <w:rFonts w:ascii="Arial" w:cs="Arial" w:eastAsia="Arial" w:hAnsi="Arial"/>
                <w:sz w:val="18"/>
                <w:szCs w:val="18"/>
                <w:color w:val="auto"/>
                <w:w w:val="93"/>
              </w:rPr>
              <w:t>CONTROLS AND PROCEDURES</w:t>
            </w:r>
          </w:p>
        </w:tc>
        <w:tc>
          <w:tcPr>
            <w:tcW w:w="5900" w:type="dxa"/>
            <w:vAlign w:val="bottom"/>
            <w:gridSpan w:val="6"/>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660" w:type="dxa"/>
            <w:vAlign w:val="bottom"/>
            <w:gridSpan w:val="5"/>
          </w:tcPr>
          <w:p>
            <w:pPr>
              <w:spacing w:after="0"/>
              <w:rPr>
                <w:sz w:val="20"/>
                <w:szCs w:val="20"/>
                <w:color w:val="auto"/>
              </w:rPr>
            </w:pPr>
            <w:r>
              <w:rPr>
                <w:rFonts w:ascii="Arial" w:cs="Arial" w:eastAsia="Arial" w:hAnsi="Arial"/>
                <w:sz w:val="18"/>
                <w:szCs w:val="18"/>
                <w:color w:val="auto"/>
                <w:w w:val="95"/>
              </w:rPr>
              <w:t>PART II—OTHER INFORMATION</w:t>
            </w:r>
          </w:p>
        </w:tc>
        <w:tc>
          <w:tcPr>
            <w:tcW w:w="7560" w:type="dxa"/>
            <w:vAlign w:val="bottom"/>
            <w:gridSpan w:val="12"/>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14"/>
          </w:tcPr>
          <w:p>
            <w:pPr>
              <w:spacing w:after="0"/>
              <w:rPr>
                <w:sz w:val="20"/>
                <w:szCs w:val="20"/>
                <w:color w:val="auto"/>
              </w:rPr>
            </w:pPr>
            <w:r>
              <w:rPr>
                <w:rFonts w:ascii="Arial" w:cs="Arial" w:eastAsia="Arial" w:hAnsi="Arial"/>
                <w:sz w:val="18"/>
                <w:szCs w:val="18"/>
                <w:color w:val="auto"/>
              </w:rPr>
              <w:t>LEGAL PROCEEDINGS</w:t>
            </w: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240" w:type="dxa"/>
            <w:vAlign w:val="bottom"/>
            <w:gridSpan w:val="4"/>
          </w:tcPr>
          <w:p>
            <w:pPr>
              <w:spacing w:after="0"/>
              <w:rPr>
                <w:sz w:val="20"/>
                <w:szCs w:val="20"/>
                <w:color w:val="auto"/>
              </w:rPr>
            </w:pPr>
            <w:r>
              <w:rPr>
                <w:rFonts w:ascii="Arial" w:cs="Arial" w:eastAsia="Arial" w:hAnsi="Arial"/>
                <w:sz w:val="18"/>
                <w:szCs w:val="18"/>
                <w:color w:val="auto"/>
                <w:w w:val="91"/>
              </w:rPr>
              <w:t>RISK FACTORS</w:t>
            </w:r>
          </w:p>
        </w:tc>
        <w:tc>
          <w:tcPr>
            <w:tcW w:w="620" w:type="dxa"/>
            <w:vAlign w:val="bottom"/>
            <w:gridSpan w:val="2"/>
          </w:tcPr>
          <w:p>
            <w:pPr>
              <w:spacing w:after="0"/>
              <w:rPr>
                <w:sz w:val="21"/>
                <w:szCs w:val="21"/>
                <w:color w:val="auto"/>
              </w:rPr>
            </w:pPr>
          </w:p>
        </w:tc>
        <w:tc>
          <w:tcPr>
            <w:tcW w:w="6640" w:type="dxa"/>
            <w:vAlign w:val="bottom"/>
            <w:gridSpan w:val="8"/>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7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420" w:type="dxa"/>
            <w:vAlign w:val="bottom"/>
            <w:gridSpan w:val="3"/>
          </w:tcPr>
          <w:p>
            <w:pPr>
              <w:spacing w:after="0"/>
              <w:rPr>
                <w:sz w:val="21"/>
                <w:szCs w:val="21"/>
                <w:color w:val="auto"/>
              </w:rPr>
            </w:pPr>
          </w:p>
        </w:tc>
        <w:tc>
          <w:tcPr>
            <w:tcW w:w="7260" w:type="dxa"/>
            <w:vAlign w:val="bottom"/>
            <w:gridSpan w:val="10"/>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62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EXHIBIT INDEX</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 any variation thereof, and similar expressions are intended to identify forward-looking statements. Such statements include plans, projections and estimates contained in </w:t>
      </w:r>
      <w:r>
        <w:rPr>
          <w:rFonts w:ascii="Arial" w:cs="Arial" w:eastAsia="Arial" w:hAnsi="Arial"/>
          <w:sz w:val="17"/>
          <w:szCs w:val="17"/>
          <w:i w:val="1"/>
          <w:iCs w:val="1"/>
          <w:color w:val="auto"/>
        </w:rPr>
        <w:t xml:space="preserve">"Part I—Item 2. Management's Discussion and Analysis of Financial Condition and Results of Operations" </w:t>
      </w:r>
      <w:r>
        <w:rPr>
          <w:rFonts w:ascii="Arial" w:cs="Arial" w:eastAsia="Arial" w:hAnsi="Arial"/>
          <w:sz w:val="17"/>
          <w:szCs w:val="17"/>
          <w:color w:val="auto"/>
        </w:rPr>
        <w:t>("MD&amp;A") herein. Such forward-looking</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 (1) expectations regarding anticipated growth in the wireless industry, carriers' investments in their networks, tenant additions, customer consolidation or ownership changes, or demand for our sites, (2) expectations regarding non-renewals of tenant leases, (including the impact of our customers' decommissioning of the former Leap Wireless, MetroPCS and Clearwire networks ("Acquired Networks")), (3) availability and adequacy of cash flows and liquidity for, or plans regarding, future discretionary investments including: capital expenditure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margins, and operating cash flows, (6) expectations regarding our capital structure and the credit markets, our availability and cost of capital, or our ability to service our debt and comply with debt covenants, (7) expectations for sustaining capital expenditures, and (8) expectations related to CCIC's ability to remain qualified as a real estate investment trust ("REIT") and the advantages, benefits or impact of, or opportunities created by the inclusion of our assets and operations in CCIC's REIT.</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our Annual Report on Form 10-K for the fiscal year ended December 31, 2015 ("2015 Form 10-K") and other factors. Should one or more of these risks or uncertainties materialize, or should underlying assumptions prove incorrect, actual results may vary materially from those expected. As used herein, the term "including," and any variation thereof, means "including without limitation." The use of the word "or" herein is not exclusive.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1260" w:type="dxa"/>
            <w:vAlign w:val="bottom"/>
          </w:tcPr>
          <w:p>
            <w:pPr>
              <w:spacing w:after="0"/>
              <w:rPr>
                <w:sz w:val="24"/>
                <w:szCs w:val="24"/>
                <w:color w:val="auto"/>
              </w:rPr>
            </w:pPr>
          </w:p>
        </w:tc>
        <w:tc>
          <w:tcPr>
            <w:tcW w:w="7760" w:type="dxa"/>
            <w:vAlign w:val="bottom"/>
          </w:tcPr>
          <w:p>
            <w:pPr>
              <w:jc w:val="center"/>
              <w:ind w:left="1053"/>
              <w:spacing w:after="0"/>
              <w:rPr>
                <w:sz w:val="20"/>
                <w:szCs w:val="20"/>
                <w:color w:val="auto"/>
              </w:rPr>
            </w:pPr>
            <w:r>
              <w:rPr>
                <w:rFonts w:ascii="Arial" w:cs="Arial" w:eastAsia="Arial" w:hAnsi="Arial"/>
                <w:sz w:val="18"/>
                <w:szCs w:val="18"/>
                <w:b w:val="1"/>
                <w:bCs w:val="1"/>
                <w:color w:val="auto"/>
                <w:w w:val="99"/>
              </w:rPr>
              <w:t>CC HOLDINGS GS V LLC</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760" w:type="dxa"/>
            <w:vAlign w:val="bottom"/>
          </w:tcPr>
          <w:p>
            <w:pPr>
              <w:jc w:val="center"/>
              <w:ind w:left="1073"/>
              <w:spacing w:after="0"/>
              <w:rPr>
                <w:sz w:val="20"/>
                <w:szCs w:val="20"/>
                <w:color w:val="auto"/>
              </w:rPr>
            </w:pPr>
            <w:r>
              <w:rPr>
                <w:rFonts w:ascii="Arial" w:cs="Arial" w:eastAsia="Arial" w:hAnsi="Arial"/>
                <w:sz w:val="18"/>
                <w:szCs w:val="18"/>
                <w:b w:val="1"/>
                <w:bCs w:val="1"/>
                <w:color w:val="auto"/>
                <w:w w:val="99"/>
              </w:rPr>
              <w:t>CONDENSED CONSOLIDATED BALANCE SHEET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760" w:type="dxa"/>
            <w:vAlign w:val="bottom"/>
          </w:tcPr>
          <w:p>
            <w:pPr>
              <w:jc w:val="center"/>
              <w:ind w:left="1073"/>
              <w:spacing w:after="0"/>
              <w:rPr>
                <w:sz w:val="20"/>
                <w:szCs w:val="20"/>
                <w:color w:val="auto"/>
              </w:rPr>
            </w:pPr>
            <w:r>
              <w:rPr>
                <w:rFonts w:ascii="Arial" w:cs="Arial" w:eastAsia="Arial" w:hAnsi="Arial"/>
                <w:sz w:val="18"/>
                <w:szCs w:val="18"/>
                <w:b w:val="1"/>
                <w:bCs w:val="1"/>
                <w:color w:val="auto"/>
                <w:w w:val="89"/>
              </w:rPr>
              <w:t>(In thousands of dollars)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2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7760" w:type="dxa"/>
            <w:vAlign w:val="bottom"/>
          </w:tcPr>
          <w:p>
            <w:pPr>
              <w:jc w:val="center"/>
              <w:ind w:right="1153"/>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20,424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20,401</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Prepaid expenses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31,973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24,318</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15,758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11,336</w:t>
            </w:r>
          </w:p>
        </w:tc>
        <w:tc>
          <w:tcPr>
            <w:tcW w:w="0" w:type="dxa"/>
            <w:vAlign w:val="bottom"/>
          </w:tcPr>
          <w:p>
            <w:pPr>
              <w:spacing w:after="0"/>
              <w:rPr>
                <w:sz w:val="1"/>
                <w:szCs w:val="1"/>
                <w:color w:val="auto"/>
              </w:rPr>
            </w:pPr>
          </w:p>
        </w:tc>
      </w:tr>
      <w:tr>
        <w:trPr>
          <w:trHeight w:val="217"/>
        </w:trPr>
        <w:tc>
          <w:tcPr>
            <w:tcW w:w="9020" w:type="dxa"/>
            <w:vAlign w:val="bottom"/>
            <w:gridSpan w:val="2"/>
          </w:tcPr>
          <w:p>
            <w:pPr>
              <w:ind w:left="6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71,780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60,042</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352,126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350,407</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Property and equipment, net of accumulated depreciation of $783,679 and $740,236, respectively</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1,112,024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1,135,704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1,338,730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1,338,730</w:t>
            </w:r>
          </w:p>
        </w:tc>
        <w:tc>
          <w:tcPr>
            <w:tcW w:w="0" w:type="dxa"/>
            <w:vAlign w:val="bottom"/>
          </w:tcPr>
          <w:p>
            <w:pPr>
              <w:spacing w:after="0"/>
              <w:rPr>
                <w:sz w:val="1"/>
                <w:szCs w:val="1"/>
                <w:color w:val="auto"/>
              </w:rPr>
            </w:pPr>
          </w:p>
        </w:tc>
      </w:tr>
      <w:tr>
        <w:trPr>
          <w:trHeight w:val="237"/>
        </w:trPr>
        <w:tc>
          <w:tcPr>
            <w:tcW w:w="902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1,094,723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1,152,354</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34,825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32,835</w:t>
            </w:r>
          </w:p>
        </w:tc>
        <w:tc>
          <w:tcPr>
            <w:tcW w:w="0" w:type="dxa"/>
            <w:vAlign w:val="bottom"/>
          </w:tcPr>
          <w:p>
            <w:pPr>
              <w:spacing w:after="0"/>
              <w:rPr>
                <w:sz w:val="1"/>
                <w:szCs w:val="1"/>
                <w:color w:val="auto"/>
              </w:rPr>
            </w:pPr>
          </w:p>
        </w:tc>
      </w:tr>
      <w:tr>
        <w:trPr>
          <w:trHeight w:val="284"/>
        </w:trPr>
        <w:tc>
          <w:tcPr>
            <w:tcW w:w="902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4,004,208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4,070,072</w:t>
            </w:r>
          </w:p>
        </w:tc>
        <w:tc>
          <w:tcPr>
            <w:tcW w:w="0" w:type="dxa"/>
            <w:vAlign w:val="bottom"/>
          </w:tcPr>
          <w:p>
            <w:pPr>
              <w:spacing w:after="0"/>
              <w:rPr>
                <w:sz w:val="1"/>
                <w:szCs w:val="1"/>
                <w:color w:val="auto"/>
              </w:rPr>
            </w:pPr>
          </w:p>
        </w:tc>
      </w:tr>
      <w:tr>
        <w:trPr>
          <w:trHeight w:val="217"/>
        </w:trPr>
        <w:tc>
          <w:tcPr>
            <w:tcW w:w="12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7760" w:type="dxa"/>
            <w:vAlign w:val="bottom"/>
          </w:tcPr>
          <w:p>
            <w:pPr>
              <w:jc w:val="center"/>
              <w:ind w:right="1153"/>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Current liabilities:</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Accrued expenses and payables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13,727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12,825</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8,655</w:t>
            </w: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Deferred revenues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12,165</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33,569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33,645</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6"/>
                <w:szCs w:val="16"/>
                <w:color w:val="auto"/>
              </w:rPr>
              <w:t>Debt</w:t>
            </w:r>
          </w:p>
        </w:tc>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1,488,469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1,487,055</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99,447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95,837</w:t>
            </w:r>
          </w:p>
        </w:tc>
        <w:tc>
          <w:tcPr>
            <w:tcW w:w="0" w:type="dxa"/>
            <w:vAlign w:val="bottom"/>
          </w:tcPr>
          <w:p>
            <w:pPr>
              <w:spacing w:after="0"/>
              <w:rPr>
                <w:sz w:val="1"/>
                <w:szCs w:val="1"/>
                <w:color w:val="auto"/>
              </w:rPr>
            </w:pP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48,752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49,187</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1,670,237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1,665,724</w:t>
            </w:r>
          </w:p>
        </w:tc>
        <w:tc>
          <w:tcPr>
            <w:tcW w:w="0" w:type="dxa"/>
            <w:vAlign w:val="bottom"/>
          </w:tcPr>
          <w:p>
            <w:pPr>
              <w:spacing w:after="0"/>
              <w:rPr>
                <w:sz w:val="1"/>
                <w:szCs w:val="1"/>
                <w:color w:val="auto"/>
              </w:rPr>
            </w:pPr>
          </w:p>
        </w:tc>
      </w:tr>
      <w:tr>
        <w:trPr>
          <w:trHeight w:val="217"/>
        </w:trPr>
        <w:tc>
          <w:tcPr>
            <w:tcW w:w="9020" w:type="dxa"/>
            <w:vAlign w:val="bottom"/>
            <w:gridSpan w:val="2"/>
          </w:tcPr>
          <w:p>
            <w:pPr>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Member's equity:</w:t>
            </w:r>
          </w:p>
        </w:tc>
        <w:tc>
          <w:tcPr>
            <w:tcW w:w="7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20" w:type="dxa"/>
            <w:vAlign w:val="bottom"/>
            <w:gridSpan w:val="2"/>
          </w:tcPr>
          <w:p>
            <w:pPr>
              <w:ind w:left="280"/>
              <w:spacing w:after="0"/>
              <w:rPr>
                <w:sz w:val="20"/>
                <w:szCs w:val="20"/>
                <w:color w:val="auto"/>
              </w:rPr>
            </w:pPr>
            <w:r>
              <w:rPr>
                <w:rFonts w:ascii="Arial" w:cs="Arial" w:eastAsia="Arial" w:hAnsi="Arial"/>
                <w:sz w:val="16"/>
                <w:szCs w:val="16"/>
                <w:color w:val="auto"/>
              </w:rPr>
              <w:t>Member's equity</w:t>
            </w:r>
          </w:p>
        </w:tc>
        <w:tc>
          <w:tcPr>
            <w:tcW w:w="1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2,327,938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2,327,938</w:t>
            </w:r>
          </w:p>
        </w:tc>
        <w:tc>
          <w:tcPr>
            <w:tcW w:w="0" w:type="dxa"/>
            <w:vAlign w:val="bottom"/>
          </w:tcPr>
          <w:p>
            <w:pPr>
              <w:spacing w:after="0"/>
              <w:rPr>
                <w:sz w:val="1"/>
                <w:szCs w:val="1"/>
                <w:color w:val="auto"/>
              </w:rPr>
            </w:pPr>
          </w:p>
        </w:tc>
      </w:tr>
      <w:tr>
        <w:trPr>
          <w:trHeight w:val="33"/>
        </w:trPr>
        <w:tc>
          <w:tcPr>
            <w:tcW w:w="9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76,410</w:t>
            </w:r>
          </w:p>
        </w:tc>
        <w:tc>
          <w:tcPr>
            <w:tcW w:w="0" w:type="dxa"/>
            <w:vAlign w:val="bottom"/>
          </w:tcPr>
          <w:p>
            <w:pPr>
              <w:spacing w:after="0"/>
              <w:rPr>
                <w:sz w:val="1"/>
                <w:szCs w:val="1"/>
                <w:color w:val="auto"/>
              </w:rPr>
            </w:pPr>
          </w:p>
        </w:tc>
      </w:tr>
      <w:tr>
        <w:trPr>
          <w:trHeight w:val="217"/>
        </w:trPr>
        <w:tc>
          <w:tcPr>
            <w:tcW w:w="9020" w:type="dxa"/>
            <w:vAlign w:val="bottom"/>
            <w:gridSpan w:val="2"/>
          </w:tcPr>
          <w:p>
            <w:pPr>
              <w:ind w:left="600"/>
              <w:spacing w:after="0"/>
              <w:rPr>
                <w:sz w:val="20"/>
                <w:szCs w:val="20"/>
                <w:color w:val="auto"/>
              </w:rPr>
            </w:pPr>
            <w:r>
              <w:rPr>
                <w:rFonts w:ascii="Arial" w:cs="Arial" w:eastAsia="Arial" w:hAnsi="Arial"/>
                <w:sz w:val="16"/>
                <w:szCs w:val="16"/>
                <w:color w:val="auto"/>
              </w:rPr>
              <w:t>Total member's equity</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2,333,971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4,004,208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4,070,072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152,184</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151,447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306,258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302,222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4"/>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37,327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37,858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73,905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74,897</w:t>
            </w:r>
          </w:p>
        </w:tc>
      </w:tr>
      <w:tr>
        <w:trPr>
          <w:trHeight w:val="270"/>
        </w:trPr>
        <w:tc>
          <w:tcPr>
            <w:tcW w:w="562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8,422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7,938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16,669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15,729</w:t>
            </w:r>
          </w:p>
        </w:tc>
      </w:tr>
      <w:tr>
        <w:trPr>
          <w:trHeight w:val="250"/>
        </w:trPr>
        <w:tc>
          <w:tcPr>
            <w:tcW w:w="56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45,749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45,796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90,574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90,626</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11,243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10,826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22,511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21,583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2,058</w:t>
            </w:r>
          </w:p>
        </w:tc>
      </w:tr>
      <w:tr>
        <w:trPr>
          <w:trHeight w:val="237"/>
        </w:trPr>
        <w:tc>
          <w:tcPr>
            <w:tcW w:w="562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52,116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51,461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104,474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102,981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217,248</w:t>
            </w:r>
          </w:p>
        </w:tc>
      </w:tr>
      <w:tr>
        <w:trPr>
          <w:trHeight w:val="21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41,185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42,576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85,925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84,974</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(26,612)</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58,378</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58,172</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90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59,133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58,172</w:t>
            </w: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104,474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102,981</w:t>
            </w: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1,414</w:t>
            </w:r>
          </w:p>
        </w:tc>
      </w:tr>
      <w:tr>
        <w:trPr>
          <w:trHeight w:val="237"/>
        </w:trPr>
        <w:tc>
          <w:tcPr>
            <w:tcW w:w="9020" w:type="dxa"/>
            <w:vAlign w:val="bottom"/>
          </w:tcPr>
          <w:p>
            <w:pPr>
              <w:ind w:left="500"/>
              <w:spacing w:after="0"/>
              <w:rPr>
                <w:sz w:val="20"/>
                <w:szCs w:val="20"/>
                <w:color w:val="auto"/>
              </w:rPr>
            </w:pPr>
            <w:r>
              <w:rPr>
                <w:rFonts w:ascii="Arial" w:cs="Arial" w:eastAsia="Arial" w:hAnsi="Arial"/>
                <w:sz w:val="16"/>
                <w:szCs w:val="16"/>
                <w:color w:val="auto"/>
              </w:rPr>
              <w:t>Asset write-down charges</w:t>
            </w:r>
          </w:p>
        </w:tc>
        <w:tc>
          <w:tcPr>
            <w:tcW w:w="2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2,774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2,058</w:t>
            </w: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720"/>
              <w:spacing w:after="0"/>
              <w:rPr>
                <w:sz w:val="20"/>
                <w:szCs w:val="20"/>
                <w:color w:val="auto"/>
              </w:rPr>
            </w:pPr>
            <w:r>
              <w:rPr>
                <w:rFonts w:ascii="Arial" w:cs="Arial" w:eastAsia="Arial" w:hAnsi="Arial"/>
                <w:sz w:val="16"/>
                <w:szCs w:val="16"/>
                <w:color w:val="auto"/>
              </w:rPr>
              <w:t>Increase (decrease) in accounts payable</w:t>
            </w:r>
          </w:p>
        </w:tc>
        <w:tc>
          <w:tcPr>
            <w:tcW w:w="2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5,492</w:t>
            </w:r>
          </w:p>
        </w:tc>
      </w:tr>
      <w:tr>
        <w:trPr>
          <w:trHeight w:val="237"/>
        </w:trPr>
        <w:tc>
          <w:tcPr>
            <w:tcW w:w="9020" w:type="dxa"/>
            <w:vAlign w:val="bottom"/>
          </w:tcPr>
          <w:p>
            <w:pPr>
              <w:ind w:left="720"/>
              <w:spacing w:after="0"/>
              <w:rPr>
                <w:sz w:val="20"/>
                <w:szCs w:val="20"/>
                <w:color w:val="auto"/>
              </w:rPr>
            </w:pPr>
            <w:r>
              <w:rPr>
                <w:rFonts w:ascii="Arial" w:cs="Arial" w:eastAsia="Arial" w:hAnsi="Arial"/>
                <w:sz w:val="16"/>
                <w:szCs w:val="16"/>
                <w:color w:val="auto"/>
              </w:rPr>
              <w:t>Decrease (increase) in receivables</w:t>
            </w:r>
          </w:p>
        </w:tc>
        <w:tc>
          <w:tcPr>
            <w:tcW w:w="2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1,860</w:t>
            </w: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other current assets, deferred site rental receivable, long-term prepaid rent, and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(20,592)</w:t>
            </w:r>
          </w:p>
        </w:tc>
      </w:tr>
      <w:tr>
        <w:trPr>
          <w:trHeight w:val="217"/>
        </w:trPr>
        <w:tc>
          <w:tcPr>
            <w:tcW w:w="902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155,612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151,108</w:t>
            </w:r>
          </w:p>
        </w:tc>
      </w:tr>
      <w:tr>
        <w:trPr>
          <w:trHeight w:val="33"/>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(46,176)</w:t>
            </w:r>
          </w:p>
        </w:tc>
      </w:tr>
      <w:tr>
        <w:trPr>
          <w:trHeight w:val="33"/>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(46,176)</w:t>
            </w: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(105,618)</w:t>
            </w:r>
          </w:p>
        </w:tc>
      </w:tr>
      <w:tr>
        <w:trPr>
          <w:trHeight w:val="217"/>
        </w:trPr>
        <w:tc>
          <w:tcPr>
            <w:tcW w:w="902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(105,618)</w:t>
            </w:r>
          </w:p>
        </w:tc>
      </w:tr>
      <w:tr>
        <w:trPr>
          <w:trHeight w:val="33"/>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26,231</w:t>
            </w:r>
          </w:p>
        </w:tc>
      </w:tr>
      <w:tr>
        <w:trPr>
          <w:trHeight w:val="33"/>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25,545</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2,370,800</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(64,621)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(64,621)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27,792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27,792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6,033</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2,333,971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171,720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2,499,658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(55,219)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(55,219)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29,160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29,160</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145,661</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2,473,599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76,410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(129,510)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(129,510)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59,133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59,133</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6,033</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2,333,971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10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193,107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2,521,045</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4)</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(105,618)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(105,618)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58,172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58,172</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June 30,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2,327,938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145,661</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2,473,599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the "Company"). The Company is a wholly-owned subsidiary of Global Signal Operating Partnership, L.P. ("GSOP"), which is an indirect subsidiary of Crown Castle International Corp., a Delaware corporation ("CCIC" or "Crown Castle").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2015, and related notes thereto, included in the 2015 Form 10-K filed by the Company with the SEC.</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organized specifically to own, lease and manage sites. The Company's core business is providing access, including space or capacity, to its sites via long-term contracts in various forms, including licenses, subleases and lease agreements. The Company's sites are geographically dispersed throughout the United States ("U.S."). Management services related to the Company's sites are performed by Crown Castle USA, Inc. ("CCUSA"), an affiliate of the Company, under the Management Agreement, as the Company has no employees.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fairly state the consolidated financial position of the Company as of June 30, 2016, and the consolidated results of operations and the consolidated cash flows for the six months ended June 30, 2016 and 2015. The year-end condensed consolidated balance sheet data was derived from audited financial statements, but does not include all disclosures required by generally accepted accounting principles in the U.S. ("GAAP"). The results of operations for the interim periods presented are not necessarily indicative of the results to be expected for the entire year.</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significant accounting policies used in the preparation of the Company's condensed consolidated financial statements are disclosed in the 2015 Form 10-K, other than certain recent accounting pronouncements described below.</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April 2015, the FASB issued new guidance on the presentation of debt issuance costs. The guidance requires debt issuance costs be presented on the balance sheet as a direct deduction from the carrying amount of the related debt liability, consistent with debt discounts and premiums. The Company adopted the guidance as of January 1, 2016, and has applied the guidance retrospectively. As a result, the Company reclassified $12.9 million of deferred financing costs as of December 31, 2015 from "long-term prepaid rent and other assets, net" as a direct reduction of "debt."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The Company expects this guidance to have a material impact on its condensed consolidated financial statements and is currently evaluating the impact.</w:t>
      </w:r>
    </w:p>
    <w:p>
      <w:pPr>
        <w:spacing w:after="0" w:line="13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June 2016, the FASB issued new guidance on the recognition and measurement of expected credit losses for certain types of financial instruments, including accounts receivable. The new guidance requires entities to estimate the expected credit loss over the life of certain financial instruments at initial recognition of the financial instrument. The guidance is effective for the Company as of January 1, 2020, with early adoption permitted beginning as of January 1, 2019. The Company does not expect this guidance to have a material impact on its condensed consolidated financial statements.</w:t>
      </w:r>
    </w:p>
    <w:p>
      <w:pPr>
        <w:spacing w:after="0" w:line="312"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2012 Secured Notes consist of $500 million aggregate principal amount of 2.381% secured notes due December 2017 and $1.0 billion aggregate principal amount of 3.849% secured notes due April 2023. The weighted-average stated interest rate of the 2012 Secured Notes as of June 30, 2016 was 3.4% per annum. The outstanding balance of the 2012 Secured Notes as of June 30, 2016 and December 31, 2015 was $1.5 billion.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23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12,599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12,599</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25,198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25,198</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1,414</w:t>
            </w:r>
          </w:p>
        </w:tc>
      </w:tr>
      <w:tr>
        <w:trPr>
          <w:trHeight w:val="33"/>
        </w:trPr>
        <w:tc>
          <w:tcPr>
            <w:tcW w:w="49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13,306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13,306</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26,612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26,612</w:t>
            </w: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 Further, in connection with its role as Manager, CCUSA may make certain modifications to the Company's sites.</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an affiliate acquiring rights to such land. As of June 30, 2016, there was approximately 26% of the Company's sites where the land under the tower is controlled by an affiliate. Also, the Company receives rent revenue from affiliates for land controlled by the Company that affiliates have towers 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six months ended June 30, 2016 and 2015, the Company recorded an equity distribution of $129.5 million and $105.6 million, respectively, reflecting distributions to its member and ultimately other subsidiaries of CCIC. Cash on hand above the amount that is required by the Management Agreement has been, and is expected to continue to be, distributed to the Company's parent company.</w:t>
      </w:r>
    </w:p>
    <w:p>
      <w:pPr>
        <w:spacing w:after="0" w:line="33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Effective January 1, 2014, CCIC commenced operating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part of the CCIC REIT.</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and six months ended June 30, 2016 and 2015, the Company's effective tax rate differed from the federal statutory rate predominately due to CCIC's dividends paid deduction.</w:t>
      </w:r>
    </w:p>
    <w:p>
      <w:pPr>
        <w:spacing w:after="0" w:line="32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cash and cash equivalents approximates the carrying value. The Company determines the fair value of its debt securities based on indicative quotes (that are non-binding quotes) from brokers that require judgment to interpret market information, including implied credit spreads for similar borrowings on recent trades or bid/ask prices or quotes from active markets if applicable. There were no changes since December 31, 2015 in the Company's valuation techniques used to measure fair values. The estimated fair values of the Company's financial instruments, along with the carrying amounts of the related assets and liabilities, are as follows:</w:t>
      </w:r>
    </w:p>
    <w:p>
      <w:pPr>
        <w:spacing w:after="0" w:line="355"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3"/>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530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3"/>
                <w:szCs w:val="13"/>
                <w:color w:val="auto"/>
              </w:rPr>
            </w:pPr>
          </w:p>
        </w:tc>
        <w:tc>
          <w:tcPr>
            <w:tcW w:w="8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20,424</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20,424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20,401</w:t>
            </w:r>
          </w:p>
        </w:tc>
      </w:tr>
      <w:tr>
        <w:trPr>
          <w:trHeight w:val="33"/>
        </w:trPr>
        <w:tc>
          <w:tcPr>
            <w:tcW w:w="5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Debt</w:t>
            </w:r>
          </w:p>
        </w:tc>
        <w:tc>
          <w:tcPr>
            <w:tcW w:w="1020" w:type="dxa"/>
            <w:vAlign w:val="bottom"/>
          </w:tcPr>
          <w:p>
            <w:pPr>
              <w:jc w:val="center"/>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1,488,469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w w:val="89"/>
              </w:rPr>
              <w:t>1,575,500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1,487,055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1,486,600</w:t>
            </w:r>
          </w:p>
        </w:tc>
      </w:tr>
    </w:tbl>
    <w:p>
      <w:pPr>
        <w:spacing w:after="0" w:line="39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In addition, CCIC, through its subsidiaries (including the Company) has the option to purchase in 2037 all (but not less than all) of the Sprint Sites, which represent approximately 68% of the Company's sites. CCIC has no obligation to exercise the purchase option.</w:t>
      </w:r>
    </w:p>
    <w:p>
      <w:pPr>
        <w:spacing w:after="0" w:line="31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39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060"/>
        <w:spacing w:after="0"/>
        <w:tabs>
          <w:tab w:leader="none" w:pos="10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280"/>
        <w:spacing w:after="0"/>
        <w:tabs>
          <w:tab w:leader="none" w:pos="8580" w:val="left"/>
          <w:tab w:leader="none" w:pos="9380" w:val="left"/>
          <w:tab w:leader="none" w:pos="10080" w:val="left"/>
          <w:tab w:leader="none" w:pos="10840" w:val="left"/>
        </w:tabs>
        <w:rPr>
          <w:sz w:val="20"/>
          <w:szCs w:val="20"/>
          <w:color w:val="auto"/>
        </w:rPr>
      </w:pPr>
      <w:r>
        <w:rPr>
          <w:rFonts w:ascii="Arial" w:cs="Arial" w:eastAsia="Arial" w:hAnsi="Arial"/>
          <w:sz w:val="16"/>
          <w:szCs w:val="16"/>
          <w:color w:val="auto"/>
        </w:rPr>
        <w:t>Interest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25,198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25,198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CCL has no independent assets or operations. The 2012 Secured Notes are guaranteed by all subsidiaries of CCL, each of which is a 100% wholly-owned subsidiary of CCL, other than Crown Castle GS III Corp., which is a co-issuer of the 2012 Secured Notes and a 100%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5" w:right="239" w:bottom="1440" w:gutter="0" w:footer="0" w:header="0"/>
        </w:sectPr>
      </w:pPr>
    </w:p>
    <w:bookmarkStart w:id="10" w:name="page11"/>
    <w:bookmarkEnd w:id="10"/>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should be read in conjunction with the response to Part I, Item 1 of this report and the the consolidated financial statements of the Company including the related notes and </w:t>
      </w:r>
      <w:r>
        <w:rPr>
          <w:rFonts w:ascii="Arial" w:cs="Arial" w:eastAsia="Arial" w:hAnsi="Arial"/>
          <w:sz w:val="18"/>
          <w:szCs w:val="18"/>
          <w:i w:val="1"/>
          <w:iCs w:val="1"/>
          <w:color w:val="auto"/>
        </w:rPr>
        <w:t>"Item 7."Management's Discussion and Analysis of Financial Condition and Results of Operations"</w:t>
      </w:r>
      <w:r>
        <w:rPr>
          <w:rFonts w:ascii="Arial" w:cs="Arial" w:eastAsia="Arial" w:hAnsi="Arial"/>
          <w:sz w:val="18"/>
          <w:szCs w:val="18"/>
          <w:color w:val="auto"/>
        </w:rPr>
        <w:t xml:space="preserve"> ("MD&amp;A") included in our 2015 Form 10-K. Capitalized terms used but not defined in this Form 10-Q have the same meaning given to them in our 2015 Form 10-K. Unless this Quarterly Report on Form 10-Q indicates otherwise or the context requires, the terms "we," "our," "our company," "the company," or "us" as used herein refer to CC Holdings GS V LLC and its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own, lease or manage sites that are geographically dispersed throughout the United States. The vast majority of our site rental revenues is of a recurring nature and has been contracted for in a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six months ended June 30, 2016.</w:t>
      </w:r>
    </w:p>
    <w:p>
      <w:pPr>
        <w:spacing w:after="0" w:line="23"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demand resulting from wireless network expansion and new entrants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wireless infrastructure.</w:t>
      </w:r>
    </w:p>
    <w:p>
      <w:pPr>
        <w:jc w:val="both"/>
        <w:ind w:left="1220" w:hanging="402"/>
        <w:spacing w:after="0" w:line="265" w:lineRule="auto"/>
        <w:tabs>
          <w:tab w:leader="none" w:pos="1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expect existing and potential new customer demand for our towers will result from (1) new technologies, (2) increased usage of wireless applications (including mobile entertainment, mobile internet usage, and machine-to-machine applications), (3) adoption of other emerging and embedded wireless devices (including laptops, tablets, and other devices), (4) increasing smartphone penetration, (5) wireless carrier focus on expanding both network quality and capacity, or (6) the availability of additional spectrum.</w:t>
      </w: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 (which may include extensions or structural reinforcement).</w:t>
      </w: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Wireless carriers continue to invest in their networks.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CCIC operates as a REIT for U.S. federal income tax purposes. For U.S. federal income tax purposes, our assets and operations are part of the CCIC REIT.</w:t>
      </w: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wireless infrastructure, such as towers or other structures, and have no employees.</w:t>
      </w:r>
    </w:p>
    <w:p>
      <w:pPr>
        <w:ind w:left="1220" w:hanging="402"/>
        <w:spacing w:after="0" w:line="281"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Site rental revenues under long-term tenant leases with contractual escalations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Initial terms of five to 15 years with multiple renewal periods at the option of the tenant of five to ten years each.</w:t>
      </w:r>
    </w:p>
    <w:p>
      <w:pPr>
        <w:spacing w:after="0" w:line="9" w:lineRule="exact"/>
        <w:rPr>
          <w:rFonts w:ascii="Arial" w:cs="Arial" w:eastAsia="Arial" w:hAnsi="Arial"/>
          <w:sz w:val="18"/>
          <w:szCs w:val="18"/>
          <w:color w:val="auto"/>
        </w:rPr>
      </w:pPr>
    </w:p>
    <w:p>
      <w:pPr>
        <w:jc w:val="both"/>
        <w:ind w:left="1220" w:right="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lease by the related site rental revenue) of approximately six years, exclusive of renewals at the tenants' option, currently representing approximately $4.1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88% of our site rental revenues were derived from Sprint, AT&amp;T, T-Mobile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Majority of land interests under our wireless infrastructure are under long-term control</w:t>
      </w:r>
    </w:p>
    <w:p>
      <w:pPr>
        <w:spacing w:after="0" w:line="9" w:lineRule="exact"/>
        <w:rPr>
          <w:rFonts w:ascii="Arial" w:cs="Arial" w:eastAsia="Arial" w:hAnsi="Arial"/>
          <w:sz w:val="18"/>
          <w:szCs w:val="18"/>
          <w:color w:val="auto"/>
        </w:rPr>
      </w:pPr>
    </w:p>
    <w:p>
      <w:pPr>
        <w:jc w:val="both"/>
        <w:ind w:left="1220" w:hanging="402"/>
        <w:spacing w:after="0" w:line="265" w:lineRule="auto"/>
        <w:tabs>
          <w:tab w:leader="none" w:pos="12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Approximately 90% and approximately 50% of our site rental gross margin is derived from sites that we own or control for greater than 10 and 20 years, respectively. The aforementioned amounts include sites that reside on land interests that are owned, including fee interests and perpetual easements, which represent approximately one-sixth of our site rental gross margin.</w:t>
      </w:r>
    </w:p>
    <w:p>
      <w:pPr>
        <w:jc w:val="both"/>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Approximately 18% of our site rental cost of operations represents ground lease payments to affiliates of ours.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1% of net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1" w:name="page12"/>
    <w:bookmarkEnd w:id="11"/>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23" w:lineRule="exact"/>
        <w:rPr>
          <w:rFonts w:ascii="Arial" w:cs="Arial" w:eastAsia="Arial" w:hAnsi="Arial"/>
          <w:sz w:val="18"/>
          <w:szCs w:val="18"/>
          <w:color w:val="auto"/>
        </w:rPr>
      </w:pPr>
    </w:p>
    <w:p>
      <w:pPr>
        <w:jc w:val="both"/>
        <w:ind w:left="1220" w:hanging="402"/>
        <w:spacing w:after="0" w:line="250" w:lineRule="auto"/>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debt consists of the 2012 Secured Notes, which consist of $500.0 million aggregate principal amount of 2.381% secured notes due 2017 and $1.0 billion aggregate principal amount of 3.849% secured notes due 2023. See note 3 to our condensed consolidated financial statements.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$155.6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225"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2016.</w:t>
      </w:r>
    </w:p>
    <w:p>
      <w:pPr>
        <w:spacing w:after="0" w:line="23" w:lineRule="exact"/>
        <w:rPr>
          <w:rFonts w:ascii="Arial" w:cs="Arial" w:eastAsia="Arial" w:hAnsi="Arial"/>
          <w:sz w:val="18"/>
          <w:szCs w:val="18"/>
          <w:color w:val="auto"/>
        </w:rPr>
      </w:pPr>
    </w:p>
    <w:p>
      <w:pPr>
        <w:ind w:left="1220" w:hanging="807"/>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2016, we also expect that the impact from tenant leasing will be offset by non-renewals of tenant leases, primarily from our customers' decommissioning of the Acquired Networks, at least in part.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our condensed consolidated financial statements and our 2015 Form 10-K. The following discussion of our results of operations is based on our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Estimates" </w:t>
      </w:r>
      <w:r>
        <w:rPr>
          <w:rFonts w:ascii="Arial" w:cs="Arial" w:eastAsia="Arial" w:hAnsi="Arial"/>
          <w:sz w:val="18"/>
          <w:szCs w:val="18"/>
          <w:color w:val="auto"/>
        </w:rPr>
        <w:t>herein and note 2 to our 2015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June</w:t>
            </w:r>
          </w:p>
        </w:tc>
        <w:tc>
          <w:tcPr>
            <w:tcW w:w="220" w:type="dxa"/>
            <w:vAlign w:val="bottom"/>
          </w:tcPr>
          <w:p>
            <w:pPr>
              <w:spacing w:after="0"/>
              <w:rPr>
                <w:sz w:val="14"/>
                <w:szCs w:val="14"/>
                <w:color w:val="auto"/>
              </w:rPr>
            </w:pP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30, 2016</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5"/>
              </w:rPr>
              <w:t>30, 2015</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Site rental revenues</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152,184</w:t>
            </w:r>
          </w:p>
        </w:tc>
        <w:tc>
          <w:tcPr>
            <w:tcW w:w="220" w:type="dxa"/>
            <w:vAlign w:val="bottom"/>
          </w:tcPr>
          <w:p>
            <w:pPr>
              <w:spacing w:after="0"/>
              <w:rPr>
                <w:sz w:val="20"/>
                <w:szCs w:val="20"/>
                <w:color w:val="auto"/>
              </w:rPr>
            </w:pP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151,447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45,749</w:t>
            </w: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45,796</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38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11,243</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10,826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 write-down charges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1,891</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788</w:t>
            </w:r>
          </w:p>
        </w:tc>
        <w:tc>
          <w:tcPr>
            <w:tcW w:w="13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52,116</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51,461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110,999</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108,871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41,185</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42,576</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27,875</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29,265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27,792</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29,160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2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04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220" w:type="dxa"/>
            <w:vAlign w:val="bottom"/>
          </w:tcPr>
          <w:p>
            <w:pPr>
              <w:spacing w:after="0"/>
              <w:rPr>
                <w:sz w:val="14"/>
                <w:szCs w:val="14"/>
                <w:color w:val="auto"/>
              </w:rPr>
            </w:pPr>
          </w:p>
        </w:tc>
        <w:tc>
          <w:tcPr>
            <w:tcW w:w="1440" w:type="dxa"/>
            <w:vAlign w:val="bottom"/>
          </w:tcPr>
          <w:p>
            <w:pPr>
              <w:jc w:val="right"/>
              <w:ind w:right="40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57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Site rental revenues</w:t>
            </w: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306,258</w:t>
            </w:r>
          </w:p>
        </w:tc>
        <w:tc>
          <w:tcPr>
            <w:tcW w:w="200" w:type="dxa"/>
            <w:vAlign w:val="bottom"/>
          </w:tcPr>
          <w:p>
            <w:pPr>
              <w:spacing w:after="0"/>
              <w:rPr>
                <w:sz w:val="20"/>
                <w:szCs w:val="20"/>
                <w:color w:val="auto"/>
              </w:rPr>
            </w:pPr>
          </w:p>
        </w:tc>
        <w:tc>
          <w:tcPr>
            <w:tcW w:w="68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302,222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920" w:type="dxa"/>
            <w:vAlign w:val="bottom"/>
            <w:gridSpan w:val="2"/>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90,574</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90,626</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0"/>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44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22,511</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21,583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Asset write-down charges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2,774</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2,058</w:t>
            </w:r>
          </w:p>
        </w:tc>
        <w:tc>
          <w:tcPr>
            <w:tcW w:w="1660" w:type="dxa"/>
            <w:vAlign w:val="bottom"/>
            <w:tcBorders>
              <w:bottom w:val="single" w:sz="8" w:color="CCEEFF"/>
            </w:tcBorders>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4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104,474</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102,981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20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220,333</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217,248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85,925</w:t>
            </w: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84,974</w:t>
            </w:r>
          </w:p>
        </w:tc>
        <w:tc>
          <w:tcPr>
            <w:tcW w:w="2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(26,612)</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(26,612)</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59,302</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58,378</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Benefit (provision) for income taxes</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59,133</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58,172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9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5720" w:type="dxa"/>
            <w:vAlign w:val="bottom"/>
          </w:tcPr>
          <w:p>
            <w:pPr>
              <w:ind w:left="140"/>
              <w:spacing w:after="0"/>
              <w:rPr>
                <w:sz w:val="20"/>
                <w:szCs w:val="20"/>
                <w:color w:val="auto"/>
              </w:rPr>
            </w:pPr>
            <w:r>
              <w:rPr>
                <w:rFonts w:ascii="Arial" w:cs="Arial" w:eastAsia="Arial" w:hAnsi="Arial"/>
                <w:sz w:val="14"/>
                <w:szCs w:val="14"/>
                <w:color w:val="auto"/>
              </w:rPr>
              <w:t>Percentage not meaningful</w:t>
            </w: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Second Quarter 2016 and 2015</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Site rental revenues for the three months ended June 30, 2016 was $152.2 million compared to site rental revenues of $151.4 million for the three months ended June 30, 2015. Site rental revenues were impacted by the following items, inclusive of straight-line accounting, in no particular order: tenant additions across our entire portfolio, renewals or extensions of tenant leases, escalations and non-renewals of tenant leases. Tenant additions were influenced by our customers' ongoing efforts to improve network quality and capacity. See also </w:t>
      </w:r>
      <w:r>
        <w:rPr>
          <w:rFonts w:ascii="Arial" w:cs="Arial" w:eastAsia="Arial" w:hAnsi="Arial"/>
          <w:sz w:val="17"/>
          <w:szCs w:val="17"/>
          <w:i w:val="1"/>
          <w:iCs w:val="1"/>
          <w:color w:val="auto"/>
        </w:rPr>
        <w:t>"Item 2. MD&amp;A—General Overview."</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Site rental gross margins for the three months ended June 30, 2016 was $106.4 million compared to site rental gross margin of $105.7 million for the same period in 2015 due to the relatively fixed costs to operate our sites.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management fee for the three months ended June 30, 2016 increased by $0.4 million, or 4%, from the three months ended June 30, 2015, but remained approximately 7% of total net revenues. The management fee is equal to 7.5% of our Operating Revenues as defined in the Management Agreement.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amortization and accretion for the three months ended June 30, 2016 increased by $0.7 million, or 1%, from the three months ended June 30, 2015. This increase predominately resulted from a corresponding increase in our gross property and equipment primarily related to capital expenditures to accommodate new tenant additions.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income for the three months ended June 30, 2016 was $27.8 million compared to net income of $29.2 million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Half 2016 and 2015</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Site rental revenues for the six months ended June 30, 2016 increased by $4.0 million, or 1%, from the same period in the prior year. This increase in site rental revenues was impacted by the following items, inclusive of straight-line accounting, in no particular order: new tenant additions across our entire portfolio, renewals or extensions of tenant leases, escalations and non-renewals of tenant leases. Tenant additions were influenced by our customers' ongoing efforts to improve network quality and capacity. See also </w:t>
      </w:r>
      <w:r>
        <w:rPr>
          <w:rFonts w:ascii="Arial" w:cs="Arial" w:eastAsia="Arial" w:hAnsi="Arial"/>
          <w:sz w:val="17"/>
          <w:szCs w:val="17"/>
          <w:i w:val="1"/>
          <w:iCs w:val="1"/>
          <w:color w:val="auto"/>
        </w:rPr>
        <w:t>"Item 2. MD&amp;A—General Overview"</w:t>
      </w:r>
      <w:r>
        <w:rPr>
          <w:rFonts w:ascii="Arial" w:cs="Arial" w:eastAsia="Arial" w:hAnsi="Arial"/>
          <w:sz w:val="17"/>
          <w:szCs w:val="17"/>
          <w:color w:val="auto"/>
        </w:rPr>
        <w:t xml:space="preserve"> herein.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Site rental gross margins for the six months ended June 30, 2016 increased by $4.1 million, or 2%, from the six months ended June 30, 2015. The increase in the site rental gross margins was related to the previously mentioned 1% increase in site rental revenues and the relatively fixed costs to operate our sites.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0" w:right="239" w:bottom="1440" w:gutter="0" w:footer="0" w:header="0"/>
        </w:sectPr>
      </w:pPr>
    </w:p>
    <w:bookmarkStart w:id="13" w:name="page14"/>
    <w:bookmarkEnd w:id="13"/>
    <w:p>
      <w:pPr>
        <w:jc w:val="both"/>
        <w:ind w:firstLine="405"/>
        <w:spacing w:after="0" w:line="277" w:lineRule="auto"/>
        <w:rPr>
          <w:sz w:val="20"/>
          <w:szCs w:val="20"/>
          <w:color w:val="auto"/>
        </w:rPr>
      </w:pPr>
      <w:r>
        <w:rPr>
          <w:rFonts w:ascii="Arial" w:cs="Arial" w:eastAsia="Arial" w:hAnsi="Arial"/>
          <w:sz w:val="18"/>
          <w:szCs w:val="18"/>
          <w:color w:val="auto"/>
        </w:rPr>
        <w:t>The management fee for the six months ended June 30, 2016 increased by $0.9 million, or 4%, from the six months ended June 30, 2015, but remained 7% of total net revenues. The management fee is equal to 7.5% of our Management Agreement Operating Revenues.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amortization and accretion for the six months ended June 30, 2016 increased by $1.5 million, or 1%, from the six months ended June 30, 2015. This increase predominately resulted from a corresponding increase in our gross property and equipment primarily related to capital expenditures to accommodate new tenant additions.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income for the six months ended June 30, 2016 was $59.1 million compared to net income of $58.2 million for the six months ended June 30, 2015.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leases (See</w:t>
      </w:r>
      <w:r>
        <w:rPr>
          <w:rFonts w:ascii="Arial" w:cs="Arial" w:eastAsia="Arial" w:hAnsi="Arial"/>
          <w:sz w:val="16"/>
          <w:szCs w:val="16"/>
          <w:i w:val="1"/>
          <w:iCs w:val="1"/>
          <w:color w:val="auto"/>
        </w:rPr>
        <w:t xml:space="preserve"> "Item 2. MD&amp;A—General Overview")</w:t>
      </w:r>
      <w:r>
        <w:rPr>
          <w:rFonts w:ascii="Arial" w:cs="Arial" w:eastAsia="Arial" w:hAnsi="Arial"/>
          <w:sz w:val="16"/>
          <w:szCs w:val="16"/>
          <w:color w:val="auto"/>
        </w:rPr>
        <w:t>, predominantly from the largest U.S.</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carriers. Historically, our net cash provided by operating activities (net of cash interest payments) has exceeded our capital expenditures. For the foreseeable future, we expect to generate net cash provided by operating activities (exclusive of movements in working capital) that exceed our capital expenditures. We seek to allocate the net cash generated from our business in a manner that we believe drives value for our member and ultimately CCIC.</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a cash management perspective, we currently distribute cash on hand above amounts required pursuant to the Management Agreement to our indirect parent, CCIC. If any future event would occur that would leave us with a deficiency in our operating cash flow, while not required, CCIC may contribute cash back to us.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part of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June 30, 2016:</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9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3"/>
              <w:spacing w:after="0"/>
              <w:rPr>
                <w:sz w:val="20"/>
                <w:szCs w:val="20"/>
                <w:color w:val="auto"/>
              </w:rPr>
            </w:pPr>
            <w:r>
              <w:rPr>
                <w:rFonts w:ascii="Arial" w:cs="Arial" w:eastAsia="Arial" w:hAnsi="Arial"/>
                <w:sz w:val="14"/>
                <w:szCs w:val="14"/>
                <w:b w:val="1"/>
                <w:bCs w:val="1"/>
                <w:color w:val="auto"/>
                <w:w w:val="99"/>
              </w:rPr>
              <w:t>(In thousands of dollars)</w:t>
            </w:r>
          </w:p>
        </w:tc>
      </w:tr>
      <w:tr>
        <w:trPr>
          <w:trHeight w:val="243"/>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20,424</w:t>
            </w:r>
          </w:p>
        </w:tc>
      </w:tr>
      <w:tr>
        <w:trPr>
          <w:trHeight w:val="224"/>
        </w:trPr>
        <w:tc>
          <w:tcPr>
            <w:tcW w:w="9120" w:type="dxa"/>
            <w:vAlign w:val="bottom"/>
          </w:tcPr>
          <w:p>
            <w:pPr>
              <w:ind w:left="2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Arial" w:cs="Arial" w:eastAsia="Arial" w:hAnsi="Arial"/>
                <w:sz w:val="16"/>
                <w:szCs w:val="16"/>
                <w:color w:val="auto"/>
              </w:rPr>
              <w:t>1,488,469</w:t>
            </w:r>
          </w:p>
        </w:tc>
      </w:tr>
      <w:tr>
        <w:trPr>
          <w:trHeight w:val="33"/>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2,333,971</w:t>
            </w:r>
          </w:p>
        </w:tc>
      </w:tr>
      <w:tr>
        <w:trPr>
          <w:trHeight w:val="33"/>
        </w:trPr>
        <w:tc>
          <w:tcPr>
            <w:tcW w:w="9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(net of cash interest payments) should be sufficient to cover our expected capital expenditures.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43"/>
              <w:spacing w:after="0"/>
              <w:rPr>
                <w:sz w:val="20"/>
                <w:szCs w:val="20"/>
                <w:color w:val="auto"/>
              </w:rPr>
            </w:pPr>
            <w:r>
              <w:rPr>
                <w:rFonts w:ascii="Arial" w:cs="Arial" w:eastAsia="Arial" w:hAnsi="Arial"/>
                <w:sz w:val="14"/>
                <w:szCs w:val="14"/>
                <w:b w:val="1"/>
                <w:bCs w:val="1"/>
                <w:color w:val="auto"/>
                <w:w w:val="93"/>
              </w:rPr>
              <w:t>Six Months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Change</w:t>
            </w:r>
          </w:p>
        </w:tc>
      </w:tr>
      <w:tr>
        <w:trPr>
          <w:trHeight w:val="196"/>
        </w:trPr>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6"/>
          </w:tcPr>
          <w:p>
            <w:pPr>
              <w:jc w:val="center"/>
              <w:ind w:left="543"/>
              <w:spacing w:after="0"/>
              <w:rPr>
                <w:sz w:val="20"/>
                <w:szCs w:val="20"/>
                <w:color w:val="auto"/>
              </w:rPr>
            </w:pPr>
            <w:r>
              <w:rPr>
                <w:rFonts w:ascii="Arial" w:cs="Arial" w:eastAsia="Arial" w:hAnsi="Arial"/>
                <w:sz w:val="14"/>
                <w:szCs w:val="14"/>
                <w:b w:val="1"/>
                <w:bCs w:val="1"/>
                <w:color w:val="auto"/>
                <w:w w:val="91"/>
              </w:rPr>
              <w:t>(In thousands of dollars)</w:t>
            </w:r>
          </w:p>
        </w:tc>
        <w:tc>
          <w:tcPr>
            <w:tcW w:w="880" w:type="dxa"/>
            <w:vAlign w:val="bottom"/>
          </w:tcPr>
          <w:p>
            <w:pPr>
              <w:spacing w:after="0"/>
              <w:rPr>
                <w:sz w:val="17"/>
                <w:szCs w:val="17"/>
                <w:color w:val="auto"/>
              </w:rPr>
            </w:pP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6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155,612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151,108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4,504</w:t>
            </w:r>
          </w:p>
        </w:tc>
      </w:tr>
      <w:tr>
        <w:trPr>
          <w:trHeight w:val="33"/>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20,097</w:t>
            </w:r>
          </w:p>
        </w:tc>
      </w:tr>
      <w:tr>
        <w:trPr>
          <w:trHeight w:val="237"/>
        </w:trPr>
        <w:tc>
          <w:tcPr>
            <w:tcW w:w="776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(129,510)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(105,618)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(23,892)</w:t>
            </w:r>
          </w:p>
        </w:tc>
      </w:tr>
      <w:tr>
        <w:trPr>
          <w:trHeight w:val="33"/>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net cash provided by operating activities for the first six months of 2016 of $4.5 million, or 3%, from the first six months of 2015, was due primarily to growth in cash revenues, including cash escalations that are subject to straight-line accounting. Changes in working capital and particularly changes in receivables, deferred site rental receivables, deferred rental revenues, accrued liabilities and prepaid ground leases can have a significant impact on our net cash from operating activities, largely due to the timing of prepayments and receipts.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63" w:lineRule="exact"/>
        <w:rPr>
          <w:sz w:val="20"/>
          <w:szCs w:val="20"/>
          <w:color w:val="auto"/>
        </w:rPr>
      </w:pPr>
    </w:p>
    <w:p>
      <w:pPr>
        <w:jc w:val="both"/>
        <w:ind w:left="1140" w:hanging="241"/>
        <w:spacing w:after="0" w:line="288"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new leasing and typically vary based on, among other factors: (1) the type of site, (2) the scope, volume, and mix of work performed on the site, (3) existing capacity prior to installation, or (4) changes in structural engineering regulations and standards. Our decisions regarding capital expenditures are influenced by</w:t>
      </w:r>
    </w:p>
    <w:p>
      <w:pPr>
        <w:ind w:left="1140" w:firstLine="2"/>
        <w:spacing w:after="0" w:line="261" w:lineRule="auto"/>
        <w:tabs>
          <w:tab w:leader="none" w:pos="1411"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sufficient potential to enhance CCIC's long-term stockholder value, (2) CCIC's availability and cost of capital and (3) CCIC's expected returns on alternative uses of cash, such as payments of dividends and investments.</w:t>
      </w:r>
    </w:p>
    <w:p>
      <w:pPr>
        <w:spacing w:after="0" w:line="21" w:lineRule="exact"/>
        <w:rPr>
          <w:rFonts w:ascii="Arial" w:cs="Arial" w:eastAsia="Arial" w:hAnsi="Arial"/>
          <w:sz w:val="18"/>
          <w:szCs w:val="18"/>
          <w:color w:val="auto"/>
        </w:rPr>
      </w:pPr>
    </w:p>
    <w:p>
      <w:pPr>
        <w:ind w:left="1140" w:hanging="241"/>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Sustaining capital expenditures consist of maintenance on our sites that enable our customers' ongoing quiet enjoyment of the site.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six months ended June 30, 2016 and 2015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left="603"/>
              <w:spacing w:after="0"/>
              <w:rPr>
                <w:sz w:val="20"/>
                <w:szCs w:val="20"/>
                <w:color w:val="auto"/>
              </w:rPr>
            </w:pPr>
            <w:r>
              <w:rPr>
                <w:rFonts w:ascii="Arial" w:cs="Arial" w:eastAsia="Arial" w:hAnsi="Arial"/>
                <w:sz w:val="14"/>
                <w:szCs w:val="14"/>
                <w:b w:val="1"/>
                <w:bCs w:val="1"/>
                <w:color w:val="auto"/>
                <w:w w:val="92"/>
              </w:rPr>
              <w:t>Six Months Ended June 30,</w:t>
            </w:r>
          </w:p>
        </w:tc>
        <w:tc>
          <w:tcPr>
            <w:tcW w:w="1000" w:type="dxa"/>
            <w:vAlign w:val="bottom"/>
            <w:tcBorders>
              <w:bottom w:val="single" w:sz="8" w:color="auto"/>
            </w:tcBorders>
          </w:tcPr>
          <w:p>
            <w:pPr>
              <w:spacing w:after="0"/>
              <w:rPr>
                <w:sz w:val="16"/>
                <w:szCs w:val="16"/>
                <w:color w:val="auto"/>
              </w:rPr>
            </w:pPr>
          </w:p>
        </w:tc>
      </w:tr>
      <w:tr>
        <w:trPr>
          <w:trHeight w:val="264"/>
        </w:trPr>
        <w:tc>
          <w:tcPr>
            <w:tcW w:w="7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Change</w:t>
            </w:r>
          </w:p>
        </w:tc>
      </w:tr>
      <w:tr>
        <w:trPr>
          <w:trHeight w:val="190"/>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(In thousands of dollars)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9"/>
        </w:trPr>
        <w:tc>
          <w:tcPr>
            <w:tcW w:w="7300" w:type="dxa"/>
            <w:vAlign w:val="bottom"/>
          </w:tcPr>
          <w:p>
            <w:pPr>
              <w:ind w:left="40"/>
              <w:spacing w:after="0"/>
              <w:rPr>
                <w:sz w:val="20"/>
                <w:szCs w:val="20"/>
                <w:color w:val="auto"/>
              </w:rPr>
            </w:pPr>
            <w:r>
              <w:rPr>
                <w:rFonts w:ascii="Arial" w:cs="Arial" w:eastAsia="Arial" w:hAnsi="Arial"/>
                <w:sz w:val="16"/>
                <w:szCs w:val="16"/>
                <w:color w:val="auto"/>
              </w:rPr>
              <w:t>Site improvements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22,233</w:t>
            </w:r>
          </w:p>
        </w:tc>
        <w:tc>
          <w:tcPr>
            <w:tcW w:w="52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42,732</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(20,499)</w:t>
            </w:r>
          </w:p>
        </w:tc>
      </w:tr>
      <w:tr>
        <w:trPr>
          <w:trHeight w:val="33"/>
        </w:trPr>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Sustaining</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402</w:t>
            </w:r>
          </w:p>
        </w:tc>
      </w:tr>
      <w:tr>
        <w:trPr>
          <w:trHeight w:val="217"/>
        </w:trPr>
        <w:tc>
          <w:tcPr>
            <w:tcW w:w="730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26,079</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46,176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(20,097)</w:t>
            </w:r>
          </w:p>
        </w:tc>
      </w:tr>
      <w:tr>
        <w:trPr>
          <w:trHeight w:val="33"/>
        </w:trPr>
        <w:tc>
          <w:tcPr>
            <w:tcW w:w="7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net cash flows used for financing activities in the six months ended June 30, 2016 and 2015 includes the impact from our continued practice of distributing excess cash to our member and ultimately other subsidiaries of CCIC. See notes 4 and 8 to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our 2015 Form 10-K for a discussion of the 2012 Secured Notes, debt restrictions, and disclosures about market risk. There are no financial maintenance covenants in the 2012 Secured Notes. Based on restrictive covenants, we are currently restricted in our ability to incur additional indebtedness. We are not restricted in our ability to distribute cash to affiliates or issue dividends to our parent.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2016 are not intended to be a comprehensive list of our accounting policies and estimates.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 Our critical accounting policies and estimates as of December 31, 2015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in our 2015 Form 10-K. The critical accounting policies and estimates for the first six months of 2016 have not changed from the critical accounting policies for the year ended December 31, 2015.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condensed consolidated financial statements, including a discussion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issued lease accounting standard.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6" w:name="page17"/>
    <w:bookmarkEnd w:id="16"/>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Quarterly Report on Form 10-Q, which disclosure is hereby incorporated herein by reference.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1A—Risk Factors"</w:t>
      </w:r>
      <w:r>
        <w:rPr>
          <w:rFonts w:ascii="Arial" w:cs="Arial" w:eastAsia="Arial" w:hAnsi="Arial"/>
          <w:sz w:val="18"/>
          <w:szCs w:val="18"/>
          <w:color w:val="auto"/>
        </w:rPr>
        <w:t xml:space="preserve"> in our 2015 Form 10-K.</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list of exhibits set forth in the accompanying Exhibit Index is incorporated by reference into this Item 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CC HOLDINGS GS V LLC</w:t>
      </w:r>
    </w:p>
    <w:p>
      <w:pPr>
        <w:spacing w:after="0" w:line="333" w:lineRule="exact"/>
        <w:rPr>
          <w:sz w:val="20"/>
          <w:szCs w:val="20"/>
          <w:color w:val="auto"/>
        </w:rPr>
      </w:pPr>
    </w:p>
    <w:p>
      <w:pPr>
        <w:ind w:left="1240"/>
        <w:spacing w:after="0"/>
        <w:tabs>
          <w:tab w:leader="none" w:pos="5900" w:val="left"/>
          <w:tab w:leader="none" w:pos="740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Daniel K. Schlanger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Senior Vice President</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and Chief Financial Officer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Financial Officer)</w:t>
      </w:r>
    </w:p>
    <w:p>
      <w:pPr>
        <w:spacing w:after="0" w:line="320" w:lineRule="exact"/>
        <w:rPr>
          <w:sz w:val="20"/>
          <w:szCs w:val="20"/>
          <w:color w:val="auto"/>
        </w:rPr>
      </w:pPr>
    </w:p>
    <w:p>
      <w:pPr>
        <w:ind w:left="1240"/>
        <w:spacing w:after="0"/>
        <w:tabs>
          <w:tab w:leader="none" w:pos="5900" w:val="left"/>
          <w:tab w:leader="none" w:pos="762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 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250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8"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Rob A. Fisher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Vice President and Controller</w:t>
      </w:r>
    </w:p>
    <w:p>
      <w:pPr>
        <w:spacing w:after="0" w:line="4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898"/>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6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r>
        <w:trPr>
          <w:trHeight w:val="412"/>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Certificate of Formation, as amended, of CC Holdings GS V LLC</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Second Amended and Restated Limited Liability Company Agreement of CC Holdings GS V LLC</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Certification of Chief Executive Officer pursuant to Section 302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rPr>
              <w:t>Certification of Chief Financial Officer pursuant to Section 302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Section 906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101.INS</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101.SCH</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101.DEF</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101.CAL</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101.LAB</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101.PRE</w:t>
            </w:r>
          </w:p>
        </w:tc>
        <w:tc>
          <w:tcPr>
            <w:tcW w:w="89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 Incorporated by reference to the exhibit previously filed by the Registrant on Form S-4 (Registration No. 333-187970) on April 17, 2013.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240" w:top="513" w:right="10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095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on Form 10-Q of CC Holdings GS V LLC, a Delaware Corporation (“Company”), for the period ending June 30, 2016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June 30, 2016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August 4, 2016</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August 4, 2016</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2019-12-29T10:31:30Z</dcterms:created>
  <dcterms:modified xsi:type="dcterms:W3CDTF">2019-12-29T10:31:30Z</dcterms:modified>
</cp:coreProperties>
</file>