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22,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Crown Castle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89"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253"/>
        <w:gridCol w:w="253"/>
        <w:gridCol w:w="253"/>
        <w:gridCol w:w="253"/>
        <w:gridCol w:w="253"/>
        <w:gridCol w:w="253"/>
        <w:gridCol w:w="253"/>
        <w:gridCol w:w="253"/>
        <w:gridCol w:w="267"/>
        <w:gridCol w:w="109"/>
        <w:gridCol w:w="109"/>
        <w:gridCol w:w="109"/>
        <w:gridCol w:w="450"/>
        <w:gridCol w:w="450"/>
        <w:gridCol w:w="450"/>
        <w:gridCol w:w="450"/>
        <w:gridCol w:w="450"/>
        <w:gridCol w:w="64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001-16441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76-0470458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8020 Katy Freeway, Houston, Texas 77024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(713) 570-3000 </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CCI</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22, 2026, Crown Castle Inc. ("Company") issued a press release disclosing its financial results for the second quarter ended June 30, 2026. A copy of the press release is furnished herewith as Exhibit 99.1.</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press release referenced in Item 2.02 above refers to certain supplemental information that was posted as a supplemental information package on the Company's website on July 22, 2026. The supplemental information package is furnished herewith as Exhibit 99.2.</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center"/>
        <w:tblInd w:w="0" w:type="dxa"/>
        <w:tblLayout w:type="fixed"/>
        <w:tblCellMar>
          <w:top w:w="28" w:type="dxa"/>
          <w:left w:w="28" w:type="dxa"/>
          <w:bottom w:w="28" w:type="dxa"/>
          <w:right w:w="28" w:type="dxa"/>
        </w:tblCellMar>
      </w:tblPr>
      <w:tblGrid>
        <w:gridCol w:w="381"/>
        <w:gridCol w:w="335"/>
        <w:gridCol w:w="338"/>
        <w:gridCol w:w="109"/>
        <w:gridCol w:w="109"/>
        <w:gridCol w:w="109"/>
        <w:gridCol w:w="2586"/>
        <w:gridCol w:w="2581"/>
        <w:gridCol w:w="3657"/>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22026earningsrelease.htm">
              <w:r>
                <w:rPr>
                  <w:rStyle w:val="InternetLink"/>
                  <w:rFonts w:ascii="Times New Roman;serif" w:hAnsi="Times New Roman;serif"/>
                  <w:b w:val="false"/>
                  <w:color w:val="000080"/>
                  <w:sz w:val="20"/>
                  <w:u w:val="single"/>
                </w:rPr>
                <w:t xml:space="preserve">Press Release dated </w:t>
              </w:r>
            </w:hyperlink>
            <w:hyperlink w:anchor="q22026earningsrelease.htm">
              <w:r>
                <w:rPr>
                  <w:rStyle w:val="InternetLink"/>
                  <w:rFonts w:ascii="Times New Roman;serif" w:hAnsi="Times New Roman;serif"/>
                  <w:b w:val="false"/>
                  <w:color w:val="000080"/>
                  <w:sz w:val="20"/>
                  <w:u w:val="single"/>
                </w:rPr>
                <w:t>July</w:t>
              </w:r>
            </w:hyperlink>
            <w:hyperlink w:anchor="q22026earningsrelease.htm">
              <w:r>
                <w:rPr>
                  <w:rStyle w:val="InternetLink"/>
                  <w:rFonts w:ascii="Times New Roman;serif" w:hAnsi="Times New Roman;serif"/>
                  <w:b w:val="false"/>
                  <w:color w:val="000080"/>
                  <w:sz w:val="20"/>
                  <w:u w:val="single"/>
                </w:rPr>
                <w:t xml:space="preserve"> 22, 2026</w:t>
              </w:r>
            </w:hyperlink>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supplement.htm">
              <w:r>
                <w:rPr>
                  <w:rStyle w:val="InternetLink"/>
                  <w:rFonts w:ascii="Times New Roman;serif" w:hAnsi="Times New Roman;serif"/>
                  <w:b w:val="false"/>
                  <w:color w:val="000080"/>
                  <w:sz w:val="20"/>
                  <w:u w:val="single"/>
                </w:rPr>
                <w:t xml:space="preserve">Supplemental Information Package for period ended </w:t>
              </w:r>
            </w:hyperlink>
            <w:hyperlink w:anchor="q22026supplement.htm">
              <w:r>
                <w:rPr>
                  <w:rStyle w:val="InternetLink"/>
                  <w:rFonts w:ascii="Times New Roman;serif" w:hAnsi="Times New Roman;serif"/>
                  <w:b w:val="false"/>
                  <w:color w:val="000080"/>
                  <w:sz w:val="20"/>
                  <w:u w:val="single"/>
                </w:rPr>
                <w:t>June 30</w:t>
              </w:r>
            </w:hyperlink>
            <w:hyperlink w:anchor="q22026supplement.htm">
              <w:r>
                <w:rPr>
                  <w:rStyle w:val="InternetLink"/>
                  <w:rFonts w:ascii="Times New Roman;serif" w:hAnsi="Times New Roman;serif"/>
                  <w:b w:val="false"/>
                  <w:color w:val="000080"/>
                  <w:sz w:val="20"/>
                  <w:u w:val="single"/>
                </w:rPr>
                <w:t>, 2026</w:t>
              </w:r>
            </w:hyperlink>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Items 2.02 and 7.01 of this Form 8-K and Exhibits 99.1 and 99.2 attached hereto are furnished as part of this Form 8-K and shall not be deemed "filed" for purposes of Section 18 of the Securities Exchange Act of 1934, as amended ("Exchange Act"), or otherwise subject to the liabilities of that section, nor shall such information or exhibits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14" w:type="dxa"/>
        <w:jc w:val="center"/>
        <w:tblInd w:w="0" w:type="dxa"/>
        <w:tblLayout w:type="fixed"/>
        <w:tblCellMar>
          <w:top w:w="28" w:type="dxa"/>
          <w:left w:w="28" w:type="dxa"/>
          <w:bottom w:w="28" w:type="dxa"/>
          <w:right w:w="28" w:type="dxa"/>
        </w:tblCellMar>
      </w:tblPr>
      <w:tblGrid>
        <w:gridCol w:w="124"/>
        <w:gridCol w:w="109"/>
        <w:gridCol w:w="109"/>
        <w:gridCol w:w="235"/>
        <w:gridCol w:w="235"/>
        <w:gridCol w:w="235"/>
        <w:gridCol w:w="350"/>
        <w:gridCol w:w="350"/>
        <w:gridCol w:w="350"/>
        <w:gridCol w:w="715"/>
        <w:gridCol w:w="715"/>
        <w:gridCol w:w="7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CROWN CASTLE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Edward B. Adams,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B. Adams,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br/>
              <w:t>and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July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98" w:type="dxa"/>
        <w:jc w:val="center"/>
        <w:tblInd w:w="0" w:type="dxa"/>
        <w:tblLayout w:type="fixed"/>
        <w:tblCellMar>
          <w:top w:w="28" w:type="dxa"/>
          <w:left w:w="28" w:type="dxa"/>
          <w:bottom w:w="28" w:type="dxa"/>
          <w:right w:w="28" w:type="dxa"/>
        </w:tblCellMar>
      </w:tblPr>
      <w:tblGrid>
        <w:gridCol w:w="1048"/>
        <w:gridCol w:w="921"/>
        <w:gridCol w:w="922"/>
        <w:gridCol w:w="109"/>
        <w:gridCol w:w="109"/>
        <w:gridCol w:w="109"/>
        <w:gridCol w:w="579"/>
        <w:gridCol w:w="579"/>
        <w:gridCol w:w="822"/>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7165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71650" cy="504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NEWS RELEASE</w:t>
              <w:br/>
              <w:t>July 22, 2026</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64" w:type="dxa"/>
        <w:jc w:val="center"/>
        <w:tblInd w:w="0" w:type="dxa"/>
        <w:tblLayout w:type="fixed"/>
        <w:tblCellMar>
          <w:top w:w="28" w:type="dxa"/>
          <w:left w:w="28" w:type="dxa"/>
          <w:bottom w:w="28" w:type="dxa"/>
          <w:right w:w="28" w:type="dxa"/>
        </w:tblCellMar>
      </w:tblPr>
      <w:tblGrid>
        <w:gridCol w:w="983"/>
        <w:gridCol w:w="865"/>
        <w:gridCol w:w="867"/>
        <w:gridCol w:w="1008"/>
        <w:gridCol w:w="1008"/>
        <w:gridCol w:w="1433"/>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Contacts: Sunit Patel, CFO</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Hamilton West, VP Corp Finance &amp; Treasurer</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IMMEDIATE RELEASE</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Crown Castle Inc.</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713-570-3050</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CROWN CASTLE REPORTS SECOND QUARTER 2026 RESULTS AND UPDATES OUTLOOK FOR FULL YEAR 2026</w:t>
      </w:r>
    </w:p>
    <w:p>
      <w:pPr>
        <w:pStyle w:val="TextBody"/>
        <w:bidi w:val="0"/>
        <w:spacing w:before="0" w:after="0"/>
        <w:jc w:val="center"/>
        <w:rPr/>
      </w:pPr>
      <w:r>
        <w:rPr/>
      </w:r>
    </w:p>
    <w:p>
      <w:pPr>
        <w:pStyle w:val="TextBody"/>
        <w:bidi w:val="0"/>
        <w:spacing w:lineRule="auto" w:line="417"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July 22, 2026 - HOUSTON, TEXAS - Crown Castle Inc. (NYSE: CCI) ("Crown Castle") today reported results for the second quarter ended June 30, 2026, and updated its full year 2026 Outlook, as reflected in the table below.</w:t>
      </w:r>
    </w:p>
    <w:tbl>
      <w:tblPr>
        <w:tblW w:w="10205" w:type="dxa"/>
        <w:jc w:val="left"/>
        <w:tblInd w:w="0" w:type="dxa"/>
        <w:tblLayout w:type="fixed"/>
        <w:tblCellMar>
          <w:top w:w="28" w:type="dxa"/>
          <w:left w:w="28" w:type="dxa"/>
          <w:bottom w:w="28" w:type="dxa"/>
          <w:right w:w="28" w:type="dxa"/>
        </w:tblCellMar>
      </w:tblPr>
      <w:tblGrid>
        <w:gridCol w:w="753"/>
        <w:gridCol w:w="630"/>
        <w:gridCol w:w="632"/>
        <w:gridCol w:w="652"/>
        <w:gridCol w:w="652"/>
        <w:gridCol w:w="654"/>
        <w:gridCol w:w="109"/>
        <w:gridCol w:w="109"/>
        <w:gridCol w:w="390"/>
        <w:gridCol w:w="372"/>
        <w:gridCol w:w="373"/>
        <w:gridCol w:w="109"/>
        <w:gridCol w:w="109"/>
        <w:gridCol w:w="109"/>
        <w:gridCol w:w="315"/>
        <w:gridCol w:w="315"/>
        <w:gridCol w:w="316"/>
        <w:gridCol w:w="540"/>
        <w:gridCol w:w="540"/>
        <w:gridCol w:w="542"/>
        <w:gridCol w:w="607"/>
        <w:gridCol w:w="607"/>
        <w:gridCol w:w="608"/>
        <w:gridCol w:w="162"/>
      </w:tblGrid>
      <w:tr>
        <w:trPr/>
        <w:tc>
          <w:tcPr>
            <w:tcW w:w="7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1" w:type="dxa"/>
            <w:gridSpan w:val="11"/>
            <w:tcBorders/>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 except per share amounts)</w:t>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Current Full Year 2026 Outlook Midpoint</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Full Year 2025 Actual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Previous Full Year 2026 Outlook</w:t>
            </w:r>
            <w:r>
              <w:rPr>
                <w:rFonts w:ascii="Times New Roman;serif" w:hAnsi="Times New Roman;serif"/>
                <w:b w:val="false"/>
                <w:color w:val="000000"/>
                <w:sz w:val="13"/>
              </w:rPr>
              <w:t>(b)</w:t>
            </w:r>
          </w:p>
        </w:tc>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Compared to Previous Outlook</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revenues</w:t>
            </w:r>
            <w:r>
              <w:rPr>
                <w:rFonts w:ascii="Times New Roman;serif" w:hAnsi="Times New Roman;serif"/>
                <w:b w:val="false"/>
                <w:color w:val="000000"/>
                <w:sz w:val="13"/>
              </w:rPr>
              <w:t>(c)</w:t>
            </w:r>
          </w:p>
        </w:tc>
        <w:tc>
          <w:tcPr>
            <w:tcW w:w="1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$3,850</w:t>
            </w:r>
          </w:p>
        </w:tc>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$830</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share—diluted</w:t>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(c)(d)</w:t>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w:t>
            </w:r>
            <w:r>
              <w:rPr>
                <w:rFonts w:ascii="Times New Roman;serif" w:hAnsi="Times New Roman;serif"/>
                <w:b w:val="false"/>
                <w:color w:val="000000"/>
                <w:sz w:val="13"/>
              </w:rPr>
              <w:t>(c)(d)</w:t>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$1,970</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 per share</w:t>
            </w:r>
            <w:r>
              <w:rPr>
                <w:rFonts w:ascii="Times New Roman;serif" w:hAnsi="Times New Roman;serif"/>
                <w:b w:val="false"/>
                <w:color w:val="000000"/>
                <w:sz w:val="13"/>
              </w:rPr>
              <w:t>(c)(d)</w:t>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$4.59</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midpoint of full year 2026 Outlook as issued on July 22,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(b)Reflects midpoint of previous full year 2026 Outlook as issued on May 1, 2026.</w:t>
      </w:r>
    </w:p>
    <w:p>
      <w:pPr>
        <w:pStyle w:val="TextBody"/>
        <w:bidi w:val="0"/>
        <w:spacing w:lineRule="auto" w:line="288" w:before="0" w:after="0"/>
        <w:ind w:left="0" w:right="0" w:hanging="360"/>
        <w:jc w:val="both"/>
        <w:rPr/>
      </w:pPr>
      <w:r>
        <w:rPr>
          <w:rFonts w:ascii="Times New Roman;serif" w:hAnsi="Times New Roman;serif"/>
          <w:b w:val="false"/>
          <w:color w:val="000000"/>
          <w:sz w:val="16"/>
        </w:rPr>
        <w:t>(c)Excludes amounts related to the Fiber Business (as defined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which are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(d)See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w:t>
      </w:r>
    </w:p>
    <w:p>
      <w:pPr>
        <w:pStyle w:val="TextBody"/>
        <w:bidi w:val="0"/>
        <w:spacing w:before="0" w:after="0"/>
        <w:ind w:left="0" w:right="0" w:firstLine="720"/>
        <w:jc w:val="left"/>
        <w:rPr/>
      </w:pPr>
      <w:r>
        <w:rPr/>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delivered a solid second quarter, positioning us to increase our full year 2026 guide for AFFO," said Chris Hillabrant, Crown Castle's President and Chief Executive Officer. "On May 1st, we successfully completed a significant milestone in the transformation of our business by concluding the sale of our Fiber and Small Cell businesses. We continue to focus on becoming a best-in-class US tower operator by driving operating efficiencies, increasing land ownership under our towers, modernizing our systems, and improving customer experience. With a clear pure-play US tower strategy, a disciplined capital allocation framework, and an investment-grade balance sheet, we believe we are well positioned to deliver attractive long-term shareholder returns."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3545"/>
                <wp:effectExtent l="0" t="0" r="0" b="0"/>
                <wp:wrapNone/>
                <wp:docPr id="5" name="Frame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w:t>
            </w:r>
          </w:p>
        </w:tc>
      </w:tr>
    </w:tbl>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RESULTS FROM THE QUARTER</w:t>
      </w:r>
    </w:p>
    <w:tbl>
      <w:tblPr>
        <w:tblW w:w="8117" w:type="dxa"/>
        <w:jc w:val="left"/>
        <w:tblInd w:w="0" w:type="dxa"/>
        <w:tblLayout w:type="fixed"/>
        <w:tblCellMar>
          <w:top w:w="28" w:type="dxa"/>
          <w:left w:w="28" w:type="dxa"/>
          <w:bottom w:w="28" w:type="dxa"/>
          <w:right w:w="28" w:type="dxa"/>
        </w:tblCellMar>
      </w:tblPr>
      <w:tblGrid>
        <w:gridCol w:w="1412"/>
        <w:gridCol w:w="1242"/>
        <w:gridCol w:w="1246"/>
        <w:gridCol w:w="109"/>
        <w:gridCol w:w="109"/>
        <w:gridCol w:w="109"/>
        <w:gridCol w:w="269"/>
        <w:gridCol w:w="269"/>
        <w:gridCol w:w="271"/>
        <w:gridCol w:w="269"/>
        <w:gridCol w:w="269"/>
        <w:gridCol w:w="271"/>
        <w:gridCol w:w="245"/>
        <w:gridCol w:w="245"/>
        <w:gridCol w:w="246"/>
        <w:gridCol w:w="315"/>
        <w:gridCol w:w="315"/>
        <w:gridCol w:w="316"/>
        <w:gridCol w:w="109"/>
        <w:gridCol w:w="109"/>
        <w:gridCol w:w="109"/>
        <w:gridCol w:w="109"/>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2025</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revenues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w:t>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$1,008</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$0.67</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$(0.45)</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$705</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w:t>
            </w:r>
            <w:r>
              <w:rPr>
                <w:rFonts w:ascii="Times New Roman;serif" w:hAnsi="Times New Roman;serif"/>
                <w:b w:val="false"/>
                <w:color w:val="000000"/>
                <w:sz w:val="13"/>
              </w:rPr>
              <w:t>(a)(b)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 per share</w:t>
            </w:r>
            <w:r>
              <w:rPr>
                <w:rFonts w:ascii="Times New Roman;serif" w:hAnsi="Times New Roman;serif"/>
                <w:b w:val="false"/>
                <w:color w:val="000000"/>
                <w:sz w:val="13"/>
              </w:rPr>
              <w:t>(a)(b)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$0.11</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(a)Excludes amounts related to the Fiber Business (as defined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which are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HIGHLIGHTS FROM THE QUARTER</w:t>
      </w:r>
    </w:p>
    <w:p>
      <w:pPr>
        <w:pStyle w:val="TextBody"/>
        <w:bidi w:val="0"/>
        <w:spacing w:lineRule="auto" w:line="417" w:before="100" w:after="100"/>
        <w:ind w:left="0" w:right="0" w:hanging="180"/>
        <w:jc w:val="both"/>
        <w:rPr/>
      </w:pPr>
      <w:r>
        <w:rPr>
          <w:color w:val="000000"/>
        </w:rPr>
        <w:t>•</w:t>
      </w:r>
      <w:r>
        <w:rPr>
          <w:rFonts w:ascii="Times New Roman;serif" w:hAnsi="Times New Roman;serif"/>
          <w:b/>
          <w:color w:val="000000"/>
          <w:sz w:val="22"/>
        </w:rPr>
        <w:t>Site rental revenues.</w:t>
      </w:r>
      <w:r>
        <w:rPr>
          <w:color w:val="000000"/>
        </w:rPr>
        <w:t xml:space="preserve"> </w:t>
      </w:r>
      <w:r>
        <w:rPr>
          <w:rFonts w:ascii="Times New Roman;serif" w:hAnsi="Times New Roman;serif"/>
          <w:b w:val="false"/>
          <w:color w:val="000000"/>
          <w:sz w:val="22"/>
        </w:rPr>
        <w:t>Organic Contribution to Site Rental Billings in the second quarter 2026 was $38 million, or 3.9% organic growth, excluding an unfavorable $49 million and $5 million impact from DISH Terminations and Sprint Cancellations, respectively. Organic growth increases to 4.2% if DISH revenues are excluded from prior year site rental billings, which compares to 3.7% in the second quarter 2025 on a comparable basis. Site rental revenues were negatively impacted by a $3 million decrease in amortization of prepaid rent and a $23 million decrease in straight-lined revenues, resulting in a decline in site rental revenues of $41 million, or 4.1% from second quarter 2025 to second quarter 2026. The following table outlines the components of Organic Contribution to Site Rental Billings, excluding the impact of DISH and the Sprint Cancellations, and the respective percentage of prior period site rental billings, excluding prior year site rental billings to DISH.</w:t>
      </w:r>
    </w:p>
    <w:tbl>
      <w:tblPr>
        <w:tblW w:w="10205" w:type="dxa"/>
        <w:jc w:val="left"/>
        <w:tblInd w:w="0" w:type="dxa"/>
        <w:tblLayout w:type="fixed"/>
        <w:tblCellMar>
          <w:top w:w="28" w:type="dxa"/>
          <w:left w:w="28" w:type="dxa"/>
          <w:bottom w:w="28" w:type="dxa"/>
          <w:right w:w="28" w:type="dxa"/>
        </w:tblCellMar>
      </w:tblPr>
      <w:tblGrid>
        <w:gridCol w:w="1967"/>
        <w:gridCol w:w="1437"/>
        <w:gridCol w:w="1442"/>
        <w:gridCol w:w="109"/>
        <w:gridCol w:w="109"/>
        <w:gridCol w:w="109"/>
        <w:gridCol w:w="380"/>
        <w:gridCol w:w="344"/>
        <w:gridCol w:w="344"/>
        <w:gridCol w:w="344"/>
        <w:gridCol w:w="344"/>
        <w:gridCol w:w="346"/>
        <w:gridCol w:w="109"/>
        <w:gridCol w:w="109"/>
        <w:gridCol w:w="109"/>
        <w:gridCol w:w="141"/>
        <w:gridCol w:w="141"/>
        <w:gridCol w:w="143"/>
        <w:gridCol w:w="191"/>
        <w:gridCol w:w="169"/>
        <w:gridCol w:w="152"/>
        <w:gridCol w:w="109"/>
        <w:gridCol w:w="109"/>
        <w:gridCol w:w="109"/>
        <w:gridCol w:w="160"/>
        <w:gridCol w:w="155"/>
        <w:gridCol w:w="130"/>
        <w:gridCol w:w="191"/>
        <w:gridCol w:w="169"/>
        <w:gridCol w:w="152"/>
        <w:gridCol w:w="109"/>
        <w:gridCol w:w="109"/>
        <w:gridCol w:w="164"/>
      </w:tblGrid>
      <w:tr>
        <w:trPr/>
        <w:tc>
          <w:tcPr>
            <w:tcW w:w="196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millions; totals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6"/>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Current Full Year 2026 Outlook Midpoint</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6"/>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Q2 2025</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ind w:left="0" w:right="0" w:firstLine="176"/>
              <w:jc w:val="left"/>
              <w:rPr/>
            </w:pPr>
            <w:r>
              <w:rPr>
                <w:rFonts w:ascii="Times New Roman;serif" w:hAnsi="Times New Roman;serif"/>
                <w:b w:val="false"/>
                <w:color w:val="000000"/>
                <w:sz w:val="20"/>
              </w:rPr>
              <w:t>Core leasing activity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76"/>
              <w:jc w:val="left"/>
              <w:rPr>
                <w:rFonts w:ascii="Times New Roman;serif" w:hAnsi="Times New Roman;serif"/>
                <w:b w:val="false"/>
                <w:color w:val="000000"/>
                <w:sz w:val="20"/>
              </w:rPr>
            </w:pPr>
            <w:r>
              <w:rPr>
                <w:rFonts w:ascii="Times New Roman;serif" w:hAnsi="Times New Roman;serif"/>
                <w:b w:val="false"/>
                <w:color w:val="000000"/>
                <w:sz w:val="20"/>
              </w:rPr>
              <w:t>Escalators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76"/>
              <w:jc w:val="left"/>
              <w:rPr/>
            </w:pPr>
            <w:r>
              <w:rPr>
                <w:rFonts w:ascii="Times New Roman;serif" w:hAnsi="Times New Roman;serif"/>
                <w:b w:val="false"/>
                <w:color w:val="000000"/>
                <w:sz w:val="20"/>
              </w:rPr>
              <w:t>Non-renewals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76"/>
              <w:jc w:val="left"/>
              <w:rPr/>
            </w:pPr>
            <w:r>
              <w:rPr>
                <w:rFonts w:ascii="Times New Roman;serif" w:hAnsi="Times New Roman;serif"/>
                <w:b w:val="false"/>
                <w:color w:val="000000"/>
                <w:sz w:val="20"/>
              </w:rPr>
              <w:t>Change in other billings</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Organic Contribution to Site Rental Billings as Adjusted for Impact of Sprint Cancellations and DISH Terminations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July 22,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for our definitions of core leasing activity, non-renewals, other billings and Organic Contribution to Site Rental Billings as Adjusted for Impact of Sprint Cancellations and DISH Terminations.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(c)Amounts have been recast to exclude DISH contributions to the components of Organic Contribution to Site Rental Billings.</w:t>
      </w:r>
    </w:p>
    <w:p>
      <w:pPr>
        <w:pStyle w:val="TextBody"/>
        <w:bidi w:val="0"/>
        <w:spacing w:before="0" w:after="0"/>
        <w:jc w:val="both"/>
        <w:rPr/>
      </w:pPr>
      <w:r>
        <w:rPr/>
      </w:r>
    </w:p>
    <w:p>
      <w:pPr>
        <w:pStyle w:val="TextBody"/>
        <w:bidi w:val="0"/>
        <w:spacing w:before="0" w:after="0"/>
        <w:ind w:left="0" w:right="0" w:firstLine="180"/>
        <w:jc w:val="both"/>
        <w:rPr/>
      </w:pPr>
      <w:r>
        <w:rPr/>
      </w:r>
    </w:p>
    <w:p>
      <w:pPr>
        <w:pStyle w:val="TextBody"/>
        <w:bidi w:val="0"/>
        <w:spacing w:lineRule="auto" w:line="417" w:before="0" w:after="0"/>
        <w:ind w:left="0" w:right="0" w:hanging="180"/>
        <w:jc w:val="both"/>
        <w:rPr/>
      </w:pPr>
      <w:r>
        <w:rPr>
          <w:color w:val="000000"/>
        </w:rPr>
        <w:t>•</w:t>
      </w:r>
      <w:r>
        <w:rPr>
          <w:rFonts w:ascii="Times New Roman;serif" w:hAnsi="Times New Roman;serif"/>
          <w:b/>
          <w:color w:val="000000"/>
          <w:sz w:val="22"/>
        </w:rPr>
        <w:t xml:space="preserve">Net income (loss). </w:t>
      </w:r>
      <w:r>
        <w:rPr>
          <w:rFonts w:ascii="Times New Roman;serif" w:hAnsi="Times New Roman;serif"/>
          <w:b w:val="false"/>
          <w:color w:val="000000"/>
          <w:sz w:val="22"/>
        </w:rPr>
        <w:t>Net income (loss) for the second quarter 2026 was $94 million compared to $291 million for the second quarter 2025.</w:t>
      </w:r>
    </w:p>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Adjusted EBITDA.</w:t>
      </w:r>
      <w:r>
        <w:rPr>
          <w:color w:val="000000"/>
        </w:rPr>
        <w:t xml:space="preserve"> </w:t>
      </w:r>
      <w:r>
        <w:rPr>
          <w:rFonts w:ascii="Times New Roman;serif" w:hAnsi="Times New Roman;serif"/>
          <w:b w:val="false"/>
          <w:color w:val="000000"/>
          <w:sz w:val="22"/>
        </w:rPr>
        <w:t xml:space="preserve">Second quarter 2026 Adjusted EBITDA was $675 million compared to $705 million for the second quarter 2025. The decrease in the quarter was primarily a result of the lower contribution from site rental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3545"/>
                <wp:effectExtent l="0" t="0" r="0" b="0"/>
                <wp:wrapNone/>
                <wp:docPr id="6" name="Frame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3</w:t>
            </w:r>
          </w:p>
        </w:tc>
      </w:tr>
    </w:tbl>
    <w:p>
      <w:pPr>
        <w:pStyle w:val="TextBody"/>
        <w:bidi w:val="0"/>
        <w:spacing w:lineRule="auto" w:line="417" w:before="100" w:after="283"/>
        <w:jc w:val="both"/>
        <w:rPr>
          <w:rFonts w:ascii="Times New Roman;serif" w:hAnsi="Times New Roman;serif"/>
          <w:b w:val="false"/>
          <w:color w:val="000000"/>
          <w:sz w:val="22"/>
        </w:rPr>
      </w:pPr>
      <w:r>
        <w:rPr>
          <w:rFonts w:ascii="Times New Roman;serif" w:hAnsi="Times New Roman;serif"/>
          <w:b w:val="false"/>
          <w:color w:val="000000"/>
          <w:sz w:val="22"/>
        </w:rPr>
        <w:t>revenues discussed above, partially offset by a decrease in selling, general and administrative expenses, excluding the impact of stock-based compensation expense.</w:t>
      </w:r>
    </w:p>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AFFO and AFFO per share.</w:t>
      </w:r>
      <w:r>
        <w:rPr>
          <w:color w:val="000000"/>
        </w:rPr>
        <w:t xml:space="preserve"> </w:t>
      </w:r>
      <w:r>
        <w:rPr>
          <w:rFonts w:ascii="Times New Roman;serif" w:hAnsi="Times New Roman;serif"/>
          <w:b w:val="false"/>
          <w:color w:val="000000"/>
          <w:sz w:val="22"/>
        </w:rPr>
        <w:t>Second quarter 2026 AFFO was $488 million, or $1.13 per share, representing a 10% increase from second quarter 2025. The increase in the quarter was primarily a result of a decrease in interest expense and an increase in interest income resulting from the use of proceeds from the sale of our Fiber and Small Cell businesses.</w:t>
      </w:r>
    </w:p>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 xml:space="preserve">Capital expenditures. </w:t>
      </w:r>
      <w:r>
        <w:rPr>
          <w:rFonts w:ascii="Times New Roman;serif" w:hAnsi="Times New Roman;serif"/>
          <w:b w:val="false"/>
          <w:color w:val="000000"/>
          <w:sz w:val="22"/>
        </w:rPr>
        <w:t xml:space="preserve">Capital expenditures from continuing operations during the second quarter were $59 million, composed of $52 million of discretionary capital expenditures and $7 million of sustaining capital expenditures. The $59 million of capital expenditures increased 48% compared to $40 million of capital expenditures during second quarter 2025, primarily driven by a $20 million increase in land capital expenditures. </w:t>
      </w:r>
    </w:p>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 xml:space="preserve">Common stock dividend. </w:t>
      </w:r>
      <w:r>
        <w:rPr>
          <w:rFonts w:ascii="Times New Roman;serif" w:hAnsi="Times New Roman;serif"/>
          <w:b w:val="false"/>
          <w:color w:val="000000"/>
          <w:sz w:val="22"/>
        </w:rPr>
        <w:t>During the quarter, Crown Castle paid common stock dividends of approximately $460 million in the aggregate, or $1.0625 per common share, unchanged on a per share basis compared to the same period a year ago.</w:t>
      </w:r>
    </w:p>
    <w:p>
      <w:pPr>
        <w:pStyle w:val="TextBody"/>
        <w:bidi w:val="0"/>
        <w:spacing w:before="0" w:after="0"/>
        <w:jc w:val="both"/>
        <w:rPr/>
      </w:pPr>
      <w:r>
        <w:rPr/>
      </w:r>
    </w:p>
    <w:p>
      <w:pPr>
        <w:pStyle w:val="TextBody"/>
        <w:bidi w:val="0"/>
        <w:spacing w:lineRule="auto" w:line="417" w:before="10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second quarter we delivered solid results and closed the sale of our Fiber and Small Cell businesses for $8.4 billion of net proceeds," stated Sunit Patel, Crown Castle's Chief Financial Officer. "Consistent with our capital allocation framework and investment grade balance sheet, following the close of the sale transaction we completed $1 billion of share repurchases and repaid more than $7 billion of debt. We ended the second quarter with a strong balance sheet including 100% fixed rate debt, a weighted average debt maturity of approximately 7 years, and approximately $4.5 billion of availability under our revolving credit facility."</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OUTLOOK</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Outlook section contains forward-looking statements, and actual results may differ materially. Information regarding potential risks which could cause actual results to differ from the forward-looking statements herein is set forth below and in Crown Castle's filings with the SEC. </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Crown Castle's current full year 2026 Outlook, which includes the following key changes from the previous Outlook issued on May 1, 2026:</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A $5 million increase to site rental revenues from higher Organic Contributions to Site Rental Billings.</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A $10 million decrease in site rental cost of operations and a $15 million decrease in selling, general and administrative expenses, including a $10 million decrease to stock based compensation expense.</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A $20 million decrease in services and other gross margin.</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A $5 million decrease in interest expense.</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3545"/>
                <wp:effectExtent l="0" t="0" r="0" b="0"/>
                <wp:wrapNone/>
                <wp:docPr id="7" name="Frame6"/>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4</w:t>
            </w:r>
          </w:p>
        </w:tc>
      </w:tr>
    </w:tbl>
    <w:tbl>
      <w:tblPr>
        <w:tblW w:w="10205" w:type="dxa"/>
        <w:jc w:val="left"/>
        <w:tblInd w:w="0" w:type="dxa"/>
        <w:tblLayout w:type="fixed"/>
        <w:tblCellMar>
          <w:top w:w="28" w:type="dxa"/>
          <w:left w:w="28" w:type="dxa"/>
          <w:bottom w:w="28" w:type="dxa"/>
          <w:right w:w="28" w:type="dxa"/>
        </w:tblCellMar>
      </w:tblPr>
      <w:tblGrid>
        <w:gridCol w:w="1654"/>
        <w:gridCol w:w="1353"/>
        <w:gridCol w:w="1360"/>
        <w:gridCol w:w="109"/>
        <w:gridCol w:w="109"/>
        <w:gridCol w:w="109"/>
        <w:gridCol w:w="243"/>
        <w:gridCol w:w="243"/>
        <w:gridCol w:w="228"/>
        <w:gridCol w:w="206"/>
        <w:gridCol w:w="206"/>
        <w:gridCol w:w="206"/>
        <w:gridCol w:w="243"/>
        <w:gridCol w:w="243"/>
        <w:gridCol w:w="228"/>
        <w:gridCol w:w="109"/>
        <w:gridCol w:w="109"/>
        <w:gridCol w:w="109"/>
        <w:gridCol w:w="915"/>
        <w:gridCol w:w="915"/>
        <w:gridCol w:w="1308"/>
      </w:tblGrid>
      <w:tr>
        <w:trPr/>
        <w:tc>
          <w:tcPr>
            <w:tcW w:w="165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Full Year 2026 Outlook</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Changes to Midpoint from Previous Outlook</w:t>
            </w:r>
            <w:r>
              <w:rPr>
                <w:rFonts w:ascii="Times New Roman;serif" w:hAnsi="Times New Roman;serif"/>
                <w:b w:val="false"/>
                <w:color w:val="000000"/>
                <w:sz w:val="13"/>
              </w:rPr>
              <w:t>(b)</w:t>
            </w:r>
          </w:p>
        </w:tc>
      </w:tr>
      <w:tr>
        <w:trPr/>
        <w:tc>
          <w:tcPr>
            <w:tcW w:w="4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billings</w:t>
            </w:r>
            <w:r>
              <w:rPr>
                <w:rFonts w:ascii="Times New Roman;serif" w:hAnsi="Times New Roman;serif"/>
                <w:b w:val="false"/>
                <w:color w:val="000000"/>
                <w:sz w:val="13"/>
              </w:rPr>
              <w:t>(c)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prepaid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Site 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costs of operations</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w:t>
            </w:r>
            <w:r>
              <w:rPr>
                <w:rFonts w:ascii="Times New Roman;serif" w:hAnsi="Times New Roman;serif"/>
                <w:b w:val="false"/>
                <w:color w:val="000000"/>
                <w:sz w:val="13"/>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per share—diluted</w:t>
            </w:r>
            <w:r>
              <w:rPr>
                <w:rFonts w:ascii="Times New Roman;serif" w:hAnsi="Times New Roman;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0.08</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expense and amortization of deferred financing costs, net</w:t>
            </w:r>
            <w:r>
              <w:rPr>
                <w:rFonts w:ascii="Times New Roman;serif" w:hAnsi="Times New Roman;serif"/>
                <w:b w:val="false"/>
                <w:color w:val="000000"/>
                <w:sz w:val="13"/>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(loss) from discontinued operations, net of tax</w:t>
            </w:r>
            <w:r>
              <w:rPr>
                <w:rFonts w:ascii="Times New Roman;serif" w:hAnsi="Times New Roman;serif"/>
                <w:b w:val="false"/>
                <w:color w:val="000000"/>
                <w:sz w:val="13"/>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FFO</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AFFO per share</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Discretionary capital expenditures</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July 22,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issued on May 1, 2026.</w:t>
      </w:r>
    </w:p>
    <w:p>
      <w:pPr>
        <w:pStyle w:val="TextBody"/>
        <w:bidi w:val="0"/>
        <w:spacing w:lineRule="auto" w:line="312" w:before="0" w:after="0"/>
        <w:ind w:left="0" w:right="0" w:hanging="360"/>
        <w:jc w:val="both"/>
        <w:rPr/>
      </w:pPr>
      <w:r>
        <w:rPr>
          <w:rFonts w:ascii="Times New Roman;serif" w:hAnsi="Times New Roman;serif"/>
          <w:b w:val="false"/>
          <w:color w:val="000000"/>
          <w:sz w:val="16"/>
        </w:rPr>
        <w:t>(c)See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 and for definition of site rental billings and discretionary capital expenditures.</w:t>
      </w:r>
    </w:p>
    <w:p>
      <w:pPr>
        <w:pStyle w:val="TextBody"/>
        <w:bidi w:val="0"/>
        <w:spacing w:lineRule="auto" w:line="312"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(d)Exclusive of depreciation, amortization and accretion.</w:t>
      </w:r>
    </w:p>
    <w:p>
      <w:pPr>
        <w:pStyle w:val="TextBody"/>
        <w:bidi w:val="0"/>
        <w:spacing w:lineRule="auto" w:line="312"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(e)Includes contribution from discontinued operations through April 30, 2026.</w:t>
      </w:r>
    </w:p>
    <w:p>
      <w:pPr>
        <w:pStyle w:val="TextBody"/>
        <w:bidi w:val="0"/>
        <w:spacing w:lineRule="auto" w:line="312" w:before="0" w:after="0"/>
        <w:ind w:left="0" w:right="0" w:hanging="360"/>
        <w:jc w:val="both"/>
        <w:rPr/>
      </w:pPr>
      <w:r>
        <w:rPr>
          <w:rFonts w:ascii="Times New Roman;serif" w:hAnsi="Times New Roman;serif"/>
          <w:b w:val="false"/>
          <w:color w:val="000000"/>
          <w:sz w:val="16"/>
        </w:rPr>
        <w:t>(f)See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the reconciliation of "</w:t>
      </w:r>
      <w:r>
        <w:rPr>
          <w:rFonts w:ascii="Times New Roman;serif" w:hAnsi="Times New Roman;serif"/>
          <w:b w:val="false"/>
          <w:i/>
          <w:color w:val="000000"/>
          <w:sz w:val="16"/>
        </w:rPr>
        <w:t>Outlook for Components of Interest Expense."</w:t>
      </w:r>
    </w:p>
    <w:p>
      <w:pPr>
        <w:pStyle w:val="TextBody"/>
        <w:bidi w:val="0"/>
        <w:spacing w:lineRule="auto" w:line="312"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(g)Represents expected results from the Fiber Business, including the estimated loss on disposal, through April 30, 2026.</w:t>
      </w:r>
    </w:p>
    <w:p>
      <w:pPr>
        <w:pStyle w:val="TextBody"/>
        <w:bidi w:val="0"/>
        <w:spacing w:before="0" w:after="0"/>
        <w:ind w:left="0" w:right="0" w:firstLine="180"/>
        <w:jc w:val="both"/>
        <w:rPr/>
      </w:pPr>
      <w:r>
        <w:rPr/>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The following chart reconciles the components contributing to the expected 2026 decrease in site rental revenues.</w:t>
      </w:r>
    </w:p>
    <w:p>
      <w:pPr>
        <w:pStyle w:val="TextBody"/>
        <w:bidi w:val="0"/>
        <w:spacing w:before="0" w:after="0"/>
        <w:jc w:val="both"/>
        <w:rPr/>
      </w:pPr>
      <w:r>
        <w:rPr/>
        <w:drawing>
          <wp:inline distT="0" distB="0" distL="0" distR="0">
            <wp:extent cx="6515100" cy="30384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515100" cy="3038475"/>
                    </a:xfrm>
                    <a:prstGeom prst="rect">
                      <a:avLst/>
                    </a:prstGeom>
                  </pic:spPr>
                </pic:pic>
              </a:graphicData>
            </a:graphic>
          </wp:inline>
        </w:drawing>
      </w:r>
    </w:p>
    <w:p>
      <w:pPr>
        <w:pStyle w:val="TextBody"/>
        <w:bidi w:val="0"/>
        <w:spacing w:before="0" w:after="0"/>
        <w:jc w:val="both"/>
        <w:rPr/>
      </w:pPr>
      <w:r>
        <w:rPr/>
      </w:r>
    </w:p>
    <w:p>
      <w:pPr>
        <w:pStyle w:val="TextBody"/>
        <w:bidi w:val="0"/>
        <w:spacing w:lineRule="auto" w:line="417"/>
        <w:ind w:left="0" w:right="0" w:hanging="180"/>
        <w:jc w:val="both"/>
        <w:rPr/>
      </w:pPr>
      <w:r>
        <w:rPr>
          <w:color w:val="000000"/>
        </w:rPr>
        <w:t>•</w:t>
      </w:r>
      <w:r>
        <w:rPr>
          <w:rFonts w:ascii="Times New Roman;serif" w:hAnsi="Times New Roman;serif"/>
          <w:b w:val="false"/>
          <w:color w:val="000000"/>
          <w:sz w:val="22"/>
        </w:rPr>
        <w:t>Change in other billings is expected to increase $5 million from the previous Outlook primarily from higher back-billings.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3545"/>
                <wp:effectExtent l="0" t="0" r="0" b="0"/>
                <wp:wrapNone/>
                <wp:docPr id="9" name="Frame7"/>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5</w:t>
            </w:r>
          </w:p>
        </w:tc>
      </w:tr>
    </w:tbl>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 xml:space="preserve">Full year 2026 Organic Contribution to Site Rental Billings, excluding the impact of DISH Terminations and Sprint Cancellations, is expected to be approximately $135 million or 3.4% at the midpoint, or 3.6% if DISH revenues are excluded from prior year site rental billings. </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The previous Outlook for full year 2026 Organic Contribution to Site Rental Billings, excluding the impact of DISH Terminations and Sprint Cancellations, was approximately $130 million or 3.3% at the midpoint, or 3.5% if DISH revenues are excluded from prior year site rental billings.</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The chart below reconciles the components of expected growth in AFFO from 2025 to 2026 of approximately $15 million at the midpoint.</w:t>
      </w:r>
    </w:p>
    <w:p>
      <w:pPr>
        <w:pStyle w:val="TextBody"/>
        <w:bidi w:val="0"/>
        <w:spacing w:before="0" w:after="0"/>
        <w:jc w:val="both"/>
        <w:rPr/>
      </w:pPr>
      <w:r>
        <w:rPr/>
        <w:drawing>
          <wp:inline distT="0" distB="0" distL="0" distR="0">
            <wp:extent cx="6515100" cy="303847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515100" cy="3038475"/>
                    </a:xfrm>
                    <a:prstGeom prst="rect">
                      <a:avLst/>
                    </a:prstGeom>
                  </pic:spPr>
                </pic:pic>
              </a:graphicData>
            </a:graphic>
          </wp:inline>
        </w:drawing>
      </w:r>
    </w:p>
    <w:p>
      <w:pPr>
        <w:pStyle w:val="TextBody"/>
        <w:bidi w:val="0"/>
        <w:spacing w:before="0" w:after="0"/>
        <w:ind w:left="0" w:right="0" w:firstLine="180"/>
        <w:jc w:val="both"/>
        <w:rPr/>
      </w:pPr>
      <w:r>
        <w:rPr/>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Expenses impacting AFFO are expected to decrease approximately $15 million from the previous Outlook as we continue to drive operational efficiencies across the business.</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Services contribution is expected to decrease by approximately $20 million from the previous Outlook, primarily driven by lower services activity levels.</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Interest expense is expected to decrease by approximately $5 million from the previous Outlook.</w:t>
      </w:r>
    </w:p>
    <w:p>
      <w:pPr>
        <w:pStyle w:val="TextBody"/>
        <w:bidi w:val="0"/>
        <w:spacing w:lineRule="auto" w:line="417"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Additional information is available in Crown Castle's quarterly Supplemental Information Package posted in the Investors section of our website.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3545"/>
                <wp:effectExtent l="0" t="0" r="0" b="0"/>
                <wp:wrapNone/>
                <wp:docPr id="11" name="Frame8"/>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6</w:t>
            </w:r>
          </w:p>
        </w:tc>
      </w:tr>
    </w:tbl>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 xml:space="preserve">CONFERENCE CALL DETAILS </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Crown Castle has scheduled a conference call for Wednesday, July 22, 2026, at 5:00 p.m. Eastern time to discuss its second quarter 2026 results. A listen only live audio webcast of the conference call, along with supplemental materials for the call, can be accessed on the Crown Castle website at https://investor.crowncastle.com. Participants may join the conference call by dialing 833-816-1115 (Toll Free) or 412-317-0694 (International) at least 30 minutes prior to the start time. All dial-in participants should ask to join the Crown Castle call.</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replay of the webcast will be available on the Investor page of Crown Castle's website until end of day, Thursday, July 22, 2027.</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ABOUT CROWN CASTLE</w:t>
      </w:r>
    </w:p>
    <w:p>
      <w:pPr>
        <w:pStyle w:val="TextBody"/>
        <w:bidi w:val="0"/>
        <w:spacing w:lineRule="auto" w:line="417" w:before="100" w:after="283"/>
        <w:ind w:left="0" w:right="0" w:firstLine="720"/>
        <w:jc w:val="left"/>
        <w:rPr/>
      </w:pPr>
      <w:r>
        <w:rPr>
          <w:rFonts w:ascii="Times New Roman;serif" w:hAnsi="Times New Roman;serif"/>
          <w:b w:val="false"/>
          <w:color w:val="000000"/>
          <w:sz w:val="22"/>
        </w:rPr>
        <w:t xml:space="preserve">Crown Castle owns, operates and leases approximately 40,000 cell towers across the U.S. This nationwide portfolio serves as the foundation of wireless connectivity that provides cities and communities access to essential data, technology and wireless service – bringing information, ideas, innovations and the connectivity of modern life to help people and businesses thrive. For more information on Crown Castle, please visit </w:t>
      </w:r>
      <w:r>
        <w:rPr>
          <w:rFonts w:ascii="Times New Roman;serif" w:hAnsi="Times New Roman;serif"/>
          <w:b w:val="false"/>
          <w:color w:val="0000FF"/>
          <w:sz w:val="22"/>
          <w:u w:val="single"/>
        </w:rPr>
        <w:t>www.crowncastle.com</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3545"/>
                <wp:effectExtent l="0" t="0" r="0" b="0"/>
                <wp:wrapNone/>
                <wp:docPr id="12" name="Frame9"/>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7</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Non-GAAP Measures and 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presentations of Adjusted EBITDA, Adjusted Funds from Operations ("AFFO"), including per share amounts, Funds from Operations ("FFO"), including per share amounts, Organic Contribution to Site Rental Billings (including as Adjusted for Impact of Sprint Cancellations and DISH Terminations), and Net Debt, which are non-GAAP financial measures. These non-GAAP financial measures are not intended as alternative measures of operating results or cash flow from operations (as determined in accordance with Generally Accepted Accounting Principles ("GAAP")).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may not be comparable to similarly titled measures of other companies, including other companies in the towers sector or other real estate investment trusts ("REITs").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non-GAAP financial measures used herein, we also provide the components of certain GAAP measures, such as site rental revenues and capital expenditures.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are presented as additional information because management believes these measures are useful indicators of the financial performance of our business. Among other things, management believes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is useful to investors or other interested parties in evaluating our financial performance. Adjusted EBITDA is a financial measure frequently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towers sector and other REITs to measure financial performance without regard to items such as depreciation, amortization and accretion, which can vary depending upon accounting methods and the book value of assets. Adjusted EBITDA should be considered only as a supplement to net income (loss) computed in accordance with GAAP as a measure of our performance.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AFFO, including per share amounts,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(in periods where applicable)) and (2) sustaining capital expenditures, and excludes the impact of our (1) asset base (primarily depreciation, amortization and accretion) and (2)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(1) revenues are recognized on a straight-lined basis over the fixed, non-cancelable term of the tenant contract, and (2) expenses are recognized on a straight-lined basis over the estimated lease term including renewal options that are reasonably certain to be exercised. Management notes that Crown Castle uses AFFO only as a performance measure. AFFO should be considered only as a supplement to net income (loss) computed in accordance with GAAP as a measure of our performance and should not be considered as an alternative to cash flow from operations or as residual cash flow available for discretionary investment.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FFO, including per share amounts,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real estate depreciation, amortization and accretion). FFO is not a key performance indicator used by Crown Castle. FFO should be considered only as a supplement to net income (loss) computed in accordance with GAAP as a measure of our performance and should not be considered as an alternative to cash flow from operations.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3545"/>
                <wp:effectExtent l="0" t="0" r="0" b="0"/>
                <wp:wrapNone/>
                <wp:docPr id="13" name="Frame10"/>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8</w:t>
            </w:r>
          </w:p>
        </w:tc>
      </w:tr>
    </w:tbl>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Organic Contribution to Site Rental Billings (also referred to as organic growth) is useful to investors or other interested parties in understanding the components of the year-over-year changes in our site rental revenues computed in accordance with GAAP. Management uses Organic Contribution to Site Rental Billings to assess year-over-year growth rates for our rental activities, to evaluate current performance, to capture trends in rental rates, core leasing activities and tenant non-renewals in our core business, as well as to forecast future results. Separately, we are also disclosing Organic Contribution to Site Rental Billings as Adjusted for Sprint Cancellations and DISH Terminations, which is outside of ordinary course, to provide further insight into our results of operations and underlying trends. Management believes that identifying the impact of Sprint Cancellations and DISH Terminations provides increased transparency and comparability across periods. Organic Contribution to Site Rental Billings (including as Adjusted for Impact of Sprint Cancellations and DISH Terminations) is not meant as an alternative measure of revenue and should be considered only as a supplement in understanding and assessing the performance of our site rental revenues computed in accordance with GAAP.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Debt is useful to investors or other interested parties in evaluating our overall debt position and future debt capacity. Management uses Net Debt in assessing our leverage. Net Debt is not meant as an alternative measure of debt and should be considered only as a supplement in understanding and assessing our leverage.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Non-GAAP Financial Measures</w:t>
      </w:r>
    </w:p>
    <w:p>
      <w:pPr>
        <w:pStyle w:val="TextBody"/>
        <w:bidi w:val="0"/>
        <w:spacing w:lineRule="auto" w:line="288" w:before="120" w:after="283"/>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We define Adjusted EBITDA as net income (loss) plus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w:t>
      </w:r>
    </w:p>
    <w:p>
      <w:pPr>
        <w:pStyle w:val="TextBody"/>
        <w:bidi w:val="0"/>
        <w:spacing w:lineRule="auto" w:line="288" w:before="120" w:after="283"/>
        <w:jc w:val="both"/>
        <w:rPr/>
      </w:pPr>
      <w:r>
        <w:rPr>
          <w:rFonts w:ascii="Times New Roman;serif" w:hAnsi="Times New Roman;serif"/>
          <w:b w:val="false"/>
          <w:i/>
          <w:color w:val="000000"/>
          <w:sz w:val="20"/>
        </w:rPr>
        <w:t>AFFO.</w:t>
      </w:r>
      <w:r>
        <w:rPr>
          <w:color w:val="000000"/>
        </w:rPr>
        <w:t xml:space="preserve"> </w:t>
      </w:r>
      <w:r>
        <w:rPr>
          <w:rFonts w:ascii="Times New Roman;serif" w:hAnsi="Times New Roman;serif"/>
          <w:b w:val="false"/>
          <w:color w:val="000000"/>
          <w:sz w:val="20"/>
        </w:rPr>
        <w:t>We define AFFO as FFO before straight-lined revenues, straight-lined expenses, stock-based compensation expense, net, non-cash portion of tax provision, non-real estate related 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w:t>
      </w:r>
    </w:p>
    <w:p>
      <w:pPr>
        <w:pStyle w:val="TextBody"/>
        <w:bidi w:val="0"/>
        <w:spacing w:lineRule="auto" w:line="288" w:before="120" w:after="283"/>
        <w:jc w:val="both"/>
        <w:rPr/>
      </w:pPr>
      <w:r>
        <w:rPr>
          <w:rFonts w:ascii="Times New Roman;serif" w:hAnsi="Times New Roman;serif"/>
          <w:b w:val="false"/>
          <w:i/>
          <w:color w:val="000000"/>
          <w:sz w:val="20"/>
        </w:rPr>
        <w:t>AFFO per share.</w:t>
      </w:r>
      <w:r>
        <w:rPr>
          <w:color w:val="000000"/>
        </w:rPr>
        <w:t xml:space="preserve"> </w:t>
      </w:r>
      <w:r>
        <w:rPr>
          <w:rFonts w:ascii="Times New Roman;serif" w:hAnsi="Times New Roman;serif"/>
          <w:b w:val="false"/>
          <w:color w:val="000000"/>
          <w:sz w:val="20"/>
        </w:rPr>
        <w:t xml:space="preserve">We define AFFO per share as AFFO divided by diluted weighted-average common shares outstanding. </w:t>
      </w:r>
    </w:p>
    <w:p>
      <w:pPr>
        <w:pStyle w:val="TextBody"/>
        <w:bidi w:val="0"/>
        <w:spacing w:lineRule="auto" w:line="288" w:before="120" w:after="283"/>
        <w:jc w:val="both"/>
        <w:rPr/>
      </w:pPr>
      <w:r>
        <w:rPr>
          <w:rFonts w:ascii="Times New Roman;serif" w:hAnsi="Times New Roman;serif"/>
          <w:b w:val="false"/>
          <w:i/>
          <w:color w:val="000000"/>
          <w:sz w:val="20"/>
        </w:rPr>
        <w:t xml:space="preserve">FFO. </w:t>
      </w:r>
      <w:r>
        <w:rPr>
          <w:rFonts w:ascii="Times New Roman;serif" w:hAnsi="Times New Roman;serif"/>
          <w:b w:val="false"/>
          <w:color w:val="000000"/>
          <w:sz w:val="20"/>
        </w:rPr>
        <w:t xml:space="preserve">We define FFO as net income (loss) plus real estate related depreciation, amortization and accretion, asset write-down charges, goodwill impairment charges, and (income) loss from discontinued operations, net of tax, less noncontrolling interest and cash paid for preferred stock dividends (in periods where applicable), and is a measure of funds from operations attributable to common stockholders. </w:t>
      </w:r>
    </w:p>
    <w:p>
      <w:pPr>
        <w:pStyle w:val="TextBody"/>
        <w:bidi w:val="0"/>
        <w:spacing w:lineRule="auto" w:line="288" w:before="180" w:after="283"/>
        <w:jc w:val="both"/>
        <w:rPr/>
      </w:pPr>
      <w:r>
        <w:rPr>
          <w:rFonts w:ascii="Times New Roman;serif" w:hAnsi="Times New Roman;serif"/>
          <w:b w:val="false"/>
          <w:i/>
          <w:color w:val="000000"/>
          <w:sz w:val="20"/>
        </w:rPr>
        <w:t>FFO per share.</w:t>
      </w:r>
      <w:r>
        <w:rPr>
          <w:color w:val="000000"/>
        </w:rPr>
        <w:t xml:space="preserve"> </w:t>
      </w:r>
      <w:r>
        <w:rPr>
          <w:rFonts w:ascii="Times New Roman;serif" w:hAnsi="Times New Roman;serif"/>
          <w:b w:val="false"/>
          <w:color w:val="000000"/>
          <w:sz w:val="20"/>
        </w:rPr>
        <w:t xml:space="preserve">We define FFO per share as FFO divided by diluted weighted-average common shares outstanding. </w:t>
      </w:r>
    </w:p>
    <w:p>
      <w:pPr>
        <w:pStyle w:val="TextBody"/>
        <w:bidi w:val="0"/>
        <w:spacing w:lineRule="auto" w:line="288" w:before="120" w:after="283"/>
        <w:jc w:val="both"/>
        <w:rPr/>
      </w:pPr>
      <w:r>
        <w:rPr>
          <w:rFonts w:ascii="Times New Roman;serif" w:hAnsi="Times New Roman;serif"/>
          <w:b w:val="false"/>
          <w:i/>
          <w:color w:val="000000"/>
          <w:sz w:val="20"/>
        </w:rPr>
        <w:t>Organic Contribution to Site Rental Billings.</w:t>
      </w:r>
      <w:r>
        <w:rPr>
          <w:color w:val="000000"/>
        </w:rPr>
        <w:t xml:space="preserve"> </w:t>
      </w:r>
      <w:r>
        <w:rPr>
          <w:rFonts w:ascii="Times New Roman;serif" w:hAnsi="Times New Roman;serif"/>
          <w:b w:val="false"/>
          <w:color w:val="000000"/>
          <w:sz w:val="20"/>
        </w:rPr>
        <w:t xml:space="preserve">We define Organic Contribution to Site Rental Billings (also referred to as organic growth) as the sum of the change in site rental revenues related to core leasing activity, escalators and other billings, including those associated with DISH Terminations, less non-renewals of tenant contracts, including those associated with Sprint Cancellations, and DISH Terminations. Additionally, Organic Contribution to Site Rental Billings as Adjusted for Impact of Sprint Cancellations and DISH Terminations reflects Organic Contribution to Site Rental Billings plus non-renewals associated with Sprint Cancellations, less Organic Contribution to Site Rental Billings associated with DISH Terminations. </w:t>
      </w:r>
    </w:p>
    <w:p>
      <w:pPr>
        <w:pStyle w:val="TextBody"/>
        <w:bidi w:val="0"/>
        <w:spacing w:lineRule="auto" w:line="288" w:before="120" w:after="283"/>
        <w:jc w:val="both"/>
        <w:rPr/>
      </w:pPr>
      <w:r>
        <w:rPr>
          <w:rFonts w:ascii="Times New Roman;serif" w:hAnsi="Times New Roman;serif"/>
          <w:b w:val="false"/>
          <w:i/>
          <w:color w:val="000000"/>
          <w:sz w:val="20"/>
        </w:rPr>
        <w:t>Net Debt.</w:t>
      </w:r>
      <w:r>
        <w:rPr>
          <w:color w:val="000000"/>
        </w:rPr>
        <w:t xml:space="preserve"> </w:t>
      </w:r>
      <w:r>
        <w:rPr>
          <w:rFonts w:ascii="Times New Roman;serif" w:hAnsi="Times New Roman;serif"/>
          <w:b w:val="false"/>
          <w:color w:val="000000"/>
          <w:sz w:val="20"/>
        </w:rPr>
        <w:t>We define Net Debt as (1) debt and other long-term obligations and (2) current maturities of debt and other obligations, excluding unamortized adjustments, net, less cash and cash equivalents and restricted cash and cash equivalents.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Definitions</w:t>
      </w:r>
    </w:p>
    <w:p>
      <w:pPr>
        <w:pStyle w:val="TextBody"/>
        <w:bidi w:val="0"/>
        <w:spacing w:lineRule="auto" w:line="288" w:before="120" w:after="283"/>
        <w:jc w:val="both"/>
        <w:rPr/>
      </w:pPr>
      <w:r>
        <w:rPr>
          <w:rFonts w:ascii="Times New Roman;serif" w:hAnsi="Times New Roman;serif"/>
          <w:b w:val="false"/>
          <w:i/>
          <w:color w:val="000000"/>
          <w:sz w:val="20"/>
        </w:rPr>
        <w:t xml:space="preserve">Site rental billings. </w:t>
      </w:r>
      <w:r>
        <w:rPr>
          <w:rFonts w:ascii="Times New Roman;serif" w:hAnsi="Times New Roman;serif"/>
          <w:b w:val="false"/>
          <w:color w:val="000000"/>
          <w:sz w:val="20"/>
        </w:rPr>
        <w:t>We define site rental billings as site rental revenues exclusive of the impacts from (1) straight-lined revenues, (2) amortization of prepaid rent in accordance with GAAP, (3) contribution from recent acquisitions until the one-year anniversary of such acquisitions, (4) other revenues, such as tenant cancellation fees, finance charges and other items and (5) amounts related to DISH Terminations, where applicable.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3545"/>
                <wp:effectExtent l="0" t="0" r="0" b="0"/>
                <wp:wrapNone/>
                <wp:docPr id="14" name="Frame11"/>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9</w:t>
            </w:r>
          </w:p>
        </w:tc>
      </w:tr>
    </w:tbl>
    <w:p>
      <w:pPr>
        <w:pStyle w:val="TextBody"/>
        <w:bidi w:val="0"/>
        <w:spacing w:lineRule="auto" w:line="288" w:before="120" w:after="283"/>
        <w:jc w:val="both"/>
        <w:rPr/>
      </w:pPr>
      <w:r>
        <w:rPr>
          <w:rFonts w:ascii="Times New Roman;serif" w:hAnsi="Times New Roman;serif"/>
          <w:b w:val="false"/>
          <w:i/>
          <w:color w:val="000000"/>
          <w:sz w:val="20"/>
        </w:rPr>
        <w:t>Core leasing activity</w:t>
      </w:r>
      <w:r>
        <w:rPr>
          <w:rFonts w:ascii="Times New Roman;serif" w:hAnsi="Times New Roman;serif"/>
          <w:b w:val="false"/>
          <w:color w:val="000000"/>
          <w:sz w:val="20"/>
        </w:rPr>
        <w:t xml:space="preserve">. We define core leasing activity as site rental revenues growth from tenant additions and renewals or extensions of tenant contracts, exclusive of (1) the impacts from both straight-lined revenues and amortization of prepaid rent in accordance with GAAP, (2) other revenues and (3) amounts related to DISH Terminations, where applicable. </w:t>
      </w:r>
    </w:p>
    <w:p>
      <w:pPr>
        <w:pStyle w:val="TextBody"/>
        <w:bidi w:val="0"/>
        <w:spacing w:lineRule="auto" w:line="288" w:before="120" w:after="283"/>
        <w:jc w:val="both"/>
        <w:rPr/>
      </w:pPr>
      <w:r>
        <w:rPr>
          <w:rFonts w:ascii="Times New Roman;serif" w:hAnsi="Times New Roman;serif"/>
          <w:b w:val="false"/>
          <w:i/>
          <w:color w:val="000000"/>
          <w:sz w:val="20"/>
        </w:rPr>
        <w:t>Other billings</w:t>
      </w:r>
      <w:r>
        <w:rPr>
          <w:rFonts w:ascii="Times New Roman;serif" w:hAnsi="Times New Roman;serif"/>
          <w:b w:val="false"/>
          <w:color w:val="000000"/>
          <w:sz w:val="20"/>
        </w:rPr>
        <w:t>. We define other billings as the growth or reduction in site rental revenues as a result of non-recurring contractual billings and adjustments, expense recoveries, sales credits and other amounts not captured in core leasing activity, exclusive of amounts related to DISH Terminations, where applicable.</w:t>
      </w:r>
    </w:p>
    <w:p>
      <w:pPr>
        <w:pStyle w:val="TextBody"/>
        <w:bidi w:val="0"/>
        <w:spacing w:lineRule="auto" w:line="288" w:before="120" w:after="283"/>
        <w:jc w:val="both"/>
        <w:rPr/>
      </w:pPr>
      <w:r>
        <w:rPr>
          <w:rFonts w:ascii="Times New Roman;serif" w:hAnsi="Times New Roman;serif"/>
          <w:b w:val="false"/>
          <w:i/>
          <w:color w:val="000000"/>
          <w:sz w:val="20"/>
        </w:rPr>
        <w:t>Non-renewals</w:t>
      </w:r>
      <w:r>
        <w:rPr>
          <w:rFonts w:ascii="Times New Roman;serif" w:hAnsi="Times New Roman;serif"/>
          <w:b w:val="false"/>
          <w:color w:val="000000"/>
          <w:sz w:val="20"/>
        </w:rPr>
        <w:t>. We define non-renewals of tenant contracts as the reduction in site rental revenues as a result of tenant churn, terminations and, in limited circumstances, reductions of existing lease rates, exclusive of non-renewals associated with Sprint Cancellations and DISH Terminations, where applicable.</w:t>
      </w:r>
    </w:p>
    <w:p>
      <w:pPr>
        <w:pStyle w:val="TextBody"/>
        <w:bidi w:val="0"/>
        <w:spacing w:lineRule="auto" w:line="288" w:before="120" w:after="283"/>
        <w:jc w:val="both"/>
        <w:rPr/>
      </w:pPr>
      <w:r>
        <w:rPr>
          <w:rFonts w:ascii="Times New Roman;serif" w:hAnsi="Times New Roman;serif"/>
          <w:b w:val="false"/>
          <w:i/>
          <w:color w:val="000000"/>
          <w:sz w:val="20"/>
        </w:rPr>
        <w:t>Discretionary capital expenditures.</w:t>
      </w:r>
      <w:r>
        <w:rPr>
          <w:color w:val="000000"/>
        </w:rPr>
        <w:t xml:space="preserve"> </w:t>
      </w:r>
      <w:r>
        <w:rPr>
          <w:rFonts w:ascii="Times New Roman;serif" w:hAnsi="Times New Roman;serif"/>
          <w:b w:val="false"/>
          <w:color w:val="000000"/>
          <w:sz w:val="20"/>
        </w:rPr>
        <w:t>We define discretionary capital expenditures relating to continuing operations as those made with respect to activities which we believe exhibit sufficient potential to enhance long-term stockholder value. Discretionary capital expenditures, including with respect to discontinued operations, primarily consist of expansion or development of our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relates to land assets under towers as we seek to manage our interests in the land beneath our towers), certain technology-related investments necessary to support and scale future customer demand for our communications infrastructure, and other capital projects.</w:t>
      </w:r>
    </w:p>
    <w:p>
      <w:pPr>
        <w:pStyle w:val="TextBody"/>
        <w:bidi w:val="0"/>
        <w:spacing w:lineRule="auto" w:line="288" w:before="120" w:after="283"/>
        <w:jc w:val="both"/>
        <w:rPr/>
      </w:pPr>
      <w:r>
        <w:rPr>
          <w:rFonts w:ascii="Times New Roman;serif" w:hAnsi="Times New Roman;serif"/>
          <w:b w:val="false"/>
          <w:i/>
          <w:color w:val="000000"/>
          <w:sz w:val="20"/>
        </w:rPr>
        <w:t xml:space="preserve">Sustaining capital expenditures. </w:t>
      </w:r>
      <w:r>
        <w:rPr>
          <w:rFonts w:ascii="Times New Roman;serif" w:hAnsi="Times New Roman;serif"/>
          <w:b w:val="false"/>
          <w:color w:val="000000"/>
          <w:sz w:val="20"/>
        </w:rPr>
        <w:t xml:space="preserve">We define sustaining capital expenditures as those capital expenditures (including with respect to discontinued operations)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 </w:t>
      </w:r>
    </w:p>
    <w:p>
      <w:pPr>
        <w:pStyle w:val="TextBody"/>
        <w:bidi w:val="0"/>
        <w:spacing w:lineRule="auto" w:line="288" w:before="120" w:after="283"/>
        <w:jc w:val="both"/>
        <w:rPr/>
      </w:pPr>
      <w:r>
        <w:rPr>
          <w:rFonts w:ascii="Times New Roman;serif" w:hAnsi="Times New Roman;serif"/>
          <w:b w:val="false"/>
          <w:i/>
          <w:color w:val="000000"/>
          <w:sz w:val="20"/>
        </w:rPr>
        <w:t>Sprint Cancellations.</w:t>
      </w:r>
      <w:r>
        <w:rPr>
          <w:color w:val="000000"/>
        </w:rPr>
        <w:t xml:space="preserve"> </w:t>
      </w:r>
      <w:r>
        <w:rPr>
          <w:rFonts w:ascii="Times New Roman;serif" w:hAnsi="Times New Roman;serif"/>
          <w:b w:val="false"/>
          <w:color w:val="000000"/>
          <w:sz w:val="20"/>
        </w:rPr>
        <w:t>We define Sprint Cancellations as lease cancellations related to the previously disclosed T-Mobile US, Inc. and Sprint network consolidation as described in our press release dated April 19, 2023.</w:t>
      </w:r>
    </w:p>
    <w:p>
      <w:pPr>
        <w:pStyle w:val="TextBody"/>
        <w:bidi w:val="0"/>
        <w:spacing w:lineRule="auto" w:line="288" w:before="120" w:after="283"/>
        <w:jc w:val="both"/>
        <w:rPr/>
      </w:pPr>
      <w:r>
        <w:rPr>
          <w:rFonts w:ascii="Times New Roman;serif" w:hAnsi="Times New Roman;serif"/>
          <w:b w:val="false"/>
          <w:i/>
          <w:color w:val="000000"/>
          <w:sz w:val="20"/>
        </w:rPr>
        <w:t xml:space="preserve">DISH Terminations. </w:t>
      </w:r>
      <w:r>
        <w:rPr>
          <w:rFonts w:ascii="Times New Roman;serif" w:hAnsi="Times New Roman;serif"/>
          <w:b w:val="false"/>
          <w:color w:val="000000"/>
          <w:sz w:val="20"/>
        </w:rPr>
        <w:t>We define DISH Terminations as the impact of lease terminations related to the previously disclosed notice of default and termination that was sent to DISH Wireless L.L.C. ("DISH") regarding our Master Lease Agreement and related agreements as described in our press release dated January 12, 2026.</w:t>
      </w:r>
    </w:p>
    <w:p>
      <w:pPr>
        <w:pStyle w:val="TextBody"/>
        <w:bidi w:val="0"/>
        <w:spacing w:lineRule="auto" w:line="288" w:before="120" w:after="283"/>
        <w:jc w:val="both"/>
        <w:rPr/>
      </w:pPr>
      <w:r>
        <w:rPr>
          <w:rFonts w:ascii="Times New Roman;serif" w:hAnsi="Times New Roman;serif"/>
          <w:b w:val="false"/>
          <w:i/>
          <w:color w:val="000000"/>
          <w:sz w:val="20"/>
        </w:rPr>
        <w:t>Fiber Business.</w:t>
      </w:r>
      <w:r>
        <w:rPr>
          <w:color w:val="000000"/>
        </w:rPr>
        <w:t xml:space="preserve"> </w:t>
      </w:r>
      <w:r>
        <w:rPr>
          <w:rFonts w:ascii="Times New Roman;serif" w:hAnsi="Times New Roman;serif"/>
          <w:b w:val="false"/>
          <w:color w:val="000000"/>
          <w:sz w:val="20"/>
        </w:rPr>
        <w:t xml:space="preserve">We define Fiber Business as the historically reported Fiber segment, prior to its reclassification to discontinued operations, together with certain supporting assets and personnel. Management signed a definitive agreement ("Agreement") to sell the Fiber Business with EQT Active Core Infrastructure fund ("EQT") acquiring the small cells business and Zayo Group Holdings Inc. ("Zayo") acquiring the fiber solutions business ("Transaction"). The Transaction was completed on May 1, 2026. We received aggregate net cash proceeds of $8.4 billion, representing the gross contractual purchase price of $8.5 billion less the net impact of preliminary purchase price adjustments of $124 million, which are subject to a post-closing settlement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3545"/>
                <wp:effectExtent l="0" t="0" r="0" b="0"/>
                <wp:wrapNone/>
                <wp:docPr id="15" name="Frame12"/>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10</w:t>
            </w:r>
          </w:p>
        </w:tc>
      </w:tr>
    </w:tbl>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Historical Adjusted EBITDA:</w:t>
      </w:r>
    </w:p>
    <w:tbl>
      <w:tblPr>
        <w:tblW w:w="10205" w:type="dxa"/>
        <w:jc w:val="center"/>
        <w:tblInd w:w="0" w:type="dxa"/>
        <w:tblLayout w:type="fixed"/>
        <w:tblCellMar>
          <w:top w:w="28" w:type="dxa"/>
          <w:left w:w="28" w:type="dxa"/>
          <w:bottom w:w="28" w:type="dxa"/>
          <w:right w:w="28" w:type="dxa"/>
        </w:tblCellMar>
      </w:tblPr>
      <w:tblGrid>
        <w:gridCol w:w="1256"/>
        <w:gridCol w:w="981"/>
        <w:gridCol w:w="989"/>
        <w:gridCol w:w="251"/>
        <w:gridCol w:w="558"/>
        <w:gridCol w:w="139"/>
        <w:gridCol w:w="120"/>
        <w:gridCol w:w="120"/>
        <w:gridCol w:w="120"/>
        <w:gridCol w:w="251"/>
        <w:gridCol w:w="558"/>
        <w:gridCol w:w="139"/>
        <w:gridCol w:w="109"/>
        <w:gridCol w:w="109"/>
        <w:gridCol w:w="109"/>
        <w:gridCol w:w="225"/>
        <w:gridCol w:w="657"/>
        <w:gridCol w:w="125"/>
        <w:gridCol w:w="109"/>
        <w:gridCol w:w="109"/>
        <w:gridCol w:w="109"/>
        <w:gridCol w:w="225"/>
        <w:gridCol w:w="657"/>
        <w:gridCol w:w="125"/>
        <w:gridCol w:w="109"/>
        <w:gridCol w:w="109"/>
        <w:gridCol w:w="109"/>
        <w:gridCol w:w="365"/>
        <w:gridCol w:w="1064"/>
        <w:gridCol w:w="299"/>
      </w:tblGrid>
      <w:tr>
        <w:trPr/>
        <w:tc>
          <w:tcPr>
            <w:tcW w:w="125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Twelve Months Ended</w:t>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226"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(b)</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(c)</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29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9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9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(d)</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w:t>
            </w:r>
            <w:r>
              <w:rPr>
                <w:color w:val="000000"/>
              </w:rPr>
              <w:t>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w:t>
            </w:r>
            <w:r>
              <w:rPr>
                <w:color w:val="000000"/>
              </w:rPr>
              <w:t>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1,350</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1,428</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2,863</w:t>
            </w:r>
            <w:r>
              <w:rPr>
                <w:color w:val="000000"/>
              </w:rPr>
              <w:t> </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Current Outlook for Adjusted EBITDA:</w:t>
      </w:r>
    </w:p>
    <w:tbl>
      <w:tblPr>
        <w:tblW w:w="7235" w:type="dxa"/>
        <w:jc w:val="left"/>
        <w:tblInd w:w="0" w:type="dxa"/>
        <w:tblLayout w:type="fixed"/>
        <w:tblCellMar>
          <w:top w:w="28" w:type="dxa"/>
          <w:left w:w="28" w:type="dxa"/>
          <w:bottom w:w="28" w:type="dxa"/>
          <w:right w:w="28" w:type="dxa"/>
        </w:tblCellMar>
      </w:tblPr>
      <w:tblGrid>
        <w:gridCol w:w="1761"/>
        <w:gridCol w:w="1543"/>
        <w:gridCol w:w="1555"/>
        <w:gridCol w:w="109"/>
        <w:gridCol w:w="109"/>
        <w:gridCol w:w="237"/>
        <w:gridCol w:w="237"/>
        <w:gridCol w:w="237"/>
        <w:gridCol w:w="237"/>
        <w:gridCol w:w="237"/>
        <w:gridCol w:w="109"/>
        <w:gridCol w:w="109"/>
        <w:gridCol w:w="109"/>
        <w:gridCol w:w="189"/>
        <w:gridCol w:w="189"/>
        <w:gridCol w:w="268"/>
      </w:tblGrid>
      <w:tr>
        <w:trPr/>
        <w:tc>
          <w:tcPr>
            <w:tcW w:w="176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 2026</w:t>
            </w:r>
          </w:p>
        </w:tc>
        <w:tc>
          <w:tcPr>
            <w:tcW w:w="973"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Outlook</w:t>
            </w:r>
            <w:r>
              <w:rPr>
                <w:rFonts w:ascii="Times New Roman;serif" w:hAnsi="Times New Roman;serif"/>
                <w:b w:val="false"/>
                <w:color w:val="000000"/>
                <w:sz w:val="12"/>
              </w:rPr>
              <w:t>(g)</w:t>
            </w:r>
          </w:p>
        </w:tc>
        <w:tc>
          <w:tcPr>
            <w:tcW w:w="973"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832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to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$2,665</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$2,715</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restructuring charges recorded related to the Company's restructuring plan announced in February 2026, as further discussed in the Annual Report on Form 10-K for the year ended December 31, 2025 ("2026 Restructuring Plan"). For the three and six months ended June 30, 2026, no charges and $14 million of charges were recorded related to the 2026 Restructuring Plan,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the reconciliation of "</w:t>
      </w:r>
      <w:r>
        <w:rPr>
          <w:rFonts w:ascii="Times New Roman;serif" w:hAnsi="Times New Roman;serif"/>
          <w:b w:val="false"/>
          <w:i/>
          <w:color w:val="000000"/>
          <w:sz w:val="16"/>
        </w:rPr>
        <w:t>Components of Interest Expense</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16"/>
        </w:rPr>
        <w:t>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(d)Represents results from the Fiber Business, including a loss on disposal of $280 million and $252 million recorded in the three months ended June 30, 2026 and 2025, respectively, and $625 million and $1,082 million recorded in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(e)See discussion and our definition of Adjusted EBITDA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(g)As issued on July 22, 2026.</w:t>
      </w:r>
    </w:p>
    <w:p>
      <w:pPr>
        <w:pStyle w:val="TextBody"/>
        <w:bidi w:val="0"/>
        <w:spacing w:lineRule="auto" w:line="288" w:before="0" w:after="0"/>
        <w:ind w:left="0" w:right="0" w:hanging="360"/>
        <w:jc w:val="both"/>
        <w:rPr/>
      </w:pPr>
      <w:r>
        <w:rPr>
          <w:rFonts w:ascii="Times New Roman;serif" w:hAnsi="Times New Roman;serif"/>
          <w:b w:val="false"/>
          <w:color w:val="000000"/>
          <w:sz w:val="16"/>
        </w:rPr>
        <w:t>(h)See the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xml:space="preserve">" for a discussion of non-cash interest expense.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(i)Represents expected results from the Fiber Business, including the estimated loss on disposal, through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3545"/>
                <wp:effectExtent l="0" t="0" r="0" b="0"/>
                <wp:wrapNone/>
                <wp:docPr id="16" name="Frame13"/>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Reconciliation of Historical FFO and AFFO:</w:t>
      </w:r>
    </w:p>
    <w:tbl>
      <w:tblPr>
        <w:tblW w:w="10205" w:type="dxa"/>
        <w:jc w:val="center"/>
        <w:tblInd w:w="0" w:type="dxa"/>
        <w:tblLayout w:type="fixed"/>
        <w:tblCellMar>
          <w:top w:w="28" w:type="dxa"/>
          <w:left w:w="28" w:type="dxa"/>
          <w:bottom w:w="28" w:type="dxa"/>
          <w:right w:w="28" w:type="dxa"/>
        </w:tblCellMar>
      </w:tblPr>
      <w:tblGrid>
        <w:gridCol w:w="1338"/>
        <w:gridCol w:w="953"/>
        <w:gridCol w:w="961"/>
        <w:gridCol w:w="254"/>
        <w:gridCol w:w="564"/>
        <w:gridCol w:w="141"/>
        <w:gridCol w:w="121"/>
        <w:gridCol w:w="121"/>
        <w:gridCol w:w="121"/>
        <w:gridCol w:w="254"/>
        <w:gridCol w:w="564"/>
        <w:gridCol w:w="141"/>
        <w:gridCol w:w="109"/>
        <w:gridCol w:w="109"/>
        <w:gridCol w:w="109"/>
        <w:gridCol w:w="253"/>
        <w:gridCol w:w="564"/>
        <w:gridCol w:w="141"/>
        <w:gridCol w:w="113"/>
        <w:gridCol w:w="113"/>
        <w:gridCol w:w="113"/>
        <w:gridCol w:w="240"/>
        <w:gridCol w:w="585"/>
        <w:gridCol w:w="133"/>
        <w:gridCol w:w="109"/>
        <w:gridCol w:w="109"/>
        <w:gridCol w:w="109"/>
        <w:gridCol w:w="373"/>
        <w:gridCol w:w="1087"/>
        <w:gridCol w:w="303"/>
      </w:tblGrid>
      <w:tr>
        <w:trPr/>
        <w:tc>
          <w:tcPr>
            <w:tcW w:w="133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Twelve Months Ended</w:t>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464</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847</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879</w:t>
            </w: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1,764</w:t>
            </w:r>
            <w:r>
              <w:rPr>
                <w:color w:val="000000"/>
              </w:rPr>
              <w:t>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1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4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4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4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3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30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1,904</w:t>
            </w:r>
            <w:r>
              <w:rPr>
                <w:color w:val="000000"/>
              </w:rPr>
              <w:t>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18"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4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4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4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33"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303"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a loss on disposal of $280 million and $252 million recorded in the three months ended June 30, 2026 and 2025, respectively, and $625 million and $1,082 million recorded in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restructuring charges recorded related to the 2026 Restructuring Plan.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3545"/>
                <wp:effectExtent l="0" t="0" r="0" b="0"/>
                <wp:wrapNone/>
                <wp:docPr id="17" name="Frame1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Reconciliation of Historical FFO and AFFO per share:</w:t>
      </w:r>
    </w:p>
    <w:tbl>
      <w:tblPr>
        <w:tblW w:w="10205" w:type="dxa"/>
        <w:jc w:val="center"/>
        <w:tblInd w:w="0" w:type="dxa"/>
        <w:tblLayout w:type="fixed"/>
        <w:tblCellMar>
          <w:top w:w="28" w:type="dxa"/>
          <w:left w:w="28" w:type="dxa"/>
          <w:bottom w:w="28" w:type="dxa"/>
          <w:right w:w="28" w:type="dxa"/>
        </w:tblCellMar>
      </w:tblPr>
      <w:tblGrid>
        <w:gridCol w:w="1507"/>
        <w:gridCol w:w="983"/>
        <w:gridCol w:w="988"/>
        <w:gridCol w:w="236"/>
        <w:gridCol w:w="580"/>
        <w:gridCol w:w="131"/>
        <w:gridCol w:w="116"/>
        <w:gridCol w:w="116"/>
        <w:gridCol w:w="116"/>
        <w:gridCol w:w="236"/>
        <w:gridCol w:w="580"/>
        <w:gridCol w:w="131"/>
        <w:gridCol w:w="109"/>
        <w:gridCol w:w="109"/>
        <w:gridCol w:w="109"/>
        <w:gridCol w:w="236"/>
        <w:gridCol w:w="580"/>
        <w:gridCol w:w="131"/>
        <w:gridCol w:w="110"/>
        <w:gridCol w:w="110"/>
        <w:gridCol w:w="110"/>
        <w:gridCol w:w="226"/>
        <w:gridCol w:w="595"/>
        <w:gridCol w:w="126"/>
        <w:gridCol w:w="109"/>
        <w:gridCol w:w="109"/>
        <w:gridCol w:w="109"/>
        <w:gridCol w:w="392"/>
        <w:gridCol w:w="914"/>
        <w:gridCol w:w="301"/>
      </w:tblGrid>
      <w:tr>
        <w:trPr/>
        <w:tc>
          <w:tcPr>
            <w:tcW w:w="15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Twelve Months Ended</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w:t>
            </w: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0.98</w:t>
            </w: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w:t>
            </w: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4.04</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1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3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3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3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2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30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w:t>
            </w: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w:t>
            </w: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16"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3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3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3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2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30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a loss on disposal of $280 million and $252 million recorded in the three months ended June 30, 2026 and 2025, respectively, and $625 million and $1,082 million recorded in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restructuring charges recorded related to the 2026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3545"/>
                <wp:effectExtent l="0" t="0" r="0" b="0"/>
                <wp:wrapNone/>
                <wp:docPr id="18" name="Frame1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13</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Reconciliation of Current Outlook for FFO and AFFO:</w:t>
      </w:r>
    </w:p>
    <w:tbl>
      <w:tblPr>
        <w:tblW w:w="10046" w:type="dxa"/>
        <w:jc w:val="center"/>
        <w:tblInd w:w="0" w:type="dxa"/>
        <w:tblLayout w:type="fixed"/>
        <w:tblCellMar>
          <w:top w:w="28" w:type="dxa"/>
          <w:left w:w="28" w:type="dxa"/>
          <w:bottom w:w="28" w:type="dxa"/>
          <w:right w:w="28" w:type="dxa"/>
        </w:tblCellMar>
      </w:tblPr>
      <w:tblGrid>
        <w:gridCol w:w="2008"/>
        <w:gridCol w:w="1764"/>
        <w:gridCol w:w="1778"/>
        <w:gridCol w:w="109"/>
        <w:gridCol w:w="109"/>
        <w:gridCol w:w="237"/>
        <w:gridCol w:w="237"/>
        <w:gridCol w:w="237"/>
        <w:gridCol w:w="237"/>
        <w:gridCol w:w="237"/>
        <w:gridCol w:w="109"/>
        <w:gridCol w:w="109"/>
        <w:gridCol w:w="109"/>
        <w:gridCol w:w="200"/>
        <w:gridCol w:w="200"/>
        <w:gridCol w:w="201"/>
        <w:gridCol w:w="173"/>
        <w:gridCol w:w="173"/>
        <w:gridCol w:w="173"/>
        <w:gridCol w:w="269"/>
        <w:gridCol w:w="271"/>
        <w:gridCol w:w="180"/>
        <w:gridCol w:w="109"/>
        <w:gridCol w:w="109"/>
        <w:gridCol w:w="109"/>
        <w:gridCol w:w="193"/>
        <w:gridCol w:w="176"/>
        <w:gridCol w:w="230"/>
      </w:tblGrid>
      <w:tr>
        <w:trPr/>
        <w:tc>
          <w:tcPr>
            <w:tcW w:w="200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 2026</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Outlook</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Outlook per Share</w:t>
            </w:r>
            <w:r>
              <w:rPr>
                <w:rFonts w:ascii="Times New Roman;serif" w:hAnsi="Times New Roman;serif"/>
                <w:b w:val="false"/>
                <w:color w:val="000000"/>
                <w:sz w:val="12"/>
              </w:rPr>
              <w:t>(a)</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$2.35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1.58</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0.84</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$1,730</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$1,760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$4.02</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$4.09</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FFO (from above)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$1,760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$4.09</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0.17</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0.19</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0.10</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and integration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0.08</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$1,950</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$2,000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$4.65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July 22,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contribution from discontinued operations through April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expected results from the Fiber Business, including the estimated loss on disposal,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(d)See discussion and our definitions of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(e)The above reconciliation excludes line items included in our definition which are not applicable for the period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3545"/>
                <wp:effectExtent l="0" t="0" r="0" b="0"/>
                <wp:wrapNone/>
                <wp:docPr id="19" name="Frame16"/>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14</w:t>
            </w:r>
          </w:p>
        </w:tc>
      </w:tr>
    </w:tbl>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For Comparative Purposes - Reconciliation of Previous Outlook for Adjusted EBITDA:</w:t>
      </w:r>
    </w:p>
    <w:tbl>
      <w:tblPr>
        <w:tblW w:w="8013" w:type="dxa"/>
        <w:jc w:val="left"/>
        <w:tblInd w:w="0" w:type="dxa"/>
        <w:tblLayout w:type="fixed"/>
        <w:tblCellMar>
          <w:top w:w="28" w:type="dxa"/>
          <w:left w:w="28" w:type="dxa"/>
          <w:bottom w:w="28" w:type="dxa"/>
          <w:right w:w="28" w:type="dxa"/>
        </w:tblCellMar>
      </w:tblPr>
      <w:tblGrid>
        <w:gridCol w:w="1761"/>
        <w:gridCol w:w="1543"/>
        <w:gridCol w:w="1555"/>
        <w:gridCol w:w="109"/>
        <w:gridCol w:w="109"/>
        <w:gridCol w:w="392"/>
        <w:gridCol w:w="392"/>
        <w:gridCol w:w="392"/>
        <w:gridCol w:w="392"/>
        <w:gridCol w:w="395"/>
        <w:gridCol w:w="109"/>
        <w:gridCol w:w="109"/>
        <w:gridCol w:w="109"/>
        <w:gridCol w:w="188"/>
        <w:gridCol w:w="188"/>
        <w:gridCol w:w="270"/>
      </w:tblGrid>
      <w:tr>
        <w:trPr/>
        <w:tc>
          <w:tcPr>
            <w:tcW w:w="176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Previously Issued</w:t>
            </w:r>
          </w:p>
        </w:tc>
        <w:tc>
          <w:tcPr>
            <w:tcW w:w="973"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(a)</w:t>
            </w:r>
          </w:p>
        </w:tc>
        <w:tc>
          <w:tcPr>
            <w:tcW w:w="973"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$970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722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837</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$2,665</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$2,715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For Comparative Purposes - Reconciliation of Previous Outlook for FFO and AFFO:</w:t>
      </w:r>
    </w:p>
    <w:tbl>
      <w:tblPr>
        <w:tblW w:w="10001" w:type="dxa"/>
        <w:jc w:val="left"/>
        <w:tblInd w:w="0" w:type="dxa"/>
        <w:tblLayout w:type="fixed"/>
        <w:tblCellMar>
          <w:top w:w="28" w:type="dxa"/>
          <w:left w:w="28" w:type="dxa"/>
          <w:bottom w:w="28" w:type="dxa"/>
          <w:right w:w="28" w:type="dxa"/>
        </w:tblCellMar>
      </w:tblPr>
      <w:tblGrid>
        <w:gridCol w:w="2009"/>
        <w:gridCol w:w="1766"/>
        <w:gridCol w:w="1775"/>
        <w:gridCol w:w="199"/>
        <w:gridCol w:w="199"/>
        <w:gridCol w:w="203"/>
        <w:gridCol w:w="153"/>
        <w:gridCol w:w="153"/>
        <w:gridCol w:w="153"/>
        <w:gridCol w:w="199"/>
        <w:gridCol w:w="199"/>
        <w:gridCol w:w="203"/>
        <w:gridCol w:w="109"/>
        <w:gridCol w:w="109"/>
        <w:gridCol w:w="109"/>
        <w:gridCol w:w="276"/>
        <w:gridCol w:w="264"/>
        <w:gridCol w:w="206"/>
        <w:gridCol w:w="206"/>
        <w:gridCol w:w="206"/>
        <w:gridCol w:w="206"/>
        <w:gridCol w:w="206"/>
        <w:gridCol w:w="206"/>
        <w:gridCol w:w="206"/>
        <w:gridCol w:w="109"/>
        <w:gridCol w:w="109"/>
        <w:gridCol w:w="109"/>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Previously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Previously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16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Full Year 2026</w:t>
            </w:r>
          </w:p>
          <w:p>
            <w:pPr>
              <w:pStyle w:val="TableContents"/>
              <w:bidi w:val="0"/>
              <w:spacing w:lineRule="auto" w:line="240" w:before="0" w:after="0"/>
              <w:jc w:val="center"/>
              <w:rPr/>
            </w:pPr>
            <w:r>
              <w:rPr>
                <w:rFonts w:ascii="Times New Roman;serif" w:hAnsi="Times New Roman;serif"/>
                <w:b w:val="false"/>
                <w:color w:val="000000"/>
                <w:sz w:val="18"/>
              </w:rPr>
              <w:t>Outlook</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Full Year 2026 Outlook </w:t>
            </w:r>
          </w:p>
          <w:p>
            <w:pPr>
              <w:pStyle w:val="TableContents"/>
              <w:bidi w:val="0"/>
              <w:spacing w:lineRule="auto" w:line="240" w:before="0" w:after="0"/>
              <w:jc w:val="center"/>
              <w:rPr/>
            </w:pPr>
            <w:r>
              <w:rPr>
                <w:rFonts w:ascii="Times New Roman;serif" w:hAnsi="Times New Roman;serif"/>
                <w:b w:val="false"/>
                <w:color w:val="000000"/>
                <w:sz w:val="18"/>
              </w:rPr>
              <w:t>per share</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(d)</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(e)(f)</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$1,690</w:t>
            </w:r>
          </w:p>
        </w:tc>
        <w:tc>
          <w:tcPr>
            <w:tcW w:w="4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$1,720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$3.94</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661"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FFO (from above) </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166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and integration costs </w:t>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(e)(f)</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$1,945</w:t>
            </w:r>
          </w:p>
        </w:tc>
        <w:tc>
          <w:tcPr>
            <w:tcW w:w="4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661" w:type="dxa"/>
            <w:gridSpan w:val="9"/>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May 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(b)Includes contribution from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(c)See the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(d)Represents expected results from the Fiber Business, including the estimated loss on disposal,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(e)See discussion of and our definition of Adjusted EBITDA,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(f)The above reconciliation excludes line items included in our definition which are not applicable for the period shown.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3545"/>
                <wp:effectExtent l="0" t="0" r="0" b="0"/>
                <wp:wrapNone/>
                <wp:docPr id="20" name="Frame17"/>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15</w:t>
            </w:r>
          </w:p>
        </w:tc>
      </w:tr>
    </w:tbl>
    <w:p>
      <w:pPr>
        <w:pStyle w:val="TextBody"/>
        <w:bidi w:val="0"/>
        <w:spacing w:lineRule="auto" w:line="288" w:before="180" w:after="283"/>
        <w:jc w:val="left"/>
        <w:rPr/>
      </w:pPr>
      <w:r>
        <w:rPr>
          <w:rFonts w:ascii="Times New Roman;serif" w:hAnsi="Times New Roman;serif"/>
          <w:b/>
          <w:color w:val="000000"/>
          <w:sz w:val="20"/>
          <w:u w:val="single"/>
        </w:rPr>
        <w:t>Components of Changes in Site Rental Revenues for the Quarters Ended June 30, 2026 and 2025</w:t>
      </w:r>
      <w:r>
        <w:rPr>
          <w:rFonts w:ascii="Times New Roman;serif" w:hAnsi="Times New Roman;serif"/>
          <w:b/>
          <w:color w:val="000000"/>
          <w:sz w:val="13"/>
          <w:u w:val="single"/>
        </w:rPr>
        <w:t>(</w:t>
      </w:r>
      <w:r>
        <w:rPr>
          <w:rFonts w:ascii="Times New Roman;serif" w:hAnsi="Times New Roman;serif"/>
          <w:b/>
          <w:color w:val="000000"/>
          <w:sz w:val="13"/>
        </w:rPr>
        <w:t>a)</w:t>
      </w:r>
      <w:r>
        <w:rPr>
          <w:rFonts w:ascii="Times New Roman;serif" w:hAnsi="Times New Roman;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756"/>
        <w:gridCol w:w="2202"/>
        <w:gridCol w:w="2219"/>
        <w:gridCol w:w="109"/>
        <w:gridCol w:w="109"/>
        <w:gridCol w:w="194"/>
        <w:gridCol w:w="194"/>
        <w:gridCol w:w="394"/>
        <w:gridCol w:w="201"/>
        <w:gridCol w:w="458"/>
        <w:gridCol w:w="109"/>
        <w:gridCol w:w="109"/>
        <w:gridCol w:w="109"/>
        <w:gridCol w:w="233"/>
        <w:gridCol w:w="181"/>
        <w:gridCol w:w="359"/>
        <w:gridCol w:w="109"/>
        <w:gridCol w:w="160"/>
      </w:tblGrid>
      <w:tr>
        <w:trPr/>
        <w:tc>
          <w:tcPr>
            <w:tcW w:w="2756"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1369" w:type="dxa"/>
            <w:gridSpan w:val="8"/>
            <w:tcBorders/>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w:t>
            </w:r>
            <w:r>
              <w:rPr>
                <w:color w:val="000000"/>
              </w:rPr>
              <w:t xml:space="preserve"> </w:t>
            </w:r>
            <w:r>
              <w:rPr>
                <w:rFonts w:ascii="Times New Roman;serif" w:hAnsi="Times New Roman;serif"/>
                <w:b w:val="false"/>
                <w:color w:val="000000"/>
                <w:sz w:val="18"/>
              </w:rPr>
              <w:t>Adjusted for Impact of Sprint Cancellations and DISH Terminations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associated with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site 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Year-over-year changes in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the prior year site rental billings to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financial impact of the Fiber Business revenues is excluded, as these amounts are presented within discontinued operations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3545"/>
                <wp:effectExtent l="0" t="0" r="0" b="0"/>
                <wp:wrapNone/>
                <wp:docPr id="21" name="Frame18"/>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16</w:t>
            </w:r>
          </w:p>
        </w:tc>
      </w:tr>
    </w:tbl>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Components of Changes in Site Rental Revenues for Current and Previous Outlook for Full Year 2026:</w:t>
      </w:r>
    </w:p>
    <w:tbl>
      <w:tblPr>
        <w:tblW w:w="10205" w:type="dxa"/>
        <w:jc w:val="left"/>
        <w:tblInd w:w="0" w:type="dxa"/>
        <w:tblLayout w:type="fixed"/>
        <w:tblCellMar>
          <w:top w:w="28" w:type="dxa"/>
          <w:left w:w="28" w:type="dxa"/>
          <w:bottom w:w="28" w:type="dxa"/>
          <w:right w:w="28" w:type="dxa"/>
        </w:tblCellMar>
      </w:tblPr>
      <w:tblGrid>
        <w:gridCol w:w="2309"/>
        <w:gridCol w:w="1786"/>
        <w:gridCol w:w="1799"/>
        <w:gridCol w:w="235"/>
        <w:gridCol w:w="235"/>
        <w:gridCol w:w="167"/>
        <w:gridCol w:w="153"/>
        <w:gridCol w:w="153"/>
        <w:gridCol w:w="153"/>
        <w:gridCol w:w="235"/>
        <w:gridCol w:w="235"/>
        <w:gridCol w:w="167"/>
        <w:gridCol w:w="109"/>
        <w:gridCol w:w="109"/>
        <w:gridCol w:w="109"/>
        <w:gridCol w:w="369"/>
        <w:gridCol w:w="210"/>
        <w:gridCol w:w="200"/>
        <w:gridCol w:w="200"/>
        <w:gridCol w:w="200"/>
        <w:gridCol w:w="200"/>
        <w:gridCol w:w="369"/>
        <w:gridCol w:w="210"/>
        <w:gridCol w:w="293"/>
      </w:tblGrid>
      <w:tr>
        <w:trPr/>
        <w:tc>
          <w:tcPr>
            <w:tcW w:w="23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1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Previously Issued Full Year 2026 Outlook</w:t>
            </w:r>
            <w:r>
              <w:rPr>
                <w:rFonts w:ascii="Times New Roman;serif" w:hAnsi="Times New Roman;serif"/>
                <w:b w:val="false"/>
                <w:color w:val="000000"/>
                <w:sz w:val="12"/>
              </w:rPr>
              <w:t>(b)(c)</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173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$3,701</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(d)</w:t>
            </w:r>
          </w:p>
        </w:tc>
        <w:tc>
          <w:tcPr>
            <w:tcW w:w="1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(d)</w:t>
            </w:r>
          </w:p>
        </w:tc>
        <w:tc>
          <w:tcPr>
            <w:tcW w:w="1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$3,923</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70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w:t>
            </w:r>
            <w:r>
              <w:rPr>
                <w:color w:val="000000"/>
              </w:rPr>
              <w:t xml:space="preserve"> </w:t>
            </w:r>
            <w:r>
              <w:rPr>
                <w:rFonts w:ascii="Times New Roman;serif" w:hAnsi="Times New Roman;serif"/>
                <w:b w:val="false"/>
                <w:color w:val="000000"/>
                <w:sz w:val="18"/>
              </w:rPr>
              <w:t>Adjusted for Impact of Sprint Cancellations and DISH Terminations</w:t>
            </w:r>
            <w:r>
              <w:rPr>
                <w:rFonts w:ascii="Times New Roman;serif" w:hAnsi="Times New Roman;serif"/>
                <w:b w:val="false"/>
                <w:color w:val="000000"/>
                <w:sz w:val="12"/>
              </w:rPr>
              <w:t>(d)</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DISH Terminations</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(d)</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Acquisitions</w:t>
            </w:r>
            <w:r>
              <w:rPr>
                <w:rFonts w:ascii="Times New Roman;serif" w:hAnsi="Times New Roman;serif"/>
                <w:b w:val="false"/>
                <w:color w:val="000000"/>
                <w:sz w:val="12"/>
              </w:rPr>
              <w:t>(e)</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2578" w:type="dxa"/>
            <w:gridSpan w:val="12"/>
            <w:tcBorders/>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site rental revenues</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$3,833</w:t>
            </w:r>
          </w:p>
        </w:tc>
        <w:tc>
          <w:tcPr>
            <w:tcW w:w="4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3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$3,878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$3,828</w:t>
            </w:r>
          </w:p>
        </w:tc>
        <w:tc>
          <w:tcPr>
            <w:tcW w:w="60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87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$3,873</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Year-over-year changes in revenues:</w:t>
            </w:r>
            <w:r>
              <w:rPr>
                <w:rFonts w:ascii="Times New Roman;serif" w:hAnsi="Times New Roman;serif"/>
                <w:b w:val="false"/>
                <w:color w:val="000000"/>
                <w:sz w:val="12"/>
              </w:rPr>
              <w:t>(f)</w:t>
            </w:r>
          </w:p>
        </w:tc>
        <w:tc>
          <w:tcPr>
            <w:tcW w:w="17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2578" w:type="dxa"/>
            <w:gridSpan w:val="12"/>
            <w:tcBorders/>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2578" w:type="dxa"/>
            <w:gridSpan w:val="12"/>
            <w:tcBorders/>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site rental billings to DISH</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(a)As issued on July 22,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issued on May 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full year 2026 Outlook for continuing operations only.</w:t>
      </w:r>
    </w:p>
    <w:p>
      <w:pPr>
        <w:pStyle w:val="TextBody"/>
        <w:bidi w:val="0"/>
        <w:spacing w:lineRule="auto" w:line="288" w:before="0" w:after="0"/>
        <w:ind w:left="0" w:right="0" w:hanging="360"/>
        <w:jc w:val="both"/>
        <w:rPr/>
      </w:pPr>
      <w:r>
        <w:rPr>
          <w:rFonts w:ascii="Times New Roman;serif" w:hAnsi="Times New Roman;serif"/>
          <w:b w:val="false"/>
          <w:color w:val="000000"/>
          <w:sz w:val="16"/>
        </w:rPr>
        <w:t>(d)See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the contribution from recent acquisitions. The financial impact of recent acquisitions is excluded from Organic Contribution to Site Rental Billings, including as Adjusted for Impact of Sprint Cancellations and DISH Terminations, until the one-year anniversary of such acquisitions.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(f)Calculated based on midpoint of full year 2026 Outlook, where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3545"/>
                <wp:effectExtent l="0" t="0" r="0" b="0"/>
                <wp:wrapNone/>
                <wp:docPr id="22" name="Frame19"/>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17</w:t>
            </w:r>
          </w:p>
        </w:tc>
      </w:tr>
    </w:tbl>
    <w:p>
      <w:pPr>
        <w:pStyle w:val="TextBody"/>
        <w:bidi w:val="0"/>
        <w:spacing w:lineRule="auto" w:line="288" w:before="180" w:after="283"/>
        <w:jc w:val="both"/>
        <w:rPr/>
      </w:pPr>
      <w:r>
        <w:rPr>
          <w:rFonts w:ascii="Times New Roman;serif" w:hAnsi="Times New Roman;serif"/>
          <w:b/>
          <w:color w:val="000000"/>
          <w:sz w:val="20"/>
          <w:u w:val="single"/>
        </w:rPr>
        <w:t>Components of Capital Expenditures:</w:t>
      </w:r>
      <w:r>
        <w:rPr>
          <w:rFonts w:ascii="Times New Roman;serif" w:hAnsi="Times New Roman;serif"/>
          <w:b/>
          <w:color w:val="000000"/>
          <w:sz w:val="13"/>
        </w:rPr>
        <w:t>(a)(b)</w:t>
      </w:r>
    </w:p>
    <w:tbl>
      <w:tblPr>
        <w:tblW w:w="9056" w:type="dxa"/>
        <w:jc w:val="center"/>
        <w:tblInd w:w="0" w:type="dxa"/>
        <w:tblLayout w:type="fixed"/>
        <w:tblCellMar>
          <w:top w:w="28" w:type="dxa"/>
          <w:left w:w="28" w:type="dxa"/>
          <w:bottom w:w="28" w:type="dxa"/>
          <w:right w:w="28" w:type="dxa"/>
        </w:tblCellMar>
      </w:tblPr>
      <w:tblGrid>
        <w:gridCol w:w="1243"/>
        <w:gridCol w:w="1093"/>
        <w:gridCol w:w="1099"/>
        <w:gridCol w:w="335"/>
        <w:gridCol w:w="590"/>
        <w:gridCol w:w="185"/>
        <w:gridCol w:w="144"/>
        <w:gridCol w:w="144"/>
        <w:gridCol w:w="144"/>
        <w:gridCol w:w="335"/>
        <w:gridCol w:w="590"/>
        <w:gridCol w:w="185"/>
        <w:gridCol w:w="109"/>
        <w:gridCol w:w="109"/>
        <w:gridCol w:w="109"/>
        <w:gridCol w:w="293"/>
        <w:gridCol w:w="654"/>
        <w:gridCol w:w="163"/>
        <w:gridCol w:w="126"/>
        <w:gridCol w:w="126"/>
        <w:gridCol w:w="126"/>
        <w:gridCol w:w="324"/>
        <w:gridCol w:w="575"/>
        <w:gridCol w:w="255"/>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Discretionary capital expenditures:</w:t>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Tower improvements and other capital projects</w:t>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land interests</w:t>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capital expenditures</w:t>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w:t>
            </w:r>
            <w:r>
              <w:rPr>
                <w:color w:val="000000"/>
              </w:rPr>
              <w:t>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532"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color w:val="000000"/>
          <w:sz w:val="20"/>
          <w:u w:val="single"/>
        </w:rPr>
        <w:t>Outlook for Discretionary Capital Expenditures Less Prepaid Rent Additions:</w:t>
      </w:r>
      <w:r>
        <w:rPr>
          <w:rFonts w:ascii="Times New Roman;serif" w:hAnsi="Times New Roman;serif"/>
          <w:b/>
          <w:color w:val="000000"/>
          <w:sz w:val="13"/>
        </w:rPr>
        <w:t>(b)(c)</w:t>
      </w:r>
    </w:p>
    <w:tbl>
      <w:tblPr>
        <w:tblW w:w="9023" w:type="dxa"/>
        <w:jc w:val="left"/>
        <w:tblInd w:w="0" w:type="dxa"/>
        <w:tblLayout w:type="fixed"/>
        <w:tblCellMar>
          <w:top w:w="28" w:type="dxa"/>
          <w:left w:w="28" w:type="dxa"/>
          <w:bottom w:w="28" w:type="dxa"/>
          <w:right w:w="28" w:type="dxa"/>
        </w:tblCellMar>
      </w:tblPr>
      <w:tblGrid>
        <w:gridCol w:w="1764"/>
        <w:gridCol w:w="1551"/>
        <w:gridCol w:w="1560"/>
        <w:gridCol w:w="109"/>
        <w:gridCol w:w="109"/>
        <w:gridCol w:w="109"/>
        <w:gridCol w:w="654"/>
        <w:gridCol w:w="654"/>
        <w:gridCol w:w="656"/>
        <w:gridCol w:w="256"/>
        <w:gridCol w:w="155"/>
        <w:gridCol w:w="155"/>
        <w:gridCol w:w="156"/>
        <w:gridCol w:w="109"/>
        <w:gridCol w:w="109"/>
        <w:gridCol w:w="109"/>
        <w:gridCol w:w="109"/>
        <w:gridCol w:w="109"/>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(d)</w:t>
            </w:r>
          </w:p>
        </w:tc>
        <w:tc>
          <w:tcPr>
            <w:tcW w:w="256"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Discretionary capital expenditures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Less: Prepaid rent additions</w:t>
            </w:r>
            <w:r>
              <w:rPr>
                <w:rFonts w:ascii="Times New Roman;serif" w:hAnsi="Times New Roman;serif"/>
                <w:b w:val="false"/>
                <w:color w:val="000000"/>
                <w:sz w:val="12"/>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654"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w:t>
            </w:r>
          </w:p>
        </w:tc>
        <w:tc>
          <w:tcPr>
            <w:tcW w:w="256"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Discretionary capital expenditures less prepaid rent additions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46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$210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Components of Interest Expense:</w:t>
      </w:r>
    </w:p>
    <w:tbl>
      <w:tblPr>
        <w:tblW w:w="8125" w:type="dxa"/>
        <w:jc w:val="left"/>
        <w:tblInd w:w="0" w:type="dxa"/>
        <w:tblLayout w:type="fixed"/>
        <w:tblCellMar>
          <w:top w:w="28" w:type="dxa"/>
          <w:left w:w="28" w:type="dxa"/>
          <w:bottom w:w="28" w:type="dxa"/>
          <w:right w:w="28" w:type="dxa"/>
        </w:tblCellMar>
      </w:tblPr>
      <w:tblGrid>
        <w:gridCol w:w="1982"/>
        <w:gridCol w:w="1743"/>
        <w:gridCol w:w="1749"/>
        <w:gridCol w:w="294"/>
        <w:gridCol w:w="653"/>
        <w:gridCol w:w="162"/>
        <w:gridCol w:w="129"/>
        <w:gridCol w:w="129"/>
        <w:gridCol w:w="129"/>
        <w:gridCol w:w="288"/>
        <w:gridCol w:w="641"/>
        <w:gridCol w:w="226"/>
      </w:tblGrid>
      <w:tr>
        <w:trPr/>
        <w:tc>
          <w:tcPr>
            <w:tcW w:w="198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 and amortization of deferred financing costs, net</w:t>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w:t>
            </w:r>
            <w:r>
              <w:rPr>
                <w:color w:val="000000"/>
              </w:rPr>
              <w:t>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Outlook for Components of Interest Expense:</w:t>
      </w:r>
    </w:p>
    <w:tbl>
      <w:tblPr>
        <w:tblW w:w="10205" w:type="dxa"/>
        <w:jc w:val="left"/>
        <w:tblInd w:w="0" w:type="dxa"/>
        <w:tblLayout w:type="fixed"/>
        <w:tblCellMar>
          <w:top w:w="28" w:type="dxa"/>
          <w:left w:w="28" w:type="dxa"/>
          <w:bottom w:w="28" w:type="dxa"/>
          <w:right w:w="28" w:type="dxa"/>
        </w:tblCellMar>
      </w:tblPr>
      <w:tblGrid>
        <w:gridCol w:w="1718"/>
        <w:gridCol w:w="1479"/>
        <w:gridCol w:w="1468"/>
        <w:gridCol w:w="216"/>
        <w:gridCol w:w="202"/>
        <w:gridCol w:w="196"/>
        <w:gridCol w:w="196"/>
        <w:gridCol w:w="196"/>
        <w:gridCol w:w="196"/>
        <w:gridCol w:w="216"/>
        <w:gridCol w:w="202"/>
        <w:gridCol w:w="196"/>
        <w:gridCol w:w="109"/>
        <w:gridCol w:w="109"/>
        <w:gridCol w:w="109"/>
        <w:gridCol w:w="343"/>
        <w:gridCol w:w="317"/>
        <w:gridCol w:w="317"/>
        <w:gridCol w:w="317"/>
        <w:gridCol w:w="317"/>
        <w:gridCol w:w="317"/>
        <w:gridCol w:w="343"/>
        <w:gridCol w:w="317"/>
        <w:gridCol w:w="317"/>
        <w:gridCol w:w="109"/>
        <w:gridCol w:w="109"/>
        <w:gridCol w:w="109"/>
        <w:gridCol w:w="165"/>
      </w:tblGrid>
      <w:tr>
        <w:trPr/>
        <w:tc>
          <w:tcPr>
            <w:tcW w:w="171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1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Previously Issued Full Year 2026 Outlook</w:t>
            </w:r>
            <w:r>
              <w:rPr>
                <w:rFonts w:ascii="Times New Roman;serif" w:hAnsi="Times New Roman;serif"/>
                <w:b w:val="false"/>
                <w:color w:val="000000"/>
                <w:sz w:val="12"/>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 and amortization of deferred financing costs, net</w:t>
            </w:r>
          </w:p>
        </w:tc>
        <w:tc>
          <w:tcPr>
            <w:tcW w:w="61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$787</w:t>
            </w:r>
          </w:p>
        </w:tc>
        <w:tc>
          <w:tcPr>
            <w:tcW w:w="58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1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$792</w:t>
            </w:r>
          </w:p>
        </w:tc>
        <w:tc>
          <w:tcPr>
            <w:tcW w:w="9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97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$837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6"/>
        </w:rPr>
        <w:t>(a)See our definitions of discretionary capital expenditures and sustaining capital expenditures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(b)The financial impact of the Fiber Business is excluded, as these amounts are presented within discontinued operations through April 30, 2026.</w:t>
      </w:r>
    </w:p>
    <w:p>
      <w:pPr>
        <w:pStyle w:val="TextBody"/>
        <w:bidi w:val="0"/>
        <w:spacing w:lineRule="auto" w:line="288" w:before="0" w:after="0"/>
        <w:ind w:left="0" w:right="0" w:hanging="360"/>
        <w:jc w:val="left"/>
        <w:rPr/>
      </w:pPr>
      <w:r>
        <w:rPr>
          <w:rFonts w:ascii="Times New Roman;serif" w:hAnsi="Times New Roman;serif"/>
          <w:b w:val="false"/>
          <w:color w:val="000000"/>
          <w:sz w:val="16"/>
        </w:rPr>
        <w:t>(c)Excludes sustaining capital expenditures. 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our definitions of discretionary capital expenditures and sustaining capital expenditures.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(d)As issued on July 22, 2026 and unchanged from previous full year 2026 Outlook issued on May 1,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(e)Reflects up-front consideration from long-term tenant contracts (commonly referred to as prepaid rent) that are amortized and recognized as revenue over the associated estimated lease term in accordance with GAAP.</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(f)As issued on July 22,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(g)As issued on May 1, 2026.</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3545"/>
                <wp:effectExtent l="0" t="0" r="0" b="0"/>
                <wp:wrapNone/>
                <wp:docPr id="23" name="Frame20"/>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18</w:t>
            </w:r>
          </w:p>
        </w:tc>
      </w:tr>
    </w:tbl>
    <w:p>
      <w:pPr>
        <w:pStyle w:val="TextBody"/>
        <w:bidi w:val="0"/>
        <w:spacing w:before="180" w:after="283"/>
        <w:jc w:val="left"/>
        <w:rPr/>
      </w:pPr>
      <w:r>
        <w:rPr/>
      </w:r>
    </w:p>
    <w:p>
      <w:pPr>
        <w:pStyle w:val="TextBody"/>
        <w:bidi w:val="0"/>
        <w:spacing w:lineRule="auto" w:line="288" w:before="180" w:after="283"/>
        <w:jc w:val="left"/>
        <w:rPr/>
      </w:pPr>
      <w:r>
        <w:rPr>
          <w:rFonts w:ascii="Times New Roman;serif" w:hAnsi="Times New Roman;serif"/>
          <w:b/>
          <w:color w:val="000000"/>
          <w:sz w:val="20"/>
          <w:u w:val="single"/>
        </w:rPr>
        <w:t>Debt Balances and Maturity Dates as of June 30, 2026</w:t>
      </w:r>
      <w:r>
        <w:rPr>
          <w:rFonts w:ascii="Times New Roman;serif" w:hAnsi="Times New Roman;serif"/>
          <w:b/>
          <w:color w:val="000000"/>
          <w:sz w:val="20"/>
        </w:rPr>
        <w:t>:</w:t>
      </w:r>
    </w:p>
    <w:tbl>
      <w:tblPr>
        <w:tblW w:w="7766" w:type="dxa"/>
        <w:jc w:val="center"/>
        <w:tblInd w:w="0" w:type="dxa"/>
        <w:tblLayout w:type="fixed"/>
        <w:tblCellMar>
          <w:top w:w="28" w:type="dxa"/>
          <w:left w:w="28" w:type="dxa"/>
          <w:bottom w:w="28" w:type="dxa"/>
          <w:right w:w="28" w:type="dxa"/>
        </w:tblCellMar>
      </w:tblPr>
      <w:tblGrid>
        <w:gridCol w:w="1976"/>
        <w:gridCol w:w="1739"/>
        <w:gridCol w:w="1760"/>
        <w:gridCol w:w="213"/>
        <w:gridCol w:w="719"/>
        <w:gridCol w:w="118"/>
        <w:gridCol w:w="109"/>
        <w:gridCol w:w="109"/>
        <w:gridCol w:w="109"/>
        <w:gridCol w:w="267"/>
        <w:gridCol w:w="267"/>
        <w:gridCol w:w="380"/>
      </w:tblGrid>
      <w:tr>
        <w:trPr/>
        <w:tc>
          <w:tcPr>
            <w:tcW w:w="197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Face Value</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Maturity</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Cash and cash equivalents and restricted cash and cash equivalents</w:t>
            </w:r>
            <w:r>
              <w:rPr>
                <w:rFonts w:ascii="Times New Roman;serif" w:hAnsi="Times New Roman;serif"/>
                <w:b/>
                <w:color w:val="000000"/>
                <w:sz w:val="12"/>
              </w:rPr>
              <w:t>(b)</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1,254</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Senior Secured Notes, Series 2009-1, Class A-2</w:t>
            </w:r>
            <w:r>
              <w:rPr>
                <w:rFonts w:ascii="Times New Roman;serif" w:hAnsi="Times New Roman;serif"/>
                <w:b w:val="false"/>
                <w:color w:val="000000"/>
                <w:sz w:val="12"/>
              </w:rPr>
              <w:t>(c)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2029</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Senior Secured Tower Revenue Notes, Series 2018-2</w:t>
            </w:r>
            <w:r>
              <w:rPr>
                <w:rFonts w:ascii="Times New Roman;serif" w:hAnsi="Times New Roman;serif"/>
                <w:b w:val="false"/>
                <w:color w:val="000000"/>
                <w:sz w:val="12"/>
              </w:rPr>
              <w:t>(d)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2048</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Installment purchase liabilities and finance leases</w:t>
            </w:r>
            <w:r>
              <w:rPr>
                <w:rFonts w:ascii="Times New Roman;serif" w:hAnsi="Times New Roman;serif"/>
                <w:b w:val="false"/>
                <w:color w:val="000000"/>
                <w:sz w:val="12"/>
              </w:rPr>
              <w: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secured debt</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1,033</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2026 Revolver</w:t>
            </w:r>
            <w:r>
              <w:rPr>
                <w:rFonts w:ascii="Times New Roman;serif" w:hAnsi="Times New Roman;serif"/>
                <w:b w:val="false"/>
                <w:color w:val="000000"/>
                <w:sz w:val="12"/>
              </w:rPr>
              <w:t>(f)</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2031</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Commercial Paper Notes</w:t>
            </w:r>
            <w:r>
              <w:rPr>
                <w:rFonts w:ascii="Times New Roman;serif" w:hAnsi="Times New Roman;serif"/>
                <w:b w:val="false"/>
                <w:color w:val="000000"/>
                <w:sz w:val="12"/>
              </w:rPr>
              <w:t>(g)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1.050% Senior Notes</w:t>
            </w:r>
            <w:r>
              <w:rPr>
                <w:rFonts w:ascii="Times New Roman;serif" w:hAnsi="Times New Roman;serif"/>
                <w:b w:val="false"/>
                <w:color w:val="000000"/>
                <w:sz w:val="12"/>
              </w:rPr>
              <w:t>(h)</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3.650%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2027</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5.000%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2028</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3.800%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2028</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4.800%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2028</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4.300%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2029</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5.600%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2029</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4.900%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2029</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2029</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3.300% Senior Notes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2.250%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2031</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2031</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2.500%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2031</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5.100%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2033</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5.800%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2034</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2034</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2041</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4.750%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2047</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2049</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2049</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2050</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2051</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unsecured debt</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17,320</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w:t>
            </w:r>
            <w:r>
              <w:rPr>
                <w:rFonts w:ascii="Times New Roman;serif" w:hAnsi="Times New Roman;serif"/>
                <w:b/>
                <w:color w:val="000000"/>
                <w:sz w:val="12"/>
              </w:rPr>
              <w:t>(i)</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17,099</w:t>
            </w:r>
            <w:r>
              <w:rPr>
                <w:color w:val="000000"/>
              </w:rPr>
              <w:t>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(a)Net of required principal amortizations and repurchases.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(b)Cash on hand was used to repay the 1.050% Senior Notes on the contractual maturity date in July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Senior Secured Notes, 2009-1, Class A-2 principal amortizes over a period ending in August 2029.</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(d)If the $750 million aggregate principal amount of 4.241% senior secured tower revenue notes ("Tower Revenue Notes, Series 2018-2") is not paid in full on or prior to July 2028, the anticipated repayment date, then the Excess Cash Flow (as defined in the indenture) of the issuers of such notes will be used to repay the principal, and additional interest (of approximately 5% per annum) will accrue on such notes. The Tower Revenue Notes, Series 2018-2 are prepayable at par if voluntarily repaid within eighteen months of the anticipated repayment date; earlier prepayment may require additional consideration.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(e)As of June 30, 2026, reflects $5 million in finance lease obligations (primarily related to vehicles).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(f)As of June 30, 2026, the undrawn availability under the $4.5 billion 2026 Revolver was $4.5 billion. The Company pays a commitment fee on the undrawn available amount, which as of June 30, 2026, ranged from 0.080% to 0.200%, based on the Company's senior unsecured debt rating, per annum.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(g)As of June 30, 2026, the Company had $2.0 billion available for issuance under its $2.0 billion unsecured commercial paper program. The maturities of the Commercial Paper Notes, when outstanding, may vary but may not exceed 397 days from the date of issue.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(h)In July 2026, we repaid in full the 1.050% Senior Notes on the contractual maturity date.</w:t>
      </w:r>
    </w:p>
    <w:p>
      <w:pPr>
        <w:pStyle w:val="TextBody"/>
        <w:bidi w:val="0"/>
        <w:spacing w:lineRule="auto" w:line="288" w:before="0" w:after="0"/>
        <w:ind w:left="0" w:right="0" w:hanging="360"/>
        <w:jc w:val="both"/>
        <w:rPr/>
      </w:pPr>
      <w:r>
        <w:rPr>
          <w:rFonts w:ascii="Times New Roman;serif" w:hAnsi="Times New Roman;serif"/>
          <w:b w:val="false"/>
          <w:color w:val="000000"/>
          <w:sz w:val="16"/>
        </w:rPr>
        <w:t>(i)See further information on, and our definition and discussion of, Net Debt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3545"/>
                <wp:effectExtent l="0" t="0" r="0" b="0"/>
                <wp:wrapNone/>
                <wp:docPr id="24" name="Frame21"/>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19</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Cautionary Language Regarding Forward-Looking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news release contains forward-looking statements and information that are based on our management's current expectations as of the date of this news release. Statements that are not historical facts are hereby identified as forward-looking statements. In addition, words such as "estimate," "see," "anticipate," "project," "plan," "intend," "believe," "expect," "likely," "predicted," "positioned," "continue," "target," "focus," and any variations of these words and similar expressions are intended to identify forward-looking statements. Such statements include our full year 2026 Outlook and plans, projections, expectations and estimates regarding (1) the value of our business model and strategy, (2) creation and maximization of shareholder value and returns, (3) operating as a standalone U.S. tower business and the potential benefits therefrom, (4) benefits stemming from our capital allocation framework, (5) net income (loss) (including on a per share basis), (6) AFFO (including on a per share basis) and its components and growth, (7) Adjusted EBITDA and its components and growth, (8) Organic Contribution to Site Rental Billings (including as Adjusted for Impact of Sprint Cancellations and DISH Terminations) and its components and growth, (9) site rental revenues and its components and growth, (10) the impact of Sprint Cancellations, (11) our balance sheet, liquidity, leverage and credit ratings, (12) capital expenditures, including discretionary capital expenditures, (13) the impact of DISH Terminations, (14) operating efficiencies and the potential benefits therefrom, (15) potential land acquisitions under our towers, (16) modernizing and investing in our systems and processes, (17) interest expense and (18) dividends, including dividend levels, rates and amounts. Any dividends remain subject to the approval of our Board of Directors which has the discretion to determine whether to declare dividends and the amounts and timing of the dividends.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forward-looking statements are subject to certain risks, uncertainties and assumptions and should be considered in light of the risks referenced in the "Risk Factors" section included in our most recent Annual Report on Form 10-K and Quarterly Reports on Form 10-Q. Such factors include, but are not limited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prevailing market conditions;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slowdown in demand for our towers and a reduction in the amount or change in the mix of network investment by our tenants;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loss, consolidation or financial instability of any of our tenants;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expansion or development of our business and the potential disruptions in our business caused thereby;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timely, efficiently and safely execute on our construction projects;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reduction in demand for our towers as a result of new technologies;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retain rights to our towers;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volatility in demand in our services business, which may reduce the predictability of our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inability to negotiate favorable rates on our new or renewing tenant contracts as a result of competition in our industry;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delayed timing or lack of deployment or adoption by tenants of new wireless technologies;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cybersecurity breaches or other information technology disruptions;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impact of climate-related events, natural disasters, including wildfires, and other unforeseen events on our business;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attract, recruit and retain qualified and experienced employees;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to management, including turnover of our top executives;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actions and plans related to restructuring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sale of our Fiber Business to EQT and Zayo;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availability of financing and capital, the levels of debt that we maintain, the terms of our debt instruments, compliance with debt covenants and our credit ratings;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on the market price of our common stock as a result of sales or issuances of a substantial number of shares of our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introduction of new laws or regulations or failure to comply with laws or regulations which regulate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funding of future dividend payments to our stockholders;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failure to maintain our REIT status for U.S. federal income tax purposes.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discusses these and other risks and uncertainties under the heading "Risk Factors" in its annual and quarterly periodic reports filed with the SEC. The Company may update that discussion in subsequent other periodic reports, but except as required by law, the Company undertakes no duty or obligation to update or revise these forward-looking statements, whether as a result of new information, future developments, or otherwise. Should one or more of these or other risks or uncertainties materialize, or should underlying assumptions prove incorrect, actual results may vary materially from those expected.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used in this release, the term "including," and any variation thereof, means "including without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3545"/>
                <wp:effectExtent l="0" t="0" r="0" b="0"/>
                <wp:wrapNone/>
                <wp:docPr id="25" name="Frame22"/>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20</w:t>
            </w:r>
          </w:p>
        </w:tc>
      </w:tr>
    </w:tbl>
    <w:tbl>
      <w:tblPr>
        <w:tblW w:w="8036" w:type="dxa"/>
        <w:jc w:val="center"/>
        <w:tblInd w:w="0" w:type="dxa"/>
        <w:tblLayout w:type="fixed"/>
        <w:tblCellMar>
          <w:top w:w="28" w:type="dxa"/>
          <w:left w:w="28" w:type="dxa"/>
          <w:bottom w:w="28" w:type="dxa"/>
          <w:right w:w="28" w:type="dxa"/>
        </w:tblCellMar>
      </w:tblPr>
      <w:tblGrid>
        <w:gridCol w:w="1048"/>
        <w:gridCol w:w="921"/>
        <w:gridCol w:w="922"/>
        <w:gridCol w:w="1506"/>
        <w:gridCol w:w="1506"/>
        <w:gridCol w:w="2133"/>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504825"/>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1771650" cy="504825"/>
                          </a:xfrm>
                          <a:prstGeom prst="rect">
                            <a:avLst/>
                          </a:prstGeom>
                        </pic:spPr>
                      </pic:pic>
                    </a:graphicData>
                  </a:graphic>
                </wp:inline>
              </w:drawing>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CROWN CASTLE INC.</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CONDENSED CONSOLIDATED BALANCE SHEET (UNAUDITED)</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(Amounts in millions, except par values)</w:t>
            </w:r>
          </w:p>
        </w:tc>
      </w:tr>
    </w:tbl>
    <w:tbl>
      <w:tblPr>
        <w:tblW w:w="10205" w:type="dxa"/>
        <w:jc w:val="center"/>
        <w:tblInd w:w="0" w:type="dxa"/>
        <w:tblLayout w:type="fixed"/>
        <w:tblCellMar>
          <w:top w:w="28" w:type="dxa"/>
          <w:left w:w="28" w:type="dxa"/>
          <w:bottom w:w="28" w:type="dxa"/>
          <w:right w:w="28" w:type="dxa"/>
        </w:tblCellMar>
      </w:tblPr>
      <w:tblGrid>
        <w:gridCol w:w="2830"/>
        <w:gridCol w:w="2342"/>
        <w:gridCol w:w="2342"/>
        <w:gridCol w:w="216"/>
        <w:gridCol w:w="713"/>
        <w:gridCol w:w="120"/>
        <w:gridCol w:w="109"/>
        <w:gridCol w:w="109"/>
        <w:gridCol w:w="109"/>
        <w:gridCol w:w="258"/>
        <w:gridCol w:w="850"/>
        <w:gridCol w:w="207"/>
      </w:tblGrid>
      <w:tr>
        <w:trPr/>
        <w:tc>
          <w:tcPr>
            <w:tcW w:w="2830"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site rental receivables </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site rental receivables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 contracts and tenant relationships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assets of discontinued operations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LIABILITIES AND EQUITY (DEFICIT)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 and other obligations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and other long-term obligations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liabilities of discontinued operations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Stockholders' equity (deficit):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1,200 shares authorized; June 30, 2026—437 shares issued and 426 outstanding, and December 31, 2025—435 shares issued and outstanding</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June 30, 2026—11 shares, and December 31, 2025—0 shares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in excess of earnings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equity (deficit)</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 (deficit)</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3545"/>
                <wp:effectExtent l="0" t="0" r="0" b="0"/>
                <wp:wrapNone/>
                <wp:docPr id="27" name="Frame23"/>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21</w:t>
            </w:r>
          </w:p>
        </w:tc>
      </w:tr>
    </w:tbl>
    <w:tbl>
      <w:tblPr>
        <w:tblW w:w="9085" w:type="dxa"/>
        <w:jc w:val="center"/>
        <w:tblInd w:w="0" w:type="dxa"/>
        <w:tblLayout w:type="fixed"/>
        <w:tblCellMar>
          <w:top w:w="28" w:type="dxa"/>
          <w:left w:w="28" w:type="dxa"/>
          <w:bottom w:w="28" w:type="dxa"/>
          <w:right w:w="28" w:type="dxa"/>
        </w:tblCellMar>
      </w:tblPr>
      <w:tblGrid>
        <w:gridCol w:w="1048"/>
        <w:gridCol w:w="921"/>
        <w:gridCol w:w="922"/>
        <w:gridCol w:w="1813"/>
        <w:gridCol w:w="1813"/>
        <w:gridCol w:w="2568"/>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504825"/>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1771650" cy="504825"/>
                          </a:xfrm>
                          <a:prstGeom prst="rect">
                            <a:avLst/>
                          </a:prstGeom>
                        </pic:spPr>
                      </pic:pic>
                    </a:graphicData>
                  </a:graphic>
                </wp:inline>
              </w:drawing>
            </w:r>
          </w:p>
        </w:tc>
        <w:tc>
          <w:tcPr>
            <w:tcW w:w="6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CROWN CASTLE INC.</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CONDENSED CONSOLIDATED STATEMENT OF OPERATIONS (UNAUDITED)</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(Amounts in millions, except per share amounts)</w:t>
            </w:r>
          </w:p>
        </w:tc>
      </w:tr>
    </w:tbl>
    <w:tbl>
      <w:tblPr>
        <w:tblW w:w="10205" w:type="dxa"/>
        <w:jc w:val="center"/>
        <w:tblInd w:w="0" w:type="dxa"/>
        <w:tblLayout w:type="fixed"/>
        <w:tblCellMar>
          <w:top w:w="28" w:type="dxa"/>
          <w:left w:w="28" w:type="dxa"/>
          <w:bottom w:w="28" w:type="dxa"/>
          <w:right w:w="28" w:type="dxa"/>
        </w:tblCellMar>
      </w:tblPr>
      <w:tblGrid>
        <w:gridCol w:w="2051"/>
        <w:gridCol w:w="1742"/>
        <w:gridCol w:w="1748"/>
        <w:gridCol w:w="222"/>
        <w:gridCol w:w="529"/>
        <w:gridCol w:w="123"/>
        <w:gridCol w:w="123"/>
        <w:gridCol w:w="123"/>
        <w:gridCol w:w="123"/>
        <w:gridCol w:w="222"/>
        <w:gridCol w:w="631"/>
        <w:gridCol w:w="123"/>
        <w:gridCol w:w="109"/>
        <w:gridCol w:w="109"/>
        <w:gridCol w:w="109"/>
        <w:gridCol w:w="197"/>
        <w:gridCol w:w="560"/>
        <w:gridCol w:w="109"/>
        <w:gridCol w:w="109"/>
        <w:gridCol w:w="109"/>
        <w:gridCol w:w="109"/>
        <w:gridCol w:w="197"/>
        <w:gridCol w:w="560"/>
        <w:gridCol w:w="168"/>
      </w:tblGrid>
      <w:tr>
        <w:trPr/>
        <w:tc>
          <w:tcPr>
            <w:tcW w:w="205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Costs of operations:</w:t>
            </w:r>
            <w:r>
              <w:rPr>
                <w:rFonts w:ascii="Times New Roman;serif" w:hAnsi="Times New Roman;serif"/>
                <w:b w:val="false"/>
                <w:color w:val="000000"/>
                <w:sz w:val="10"/>
              </w:rPr>
              <w:t>(a)</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and amortization of deferred financing costs, net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retirement of long-term obligations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(provision) for income taxes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Discontinued Operations </w:t>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basic</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basic</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(loss)—basic</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diluted</w:t>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diluted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(loss)—diluted</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(a)Exclusive of depreciation, amortization and accretion shown separately. </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3545"/>
                <wp:effectExtent l="0" t="0" r="0" b="0"/>
                <wp:wrapNone/>
                <wp:docPr id="29" name="Frame2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tc>
      </w:tr>
    </w:tbl>
    <w:tbl>
      <w:tblPr>
        <w:tblW w:w="9101" w:type="dxa"/>
        <w:jc w:val="center"/>
        <w:tblInd w:w="0" w:type="dxa"/>
        <w:tblLayout w:type="fixed"/>
        <w:tblCellMar>
          <w:top w:w="28" w:type="dxa"/>
          <w:left w:w="28" w:type="dxa"/>
          <w:bottom w:w="28" w:type="dxa"/>
          <w:right w:w="28" w:type="dxa"/>
        </w:tblCellMar>
      </w:tblPr>
      <w:tblGrid>
        <w:gridCol w:w="1048"/>
        <w:gridCol w:w="921"/>
        <w:gridCol w:w="922"/>
        <w:gridCol w:w="1818"/>
        <w:gridCol w:w="1818"/>
        <w:gridCol w:w="257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504825"/>
                  <wp:effectExtent l="0" t="0" r="0" b="0"/>
                  <wp:docPr id="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 descr=""/>
                          <pic:cNvPicPr>
                            <a:picLocks noChangeAspect="1" noChangeArrowheads="1"/>
                          </pic:cNvPicPr>
                        </pic:nvPicPr>
                        <pic:blipFill>
                          <a:blip r:embed="rId7"/>
                          <a:stretch>
                            <a:fillRect/>
                          </a:stretch>
                        </pic:blipFill>
                        <pic:spPr bwMode="auto">
                          <a:xfrm>
                            <a:off x="0" y="0"/>
                            <a:ext cx="1771650" cy="504825"/>
                          </a:xfrm>
                          <a:prstGeom prst="rect">
                            <a:avLst/>
                          </a:prstGeom>
                        </pic:spPr>
                      </pic:pic>
                    </a:graphicData>
                  </a:graphic>
                </wp:inline>
              </w:drawing>
            </w:r>
          </w:p>
        </w:tc>
        <w:tc>
          <w:tcPr>
            <w:tcW w:w="621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4"/>
              </w:rPr>
            </w:pPr>
            <w:r>
              <w:rPr>
                <w:rFonts w:ascii="Times New Roman;serif" w:hAnsi="Times New Roman;serif"/>
                <w:b/>
                <w:color w:val="000000"/>
                <w:sz w:val="24"/>
              </w:rPr>
              <w:t>CROWN CASTLE INC.</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CONDENSED CONSOLIDATED STATEMENT OF CASH FLOWS (UNAUDITED)</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 millions of dollars)</w:t>
            </w:r>
          </w:p>
        </w:tc>
      </w:tr>
    </w:tbl>
    <w:tbl>
      <w:tblPr>
        <w:tblW w:w="10205" w:type="dxa"/>
        <w:jc w:val="center"/>
        <w:tblInd w:w="0" w:type="dxa"/>
        <w:tblLayout w:type="fixed"/>
        <w:tblCellMar>
          <w:top w:w="28" w:type="dxa"/>
          <w:left w:w="28" w:type="dxa"/>
          <w:bottom w:w="28" w:type="dxa"/>
          <w:right w:w="28" w:type="dxa"/>
        </w:tblCellMar>
      </w:tblPr>
      <w:tblGrid>
        <w:gridCol w:w="2947"/>
        <w:gridCol w:w="2567"/>
        <w:gridCol w:w="2587"/>
        <w:gridCol w:w="202"/>
        <w:gridCol w:w="576"/>
        <w:gridCol w:w="112"/>
        <w:gridCol w:w="112"/>
        <w:gridCol w:w="112"/>
        <w:gridCol w:w="112"/>
        <w:gridCol w:w="202"/>
        <w:gridCol w:w="510"/>
        <w:gridCol w:w="166"/>
      </w:tblGrid>
      <w:tr>
        <w:trPr/>
        <w:tc>
          <w:tcPr>
            <w:tcW w:w="294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Adjustments to reconcile income (loss) from continuing operations to net cash provided by (used for) operating activities:</w:t>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retirement of long-term obligations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other non-cash interest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net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provision</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adjustments, net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 from discontinued operations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excluding the effects of acquisitions:</w:t>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accrued interest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other assets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cash provided by (used for) investing activities from discontinued operations</w:t>
            </w:r>
            <w:r>
              <w:rPr>
                <w:rFonts w:ascii="Times New Roman;serif" w:hAnsi="Times New Roman;serif"/>
                <w:b w:val="false"/>
                <w:color w:val="000000"/>
                <w:sz w:val="10"/>
              </w:rPr>
              <w:t>(a)</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investing activities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 and other long-term obligations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redemptions of long-term debt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credit facility</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revolving credit facility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issuances (repayments) under commercial paper program</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financing costs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Purchases of common stock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paid on common stock</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financing activities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 and restricted cash and cash equivalents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Cash and cash equivalents and restricted cash and cash equivalents at beginning of period</w:t>
            </w:r>
            <w:r>
              <w:rPr>
                <w:rFonts w:ascii="Times New Roman;serif" w:hAnsi="Times New Roman;serif"/>
                <w:b w:val="false"/>
                <w:color w:val="000000"/>
                <w:sz w:val="10"/>
              </w:rPr>
              <w:t>(b)</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and cash equivalents and restricted cash and cash equivalents at end of period</w:t>
            </w:r>
            <w:r>
              <w:rPr>
                <w:rFonts w:ascii="Times New Roman;serif" w:hAnsi="Times New Roman;serif"/>
                <w:b w:val="false"/>
                <w:color w:val="000000"/>
                <w:sz w:val="10"/>
              </w:rPr>
              <w:t>(c)</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(refunded)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$8.4 billion of net cash proceeds from the completed sale of the Fiber Business in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(b)Inclusive of cash and cash equivalents and restricted cash and cash equivalents included in discontinued operations. </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(c)Inclusive of cash and cash equivalents and restricted cash and cash equivalents included in discontinued operations for the period ending June 30,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3545"/>
                <wp:effectExtent l="0" t="0" r="0" b="0"/>
                <wp:wrapNone/>
                <wp:docPr id="31" name="Frame2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2905125" cy="819150"/>
            <wp:effectExtent l="0" t="0" r="0" b="0"/>
            <wp:docPr id="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 descr=""/>
                    <pic:cNvPicPr>
                      <a:picLocks noChangeAspect="1" noChangeArrowheads="1"/>
                    </pic:cNvPicPr>
                  </pic:nvPicPr>
                  <pic:blipFill>
                    <a:blip r:embed="rId8"/>
                    <a:stretch>
                      <a:fillRect/>
                    </a:stretch>
                  </pic:blipFill>
                  <pic:spPr bwMode="auto">
                    <a:xfrm>
                      <a:off x="0" y="0"/>
                      <a:ext cx="2905125" cy="8191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486525" cy="3448050"/>
            <wp:effectExtent l="0" t="0" r="0" b="0"/>
            <wp:docPr id="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8" descr=""/>
                    <pic:cNvPicPr>
                      <a:picLocks noChangeAspect="1" noChangeArrowheads="1"/>
                    </pic:cNvPicPr>
                  </pic:nvPicPr>
                  <pic:blipFill>
                    <a:blip r:embed="rId9"/>
                    <a:stretch>
                      <a:fillRect/>
                    </a:stretch>
                  </pic:blipFill>
                  <pic:spPr bwMode="auto">
                    <a:xfrm>
                      <a:off x="0" y="0"/>
                      <a:ext cx="6486525" cy="34480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520B90"/>
          <w:sz w:val="36"/>
        </w:rPr>
      </w:pPr>
      <w:r>
        <w:rPr>
          <w:rFonts w:ascii="Arial;sans-serif" w:hAnsi="Arial;sans-serif"/>
          <w:b w:val="false"/>
          <w:color w:val="520B90"/>
          <w:sz w:val="36"/>
        </w:rPr>
        <w:t xml:space="preserve">Supplemental Information Package </w:t>
      </w:r>
    </w:p>
    <w:p>
      <w:pPr>
        <w:pStyle w:val="TextBody"/>
        <w:bidi w:val="0"/>
        <w:spacing w:lineRule="auto" w:line="288" w:before="0" w:after="0"/>
        <w:jc w:val="center"/>
        <w:rPr>
          <w:rFonts w:ascii="Arial;sans-serif" w:hAnsi="Arial;sans-serif"/>
          <w:b w:val="false"/>
          <w:color w:val="520B90"/>
          <w:sz w:val="36"/>
        </w:rPr>
      </w:pPr>
      <w:r>
        <w:rPr>
          <w:rFonts w:ascii="Arial;sans-serif" w:hAnsi="Arial;sans-serif"/>
          <w:b w:val="false"/>
          <w:color w:val="520B90"/>
          <w:sz w:val="36"/>
        </w:rPr>
        <w:t>and Non-GAAP Reconciliations</w:t>
      </w:r>
    </w:p>
    <w:p>
      <w:pPr>
        <w:pStyle w:val="TextBody"/>
        <w:bidi w:val="0"/>
        <w:spacing w:lineRule="auto" w:line="288" w:before="160" w:after="360"/>
        <w:jc w:val="center"/>
        <w:rPr>
          <w:rFonts w:ascii="Arial;sans-serif" w:hAnsi="Arial;sans-serif"/>
          <w:b w:val="false"/>
          <w:color w:val="520B90"/>
          <w:sz w:val="28"/>
        </w:rPr>
      </w:pPr>
      <w:r>
        <w:rPr>
          <w:rFonts w:ascii="Arial;sans-serif" w:hAnsi="Arial;sans-serif"/>
          <w:b w:val="false"/>
          <w:color w:val="520B90"/>
          <w:sz w:val="28"/>
        </w:rPr>
        <w:t>Second Quarter •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61645"/>
                <wp:effectExtent l="0" t="0" r="0" b="0"/>
                <wp:wrapNone/>
                <wp:docPr id="34" name="Frame26"/>
                <a:graphic xmlns:a="http://schemas.openxmlformats.org/drawingml/2006/main">
                  <a:graphicData uri="http://schemas.microsoft.com/office/word/2010/wordprocessingShape">
                    <wps:wsp>
                      <wps:cNvSpPr txBox="1"/>
                      <wps:spPr>
                        <a:xfrm>
                          <a:off x="0" y="0"/>
                          <a:ext cx="6480175" cy="461645"/>
                        </a:xfrm>
                        <a:prstGeom prst="rect"/>
                        <a:solidFill>
                          <a:srgbClr val="FFFFFF"/>
                        </a:solidFill>
                      </wps:spPr>
                      <wps:txbx>
                        <w:txbxContent>
                          <w:p>
                            <w:pPr>
                              <w:pStyle w:val="TextBody"/>
                              <w:bidi w:val="0"/>
                              <w:spacing w:lineRule="auto" w:line="288" w:before="0" w:after="12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jc w:val="right"/>
                              <w:rPr>
                                <w:color w:val="000000"/>
                              </w:rPr>
                            </w:pPr>
                            <w:r>
                              <w:rPr>
                                <w:color w:val="000000"/>
                              </w:rPr>
                              <w:t>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3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12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jc w:val="right"/>
                        <w:rPr>
                          <w:color w:val="000000"/>
                        </w:rPr>
                      </w:pPr>
                      <w:r>
                        <w:rPr>
                          <w:color w:val="000000"/>
                        </w:rPr>
                        <w:t>    </w:t>
                      </w:r>
                      <w:r>
                        <w:rPr>
                          <w:rFonts w:ascii="Arial;sans-serif" w:hAnsi="Arial;sans-serif"/>
                          <w:b w:val="false"/>
                          <w:color w:val="000000"/>
                          <w:sz w:val="17"/>
                        </w:rPr>
                        <w:t>CrownCastle.com</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p>
      <w:pPr>
        <w:pStyle w:val="TextBody"/>
        <w:bidi w:val="0"/>
        <w:spacing w:before="0" w:after="0"/>
        <w:jc w:val="center"/>
        <w:rPr/>
      </w:pPr>
      <w:r>
        <w:rPr/>
      </w:r>
    </w:p>
    <w:tbl>
      <w:tblPr>
        <w:tblW w:w="7569" w:type="dxa"/>
        <w:jc w:val="center"/>
        <w:tblInd w:w="0" w:type="dxa"/>
        <w:tblLayout w:type="fixed"/>
        <w:tblCellMar>
          <w:top w:w="28" w:type="dxa"/>
          <w:left w:w="28" w:type="dxa"/>
          <w:bottom w:w="28" w:type="dxa"/>
          <w:right w:w="28" w:type="dxa"/>
        </w:tblCellMar>
      </w:tblPr>
      <w:tblGrid>
        <w:gridCol w:w="2351"/>
        <w:gridCol w:w="2057"/>
        <w:gridCol w:w="2057"/>
        <w:gridCol w:w="321"/>
        <w:gridCol w:w="321"/>
        <w:gridCol w:w="462"/>
      </w:tblGrid>
      <w:tr>
        <w:trPr/>
        <w:tc>
          <w:tcPr>
            <w:tcW w:w="2351"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5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OF CONTENTS</w:t>
            </w:r>
          </w:p>
        </w:tc>
      </w:tr>
      <w:tr>
        <w:trPr/>
        <w:tc>
          <w:tcPr>
            <w:tcW w:w="646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6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 Overview</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 Profile</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3">
              <w:r>
                <w:rPr>
                  <w:rStyle w:val="InternetLink"/>
                  <w:rFonts w:ascii="Times New Roman;serif" w:hAnsi="Times New Roman;serif"/>
                  <w:b w:val="false"/>
                  <w:strike w:val="false"/>
                  <w:dstrike w:val="false"/>
                  <w:color w:val="000000"/>
                  <w:sz w:val="16"/>
                  <w:u w:val="none"/>
                  <w:effect w:val="none"/>
                </w:rPr>
                <w:t>3</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Strategy</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6">
              <w:r>
                <w:rPr>
                  <w:rStyle w:val="InternetLink"/>
                  <w:rFonts w:ascii="Times New Roman;serif" w:hAnsi="Times New Roman;serif"/>
                  <w:b w:val="false"/>
                  <w:strike w:val="false"/>
                  <w:dstrike w:val="false"/>
                  <w:color w:val="000000"/>
                  <w:sz w:val="16"/>
                  <w:u w:val="none"/>
                  <w:effect w:val="none"/>
                </w:rPr>
                <w:t>3</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Company Information</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9">
              <w:r>
                <w:rPr>
                  <w:rStyle w:val="InternetLink"/>
                  <w:rFonts w:ascii="Times New Roman;serif" w:hAnsi="Times New Roman;serif"/>
                  <w:b w:val="false"/>
                  <w:strike w:val="false"/>
                  <w:dstrike w:val="false"/>
                  <w:color w:val="000000"/>
                  <w:sz w:val="16"/>
                  <w:u w:val="none"/>
                  <w:effect w:val="none"/>
                </w:rPr>
                <w:t>4</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Tower Asset Portfolio Footprint</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22">
              <w:r>
                <w:rPr>
                  <w:rStyle w:val="InternetLink"/>
                  <w:rFonts w:ascii="Times New Roman;serif" w:hAnsi="Times New Roman;serif"/>
                  <w:b w:val="false"/>
                  <w:strike w:val="false"/>
                  <w:dstrike w:val="false"/>
                  <w:color w:val="000000"/>
                  <w:sz w:val="16"/>
                  <w:u w:val="none"/>
                  <w:effect w:val="none"/>
                </w:rPr>
                <w:t>4</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Historical Common Stock Data</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25">
              <w:r>
                <w:rPr>
                  <w:rStyle w:val="InternetLink"/>
                  <w:rFonts w:ascii="Times New Roman;serif" w:hAnsi="Times New Roman;serif"/>
                  <w:b w:val="false"/>
                  <w:strike w:val="false"/>
                  <w:dstrike w:val="false"/>
                  <w:color w:val="000000"/>
                  <w:sz w:val="16"/>
                  <w:u w:val="none"/>
                  <w:effect w:val="none"/>
                </w:rPr>
                <w:t>4</w:t>
              </w:r>
            </w:hyperlink>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Executive Management Team</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31">
              <w:r>
                <w:rPr>
                  <w:rStyle w:val="InternetLink"/>
                  <w:rFonts w:ascii="Times New Roman;serif" w:hAnsi="Times New Roman;serif"/>
                  <w:b w:val="false"/>
                  <w:strike w:val="false"/>
                  <w:dstrike w:val="false"/>
                  <w:color w:val="000000"/>
                  <w:sz w:val="16"/>
                  <w:u w:val="none"/>
                  <w:effect w:val="none"/>
                </w:rPr>
                <w:t>5</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Board of Directors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34">
              <w:r>
                <w:rPr>
                  <w:rStyle w:val="InternetLink"/>
                  <w:rFonts w:ascii="Times New Roman;serif" w:hAnsi="Times New Roman;serif"/>
                  <w:b w:val="false"/>
                  <w:strike w:val="false"/>
                  <w:dstrike w:val="false"/>
                  <w:color w:val="000000"/>
                  <w:sz w:val="16"/>
                  <w:u w:val="none"/>
                  <w:effect w:val="none"/>
                </w:rPr>
                <w:t>5</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Coverage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37">
              <w:r>
                <w:rPr>
                  <w:rStyle w:val="InternetLink"/>
                  <w:rFonts w:ascii="Times New Roman;serif" w:hAnsi="Times New Roman;serif"/>
                  <w:b w:val="false"/>
                  <w:strike w:val="false"/>
                  <w:dstrike w:val="false"/>
                  <w:color w:val="000000"/>
                  <w:sz w:val="16"/>
                  <w:u w:val="none"/>
                  <w:effect w:val="none"/>
                </w:rPr>
                <w:t>5</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w:t>
            </w:r>
          </w:p>
        </w:tc>
        <w:tc>
          <w:tcPr>
            <w:tcW w:w="11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43">
              <w:r>
                <w:rPr>
                  <w:rStyle w:val="InternetLink"/>
                  <w:rFonts w:ascii="Times New Roman;serif" w:hAnsi="Times New Roman;serif"/>
                  <w:b w:val="false"/>
                  <w:strike w:val="false"/>
                  <w:dstrike w:val="false"/>
                  <w:color w:val="000000"/>
                  <w:sz w:val="16"/>
                  <w:u w:val="none"/>
                  <w:effect w:val="none"/>
                </w:rPr>
                <w:t>6</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 for Components of Changes in Site Rental Revenues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52">
              <w:r>
                <w:rPr>
                  <w:rStyle w:val="InternetLink"/>
                  <w:rFonts w:ascii="Times New Roman;serif" w:hAnsi="Times New Roman;serif"/>
                  <w:b w:val="false"/>
                  <w:strike w:val="false"/>
                  <w:dstrike w:val="false"/>
                  <w:color w:val="000000"/>
                  <w:sz w:val="16"/>
                  <w:u w:val="none"/>
                  <w:effect w:val="none"/>
                </w:rPr>
                <w:t>7</w:t>
              </w:r>
            </w:hyperlink>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 for Components of Interest Expense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58">
              <w:r>
                <w:rPr>
                  <w:rStyle w:val="InternetLink"/>
                  <w:rFonts w:ascii="Times New Roman;serif" w:hAnsi="Times New Roman;serif"/>
                  <w:b w:val="false"/>
                  <w:strike w:val="false"/>
                  <w:dstrike w:val="false"/>
                  <w:color w:val="000000"/>
                  <w:sz w:val="16"/>
                  <w:u w:val="none"/>
                  <w:effect w:val="none"/>
                </w:rPr>
                <w:t>7</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Highlights</w:t>
            </w:r>
          </w:p>
        </w:tc>
        <w:tc>
          <w:tcPr>
            <w:tcW w:w="11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Summary Financial Highlights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64">
              <w:r>
                <w:rPr>
                  <w:rStyle w:val="InternetLink"/>
                  <w:rFonts w:ascii="Times New Roman;serif" w:hAnsi="Times New Roman;serif"/>
                  <w:b w:val="false"/>
                  <w:strike w:val="false"/>
                  <w:dstrike w:val="false"/>
                  <w:color w:val="000000"/>
                  <w:sz w:val="16"/>
                  <w:u w:val="none"/>
                  <w:effect w:val="none"/>
                </w:rPr>
                <w:t>8</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Components of Changes in Site Rental Revenues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67">
              <w:r>
                <w:rPr>
                  <w:rStyle w:val="InternetLink"/>
                  <w:rFonts w:ascii="Times New Roman;serif" w:hAnsi="Times New Roman;serif"/>
                  <w:b w:val="false"/>
                  <w:strike w:val="false"/>
                  <w:dstrike w:val="false"/>
                  <w:color w:val="000000"/>
                  <w:sz w:val="16"/>
                  <w:u w:val="none"/>
                  <w:effect w:val="none"/>
                </w:rPr>
                <w:t>9</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Summary of Capital Expenditures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76">
              <w:r>
                <w:rPr>
                  <w:rStyle w:val="InternetLink"/>
                  <w:rFonts w:ascii="Times New Roman;serif" w:hAnsi="Times New Roman;serif"/>
                  <w:b w:val="false"/>
                  <w:strike w:val="false"/>
                  <w:dstrike w:val="false"/>
                  <w:color w:val="000000"/>
                  <w:sz w:val="16"/>
                  <w:u w:val="none"/>
                  <w:effect w:val="none"/>
                </w:rPr>
                <w:t>10</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Portfolio Highlights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79">
              <w:r>
                <w:rPr>
                  <w:rStyle w:val="InternetLink"/>
                  <w:rFonts w:ascii="Times New Roman;serif" w:hAnsi="Times New Roman;serif"/>
                  <w:b w:val="false"/>
                  <w:strike w:val="false"/>
                  <w:dstrike w:val="false"/>
                  <w:color w:val="000000"/>
                  <w:sz w:val="16"/>
                  <w:u w:val="none"/>
                  <w:effect w:val="none"/>
                </w:rPr>
                <w:t>10</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Consolidated Return on Invested Capital</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82">
              <w:r>
                <w:rPr>
                  <w:rStyle w:val="InternetLink"/>
                  <w:rFonts w:ascii="Times New Roman;serif" w:hAnsi="Times New Roman;serif"/>
                  <w:b w:val="false"/>
                  <w:strike w:val="false"/>
                  <w:dstrike w:val="false"/>
                  <w:color w:val="000000"/>
                  <w:sz w:val="16"/>
                  <w:u w:val="none"/>
                  <w:effect w:val="none"/>
                </w:rPr>
                <w:t>11</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Yield on Invested Capital</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Tenant Overview</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88">
              <w:r>
                <w:rPr>
                  <w:rStyle w:val="InternetLink"/>
                  <w:rFonts w:ascii="Times New Roman;serif" w:hAnsi="Times New Roman;serif"/>
                  <w:b w:val="false"/>
                  <w:strike w:val="false"/>
                  <w:dstrike w:val="false"/>
                  <w:color w:val="000000"/>
                  <w:sz w:val="16"/>
                  <w:u w:val="none"/>
                  <w:effect w:val="none"/>
                </w:rPr>
                <w:t>12</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Annualized Rental Cash Payments at Time of Renewal</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91">
              <w:r>
                <w:rPr>
                  <w:rStyle w:val="InternetLink"/>
                  <w:rFonts w:ascii="Times New Roman;serif" w:hAnsi="Times New Roman;serif"/>
                  <w:b w:val="false"/>
                  <w:strike w:val="false"/>
                  <w:dstrike w:val="false"/>
                  <w:color w:val="000000"/>
                  <w:sz w:val="16"/>
                  <w:u w:val="none"/>
                  <w:effect w:val="none"/>
                </w:rPr>
                <w:t>12</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Projected Revenues from Tenant Contracts Associated with Active Licenses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94">
              <w:r>
                <w:rPr>
                  <w:rStyle w:val="InternetLink"/>
                  <w:rFonts w:ascii="Times New Roman;serif" w:hAnsi="Times New Roman;serif"/>
                  <w:b w:val="false"/>
                  <w:strike w:val="false"/>
                  <w:dstrike w:val="false"/>
                  <w:color w:val="000000"/>
                  <w:sz w:val="16"/>
                  <w:u w:val="none"/>
                  <w:effect w:val="none"/>
                </w:rPr>
                <w:t>12</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Projected Expenses from Existing Ground Leases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97">
              <w:r>
                <w:rPr>
                  <w:rStyle w:val="InternetLink"/>
                  <w:rFonts w:ascii="Times New Roman;serif" w:hAnsi="Times New Roman;serif"/>
                  <w:b w:val="false"/>
                  <w:strike w:val="false"/>
                  <w:dstrike w:val="false"/>
                  <w:color w:val="000000"/>
                  <w:sz w:val="16"/>
                  <w:u w:val="none"/>
                  <w:effect w:val="none"/>
                </w:rPr>
                <w:t>13</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of Tower Portfolio by Vintage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00">
              <w:r>
                <w:rPr>
                  <w:rStyle w:val="InternetLink"/>
                  <w:rFonts w:ascii="Times New Roman;serif" w:hAnsi="Times New Roman;serif"/>
                  <w:b w:val="false"/>
                  <w:strike w:val="false"/>
                  <w:dstrike w:val="false"/>
                  <w:color w:val="000000"/>
                  <w:sz w:val="16"/>
                  <w:u w:val="none"/>
                  <w:effect w:val="none"/>
                </w:rPr>
                <w:t>13</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Ground Interest Overview</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03">
              <w:r>
                <w:rPr>
                  <w:rStyle w:val="InternetLink"/>
                  <w:rFonts w:ascii="Times New Roman;serif" w:hAnsi="Times New Roman;serif"/>
                  <w:b w:val="false"/>
                  <w:strike w:val="false"/>
                  <w:dstrike w:val="false"/>
                  <w:color w:val="000000"/>
                  <w:sz w:val="16"/>
                  <w:u w:val="none"/>
                  <w:effect w:val="none"/>
                </w:rPr>
                <w:t>13</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Overview</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Overview</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09">
              <w:r>
                <w:rPr>
                  <w:rStyle w:val="InternetLink"/>
                  <w:rFonts w:ascii="Times New Roman;serif" w:hAnsi="Times New Roman;serif"/>
                  <w:b w:val="false"/>
                  <w:strike w:val="false"/>
                  <w:dstrike w:val="false"/>
                  <w:color w:val="000000"/>
                  <w:sz w:val="16"/>
                  <w:u w:val="none"/>
                  <w:effect w:val="none"/>
                </w:rPr>
                <w:t>14</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Maturity Overview</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12">
              <w:r>
                <w:rPr>
                  <w:rStyle w:val="InternetLink"/>
                  <w:rFonts w:ascii="Times New Roman;serif" w:hAnsi="Times New Roman;serif"/>
                  <w:b w:val="false"/>
                  <w:strike w:val="false"/>
                  <w:dstrike w:val="false"/>
                  <w:color w:val="000000"/>
                  <w:sz w:val="16"/>
                  <w:u w:val="none"/>
                  <w:effect w:val="none"/>
                </w:rPr>
                <w:t>15</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Liquidity Overview</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15">
              <w:r>
                <w:rPr>
                  <w:rStyle w:val="InternetLink"/>
                  <w:rFonts w:ascii="Times New Roman;serif" w:hAnsi="Times New Roman;serif"/>
                  <w:b w:val="false"/>
                  <w:strike w:val="false"/>
                  <w:dstrike w:val="false"/>
                  <w:color w:val="000000"/>
                  <w:sz w:val="16"/>
                  <w:u w:val="none"/>
                  <w:effect w:val="none"/>
                </w:rPr>
                <w:t>16</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of Maintenance and Financial Covenants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18">
              <w:r>
                <w:rPr>
                  <w:rStyle w:val="InternetLink"/>
                  <w:rFonts w:ascii="Times New Roman;serif" w:hAnsi="Times New Roman;serif"/>
                  <w:b w:val="false"/>
                  <w:strike w:val="false"/>
                  <w:dstrike w:val="false"/>
                  <w:color w:val="000000"/>
                  <w:sz w:val="16"/>
                  <w:u w:val="none"/>
                  <w:effect w:val="none"/>
                </w:rPr>
                <w:t>16</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Exposure</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21">
              <w:r>
                <w:rPr>
                  <w:rStyle w:val="InternetLink"/>
                  <w:rFonts w:ascii="Times New Roman;serif" w:hAnsi="Times New Roman;serif"/>
                  <w:b w:val="false"/>
                  <w:strike w:val="false"/>
                  <w:dstrike w:val="false"/>
                  <w:color w:val="000000"/>
                  <w:sz w:val="16"/>
                  <w:u w:val="none"/>
                  <w:effect w:val="none"/>
                </w:rPr>
                <w:t>17</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Components of Interest Expense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24">
              <w:r>
                <w:rPr>
                  <w:rStyle w:val="InternetLink"/>
                  <w:rFonts w:ascii="Times New Roman;serif" w:hAnsi="Times New Roman;serif"/>
                  <w:b w:val="false"/>
                  <w:strike w:val="false"/>
                  <w:dstrike w:val="false"/>
                  <w:color w:val="000000"/>
                  <w:sz w:val="16"/>
                  <w:u w:val="none"/>
                  <w:effect w:val="none"/>
                </w:rPr>
                <w:t>17</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Appendix of Condensed Consolidated Financial Statements and Non-GAAP Reconciliations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fa8e08256fc14737a0eb12bd1e7d474b_130">
              <w:r>
                <w:rPr>
                  <w:rStyle w:val="InternetLink"/>
                  <w:rFonts w:ascii="Times New Roman;serif" w:hAnsi="Times New Roman;serif"/>
                  <w:b w:val="false"/>
                  <w:strike w:val="false"/>
                  <w:dstrike w:val="false"/>
                  <w:color w:val="000000"/>
                  <w:sz w:val="16"/>
                  <w:u w:val="none"/>
                  <w:effect w:val="none"/>
                </w:rPr>
                <w:t>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 xml:space="preserve">Cautionary Language Regarding Forward-Looking Statements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supplemental information package ("Supplement") contains forward-looking statements and information that are based on our management's current expectations as of the date of this Supplement. Statements that are not historical facts are hereby identified as forward-looking statements. Words such as "Outlook," "guide," "forecast," "estimate," "anticipate," "project," "plan," "intend," "believe," "expect," "likely," "predicted," "positioned," and any variations of these words and similar expressions are intended to identify such forward looking statements. Such statements include plans, projections and estimates regarding (1) demand for data and our towers, (2) cash flow growth, (3) our Outlook for full year 2026, (4) our business model, strategy and strategic position, and the value thereof, (5) revenues from tenant contracts, (6) expenses from existing ground leases, (7) growth of the U.S. market for towers ownership, (8) the impact of Sprint Cancellations and DISH Terminations to our operating and financial results and (9) proceeds from the sale of the Company's Fiber Business (as defined below).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Such forward-looking statements are subject to certain risks, uncertainties and assumptions, including, but not limited to, prevailing market conditions. Should one or more of these or other risks or uncertainties materialize, or should underlying assumptions prove incorrect, actual results may vary materially from those expected. Crown Castle assumes no obligation to update publicly any forward-looking statements, whether as a result of new information, future events or otherwise. More information about potential risk factors which could affect our results is included in our filings with the Securities and Exchange Commission ("SEC"). 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This Supplement contains certain figures, projections and calculations based in part on management's underlying assumptions. Management believes these assumptions are reasonable; however, other reasonable assumptions could provide differing outputs.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components of forward looking financial information presented herein may not sum due to rounding. In addition, the sum of quarterly historical information presented herein may not agree to year to date historical information provided herein due to rounding. Throughout this document, percentage calculations, which are based on non-rounded dollar values, may not be able to be recalculated using the dollar values included in this document due to the rounding of those dollar values.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Definitions and reconciliations of non-GAAP financial measures, information regarding segment measures and other information are provided in the Appendix to this Supplement.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As used herein, the term "including" and any variation thereof, means "including without limitation." The use of the word "or" herein is not exclusive.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2006" w:type="dxa"/>
        <w:jc w:val="center"/>
        <w:tblInd w:w="0" w:type="dxa"/>
        <w:tblLayout w:type="fixed"/>
        <w:tblCellMar>
          <w:top w:w="28" w:type="dxa"/>
          <w:left w:w="28" w:type="dxa"/>
          <w:bottom w:w="28" w:type="dxa"/>
          <w:right w:w="28" w:type="dxa"/>
        </w:tblCellMar>
      </w:tblPr>
      <w:tblGrid>
        <w:gridCol w:w="147"/>
        <w:gridCol w:w="129"/>
        <w:gridCol w:w="129"/>
        <w:gridCol w:w="129"/>
        <w:gridCol w:w="129"/>
        <w:gridCol w:w="129"/>
        <w:gridCol w:w="129"/>
        <w:gridCol w:w="129"/>
        <w:gridCol w:w="129"/>
        <w:gridCol w:w="129"/>
        <w:gridCol w:w="129"/>
        <w:gridCol w:w="129"/>
        <w:gridCol w:w="129"/>
        <w:gridCol w:w="129"/>
        <w:gridCol w:w="182"/>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00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COMPANY PROFILE</w:t>
            </w:r>
            <w:r>
              <w:rPr>
                <w:color w:val="000000"/>
              </w:rPr>
              <w:t xml:space="preserve"> </w:t>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Crown Castle Inc. (to which the terms "Crown Castle," "CCI," "we," "our," "the Company" or "us" as used herein refer) owns, operates and leases approximately 40,000 towers and other structures, such as rooftops (collectively, "towers") that are geographically dispersed throughout the U.S. We refer to our customers on our towers as "tenants." We provide access, including space or capacity, to our towers via long-term contracts in various forms, including lease, license, sublease and service agreements (collectively, "tenant contracts").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Our towers have a significant presence in each of the top 100 basic trading areas, including most U.S. markets. We seek to increase our site rental revenues by adding more tenants to our existing towers, which we expect to result in significant incremental cash flows due to our low incremental operating costs.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On May 1, 2026, the Company completed the sale of its small cells and fiber solutions businesses, together with certain supporting assets and personnel ("Fiber Business"). We received aggregate net cash proceeds of $8.4 billion, representing the gross contractual purchase price of $8.5 billion less the net impact of preliminary purchase price adjustments of $124 million, which are subject to a post-closing settlement process.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results and net assets of the Fiber Business are presented within the financial statements as discontinued operations through April 30, 2026. Following the classification of the Fiber Business as discontinued operations, the Company has one reportable segment that constitutes consolidated results consisting of its towers operations. Unless otherwise noted and other than net income (loss) and net income (loss) per share, all activities and amounts reported below relate to the continuing operations of the Company and exclude activities and amounts related to discontinued operations.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We operate as a Real Estate Investment Trust ("REIT")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STRATEGY</w:t>
            </w:r>
            <w:r>
              <w:rPr>
                <w:color w:val="000000"/>
              </w:rPr>
              <w:t xml:space="preserve"> </w:t>
            </w:r>
          </w:p>
        </w:tc>
      </w:tr>
    </w:tbl>
    <w:p>
      <w:pPr>
        <w:pStyle w:val="TextBody"/>
        <w:bidi w:val="0"/>
        <w:spacing w:lineRule="auto" w:line="288" w:before="180" w:after="283"/>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As a leading provider of towers in the U.S., our strategy is to create long-term stockholder value via a combination of (1) growing cash flows generated from our existing portfolio of towers, (2) returning a meaningful portion of our cash generated by operating activities to our common stockholders in the form of dividends and share repurchases and (3) investing capital efficiently to grow cash flows. Our strategy is based, in part, on our belief that the U.S. is the most attractive market in the world for towers. We measure our efforts to create "long-term stockholder value" by the combined payments of dividends to stockholders and growth in our per-share results. The key elements of our strategy are to:</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18"/>
        </w:rPr>
        <w:t xml:space="preserve">Grow cash flows from our existing towers. </w:t>
      </w:r>
      <w:r>
        <w:rPr>
          <w:rFonts w:ascii="Times New Roman;serif" w:hAnsi="Times New Roman;serif"/>
          <w:b w:val="false"/>
          <w:color w:val="000000"/>
          <w:sz w:val="18"/>
        </w:rPr>
        <w:t xml:space="preserve">We are focused on maximizing the recurring site rental cash flows generated from providing our tenants with long-term access to our towers,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towers provide an efficient and cost-effective solution for our wireless tenants' growing networks that provides an opportunity to generate cash flows and increase stockholder return. </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18"/>
        </w:rPr>
        <w:t>Return cash generated by operating activities to stockholders in the form of dividends and share repurchases</w:t>
      </w:r>
      <w:r>
        <w:rPr>
          <w:rFonts w:ascii="Times New Roman;serif" w:hAnsi="Times New Roman;serif"/>
          <w:b w:val="false"/>
          <w:color w:val="000000"/>
          <w:sz w:val="18"/>
        </w:rPr>
        <w:t>. We believe that distributing a meaningful portion of our cash generated by operating activities appropriately provides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stockholders.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18"/>
        </w:rPr>
        <w:t>Invest capital efficiently to grow cash flows.</w:t>
      </w:r>
      <w:r>
        <w:rPr>
          <w:color w:val="000000"/>
        </w:rPr>
        <w:t xml:space="preserve"> </w:t>
      </w:r>
      <w:r>
        <w:rPr>
          <w:rFonts w:ascii="Times New Roman;serif" w:hAnsi="Times New Roman;serif"/>
          <w:b w:val="false"/>
          <w:color w:val="000000"/>
          <w:sz w:val="18"/>
        </w:rPr>
        <w:t xml:space="preserve">In addition to adding tenants to our existing towers, we seek to invest our available capital, including the net cash generated by our operating activities and external financing sources, in a manner that will increase long-term stockholder value. These investments include acquisition of land interests, making improvements and structural enhancements to our existing towers, and constructing and acquiring new towers that we expect will generate future cash flow growth and attractive long-term returns by adding tenants to those assets over time. </w:t>
      </w:r>
    </w:p>
    <w:p>
      <w:pPr>
        <w:pStyle w:val="TextBody"/>
        <w:bidi w:val="0"/>
        <w:spacing w:lineRule="auto" w:line="288" w:before="180" w:after="283"/>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Our strategy to create long-term stockholder value is based on our belief that there will be considerable future demand for our towers based on the location of our assets and the rapid and continuing growth in the demand for data. We believe that such demand for our towers will continue, will result in growth of our cash flows due to tenant additions on our existing towers, and will create other growth opportunities for us, such as demand for newly constructed or acquired towers, as described above. Further, we seek to augment the long-term value creation associated with growing our recurring site rental cash flows by offering certain ancillary site development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7348" w:type="dxa"/>
        <w:jc w:val="center"/>
        <w:tblInd w:w="0" w:type="dxa"/>
        <w:tblLayout w:type="fixed"/>
        <w:tblCellMar>
          <w:top w:w="28" w:type="dxa"/>
          <w:left w:w="28" w:type="dxa"/>
          <w:bottom w:w="28" w:type="dxa"/>
          <w:right w:w="28" w:type="dxa"/>
        </w:tblCellMar>
      </w:tblPr>
      <w:tblGrid>
        <w:gridCol w:w="1545"/>
        <w:gridCol w:w="1357"/>
        <w:gridCol w:w="1357"/>
        <w:gridCol w:w="902"/>
        <w:gridCol w:w="902"/>
        <w:gridCol w:w="1285"/>
      </w:tblGrid>
      <w:tr>
        <w:trPr/>
        <w:tc>
          <w:tcPr>
            <w:tcW w:w="154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GENERAL COMPANY INFORMATION</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offices</w:t>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8020 Katy Freeway, Houston, TX 77024</w:t>
            </w:r>
          </w:p>
        </w:tc>
      </w:tr>
      <w:tr>
        <w:trPr/>
        <w:tc>
          <w:tcPr>
            <w:tcW w:w="42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trading symbol</w:t>
            </w:r>
          </w:p>
        </w:tc>
        <w:tc>
          <w:tcPr>
            <w:tcW w:w="30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CCI</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exchange listing</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42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 ending date</w:t>
            </w:r>
          </w:p>
        </w:tc>
        <w:tc>
          <w:tcPr>
            <w:tcW w:w="30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 - Long-term Issuer Default Rating</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r>
      <w:tr>
        <w:trPr/>
        <w:tc>
          <w:tcPr>
            <w:tcW w:w="42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 - Long-term Corporate Family Rating</w:t>
            </w:r>
          </w:p>
        </w:tc>
        <w:tc>
          <w:tcPr>
            <w:tcW w:w="30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Baa3</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Standard &amp; Poor’s - Long-term Local Issuer Credit Rating</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r>
    </w:tbl>
    <w:p>
      <w:pPr>
        <w:pStyle w:val="TextBody"/>
        <w:bidi w:val="0"/>
        <w:spacing w:lineRule="auto" w:line="288" w:before="180" w:after="283"/>
        <w:jc w:val="both"/>
        <w:rPr>
          <w:rFonts w:ascii="Times New Roman;serif" w:hAnsi="Times New Roman;serif"/>
          <w:b w:val="false"/>
          <w:i/>
          <w:color w:val="000000"/>
          <w:sz w:val="16"/>
        </w:rPr>
      </w:pPr>
      <w:r>
        <w:rPr>
          <w:rFonts w:ascii="Times New Roman;serif" w:hAnsi="Times New Roman;serif"/>
          <w:b w:val="false"/>
          <w:i/>
          <w:color w:val="000000"/>
          <w:sz w:val="16"/>
        </w:rPr>
        <w:t>Note: These credit ratings may not reflect the potential risks relating to the structure or trading of the Company’s securities and are provided solely for informational purposes. Credit ratings are not recommendations to buy, sell or hold any security, and may be revised or withdrawn at any time by the issuing organization in its sole discretion. The Company does not undertake any obligation to maintain the ratings or to advise of any change in the ratings. Each agency’s rating should be evaluated independently of any other agency’s rating. An explanation of the significances of the ratings can be obtained from each of the ratings agencies.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26" w:type="dxa"/>
        <w:jc w:val="center"/>
        <w:tblInd w:w="0" w:type="dxa"/>
        <w:tblLayout w:type="fixed"/>
        <w:tblCellMar>
          <w:top w:w="28" w:type="dxa"/>
          <w:left w:w="28" w:type="dxa"/>
          <w:bottom w:w="28" w:type="dxa"/>
          <w:right w:w="28" w:type="dxa"/>
        </w:tblCellMar>
      </w:tblPr>
      <w:tblGrid>
        <w:gridCol w:w="2504"/>
        <w:gridCol w:w="2199"/>
        <w:gridCol w:w="3123"/>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7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TOWER ASSET PORTFOLIO FOOTPRINT </w:t>
            </w:r>
          </w:p>
        </w:tc>
      </w:tr>
      <w:tr>
        <w:trPr/>
        <w:tc>
          <w:tcPr>
            <w:tcW w:w="782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4876800" cy="3657600"/>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10"/>
                          <a:stretch>
                            <a:fillRect/>
                          </a:stretch>
                        </pic:blipFill>
                        <pic:spPr bwMode="auto">
                          <a:xfrm>
                            <a:off x="0" y="0"/>
                            <a:ext cx="4876800" cy="365760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94"/>
        <w:gridCol w:w="1183"/>
        <w:gridCol w:w="119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5"/>
      </w:tblGrid>
      <w:tr>
        <w:trPr/>
        <w:tc>
          <w:tcPr>
            <w:tcW w:w="139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COMMON STOCK DATA</w:t>
            </w:r>
          </w:p>
        </w:tc>
      </w:tr>
      <w:tr>
        <w:trPr/>
        <w:tc>
          <w:tcPr>
            <w:tcW w:w="3769"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27"/>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76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6/30/25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9/30/25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3/31/26</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6/30/26</w:t>
            </w:r>
          </w:p>
        </w:tc>
      </w:tr>
      <w:tr>
        <w:trPr/>
        <w:tc>
          <w:tcPr>
            <w:tcW w:w="3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High price</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DBE5F1"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Low price</w:t>
            </w:r>
            <w:r>
              <w:rPr>
                <w:rFonts w:ascii="Times New Roman;serif" w:hAnsi="Times New Roman;serif"/>
                <w:b w:val="false"/>
                <w:color w:val="000000"/>
                <w:sz w:val="12"/>
              </w:rPr>
              <w:t>(a)</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75.39 </w:t>
            </w:r>
          </w:p>
        </w:tc>
        <w:tc>
          <w:tcPr>
            <w:tcW w:w="15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Period end closing price</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per common share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Volume weighted average price for the period</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 at period end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Market value of outstanding common shares, at period end</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(a)Based on the sales price, adjusted for common stock dividends, as reported by Bloomberg.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(b)Based on the period end closing price, adjusted for common stock dividends, as reported by Bloomberg.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(c)Calculated as the product of (1) common shares outstanding, at period end and (2) period end closing price, adjusted for common stock dividends, as reported by Bloomberg.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880" w:type="dxa"/>
        <w:jc w:val="center"/>
        <w:tblInd w:w="0" w:type="dxa"/>
        <w:tblLayout w:type="fixed"/>
        <w:tblCellMar>
          <w:top w:w="28" w:type="dxa"/>
          <w:left w:w="28" w:type="dxa"/>
          <w:bottom w:w="28" w:type="dxa"/>
          <w:right w:w="28" w:type="dxa"/>
        </w:tblCellMar>
      </w:tblPr>
      <w:tblGrid>
        <w:gridCol w:w="635"/>
        <w:gridCol w:w="555"/>
        <w:gridCol w:w="565"/>
        <w:gridCol w:w="151"/>
        <w:gridCol w:w="151"/>
        <w:gridCol w:w="151"/>
        <w:gridCol w:w="1497"/>
        <w:gridCol w:w="1497"/>
        <w:gridCol w:w="1520"/>
        <w:gridCol w:w="151"/>
        <w:gridCol w:w="151"/>
        <w:gridCol w:w="151"/>
        <w:gridCol w:w="151"/>
        <w:gridCol w:w="151"/>
        <w:gridCol w:w="151"/>
        <w:gridCol w:w="151"/>
        <w:gridCol w:w="151"/>
        <w:gridCol w:w="151"/>
        <w:gridCol w:w="526"/>
        <w:gridCol w:w="526"/>
        <w:gridCol w:w="747"/>
      </w:tblGrid>
      <w:tr>
        <w:trPr/>
        <w:tc>
          <w:tcPr>
            <w:tcW w:w="63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9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MANAGEMENT TEAM</w:t>
            </w:r>
          </w:p>
        </w:tc>
      </w:tr>
      <w:tr>
        <w:trPr/>
        <w:tc>
          <w:tcPr>
            <w:tcW w:w="175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w:t>
            </w:r>
          </w:p>
        </w:tc>
        <w:tc>
          <w:tcPr>
            <w:tcW w:w="453"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Position</w:t>
            </w:r>
          </w:p>
        </w:tc>
        <w:tc>
          <w:tcPr>
            <w:tcW w:w="453"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453"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with Company</w:t>
            </w:r>
          </w:p>
        </w:tc>
      </w:tr>
      <w:tr>
        <w:trPr/>
        <w:tc>
          <w:tcPr>
            <w:tcW w:w="1755"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Christian H. Hillabrant</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&lt;1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Sunit Patel</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75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Catherine Piche</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Operating Officer</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14</w:t>
            </w:r>
            <w:r>
              <w:rPr>
                <w:rFonts w:ascii="Times New Roman;serif" w:hAnsi="Times New Roman;serif"/>
                <w:b w:val="false"/>
                <w:color w:val="000000"/>
                <w:sz w:val="12"/>
              </w:rPr>
              <w:t>(a)</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Edward B. Adams, Jr.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General Counsel</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175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Timothy Grace</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Human Resources Officer</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&lt;1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Kristoffer L. Hinson</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Commercial Officer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75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Lennon</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Information Officer</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10"/>
        <w:gridCol w:w="511"/>
        <w:gridCol w:w="520"/>
        <w:gridCol w:w="109"/>
        <w:gridCol w:w="109"/>
        <w:gridCol w:w="109"/>
        <w:gridCol w:w="243"/>
        <w:gridCol w:w="243"/>
        <w:gridCol w:w="245"/>
        <w:gridCol w:w="109"/>
        <w:gridCol w:w="109"/>
        <w:gridCol w:w="109"/>
        <w:gridCol w:w="1575"/>
        <w:gridCol w:w="1564"/>
        <w:gridCol w:w="1569"/>
        <w:gridCol w:w="109"/>
        <w:gridCol w:w="109"/>
        <w:gridCol w:w="109"/>
        <w:gridCol w:w="135"/>
        <w:gridCol w:w="135"/>
        <w:gridCol w:w="136"/>
        <w:gridCol w:w="109"/>
        <w:gridCol w:w="109"/>
        <w:gridCol w:w="109"/>
        <w:gridCol w:w="410"/>
        <w:gridCol w:w="410"/>
        <w:gridCol w:w="591"/>
      </w:tblGrid>
      <w:tr>
        <w:trPr/>
        <w:tc>
          <w:tcPr>
            <w:tcW w:w="6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BOARD OF DIRECTORS</w:t>
            </w:r>
          </w:p>
        </w:tc>
      </w:tr>
      <w:tr>
        <w:trPr/>
        <w:tc>
          <w:tcPr>
            <w:tcW w:w="16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Position</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Committees</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as Director</w:t>
            </w:r>
          </w:p>
        </w:tc>
      </w:tr>
      <w:tr>
        <w:trPr/>
        <w:tc>
          <w:tcPr>
            <w:tcW w:w="16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 Robert Bartolo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Nominating and Governance,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Andrea J. Goldsmith</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and Human Capital</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Christian H. Hillabrant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&lt;1</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Tammy K. Jones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Audit, Nominating and Governance, Finance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Kevin T. Kabat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and Human Capital, Nominating and Governance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Anthony J. Melone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Audit, Nominating and Governance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Katherine Motlagh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Director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Audit, Compensation and Human Capital, Finance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Kevin A. Stephens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Director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Audit, Compensation and Human Capital</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Matthew Thornton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Audit, Compensation and Human Capital, Nominating and Governance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78" w:type="dxa"/>
        <w:jc w:val="center"/>
        <w:tblInd w:w="0" w:type="dxa"/>
        <w:tblLayout w:type="fixed"/>
        <w:tblCellMar>
          <w:top w:w="28" w:type="dxa"/>
          <w:left w:w="28" w:type="dxa"/>
          <w:bottom w:w="28" w:type="dxa"/>
          <w:right w:w="28" w:type="dxa"/>
        </w:tblCellMar>
      </w:tblPr>
      <w:tblGrid>
        <w:gridCol w:w="619"/>
        <w:gridCol w:w="545"/>
        <w:gridCol w:w="545"/>
        <w:gridCol w:w="544"/>
        <w:gridCol w:w="544"/>
        <w:gridCol w:w="547"/>
        <w:gridCol w:w="475"/>
        <w:gridCol w:w="475"/>
        <w:gridCol w:w="684"/>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49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RESEARCH COVERAGE</w:t>
            </w:r>
          </w:p>
        </w:tc>
      </w:tr>
      <w:tr>
        <w:trPr/>
        <w:tc>
          <w:tcPr>
            <w:tcW w:w="4978" w:type="dxa"/>
            <w:gridSpan w:val="9"/>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Research</w:t>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Bank of America</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Funk</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(646) 855-5664</w:t>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w:t>
              <w:br/>
              <w:t>Brendan Lynch</w:t>
              <w:br/>
              <w:t>(212) 526-9428</w:t>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Bernstein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Madison Rezaei</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(917) 344-8622</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BMO Capital Markets</w:t>
              <w:br/>
              <w:t>Ari Klein</w:t>
              <w:br/>
              <w:t>(212) 885-4103</w:t>
            </w:r>
          </w:p>
        </w:tc>
        <w:tc>
          <w:tcPr>
            <w:tcW w:w="163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Citigroup</w:t>
              <w:br/>
              <w:t>Michael Rollins</w:t>
              <w:br/>
              <w:t>(212) 816-1116</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Goldman Sachs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Jim Schneider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357-2929</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Green Street</w:t>
              <w:br/>
              <w:t>David Guarino</w:t>
              <w:br/>
              <w:t>(949) 640-8780</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HSBC</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Luigi Minerva</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(207) 991-6928</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w:t>
              <w:br/>
              <w:t>Jonathan Petersen</w:t>
              <w:br/>
              <w:t>(212) 284-1705</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JMP Securities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Greg Miller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699-2917</w:t>
            </w:r>
          </w:p>
        </w:tc>
        <w:tc>
          <w:tcPr>
            <w:tcW w:w="163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JPMorgan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Richard Choe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622-6708</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KeyBanc</w:t>
              <w:br/>
              <w:t>Brandon Nispel</w:t>
              <w:br/>
              <w:t>(503) 821-3871</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MoffettNathanson</w:t>
              <w:br/>
              <w:t>Nick Del Deo</w:t>
              <w:br/>
              <w:t>(212) 519-0025</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Morgan Stanley</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Benjamin Swinburne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761-7527</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Street Research</w:t>
              <w:br/>
              <w:t>Jonathan Chaplin</w:t>
              <w:br/>
              <w:t>(212) 921-9876</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Raymond James</w:t>
              <w:br/>
              <w:t>Ric Prentiss</w:t>
              <w:br/>
              <w:t>(727) 567-2567</w:t>
            </w:r>
          </w:p>
        </w:tc>
        <w:tc>
          <w:tcPr>
            <w:tcW w:w="163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Capital Markets</w:t>
              <w:br/>
              <w:t>Jonathan Atkin</w:t>
              <w:br/>
              <w:t>(415) 633-8589</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Scotiabank</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Maher Yaghi</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(437) 995-5548</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TD Cowen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Elias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(646) 562-1358</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Truist Securities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Matthew Niknam</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326-6151</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UBS</w:t>
              <w:br/>
              <w:t>Batya Levi</w:t>
              <w:br/>
              <w:t>(212) 713-8824</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Wells Fargo </w:t>
              <w:br/>
              <w:t>Eric Luebchow</w:t>
              <w:br/>
              <w:t>(312) 630-2386</w:t>
            </w:r>
          </w:p>
        </w:tc>
        <w:tc>
          <w:tcPr>
            <w:tcW w:w="163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Wolfe Research</w:t>
              <w:br/>
              <w:t>Andrew Rosivach</w:t>
              <w:br/>
              <w:t>(646) 582-9350</w:t>
            </w:r>
          </w:p>
        </w:tc>
        <w:tc>
          <w:tcPr>
            <w:tcW w:w="163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8" w:type="dxa"/>
            <w:gridSpan w:val="9"/>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Rating Agencies</w:t>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Fitch</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Salonie Sehgal</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(312) 368-3137</w:t>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Moody’s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Ranjini Venkatesan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553-3828</w:t>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Standard &amp; Poor’s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Allyn Arden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438-7832</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credit for prior service with the Company prior to Ms. Piche's reappointment as Executive Vice President and Chief Operating Officer - Towers of the Company effective October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194" w:type="dxa"/>
        <w:jc w:val="center"/>
        <w:tblInd w:w="0" w:type="dxa"/>
        <w:tblLayout w:type="fixed"/>
        <w:tblCellMar>
          <w:top w:w="28" w:type="dxa"/>
          <w:left w:w="28" w:type="dxa"/>
          <w:bottom w:w="28" w:type="dxa"/>
          <w:right w:w="28" w:type="dxa"/>
        </w:tblCellMar>
      </w:tblPr>
      <w:tblGrid>
        <w:gridCol w:w="1757"/>
        <w:gridCol w:w="1545"/>
        <w:gridCol w:w="1558"/>
        <w:gridCol w:w="145"/>
        <w:gridCol w:w="145"/>
        <w:gridCol w:w="145"/>
        <w:gridCol w:w="374"/>
        <w:gridCol w:w="280"/>
        <w:gridCol w:w="280"/>
        <w:gridCol w:w="280"/>
        <w:gridCol w:w="280"/>
        <w:gridCol w:w="280"/>
        <w:gridCol w:w="280"/>
        <w:gridCol w:w="109"/>
        <w:gridCol w:w="109"/>
        <w:gridCol w:w="109"/>
        <w:gridCol w:w="200"/>
        <w:gridCol w:w="200"/>
        <w:gridCol w:w="201"/>
        <w:gridCol w:w="109"/>
        <w:gridCol w:w="109"/>
        <w:gridCol w:w="109"/>
        <w:gridCol w:w="109"/>
        <w:gridCol w:w="109"/>
        <w:gridCol w:w="109"/>
        <w:gridCol w:w="109"/>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OUTLOOK</w:t>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8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7"/>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(a)</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Site rental billings</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Site rental costs of operations</w:t>
            </w:r>
            <w:r>
              <w:rPr>
                <w:rFonts w:ascii="Times New Roman;serif" w:hAnsi="Times New Roman;serif"/>
                <w:b w:val="false"/>
                <w:color w:val="000000"/>
                <w:sz w:val="12"/>
              </w:rPr>
              <w:t>(c)</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gross margin</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(d)</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per share—diluted</w:t>
            </w:r>
            <w:r>
              <w:rPr>
                <w:rFonts w:ascii="Times New Roman;serif" w:hAnsi="Times New Roman;serif"/>
                <w:b w:val="false"/>
                <w:color w:val="000000"/>
                <w:sz w:val="12"/>
              </w:rPr>
              <w:t>(d)</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2,715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(e)</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(f)</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FFO</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AFFO</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AFFO per share</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Discretionary capital expenditures</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July 22,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 and for definition of site rental billings and discretionary capital expenditures.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(c)Exclusive of depreciation, amortization and accretion.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contribution from discontinued operations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(e)See our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(f)Represents expected results from the Fiber Business, including the estimated loss on disposal, through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left"/>
        <w:tblInd w:w="0" w:type="dxa"/>
        <w:tblLayout w:type="fixed"/>
        <w:tblCellMar>
          <w:top w:w="28" w:type="dxa"/>
          <w:left w:w="28" w:type="dxa"/>
          <w:bottom w:w="28" w:type="dxa"/>
          <w:right w:w="28" w:type="dxa"/>
        </w:tblCellMar>
      </w:tblPr>
      <w:tblGrid>
        <w:gridCol w:w="2859"/>
        <w:gridCol w:w="2121"/>
        <w:gridCol w:w="2121"/>
        <w:gridCol w:w="440"/>
        <w:gridCol w:w="299"/>
        <w:gridCol w:w="299"/>
        <w:gridCol w:w="299"/>
        <w:gridCol w:w="299"/>
        <w:gridCol w:w="299"/>
        <w:gridCol w:w="437"/>
        <w:gridCol w:w="299"/>
        <w:gridCol w:w="433"/>
      </w:tblGrid>
      <w:tr>
        <w:trPr/>
        <w:tc>
          <w:tcPr>
            <w:tcW w:w="2859"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OUTLOOK FOR COMPONENTS OF CHANGES IN SITE RENTAL REVENUES</w:t>
            </w:r>
          </w:p>
        </w:tc>
      </w:tr>
      <w:tr>
        <w:trPr/>
        <w:tc>
          <w:tcPr>
            <w:tcW w:w="71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3104" w:type="dxa"/>
            <w:gridSpan w:val="9"/>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(a)</w:t>
            </w:r>
          </w:p>
        </w:tc>
      </w:tr>
      <w:tr>
        <w:trPr/>
        <w:tc>
          <w:tcPr>
            <w:tcW w:w="7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310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(b)</w:t>
            </w:r>
          </w:p>
        </w:tc>
        <w:tc>
          <w:tcPr>
            <w:tcW w:w="3104"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$3,701</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(b)</w:t>
            </w:r>
          </w:p>
        </w:tc>
        <w:tc>
          <w:tcPr>
            <w:tcW w:w="310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(b)</w:t>
            </w:r>
          </w:p>
        </w:tc>
        <w:tc>
          <w:tcPr>
            <w:tcW w:w="3104" w:type="dxa"/>
            <w:gridSpan w:val="9"/>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$3,923</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(b)</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70</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(b)</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(b)</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 as Adjusted for Impact of Sprint Cancellations and DISH Terminations</w:t>
            </w:r>
            <w:r>
              <w:rPr>
                <w:rFonts w:ascii="Times New Roman;serif" w:hAnsi="Times New Roman;serif"/>
                <w:b w:val="false"/>
                <w:color w:val="000000"/>
                <w:sz w:val="12"/>
              </w:rPr>
              <w:t>(b)</w:t>
            </w:r>
          </w:p>
        </w:tc>
        <w:tc>
          <w:tcPr>
            <w:tcW w:w="1038"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89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(b)</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DISH Terminations</w:t>
            </w:r>
            <w:r>
              <w:rPr>
                <w:rFonts w:ascii="Times New Roman;serif" w:hAnsi="Times New Roman;serif"/>
                <w:b w:val="false"/>
                <w:color w:val="000000"/>
                <w:sz w:val="12"/>
              </w:rPr>
              <w:t>(b)</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(b)</w:t>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(90)</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Acquisitions</w:t>
            </w:r>
            <w:r>
              <w:rPr>
                <w:rFonts w:ascii="Times New Roman;serif" w:hAnsi="Times New Roman;serif"/>
                <w:b w:val="false"/>
                <w:color w:val="000000"/>
                <w:sz w:val="12"/>
              </w:rPr>
              <w:t>(c)</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 revenues</w:t>
            </w:r>
          </w:p>
        </w:tc>
        <w:tc>
          <w:tcPr>
            <w:tcW w:w="1038"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w:t>
            </w:r>
          </w:p>
        </w:tc>
        <w:tc>
          <w:tcPr>
            <w:tcW w:w="897"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$3,878</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Year-over-year changes in revenues:</w:t>
            </w:r>
            <w:r>
              <w:rPr>
                <w:rFonts w:ascii="Times New Roman;serif" w:hAnsi="Times New Roman;serif"/>
                <w:b w:val="false"/>
                <w:color w:val="000000"/>
                <w:sz w:val="12"/>
              </w:rPr>
              <w:t>(d)</w:t>
            </w:r>
          </w:p>
        </w:tc>
        <w:tc>
          <w:tcPr>
            <w:tcW w:w="3104" w:type="dxa"/>
            <w:gridSpan w:val="9"/>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site rental billings to DISH</w:t>
            </w:r>
            <w:r>
              <w:rPr>
                <w:rFonts w:ascii="Times New Roman;serif" w:hAnsi="Times New Roman;serif"/>
                <w:b w:val="false"/>
                <w:color w:val="000000"/>
                <w:sz w:val="12"/>
              </w:rPr>
              <w:t>(b)</w:t>
            </w:r>
          </w:p>
        </w:tc>
        <w:tc>
          <w:tcPr>
            <w:tcW w:w="3104"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(b)</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(b)</w:t>
            </w:r>
          </w:p>
        </w:tc>
        <w:tc>
          <w:tcPr>
            <w:tcW w:w="3104"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34"/>
        <w:gridCol w:w="1553"/>
        <w:gridCol w:w="1553"/>
        <w:gridCol w:w="491"/>
        <w:gridCol w:w="491"/>
        <w:gridCol w:w="491"/>
        <w:gridCol w:w="491"/>
        <w:gridCol w:w="491"/>
        <w:gridCol w:w="1079"/>
        <w:gridCol w:w="218"/>
        <w:gridCol w:w="233"/>
        <w:gridCol w:w="219"/>
        <w:gridCol w:w="218"/>
        <w:gridCol w:w="109"/>
        <w:gridCol w:w="109"/>
        <w:gridCol w:w="109"/>
        <w:gridCol w:w="149"/>
        <w:gridCol w:w="149"/>
        <w:gridCol w:w="218"/>
      </w:tblGrid>
      <w:tr>
        <w:trPr/>
        <w:tc>
          <w:tcPr>
            <w:tcW w:w="183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OUTLOOK FOR COMPONENTS OF INTEREST EXPENSE</w:t>
            </w:r>
          </w:p>
        </w:tc>
        <w:tc>
          <w:tcPr>
            <w:tcW w:w="1731" w:type="dxa"/>
            <w:gridSpan w:val="10"/>
            <w:tcBorders/>
          </w:tcPr>
          <w:p>
            <w:pPr>
              <w:pStyle w:val="TableContents"/>
              <w:bidi w:val="0"/>
              <w:spacing w:before="0" w:after="283"/>
              <w:jc w:val="left"/>
              <w:rPr>
                <w:sz w:val="4"/>
                <w:szCs w:val="4"/>
              </w:rPr>
            </w:pPr>
            <w:r>
              <w:rPr>
                <w:sz w:val="4"/>
                <w:szCs w:val="4"/>
              </w:rPr>
            </w:r>
          </w:p>
        </w:tc>
      </w:tr>
      <w:tr>
        <w:trPr/>
        <w:tc>
          <w:tcPr>
            <w:tcW w:w="49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7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67" w:type="dxa"/>
            <w:gridSpan w:val="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Full Year 2026 Outlook</w:t>
            </w:r>
            <w:r>
              <w:rPr>
                <w:rFonts w:ascii="Times New Roman;serif" w:hAnsi="Times New Roman;serif"/>
                <w:b/>
                <w:color w:val="000000"/>
                <w:sz w:val="12"/>
              </w:rPr>
              <w:t>(a)</w:t>
            </w:r>
          </w:p>
        </w:tc>
        <w:tc>
          <w:tcPr>
            <w:tcW w:w="843" w:type="dxa"/>
            <w:gridSpan w:val="6"/>
            <w:tcBorders/>
          </w:tcPr>
          <w:p>
            <w:pPr>
              <w:pStyle w:val="TableContents"/>
              <w:bidi w:val="0"/>
              <w:spacing w:before="0" w:after="283"/>
              <w:jc w:val="left"/>
              <w:rPr>
                <w:sz w:val="4"/>
                <w:szCs w:val="4"/>
              </w:rPr>
            </w:pPr>
            <w:r>
              <w:rPr>
                <w:sz w:val="4"/>
                <w:szCs w:val="4"/>
              </w:rPr>
            </w:r>
          </w:p>
        </w:tc>
      </w:tr>
      <w:tr>
        <w:trPr/>
        <w:tc>
          <w:tcPr>
            <w:tcW w:w="4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$810</w:t>
            </w:r>
          </w:p>
        </w:tc>
      </w:tr>
      <w:tr>
        <w:trPr/>
        <w:tc>
          <w:tcPr>
            <w:tcW w:w="49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147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49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147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$787</w:t>
            </w:r>
          </w:p>
        </w:tc>
        <w:tc>
          <w:tcPr>
            <w:tcW w:w="327"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16"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$832</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July 22,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the contribution from recent acquisitions. The financial impact of recent acquisitions is excluded from Organic Contribution to Site Rental Billings, including as Adjusted for Impact of Sprint Cancellations and DISH Terminations, until the one-year anniversary of such acquisitions.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(d)Calculated based on midpoint of full year 2026 Outlook, where applicable.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1093"/>
        <w:gridCol w:w="530"/>
        <w:gridCol w:w="535"/>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09"/>
        <w:gridCol w:w="109"/>
        <w:gridCol w:w="196"/>
        <w:gridCol w:w="556"/>
        <w:gridCol w:w="109"/>
        <w:gridCol w:w="109"/>
        <w:gridCol w:w="109"/>
        <w:gridCol w:w="109"/>
        <w:gridCol w:w="156"/>
      </w:tblGrid>
      <w:tr>
        <w:trPr/>
        <w:tc>
          <w:tcPr>
            <w:tcW w:w="109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534" w:type="dxa"/>
            <w:gridSpan w:val="3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FINANCIAL HIGHLIGHTS</w:t>
            </w:r>
            <w:r>
              <w:rPr>
                <w:rFonts w:ascii="Times New Roman;serif" w:hAnsi="Times New Roman;serif"/>
                <w:b/>
                <w:color w:val="000000"/>
                <w:sz w:val="12"/>
              </w:rPr>
              <w:t>(a)</w:t>
            </w:r>
          </w:p>
        </w:tc>
        <w:tc>
          <w:tcPr>
            <w:tcW w:w="1671" w:type="dxa"/>
            <w:gridSpan w:val="10"/>
            <w:tcBorders/>
          </w:tcPr>
          <w:p>
            <w:pPr>
              <w:pStyle w:val="TableContents"/>
              <w:bidi w:val="0"/>
              <w:spacing w:before="0" w:after="283"/>
              <w:jc w:val="left"/>
              <w:rPr>
                <w:sz w:val="4"/>
                <w:szCs w:val="4"/>
              </w:rPr>
            </w:pPr>
            <w:r>
              <w:rPr>
                <w:sz w:val="4"/>
                <w:szCs w:val="4"/>
              </w:rPr>
            </w:r>
          </w:p>
        </w:tc>
      </w:tr>
      <w:tr>
        <w:trPr/>
        <w:tc>
          <w:tcPr>
            <w:tcW w:w="215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7"/>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8"/>
            <w:tcBorders/>
          </w:tcPr>
          <w:p>
            <w:pPr>
              <w:pStyle w:val="TableContents"/>
              <w:bidi w:val="0"/>
              <w:spacing w:before="0" w:after="283"/>
              <w:jc w:val="left"/>
              <w:rPr>
                <w:sz w:val="4"/>
                <w:szCs w:val="4"/>
              </w:rPr>
            </w:pPr>
            <w:r>
              <w:rPr>
                <w:sz w:val="4"/>
                <w:szCs w:val="4"/>
              </w:rPr>
            </w:r>
          </w:p>
        </w:tc>
      </w:tr>
      <w:tr>
        <w:trPr/>
        <w:tc>
          <w:tcPr>
            <w:tcW w:w="2158"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Site rental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Select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Costs of operations</w:t>
            </w:r>
            <w:r>
              <w:rPr>
                <w:rFonts w:ascii="Times New Roman;serif" w:hAnsi="Times New Roman;serif"/>
                <w:b w:val="false"/>
                <w:color w:val="000000"/>
                <w:sz w:val="12"/>
              </w:rPr>
              <w:t>(c)</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exclusive of 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FFO</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AFFO</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per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AFFO per share</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(a)With the exception of net income (loss) and net income (loss) per share-diluted, amounts are exclusive of the Fiber Business, which is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our definition of site rental billings and for further information and reconciliation of non-GAAP financial measures to net income (loss), including on a per share basis.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(c)Exclusive of depreciation, amortization and accretion, which are shown separately.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left"/>
        <w:tblInd w:w="0" w:type="dxa"/>
        <w:tblLayout w:type="fixed"/>
        <w:tblCellMar>
          <w:top w:w="28" w:type="dxa"/>
          <w:left w:w="28" w:type="dxa"/>
          <w:bottom w:w="28" w:type="dxa"/>
          <w:right w:w="28" w:type="dxa"/>
        </w:tblCellMar>
      </w:tblPr>
      <w:tblGrid>
        <w:gridCol w:w="1345"/>
        <w:gridCol w:w="859"/>
        <w:gridCol w:w="866"/>
        <w:gridCol w:w="109"/>
        <w:gridCol w:w="109"/>
        <w:gridCol w:w="109"/>
        <w:gridCol w:w="224"/>
        <w:gridCol w:w="174"/>
        <w:gridCol w:w="359"/>
        <w:gridCol w:w="109"/>
        <w:gridCol w:w="109"/>
        <w:gridCol w:w="109"/>
        <w:gridCol w:w="224"/>
        <w:gridCol w:w="174"/>
        <w:gridCol w:w="359"/>
        <w:gridCol w:w="109"/>
        <w:gridCol w:w="109"/>
        <w:gridCol w:w="109"/>
        <w:gridCol w:w="224"/>
        <w:gridCol w:w="174"/>
        <w:gridCol w:w="359"/>
        <w:gridCol w:w="109"/>
        <w:gridCol w:w="109"/>
        <w:gridCol w:w="109"/>
        <w:gridCol w:w="224"/>
        <w:gridCol w:w="174"/>
        <w:gridCol w:w="359"/>
        <w:gridCol w:w="109"/>
        <w:gridCol w:w="109"/>
        <w:gridCol w:w="109"/>
        <w:gridCol w:w="252"/>
        <w:gridCol w:w="145"/>
        <w:gridCol w:w="264"/>
        <w:gridCol w:w="109"/>
        <w:gridCol w:w="109"/>
        <w:gridCol w:w="109"/>
        <w:gridCol w:w="109"/>
        <w:gridCol w:w="109"/>
        <w:gridCol w:w="109"/>
        <w:gridCol w:w="252"/>
        <w:gridCol w:w="145"/>
        <w:gridCol w:w="264"/>
        <w:gridCol w:w="109"/>
        <w:gridCol w:w="109"/>
        <w:gridCol w:w="109"/>
        <w:gridCol w:w="169"/>
      </w:tblGrid>
      <w:tr>
        <w:trPr/>
        <w:tc>
          <w:tcPr>
            <w:tcW w:w="134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830" w:type="dxa"/>
            <w:gridSpan w:val="3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COMPONENTS OF CHANGES IN SITE RENTAL REVENUES</w:t>
            </w:r>
            <w:r>
              <w:rPr>
                <w:rFonts w:ascii="Times New Roman;serif" w:hAnsi="Times New Roman;serif"/>
                <w:b/>
                <w:color w:val="000000"/>
                <w:sz w:val="12"/>
              </w:rPr>
              <w:t>(a)</w:t>
            </w:r>
          </w:p>
        </w:tc>
        <w:tc>
          <w:tcPr>
            <w:tcW w:w="1375" w:type="dxa"/>
            <w:gridSpan w:val="9"/>
            <w:tcBorders/>
          </w:tcPr>
          <w:p>
            <w:pPr>
              <w:pStyle w:val="TableContents"/>
              <w:bidi w:val="0"/>
              <w:spacing w:before="0" w:after="283"/>
              <w:jc w:val="left"/>
              <w:rPr>
                <w:sz w:val="4"/>
                <w:szCs w:val="4"/>
              </w:rPr>
            </w:pPr>
            <w:r>
              <w:rPr>
                <w:sz w:val="4"/>
                <w:szCs w:val="4"/>
              </w:rPr>
            </w:r>
          </w:p>
        </w:tc>
      </w:tr>
      <w:tr>
        <w:trPr/>
        <w:tc>
          <w:tcPr>
            <w:tcW w:w="3070"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7"/>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7"/>
            <w:tcBorders/>
          </w:tcPr>
          <w:p>
            <w:pPr>
              <w:pStyle w:val="TableContents"/>
              <w:bidi w:val="0"/>
              <w:spacing w:before="0" w:after="283"/>
              <w:jc w:val="left"/>
              <w:rPr>
                <w:sz w:val="4"/>
                <w:szCs w:val="4"/>
              </w:rPr>
            </w:pPr>
            <w:r>
              <w:rPr>
                <w:sz w:val="4"/>
                <w:szCs w:val="4"/>
              </w:rPr>
            </w:r>
          </w:p>
        </w:tc>
      </w:tr>
      <w:tr>
        <w:trPr/>
        <w:tc>
          <w:tcPr>
            <w:tcW w:w="3070"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w:t>
            </w:r>
            <w:r>
              <w:rPr>
                <w:color w:val="000000"/>
              </w:rPr>
              <w:t xml:space="preserve"> </w:t>
            </w:r>
            <w:r>
              <w:rPr>
                <w:rFonts w:ascii="Times New Roman;serif" w:hAnsi="Times New Roman;serif"/>
                <w:b w:val="false"/>
                <w:color w:val="000000"/>
                <w:sz w:val="18"/>
              </w:rPr>
              <w:t>Adjusted for Impact of Sprint Cancellations and DISH Terminations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associated with DISH Terminations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Year-over-year changes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the prior year site rental billings to DISH</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financial impact of Fiber Business revenues is excluded, as these amounts are presented within discontinued operations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955" w:type="dxa"/>
        <w:jc w:val="left"/>
        <w:tblInd w:w="0" w:type="dxa"/>
        <w:tblLayout w:type="fixed"/>
        <w:tblCellMar>
          <w:top w:w="28" w:type="dxa"/>
          <w:left w:w="28" w:type="dxa"/>
          <w:bottom w:w="28" w:type="dxa"/>
          <w:right w:w="28" w:type="dxa"/>
        </w:tblCellMar>
      </w:tblPr>
      <w:tblGrid>
        <w:gridCol w:w="1516"/>
        <w:gridCol w:w="1329"/>
        <w:gridCol w:w="1339"/>
        <w:gridCol w:w="109"/>
        <w:gridCol w:w="109"/>
        <w:gridCol w:w="109"/>
        <w:gridCol w:w="196"/>
        <w:gridCol w:w="143"/>
        <w:gridCol w:w="143"/>
        <w:gridCol w:w="109"/>
        <w:gridCol w:w="109"/>
        <w:gridCol w:w="109"/>
        <w:gridCol w:w="196"/>
        <w:gridCol w:w="143"/>
        <w:gridCol w:w="143"/>
        <w:gridCol w:w="109"/>
        <w:gridCol w:w="109"/>
        <w:gridCol w:w="109"/>
        <w:gridCol w:w="196"/>
        <w:gridCol w:w="143"/>
        <w:gridCol w:w="143"/>
        <w:gridCol w:w="109"/>
        <w:gridCol w:w="109"/>
        <w:gridCol w:w="109"/>
        <w:gridCol w:w="196"/>
        <w:gridCol w:w="143"/>
        <w:gridCol w:w="143"/>
        <w:gridCol w:w="109"/>
        <w:gridCol w:w="109"/>
        <w:gridCol w:w="109"/>
        <w:gridCol w:w="196"/>
        <w:gridCol w:w="143"/>
        <w:gridCol w:w="143"/>
        <w:gridCol w:w="109"/>
        <w:gridCol w:w="109"/>
        <w:gridCol w:w="109"/>
        <w:gridCol w:w="109"/>
        <w:gridCol w:w="109"/>
        <w:gridCol w:w="109"/>
        <w:gridCol w:w="109"/>
        <w:gridCol w:w="196"/>
        <w:gridCol w:w="143"/>
        <w:gridCol w:w="143"/>
        <w:gridCol w:w="109"/>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47" w:type="dxa"/>
            <w:gridSpan w:val="3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OF CAPITAL EXPENDITURES</w:t>
            </w:r>
            <w:r>
              <w:rPr>
                <w:rFonts w:ascii="Times New Roman;serif" w:hAnsi="Times New Roman;serif"/>
                <w:b/>
                <w:color w:val="000000"/>
                <w:sz w:val="12"/>
              </w:rPr>
              <w:t>(a)</w:t>
            </w:r>
          </w:p>
        </w:tc>
        <w:tc>
          <w:tcPr>
            <w:tcW w:w="1508" w:type="dxa"/>
            <w:gridSpan w:val="12"/>
            <w:tcBorders/>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0"/>
              <w:jc w:val="center"/>
              <w:rPr/>
            </w:pPr>
            <w:r>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5"/>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10"/>
            <w:tcBorders/>
          </w:tcPr>
          <w:p>
            <w:pPr>
              <w:pStyle w:val="TableContents"/>
              <w:bidi w:val="0"/>
              <w:spacing w:before="0" w:after="283"/>
              <w:jc w:val="left"/>
              <w:rPr>
                <w:sz w:val="4"/>
                <w:szCs w:val="4"/>
              </w:rPr>
            </w:pPr>
            <w:r>
              <w:rPr>
                <w:sz w:val="4"/>
                <w:szCs w:val="4"/>
              </w:rPr>
            </w:r>
          </w:p>
        </w:tc>
      </w:tr>
      <w:tr>
        <w:trPr/>
        <w:tc>
          <w:tcPr>
            <w:tcW w:w="4184"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Discretionary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Tower improvements and other capital projects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land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discretionary capital expenditures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Less: Prepaid rent additions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Capital expenditures less prepaid rent additions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2535" w:type="dxa"/>
            <w:gridSpan w:val="20"/>
            <w:tcBorders/>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09" w:type="dxa"/>
        <w:jc w:val="center"/>
        <w:tblInd w:w="0" w:type="dxa"/>
        <w:tblLayout w:type="fixed"/>
        <w:tblCellMar>
          <w:top w:w="28" w:type="dxa"/>
          <w:left w:w="28" w:type="dxa"/>
          <w:bottom w:w="28" w:type="dxa"/>
          <w:right w:w="28" w:type="dxa"/>
        </w:tblCellMar>
      </w:tblPr>
      <w:tblGrid>
        <w:gridCol w:w="1586"/>
        <w:gridCol w:w="1397"/>
        <w:gridCol w:w="1397"/>
        <w:gridCol w:w="466"/>
        <w:gridCol w:w="790"/>
        <w:gridCol w:w="373"/>
      </w:tblGrid>
      <w:tr>
        <w:trPr/>
        <w:tc>
          <w:tcPr>
            <w:tcW w:w="158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0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PORTFOLIO HIGHLIGHTS</w:t>
            </w:r>
          </w:p>
        </w:tc>
      </w:tr>
      <w:tr>
        <w:trPr/>
        <w:tc>
          <w:tcPr>
            <w:tcW w:w="438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w:t>
            </w:r>
          </w:p>
        </w:tc>
        <w:tc>
          <w:tcPr>
            <w:tcW w:w="1629"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Number of towers (in thousands)</w:t>
            </w:r>
            <w:r>
              <w:rPr>
                <w:rFonts w:ascii="Times New Roman;serif" w:hAnsi="Times New Roman;serif"/>
                <w:b w:val="false"/>
                <w:color w:val="000000"/>
                <w:sz w:val="12"/>
              </w:rPr>
              <w:t>(c)</w:t>
            </w:r>
          </w:p>
        </w:tc>
        <w:tc>
          <w:tcPr>
            <w:tcW w:w="12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tenants per tower</w:t>
            </w:r>
          </w:p>
        </w:tc>
        <w:tc>
          <w:tcPr>
            <w:tcW w:w="125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7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Remaining contracted tenant receivables (in billions)</w:t>
            </w:r>
            <w:r>
              <w:rPr>
                <w:rFonts w:ascii="Times New Roman;serif" w:hAnsi="Times New Roman;serif"/>
                <w:b w:val="false"/>
                <w:color w:val="000000"/>
                <w:sz w:val="12"/>
              </w:rPr>
              <w:t>(d)(e)</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E5F1"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 average remaining tenant contract term (years)</w:t>
            </w:r>
            <w:r>
              <w:rPr>
                <w:rFonts w:ascii="Times New Roman;serif" w:hAnsi="Times New Roman;serif"/>
                <w:b w:val="false"/>
                <w:color w:val="000000"/>
                <w:sz w:val="12"/>
              </w:rPr>
              <w:t>(d)(f)</w:t>
            </w:r>
          </w:p>
        </w:tc>
        <w:tc>
          <w:tcPr>
            <w:tcW w:w="125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7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 of towers in the Top 50 / 100 Basic Trading Areas</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 71%</w:t>
            </w:r>
          </w:p>
        </w:tc>
      </w:tr>
      <w:tr>
        <w:trPr/>
        <w:tc>
          <w:tcPr>
            <w:tcW w:w="438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Percent of ground leased / owned</w:t>
            </w:r>
            <w:r>
              <w:rPr>
                <w:rFonts w:ascii="Times New Roman;serif" w:hAnsi="Times New Roman;serif"/>
                <w:b w:val="false"/>
                <w:color w:val="000000"/>
                <w:sz w:val="12"/>
              </w:rPr>
              <w:t>(g)</w:t>
            </w:r>
          </w:p>
        </w:tc>
        <w:tc>
          <w:tcPr>
            <w:tcW w:w="162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57% / 43%</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maturity of ground leases (years)</w:t>
            </w:r>
            <w:r>
              <w:rPr>
                <w:rFonts w:ascii="Times New Roman;serif" w:hAnsi="Times New Roman;serif"/>
                <w:b w:val="false"/>
                <w:color w:val="000000"/>
                <w:sz w:val="12"/>
              </w:rPr>
              <w:t>(g)(h)</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pPr>
      <w:r>
        <w:rPr>
          <w:rFonts w:ascii="Times New Roman;serif" w:hAnsi="Times New Roman;serif"/>
          <w:b w:val="false"/>
          <w:color w:val="000000"/>
          <w:sz w:val="16"/>
        </w:rPr>
        <w:t xml:space="preserve">(a)See our definitions of discretionary capital expenditures and sustaining capital expenditures in </w:t>
      </w:r>
      <w:r>
        <w:rPr>
          <w:rFonts w:ascii="Times New Roman;serif" w:hAnsi="Times New Roman;serif"/>
          <w:b w:val="false"/>
          <w:i/>
          <w:color w:val="000000"/>
          <w:sz w:val="16"/>
        </w:rPr>
        <w:t xml:space="preserve">"Non-GAAP Measures and Other Information." </w:t>
      </w:r>
      <w:r>
        <w:rPr>
          <w:rFonts w:ascii="Times New Roman;serif" w:hAnsi="Times New Roman;serif"/>
          <w:b w:val="false"/>
          <w:color w:val="000000"/>
          <w:sz w:val="16"/>
        </w:rPr>
        <w:t xml:space="preserve">Excludes amounts related to the Fiber Business, which are presented in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(b)Reflects up-front consideration from long-term tenant contracts (commonly referred to as prepaid rent) that are amortized and recognized as revenue over the associated estimated lease term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(c)Excludes third-party land interests.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(d)Excludes renewal terms at tenants' option.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(e)Includes contracted receivables related to DISH. See the Company's Form 8-K filed January 12, 2026, 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(f)Weighted by site rental revenues.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(g)Weighted by site rental gross margin exclusive of straight-lined revenues, amortization of prepaid rent and straight-lined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(h)Includes all renewal terms at the Company's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761" w:type="dxa"/>
        <w:jc w:val="center"/>
        <w:tblInd w:w="0" w:type="dxa"/>
        <w:tblLayout w:type="fixed"/>
        <w:tblCellMar>
          <w:top w:w="28" w:type="dxa"/>
          <w:left w:w="28" w:type="dxa"/>
          <w:bottom w:w="28" w:type="dxa"/>
          <w:right w:w="28" w:type="dxa"/>
        </w:tblCellMar>
      </w:tblPr>
      <w:tblGrid>
        <w:gridCol w:w="1934"/>
        <w:gridCol w:w="1696"/>
        <w:gridCol w:w="1710"/>
        <w:gridCol w:w="166"/>
        <w:gridCol w:w="166"/>
        <w:gridCol w:w="166"/>
        <w:gridCol w:w="299"/>
        <w:gridCol w:w="988"/>
        <w:gridCol w:w="391"/>
        <w:gridCol w:w="166"/>
        <w:gridCol w:w="166"/>
        <w:gridCol w:w="166"/>
        <w:gridCol w:w="299"/>
        <w:gridCol w:w="988"/>
        <w:gridCol w:w="460"/>
      </w:tblGrid>
      <w:tr>
        <w:trPr/>
        <w:tc>
          <w:tcPr>
            <w:tcW w:w="193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9761"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CONSOLIDATED RETURN ON INVESTED CAPITAL</w:t>
            </w:r>
            <w:r>
              <w:rPr>
                <w:rFonts w:ascii="Times New Roman;serif" w:hAnsi="Times New Roman;serif"/>
                <w:b/>
                <w:color w:val="000000"/>
                <w:sz w:val="12"/>
              </w:rPr>
              <w:t>(a)(b)</w:t>
            </w:r>
          </w:p>
        </w:tc>
      </w:tr>
      <w:tr>
        <w:trPr/>
        <w:tc>
          <w:tcPr>
            <w:tcW w:w="534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dollars in millions)</w:t>
            </w:r>
          </w:p>
        </w:tc>
        <w:tc>
          <w:tcPr>
            <w:tcW w:w="49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 LQA</w:t>
            </w:r>
          </w:p>
        </w:tc>
        <w:tc>
          <w:tcPr>
            <w:tcW w:w="49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2025 LQA</w:t>
            </w:r>
          </w:p>
        </w:tc>
      </w:tr>
      <w:tr>
        <w:trPr/>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(c)</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4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refunded</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6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less cash taxes paid</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2,782 </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Historical gross investment in property and equipment</w:t>
            </w:r>
            <w:r>
              <w:rPr>
                <w:rFonts w:ascii="Times New Roman;serif" w:hAnsi="Times New Roman;serif"/>
                <w:b w:val="false"/>
                <w:color w:val="000000"/>
                <w:sz w:val="12"/>
              </w:rPr>
              <w:t>(d)</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17,117 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16,907 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Historical gross investment in site rental contracts and tenant relationships</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46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Historical gross investment in goodwill</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Consolidated Invested Capital</w:t>
            </w:r>
            <w:r>
              <w:rPr>
                <w:rFonts w:ascii="Times New Roman;serif" w:hAnsi="Times New Roman;serif"/>
                <w:b w:val="false"/>
                <w:color w:val="000000"/>
                <w:sz w:val="12"/>
              </w:rPr>
              <w:t>(a)</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26,834 </w:t>
            </w:r>
          </w:p>
        </w:tc>
        <w:tc>
          <w:tcPr>
            <w:tcW w:w="391"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26,624 </w:t>
            </w:r>
          </w:p>
        </w:tc>
        <w:tc>
          <w:tcPr>
            <w:tcW w:w="460"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Consolidated Return on Invested Capital</w:t>
            </w:r>
            <w:r>
              <w:rPr>
                <w:rFonts w:ascii="Times New Roman;serif" w:hAnsi="Times New Roman;serif"/>
                <w:b w:val="false"/>
                <w:color w:val="000000"/>
                <w:sz w:val="12"/>
              </w:rPr>
              <w:t>(a)</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9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46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61" w:type="dxa"/>
        <w:jc w:val="left"/>
        <w:tblInd w:w="0" w:type="dxa"/>
        <w:tblLayout w:type="fixed"/>
        <w:tblCellMar>
          <w:top w:w="28" w:type="dxa"/>
          <w:left w:w="28" w:type="dxa"/>
          <w:bottom w:w="28" w:type="dxa"/>
          <w:right w:w="28" w:type="dxa"/>
        </w:tblCellMar>
      </w:tblPr>
      <w:tblGrid>
        <w:gridCol w:w="1515"/>
        <w:gridCol w:w="1329"/>
        <w:gridCol w:w="1341"/>
        <w:gridCol w:w="127"/>
        <w:gridCol w:w="127"/>
        <w:gridCol w:w="127"/>
        <w:gridCol w:w="228"/>
        <w:gridCol w:w="754"/>
        <w:gridCol w:w="299"/>
        <w:gridCol w:w="127"/>
        <w:gridCol w:w="127"/>
        <w:gridCol w:w="127"/>
        <w:gridCol w:w="228"/>
        <w:gridCol w:w="754"/>
        <w:gridCol w:w="351"/>
      </w:tblGrid>
      <w:tr>
        <w:trPr/>
        <w:tc>
          <w:tcPr>
            <w:tcW w:w="151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561"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CASH YIELD ON INVESTED CAPITAL</w:t>
            </w:r>
            <w:r>
              <w:rPr>
                <w:rFonts w:ascii="Times New Roman;serif" w:hAnsi="Times New Roman;serif"/>
                <w:b/>
                <w:color w:val="000000"/>
                <w:sz w:val="12"/>
              </w:rPr>
              <w:t>(a)(b)</w:t>
            </w:r>
          </w:p>
        </w:tc>
      </w:tr>
      <w:tr>
        <w:trPr/>
        <w:tc>
          <w:tcPr>
            <w:tcW w:w="418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dollars in millions)</w:t>
            </w:r>
          </w:p>
        </w:tc>
        <w:tc>
          <w:tcPr>
            <w:tcW w:w="381"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 LQA</w:t>
            </w:r>
          </w:p>
        </w:tc>
        <w:tc>
          <w:tcPr>
            <w:tcW w:w="381"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2025 LQA</w:t>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Site Rental Gross Margin</w:t>
            </w:r>
            <w:r>
              <w:rPr>
                <w:rFonts w:ascii="Times New Roman;serif" w:hAnsi="Times New Roman;serif"/>
                <w:b w:val="false"/>
                <w:color w:val="000000"/>
                <w:sz w:val="12"/>
              </w:rPr>
              <w:t>(c)</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Amortization of prepaid rent</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(less): Straight-lined revenues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Straight-lined expenses</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investment in property and equipment</w:t>
            </w:r>
            <w:r>
              <w:rPr>
                <w:rFonts w:ascii="Times New Roman;serif" w:hAnsi="Times New Roman;serif"/>
                <w:b w:val="false"/>
                <w:color w:val="000000"/>
                <w:sz w:val="12"/>
              </w:rPr>
              <w:t>(e)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 site rental contracts and tenant relationships</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2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3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Investment in goodwill</w:t>
            </w:r>
            <w:r>
              <w:rPr>
                <w:rFonts w:ascii="Times New Roman;serif" w:hAnsi="Times New Roman;serif"/>
                <w:b w:val="false"/>
                <w:color w:val="000000"/>
                <w:sz w:val="12"/>
              </w:rPr>
              <w:t>(f)</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Invested Capital</w:t>
            </w:r>
            <w:r>
              <w:rPr>
                <w:rFonts w:ascii="Times New Roman;serif" w:hAnsi="Times New Roman;serif"/>
                <w:b w:val="false"/>
                <w:color w:val="000000"/>
                <w:sz w:val="12"/>
              </w:rPr>
              <w:t>(a)</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23,680 </w:t>
            </w:r>
          </w:p>
        </w:tc>
        <w:tc>
          <w:tcPr>
            <w:tcW w:w="29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23,531 </w:t>
            </w:r>
          </w:p>
        </w:tc>
        <w:tc>
          <w:tcPr>
            <w:tcW w:w="351"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Yield on Invested Capital</w:t>
            </w:r>
            <w:r>
              <w:rPr>
                <w:rFonts w:ascii="Times New Roman;serif" w:hAnsi="Times New Roman;serif"/>
                <w:b w:val="false"/>
                <w:color w:val="000000"/>
                <w:sz w:val="12"/>
              </w:rPr>
              <w:t>(a)</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9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5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hanging="360"/>
        <w:jc w:val="both"/>
        <w:rPr/>
      </w:pPr>
      <w:r>
        <w:rPr>
          <w:rFonts w:ascii="Times New Roman;serif" w:hAnsi="Times New Roman;serif"/>
          <w:b w:val="false"/>
          <w:color w:val="000000"/>
          <w:sz w:val="16"/>
        </w:rPr>
        <w:t xml:space="preserve">(a)See </w:t>
      </w:r>
      <w:r>
        <w:rPr>
          <w:rFonts w:ascii="Times New Roman;serif" w:hAnsi="Times New Roman;serif"/>
          <w:b w:val="false"/>
          <w:i/>
          <w:color w:val="000000"/>
          <w:sz w:val="16"/>
        </w:rPr>
        <w:t>"Non-GAAP Measures and Other Information"</w:t>
      </w:r>
      <w:r>
        <w:rPr>
          <w:color w:val="000000"/>
        </w:rPr>
        <w:t xml:space="preserve"> </w:t>
      </w:r>
      <w:r>
        <w:rPr>
          <w:rFonts w:ascii="Times New Roman;serif" w:hAnsi="Times New Roman;serif"/>
          <w:b w:val="false"/>
          <w:color w:val="000000"/>
          <w:sz w:val="16"/>
        </w:rPr>
        <w:t>for further information on, and our definitions of, Consolidated Return on Invested Capital, Consolidated Invested Capital, Cash Yield on Invested Capital, and Net Invested Capital.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(b)Excludes amounts related to the Fiber Business, which are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(c)See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(d)Historical gross investment in property and equipment excludes the impact of construction in process.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(e)Net investment in property and equipment excludes the impact of construction in process and non-productive assets (such as information technology assets and buildings) and is reduced by the amount of prepaid rent received from tenants.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(f)Investment in goodwill excludes the impact of certain assets and liabilities recorded in connection with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7667" w:type="dxa"/>
        <w:jc w:val="center"/>
        <w:tblInd w:w="0" w:type="dxa"/>
        <w:tblLayout w:type="fixed"/>
        <w:tblCellMar>
          <w:top w:w="28" w:type="dxa"/>
          <w:left w:w="28" w:type="dxa"/>
          <w:bottom w:w="28" w:type="dxa"/>
          <w:right w:w="28" w:type="dxa"/>
        </w:tblCellMar>
      </w:tblPr>
      <w:tblGrid>
        <w:gridCol w:w="700"/>
        <w:gridCol w:w="614"/>
        <w:gridCol w:w="620"/>
        <w:gridCol w:w="138"/>
        <w:gridCol w:w="138"/>
        <w:gridCol w:w="138"/>
        <w:gridCol w:w="874"/>
        <w:gridCol w:w="874"/>
        <w:gridCol w:w="877"/>
        <w:gridCol w:w="138"/>
        <w:gridCol w:w="138"/>
        <w:gridCol w:w="138"/>
        <w:gridCol w:w="667"/>
        <w:gridCol w:w="667"/>
        <w:gridCol w:w="946"/>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7667"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TENANT OVERVIEW</w:t>
            </w:r>
            <w:r>
              <w:rPr>
                <w:rFonts w:ascii="Times New Roman;serif" w:hAnsi="Times New Roman;serif"/>
                <w:b/>
                <w:color w:val="000000"/>
                <w:sz w:val="12"/>
              </w:rPr>
              <w:t>(a)</w:t>
            </w:r>
          </w:p>
        </w:tc>
      </w:tr>
      <w:tr>
        <w:trPr/>
        <w:tc>
          <w:tcPr>
            <w:tcW w:w="193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w:t>
            </w:r>
          </w:p>
        </w:tc>
        <w:tc>
          <w:tcPr>
            <w:tcW w:w="414"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Percentage of Q2 2026 LQA</w:t>
            </w:r>
            <w:r>
              <w:rPr>
                <w:color w:val="000000"/>
              </w:rPr>
              <w:t xml:space="preserve"> </w:t>
            </w:r>
            <w:r>
              <w:rPr>
                <w:rFonts w:ascii="Times New Roman;serif" w:hAnsi="Times New Roman;serif"/>
                <w:b/>
                <w:color w:val="000000"/>
                <w:sz w:val="18"/>
              </w:rPr>
              <w:t xml:space="preserve">Site </w:t>
              <w:br/>
              <w:t>Rental Revenues</w:t>
            </w:r>
          </w:p>
        </w:tc>
        <w:tc>
          <w:tcPr>
            <w:tcW w:w="414"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Current </w:t>
              <w:br/>
              <w:t>Term Remaining</w:t>
            </w:r>
            <w:r>
              <w:rPr>
                <w:rFonts w:ascii="Times New Roman;serif" w:hAnsi="Times New Roman;serif"/>
                <w:b/>
                <w:color w:val="000000"/>
                <w:sz w:val="12"/>
              </w:rPr>
              <w:t>(c)</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T-Mobile</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9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Verizon</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9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Others Combined</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Weighted Average</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84" w:type="dxa"/>
        <w:jc w:val="center"/>
        <w:tblInd w:w="0" w:type="dxa"/>
        <w:tblLayout w:type="fixed"/>
        <w:tblCellMar>
          <w:top w:w="28" w:type="dxa"/>
          <w:left w:w="28" w:type="dxa"/>
          <w:bottom w:w="28" w:type="dxa"/>
          <w:right w:w="28" w:type="dxa"/>
        </w:tblCellMar>
      </w:tblPr>
      <w:tblGrid>
        <w:gridCol w:w="901"/>
        <w:gridCol w:w="791"/>
        <w:gridCol w:w="798"/>
        <w:gridCol w:w="124"/>
        <w:gridCol w:w="124"/>
        <w:gridCol w:w="124"/>
        <w:gridCol w:w="577"/>
        <w:gridCol w:w="975"/>
        <w:gridCol w:w="323"/>
        <w:gridCol w:w="124"/>
        <w:gridCol w:w="124"/>
        <w:gridCol w:w="124"/>
        <w:gridCol w:w="223"/>
        <w:gridCol w:w="377"/>
        <w:gridCol w:w="124"/>
        <w:gridCol w:w="124"/>
        <w:gridCol w:w="124"/>
        <w:gridCol w:w="124"/>
        <w:gridCol w:w="223"/>
        <w:gridCol w:w="480"/>
        <w:gridCol w:w="124"/>
        <w:gridCol w:w="124"/>
        <w:gridCol w:w="124"/>
        <w:gridCol w:w="124"/>
        <w:gridCol w:w="223"/>
        <w:gridCol w:w="480"/>
        <w:gridCol w:w="124"/>
        <w:gridCol w:w="124"/>
        <w:gridCol w:w="124"/>
        <w:gridCol w:w="124"/>
        <w:gridCol w:w="223"/>
        <w:gridCol w:w="480"/>
        <w:gridCol w:w="124"/>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30" w:type="dxa"/>
            <w:gridSpan w:val="3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ANNUALIZED RENTAL CASH PAYMENTS AT TIME OF RENEWAL</w:t>
            </w:r>
            <w:r>
              <w:rPr>
                <w:rFonts w:ascii="Times New Roman;serif" w:hAnsi="Times New Roman;serif"/>
                <w:b/>
                <w:color w:val="000000"/>
                <w:sz w:val="12"/>
              </w:rPr>
              <w:t>(b)(d)</w:t>
            </w:r>
          </w:p>
        </w:tc>
        <w:tc>
          <w:tcPr>
            <w:tcW w:w="154" w:type="dxa"/>
            <w:tcBorders/>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Six Months</w:t>
            </w:r>
          </w:p>
        </w:tc>
        <w:tc>
          <w:tcPr>
            <w:tcW w:w="37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Years Ending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in millions)</w:t>
            </w:r>
          </w:p>
        </w:tc>
        <w:tc>
          <w:tcPr>
            <w:tcW w:w="37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7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7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7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T-Mobile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w:t>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Verizon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Others Combined</w:t>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844"/>
        <w:gridCol w:w="632"/>
        <w:gridCol w:w="638"/>
        <w:gridCol w:w="136"/>
        <w:gridCol w:w="136"/>
        <w:gridCol w:w="136"/>
        <w:gridCol w:w="373"/>
        <w:gridCol w:w="991"/>
        <w:gridCol w:w="192"/>
        <w:gridCol w:w="136"/>
        <w:gridCol w:w="136"/>
        <w:gridCol w:w="136"/>
        <w:gridCol w:w="245"/>
        <w:gridCol w:w="699"/>
        <w:gridCol w:w="136"/>
        <w:gridCol w:w="136"/>
        <w:gridCol w:w="136"/>
        <w:gridCol w:w="136"/>
        <w:gridCol w:w="245"/>
        <w:gridCol w:w="699"/>
        <w:gridCol w:w="136"/>
        <w:gridCol w:w="136"/>
        <w:gridCol w:w="136"/>
        <w:gridCol w:w="136"/>
        <w:gridCol w:w="245"/>
        <w:gridCol w:w="699"/>
        <w:gridCol w:w="136"/>
        <w:gridCol w:w="136"/>
        <w:gridCol w:w="136"/>
        <w:gridCol w:w="136"/>
        <w:gridCol w:w="245"/>
        <w:gridCol w:w="699"/>
        <w:gridCol w:w="136"/>
        <w:gridCol w:w="175"/>
      </w:tblGrid>
      <w:tr>
        <w:trPr/>
        <w:tc>
          <w:tcPr>
            <w:tcW w:w="84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030" w:type="dxa"/>
            <w:gridSpan w:val="3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8"/>
              </w:rPr>
              <w:t>PROJECTED REVENUES FROM TENANT CONTRACTS ASSOCIATED WITH ACTIVE LICENSES</w:t>
            </w:r>
            <w:r>
              <w:rPr>
                <w:rFonts w:ascii="Times New Roman;serif" w:hAnsi="Times New Roman;serif"/>
                <w:b/>
                <w:color w:val="000000"/>
                <w:sz w:val="12"/>
              </w:rPr>
              <w:t>(b)(e)</w:t>
            </w:r>
          </w:p>
        </w:tc>
        <w:tc>
          <w:tcPr>
            <w:tcW w:w="175" w:type="dxa"/>
            <w:tcBorders/>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Six Months</w:t>
            </w:r>
          </w:p>
        </w:tc>
        <w:tc>
          <w:tcPr>
            <w:tcW w:w="40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4"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Years Ending December 31,</w:t>
            </w:r>
          </w:p>
        </w:tc>
        <w:tc>
          <w:tcPr>
            <w:tcW w:w="17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in millions)</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4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4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4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7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site rental revenues: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Site rental billings</w:t>
            </w:r>
            <w:r>
              <w:rPr>
                <w:rFonts w:ascii="Times New Roman;serif" w:hAnsi="Times New Roman;serif"/>
                <w:b w:val="false"/>
                <w:color w:val="000000"/>
                <w:sz w:val="12"/>
              </w:rPr>
              <w:t>(f)</w:t>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9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4,029 </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4,270 </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9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3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1,926 </w:t>
            </w:r>
          </w:p>
        </w:tc>
        <w:tc>
          <w:tcPr>
            <w:tcW w:w="19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3,831 </w:t>
            </w:r>
          </w:p>
        </w:tc>
        <w:tc>
          <w:tcPr>
            <w:tcW w:w="1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3,861 </w:t>
            </w:r>
          </w:p>
        </w:tc>
        <w:tc>
          <w:tcPr>
            <w:tcW w:w="1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amounts related to the Fiber Business, which are presented in discontinued operations through April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(b)Excludes amounts associated with DISH. See the Company's Form 8-K filed January 12, 2026, 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(c)Weighted by site rental revenues and excludes renewals at the tenants' option.</w:t>
      </w:r>
    </w:p>
    <w:p>
      <w:pPr>
        <w:pStyle w:val="TextBody"/>
        <w:bidi w:val="0"/>
        <w:spacing w:lineRule="auto" w:line="288" w:before="0" w:after="0"/>
        <w:ind w:left="0" w:right="0" w:hanging="360"/>
        <w:jc w:val="both"/>
        <w:rPr/>
      </w:pPr>
      <w:r>
        <w:rPr>
          <w:rFonts w:ascii="Times New Roman;serif" w:hAnsi="Times New Roman;serif"/>
          <w:b w:val="false"/>
          <w:color w:val="000000"/>
          <w:sz w:val="16"/>
        </w:rPr>
        <w:t>(d)Reflects lease renewals by year by tenant; dollar amounts represent annualized cash site rental revenues from assumed renewals or extensions as reflected in "</w:t>
      </w:r>
      <w:r>
        <w:rPr>
          <w:rFonts w:ascii="Times New Roman;serif" w:hAnsi="Times New Roman;serif"/>
          <w:b w:val="false"/>
          <w:i/>
          <w:color w:val="000000"/>
          <w:sz w:val="16"/>
        </w:rPr>
        <w:t>Projected Revenues from Tenant Contracts Associated with Active Licenses</w:t>
      </w:r>
      <w:r>
        <w:rPr>
          <w:rFonts w:ascii="Times New Roman;serif" w:hAnsi="Times New Roman;serif"/>
          <w:b w:val="false"/>
          <w:color w:val="000000"/>
          <w:sz w:val="16"/>
        </w:rPr>
        <w:t>" below.</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(e)Based on tenant licenses in place and active as of June 30, 2026. All tenant licenses are assumed to renew for a new term no later than the respective current term end date, and as such, projected revenues do not reflect the impact of estimated annual churn. CPI-linked tenant contracts are assumed to escalate at 3% per annum.</w:t>
      </w:r>
    </w:p>
    <w:p>
      <w:pPr>
        <w:pStyle w:val="TextBody"/>
        <w:bidi w:val="0"/>
        <w:spacing w:lineRule="auto" w:line="288" w:before="0" w:after="0"/>
        <w:ind w:left="0" w:right="0" w:hanging="360"/>
        <w:jc w:val="both"/>
        <w:rPr/>
      </w:pPr>
      <w:r>
        <w:rPr>
          <w:rFonts w:ascii="Times New Roman;serif" w:hAnsi="Times New Roman;serif"/>
          <w:b w:val="false"/>
          <w:color w:val="000000"/>
          <w:sz w:val="16"/>
        </w:rPr>
        <w:t>(f)See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our definition of site rental billings.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1408"/>
        <w:gridCol w:w="1184"/>
        <w:gridCol w:w="1196"/>
        <w:gridCol w:w="109"/>
        <w:gridCol w:w="109"/>
        <w:gridCol w:w="109"/>
        <w:gridCol w:w="464"/>
        <w:gridCol w:w="997"/>
        <w:gridCol w:w="260"/>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57"/>
      </w:tblGrid>
      <w:tr>
        <w:trPr/>
        <w:tc>
          <w:tcPr>
            <w:tcW w:w="140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3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PROJECTED EXPENSES FROM EXISTING GROUND LEASES</w:t>
            </w:r>
            <w:r>
              <w:rPr>
                <w:rFonts w:ascii="Times New Roman;serif" w:hAnsi="Times New Roman;serif"/>
                <w:b/>
                <w:color w:val="000000"/>
                <w:sz w:val="12"/>
              </w:rPr>
              <w:t>(a)</w:t>
            </w:r>
          </w:p>
        </w:tc>
        <w:tc>
          <w:tcPr>
            <w:tcW w:w="157" w:type="dxa"/>
            <w:tcBorders/>
          </w:tcPr>
          <w:p>
            <w:pPr>
              <w:pStyle w:val="TableContents"/>
              <w:bidi w:val="0"/>
              <w:spacing w:before="0" w:after="283"/>
              <w:jc w:val="left"/>
              <w:rPr>
                <w:sz w:val="4"/>
                <w:szCs w:val="4"/>
              </w:rPr>
            </w:pPr>
            <w:r>
              <w:rPr>
                <w:sz w:val="4"/>
                <w:szCs w:val="4"/>
              </w:rPr>
            </w:r>
          </w:p>
        </w:tc>
      </w:tr>
      <w:tr>
        <w:trPr/>
        <w:tc>
          <w:tcPr>
            <w:tcW w:w="37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Six Months</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Years Ending 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in millions)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Components of ground lease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Ground lease expenses exclusive of straight-lined expenses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Ground lease expenses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6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581"/>
        <w:gridCol w:w="1385"/>
        <w:gridCol w:w="1395"/>
        <w:gridCol w:w="164"/>
        <w:gridCol w:w="164"/>
        <w:gridCol w:w="164"/>
        <w:gridCol w:w="531"/>
        <w:gridCol w:w="293"/>
        <w:gridCol w:w="293"/>
        <w:gridCol w:w="293"/>
        <w:gridCol w:w="293"/>
        <w:gridCol w:w="690"/>
        <w:gridCol w:w="164"/>
        <w:gridCol w:w="164"/>
        <w:gridCol w:w="164"/>
        <w:gridCol w:w="520"/>
        <w:gridCol w:w="286"/>
        <w:gridCol w:w="286"/>
        <w:gridCol w:w="286"/>
        <w:gridCol w:w="286"/>
        <w:gridCol w:w="803"/>
      </w:tblGrid>
      <w:tr>
        <w:trPr/>
        <w:tc>
          <w:tcPr>
            <w:tcW w:w="15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OF TOWER PORTFOLIO BY VINTAGE</w:t>
            </w:r>
            <w:r>
              <w:rPr>
                <w:rFonts w:ascii="Times New Roman;serif" w:hAnsi="Times New Roman;serif"/>
                <w:b/>
                <w:color w:val="000000"/>
                <w:sz w:val="12"/>
              </w:rPr>
              <w:t>(b)</w:t>
            </w:r>
          </w:p>
        </w:tc>
      </w:tr>
      <w:tr>
        <w:trPr/>
        <w:tc>
          <w:tcPr>
            <w:tcW w:w="43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dollars in thousands)</w:t>
            </w:r>
          </w:p>
        </w:tc>
        <w:tc>
          <w:tcPr>
            <w:tcW w:w="49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6"/>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 and Built 2006 and Prior</w:t>
            </w:r>
          </w:p>
        </w:tc>
        <w:tc>
          <w:tcPr>
            <w:tcW w:w="49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6"/>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 and Built 2007 to Present</w:t>
            </w:r>
          </w:p>
        </w:tc>
      </w:tr>
      <w:tr>
        <w:trPr/>
        <w:tc>
          <w:tcPr>
            <w:tcW w:w="4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yield</w:t>
            </w:r>
            <w:r>
              <w:rPr>
                <w:rFonts w:ascii="Times New Roman;serif" w:hAnsi="Times New Roman;serif"/>
                <w:b w:val="false"/>
                <w:color w:val="000000"/>
                <w:sz w:val="12"/>
              </w:rPr>
              <w:t>(c)</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6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Number of tenants per tower</w:t>
            </w:r>
            <w:r>
              <w:rPr>
                <w:rFonts w:ascii="Times New Roman;serif" w:hAnsi="Times New Roman;serif"/>
                <w:b w:val="false"/>
                <w:color w:val="000000"/>
                <w:sz w:val="12"/>
              </w:rPr>
              <w:t>(d)</w:t>
            </w:r>
          </w:p>
        </w:tc>
        <w:tc>
          <w:tcPr>
            <w:tcW w:w="49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9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8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Last quarter annualized average cash site rental revenue per tower</w:t>
            </w:r>
            <w:r>
              <w:rPr>
                <w:rFonts w:ascii="Times New Roman;serif" w:hAnsi="Times New Roman;serif"/>
                <w:b w:val="false"/>
                <w:color w:val="000000"/>
                <w:sz w:val="12"/>
              </w:rPr>
              <w:t>(e)</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Last quarter annualized average site rental gross cash margin per tower</w:t>
            </w:r>
            <w:r>
              <w:rPr>
                <w:rFonts w:ascii="Times New Roman;serif" w:hAnsi="Times New Roman;serif"/>
                <w:b w:val="false"/>
                <w:color w:val="000000"/>
                <w:sz w:val="12"/>
              </w:rPr>
              <w:t>(f)</w:t>
            </w:r>
          </w:p>
        </w:tc>
        <w:tc>
          <w:tcPr>
            <w:tcW w:w="49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gridSpan w:val="4"/>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69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gridSpan w:val="4"/>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8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invested capital per tower</w:t>
            </w:r>
            <w:r>
              <w:rPr>
                <w:rFonts w:ascii="Times New Roman;serif" w:hAnsi="Times New Roman;serif"/>
                <w:b w:val="false"/>
                <w:color w:val="000000"/>
                <w:sz w:val="12"/>
              </w:rPr>
              <w:t>(g)</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towers</w:t>
            </w:r>
          </w:p>
        </w:tc>
        <w:tc>
          <w:tcPr>
            <w:tcW w:w="49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11,153 </w:t>
            </w:r>
          </w:p>
        </w:tc>
        <w:tc>
          <w:tcPr>
            <w:tcW w:w="69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28,588 </w:t>
            </w:r>
          </w:p>
        </w:tc>
        <w:tc>
          <w:tcPr>
            <w:tcW w:w="8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81"/>
        <w:gridCol w:w="258"/>
        <w:gridCol w:w="260"/>
        <w:gridCol w:w="109"/>
        <w:gridCol w:w="109"/>
        <w:gridCol w:w="109"/>
        <w:gridCol w:w="218"/>
        <w:gridCol w:w="620"/>
        <w:gridCol w:w="122"/>
        <w:gridCol w:w="109"/>
        <w:gridCol w:w="109"/>
        <w:gridCol w:w="109"/>
        <w:gridCol w:w="240"/>
        <w:gridCol w:w="240"/>
        <w:gridCol w:w="565"/>
        <w:gridCol w:w="109"/>
        <w:gridCol w:w="109"/>
        <w:gridCol w:w="109"/>
        <w:gridCol w:w="216"/>
        <w:gridCol w:w="613"/>
        <w:gridCol w:w="120"/>
        <w:gridCol w:w="109"/>
        <w:gridCol w:w="109"/>
        <w:gridCol w:w="109"/>
        <w:gridCol w:w="243"/>
        <w:gridCol w:w="243"/>
        <w:gridCol w:w="572"/>
        <w:gridCol w:w="109"/>
        <w:gridCol w:w="109"/>
        <w:gridCol w:w="109"/>
        <w:gridCol w:w="402"/>
        <w:gridCol w:w="262"/>
        <w:gridCol w:w="263"/>
        <w:gridCol w:w="109"/>
        <w:gridCol w:w="109"/>
        <w:gridCol w:w="109"/>
        <w:gridCol w:w="221"/>
        <w:gridCol w:w="221"/>
        <w:gridCol w:w="520"/>
        <w:gridCol w:w="109"/>
        <w:gridCol w:w="109"/>
        <w:gridCol w:w="109"/>
        <w:gridCol w:w="323"/>
        <w:gridCol w:w="323"/>
        <w:gridCol w:w="470"/>
      </w:tblGrid>
      <w:tr>
        <w:trPr/>
        <w:tc>
          <w:tcPr>
            <w:tcW w:w="3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GROUND INTEREST OVERVIEW</w:t>
            </w:r>
          </w:p>
        </w:tc>
      </w:tr>
      <w:tr>
        <w:trPr/>
        <w:tc>
          <w:tcPr>
            <w:tcW w:w="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dollars in millions)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LQA Cash Site Rental Revenues</w:t>
            </w:r>
            <w:r>
              <w:rPr>
                <w:rFonts w:ascii="Times New Roman;serif" w:hAnsi="Times New Roman;serif"/>
                <w:b/>
                <w:color w:val="000000"/>
                <w:sz w:val="12"/>
              </w:rPr>
              <w: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Percentage of LQA Cash Site Rental Revenues</w:t>
            </w:r>
            <w:r>
              <w:rPr>
                <w:rFonts w:ascii="Times New Roman;serif" w:hAnsi="Times New Roman;serif"/>
                <w:b/>
                <w:color w:val="000000"/>
                <w:sz w:val="12"/>
              </w:rPr>
              <w: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LQA Site Rental Gross Cash Margin</w:t>
            </w:r>
            <w:r>
              <w:rPr>
                <w:rFonts w:ascii="Times New Roman;serif" w:hAnsi="Times New Roman;serif"/>
                <w:b/>
                <w:color w:val="000000"/>
                <w:sz w:val="12"/>
              </w:rPr>
              <w:t>(f)</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Percentage of LQA Site Rental Gross Cash Margin</w:t>
            </w:r>
            <w:r>
              <w:rPr>
                <w:rFonts w:ascii="Times New Roman;serif" w:hAnsi="Times New Roman;serif"/>
                <w:b/>
                <w:color w:val="000000"/>
                <w:sz w:val="12"/>
              </w:rPr>
              <w:t>(f)</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Number of Towers</w:t>
            </w:r>
            <w:r>
              <w:rPr>
                <w:rFonts w:ascii="Times New Roman;serif" w:hAnsi="Times New Roman;serif"/>
                <w:b/>
                <w:color w:val="000000"/>
                <w:sz w:val="12"/>
              </w:rPr>
              <w:t>(h)</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Towers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Weighted Average Term Remaining (by years)</w:t>
            </w:r>
            <w:r>
              <w:rPr>
                <w:rFonts w:ascii="Times New Roman;serif" w:hAnsi="Times New Roman;serif"/>
                <w:b/>
                <w:color w:val="000000"/>
                <w:sz w:val="12"/>
              </w:rPr>
              <w:t>(i)</w:t>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to 20 years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2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65"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72"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6,113 </w:t>
            </w:r>
          </w:p>
        </w:tc>
        <w:tc>
          <w:tcPr>
            <w:tcW w:w="26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2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Greater than 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2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65"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20"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7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27,566 </w:t>
            </w:r>
          </w:p>
        </w:tc>
        <w:tc>
          <w:tcPr>
            <w:tcW w:w="26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520"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70"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2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65"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72"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12,175 </w:t>
            </w:r>
          </w:p>
        </w:tc>
        <w:tc>
          <w:tcPr>
            <w:tcW w:w="26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2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39,741 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(a)Based on existing ground leases as of June 30, 2026. CPI-linked contracts are assumed to escalate at 3% per annum.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(b)All tower portfolio figures are calculated exclusively for the Company's towers and rooftops and do not give effect to other activities.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(c)Cash yield is calculated as last quarter annualized site rental gross margin, exclusive of straight-lined revenues, amortization of prepaid rent, and straight-lined expenses, divided by invested capital net of the amount of prepaid rent received from tenants.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(d)Excludes DISH.</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(e)Exclusive of straight-lined revenues and amortization of prepaid rent.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(f)Exclusive of straight-lined revenues, amortization of prepaid rent and straight-lined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(g)Reflects gross total assets (including incremental capital invested by the Company since time of acquisition or construction completion), less any prepaid rent. Inclusive of invested capital related to land at the tower site.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(h)Excludes third-party land interests.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(i)Includes all renewal terms at the Company's option and weighted by site rental gross margin exclusive of straight-lined revenues, amortization of prepaid rent and straight-lined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1257"/>
        <w:gridCol w:w="890"/>
        <w:gridCol w:w="898"/>
        <w:gridCol w:w="109"/>
        <w:gridCol w:w="109"/>
        <w:gridCol w:w="109"/>
        <w:gridCol w:w="202"/>
        <w:gridCol w:w="683"/>
        <w:gridCol w:w="112"/>
        <w:gridCol w:w="109"/>
        <w:gridCol w:w="109"/>
        <w:gridCol w:w="109"/>
        <w:gridCol w:w="354"/>
        <w:gridCol w:w="354"/>
        <w:gridCol w:w="356"/>
        <w:gridCol w:w="109"/>
        <w:gridCol w:w="109"/>
        <w:gridCol w:w="109"/>
        <w:gridCol w:w="300"/>
        <w:gridCol w:w="300"/>
        <w:gridCol w:w="302"/>
        <w:gridCol w:w="109"/>
        <w:gridCol w:w="109"/>
        <w:gridCol w:w="109"/>
        <w:gridCol w:w="529"/>
        <w:gridCol w:w="529"/>
        <w:gridCol w:w="531"/>
        <w:gridCol w:w="109"/>
        <w:gridCol w:w="109"/>
        <w:gridCol w:w="109"/>
        <w:gridCol w:w="109"/>
        <w:gridCol w:w="249"/>
        <w:gridCol w:w="249"/>
        <w:gridCol w:w="366"/>
      </w:tblGrid>
      <w:tr>
        <w:trPr/>
        <w:tc>
          <w:tcPr>
            <w:tcW w:w="125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9341" w:type="dxa"/>
            <w:gridSpan w:val="31"/>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864" w:type="dxa"/>
            <w:gridSpan w:val="3"/>
            <w:tcBorders/>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(as of June 30, 2026; dollars in millions)</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Face Value</w:t>
            </w:r>
            <w:r>
              <w:rPr>
                <w:rFonts w:ascii="Times New Roman;serif" w:hAnsi="Times New Roman;serif"/>
                <w:b/>
                <w:color w:val="000000"/>
                <w:sz w:val="10"/>
              </w:rPr>
              <w:t>(a)</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vs. Variable</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rFonts w:ascii="Times New Roman;serif" w:hAnsi="Times New Roman;serif"/>
                <w:b/>
                <w:color w:val="000000"/>
                <w:sz w:val="10"/>
              </w:rPr>
              <w:t>(b)</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Debt to LQA Adjusted EBITDA</w:t>
            </w:r>
            <w:r>
              <w:rPr>
                <w:rFonts w:ascii="Times New Roman;serif" w:hAnsi="Times New Roman;serif"/>
                <w:b/>
                <w:color w:val="000000"/>
                <w:sz w:val="10"/>
              </w:rPr>
              <w:t>(c)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3045"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Cash and cash equivalents and restricted cash and cash equivalents</w:t>
            </w:r>
            <w:r>
              <w:rPr>
                <w:rFonts w:ascii="Times New Roman;serif" w:hAnsi="Times New Roman;serif"/>
                <w:b/>
                <w:color w:val="000000"/>
                <w:sz w:val="10"/>
              </w:rPr>
              <w:t>(d)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1,254</w:t>
            </w:r>
            <w:r>
              <w:rPr>
                <w:color w:val="000000"/>
              </w:rPr>
              <w:t> </w:t>
            </w:r>
          </w:p>
        </w:tc>
        <w:tc>
          <w:tcPr>
            <w:tcW w:w="11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Senior Secured Notes, Series 2009-1, Class A-2</w:t>
            </w:r>
            <w:r>
              <w:rPr>
                <w:rFonts w:ascii="Times New Roman;serif" w:hAnsi="Times New Roman;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2029</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Senior Secured Tower Revenue Notes, Series 2018-2</w:t>
            </w:r>
            <w:r>
              <w:rPr>
                <w:rFonts w:ascii="Times New Roman;serif" w:hAnsi="Times New Roman;serif"/>
                <w:b w:val="false"/>
                <w:color w:val="000000"/>
                <w:sz w:val="10"/>
              </w:rPr>
              <w:t>(f)</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2048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Installment purchase liabilities and finance leases</w:t>
            </w:r>
            <w:r>
              <w:rPr>
                <w:rFonts w:ascii="Times New Roman;serif" w:hAnsi="Times New Roman;serif"/>
                <w:b w:val="false"/>
                <w:color w:val="000000"/>
                <w:sz w:val="10"/>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secured debt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1,033</w:t>
            </w:r>
            <w:r>
              <w:rPr>
                <w:color w:val="000000"/>
              </w:rPr>
              <w:t> </w:t>
            </w:r>
          </w:p>
        </w:tc>
        <w:tc>
          <w:tcPr>
            <w:tcW w:w="11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2026 Revolver</w:t>
            </w:r>
            <w:r>
              <w:rPr>
                <w:rFonts w:ascii="Times New Roman;serif" w:hAnsi="Times New Roman;serif"/>
                <w:b w:val="false"/>
                <w:color w:val="000000"/>
                <w:sz w:val="10"/>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2031</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Commercial Paper Notes</w:t>
            </w:r>
            <w:r>
              <w:rPr>
                <w:rFonts w:ascii="Times New Roman;serif" w:hAnsi="Times New Roman;serif"/>
                <w:b w:val="false"/>
                <w:color w:val="000000"/>
                <w:sz w:val="10"/>
              </w:rPr>
              <w:t>(i)</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Variable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1.050% Senior Notes</w:t>
            </w:r>
            <w:r>
              <w:rPr>
                <w:rFonts w:ascii="Times New Roman;serif" w:hAnsi="Times New Roman;serif"/>
                <w:b w:val="false"/>
                <w:color w:val="000000"/>
                <w:sz w:val="10"/>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2.900%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 2027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 2027</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3.650%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2027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 2028</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3.800%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 2028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4.800%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2028</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4.300%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 2029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5.600%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2029</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4.900%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2029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 2029</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3.300% Senior Notes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 2031</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2.100%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 2031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2031</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5.100%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2033</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5.800%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 2034</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5.200%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2034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2.900%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 2041</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4.750%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2047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5.200%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 2049</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 2049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2050</w:t>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3.250%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 2051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17,320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6.4x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Net Debt</w:t>
            </w:r>
            <w:r>
              <w:rPr>
                <w:rFonts w:ascii="Times New Roman;serif" w:hAnsi="Times New Roman;serif"/>
                <w:b/>
                <w:color w:val="000000"/>
                <w:sz w:val="10"/>
              </w:rPr>
              <w:t>(c)</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17,099</w:t>
            </w:r>
            <w:r>
              <w:rPr>
                <w:color w:val="000000"/>
              </w:rPr>
              <w:t> </w:t>
            </w:r>
          </w:p>
        </w:tc>
        <w:tc>
          <w:tcPr>
            <w:tcW w:w="11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color w:val="000000"/>
                <w:sz w:val="16"/>
              </w:rPr>
              <w:t>Market Capitalization</w:t>
            </w:r>
            <w:r>
              <w:rPr>
                <w:rFonts w:ascii="Times New Roman;serif" w:hAnsi="Times New Roman;serif"/>
                <w:b/>
                <w:color w:val="000000"/>
                <w:sz w:val="10"/>
              </w:rPr>
              <w:t>(k)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32,244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color w:val="000000"/>
                <w:sz w:val="16"/>
              </w:rPr>
              <w:t>Firm Value</w:t>
            </w:r>
            <w:r>
              <w:rPr>
                <w:rFonts w:ascii="Times New Roman;serif" w:hAnsi="Times New Roman;serif"/>
                <w:b/>
                <w:color w:val="000000"/>
                <w:sz w:val="10"/>
              </w:rPr>
              <w:t>(l)</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49,343</w:t>
            </w:r>
            <w:r>
              <w:rPr>
                <w:color w:val="000000"/>
              </w:rPr>
              <w:t> </w:t>
            </w:r>
          </w:p>
        </w:tc>
        <w:tc>
          <w:tcPr>
            <w:tcW w:w="11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(a)Net of required principal amortizations and repurchases.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the weighted-average stated interest rate, as applicable, exclusive of finance leases and other obligations.</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(c)Represents the applicable amount of debt divided by Last Quarter Annualized Adjusted EBITDA. See </w:t>
      </w:r>
      <w:r>
        <w:rPr>
          <w:rFonts w:ascii="Times New Roman;serif" w:hAnsi="Times New Roman;serif"/>
          <w:b w:val="false"/>
          <w:i/>
          <w:color w:val="000000"/>
          <w:sz w:val="16"/>
        </w:rPr>
        <w:t xml:space="preserve">"Non-GAAP Measures and Other Information" </w:t>
      </w:r>
      <w:r>
        <w:rPr>
          <w:rFonts w:ascii="Times New Roman;serif" w:hAnsi="Times New Roman;serif"/>
          <w:b w:val="false"/>
          <w:color w:val="000000"/>
          <w:sz w:val="16"/>
        </w:rPr>
        <w:t>for further information on, and our definition and calculation of, Net Debt and Net Debt to Last Quarter Annualized Adjusted EBITDA.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(d)Cash on hand was used to repay the 1.050% Senior Notes on the contractual maturity date in July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(e)The Senior Secured Notes, 2009-1, Class A-2 principal amortizes over a period ending in August 2029.</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(f)If the $750 million aggregate principal amount of 4.241% senior secured tower revenue notes ("Tower Revenue Notes, Series 2018-2") is not paid in full on or prior to July 2028, the anticipated repayment date, then the Excess Cash Flow (as defined in the indenture) of the issuers of such notes will be used to repay the principal, and additional interest (of approximately 5% per annum) will accrue on such notes. The Tower Revenue Notes, Series 2018-2 are prepayable at par if voluntarily repaid within eighteen months of the anticipated repayment date; earlier prepayment may require additional consideration.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(g)As of June 30, 2026, reflects $5 million in finance lease obligations (primarily related to vehicles).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(h)As of June 30, 2026, the undrawn availability under the $4.5 billion 2026 Revolver was $4.5 billion. The Company pays a commitment fee on the undrawn available amount, which as of June 30, 2026, ranged from 0.080% to 0.200%, based on the Company's senior unsecured debt rating, per annum.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(i)As of June 30, 2026, the Company had $2.0 billion available for issuance under the $2.0 billion unsecured commercial paper program ("CP Program"). The maturities of the Commercial Paper Notes ("CP Notes"), when outstanding, may vary but may not exceed 397 days from the date of issue.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(j)In July 2026, we repaid in full the 1.050% Senior Notes on the contractual maturity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(k)Market capitalization calculated based on $75.73 closing price and 426 million shares outstanding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(l)Represents the sum of Net Debt and market 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7726"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724"/>
        <w:gridCol w:w="724"/>
        <w:gridCol w:w="726"/>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2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 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2955" w:type="dxa"/>
        <w:jc w:val="center"/>
        <w:tblInd w:w="0" w:type="dxa"/>
        <w:tblLayout w:type="fixed"/>
        <w:tblCellMar>
          <w:top w:w="28" w:type="dxa"/>
          <w:left w:w="28" w:type="dxa"/>
          <w:bottom w:w="28" w:type="dxa"/>
          <w:right w:w="28" w:type="dxa"/>
        </w:tblCellMar>
      </w:tblPr>
      <w:tblGrid>
        <w:gridCol w:w="946"/>
        <w:gridCol w:w="830"/>
        <w:gridCol w:w="1179"/>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DEBT MATURITY OVERVIEW</w:t>
            </w:r>
            <w:r>
              <w:rPr>
                <w:rFonts w:ascii="Times New Roman;serif" w:hAnsi="Times New Roman;serif"/>
                <w:b/>
                <w:color w:val="000000"/>
                <w:sz w:val="12"/>
              </w:rPr>
              <w:t>(a)</w:t>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in millions)</w:t>
      </w:r>
    </w:p>
    <w:p>
      <w:pPr>
        <w:pStyle w:val="TextBody"/>
        <w:bidi w:val="0"/>
        <w:spacing w:before="0" w:after="0"/>
        <w:jc w:val="both"/>
        <w:rPr/>
      </w:pPr>
      <w:r>
        <w:rPr/>
        <w:drawing>
          <wp:inline distT="0" distB="0" distL="0" distR="0">
            <wp:extent cx="3867150" cy="1524000"/>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1"/>
                    <a:stretch>
                      <a:fillRect/>
                    </a:stretch>
                  </pic:blipFill>
                  <pic:spPr bwMode="auto">
                    <a:xfrm>
                      <a:off x="0" y="0"/>
                      <a:ext cx="3867150" cy="1524000"/>
                    </a:xfrm>
                    <a:prstGeom prst="rect">
                      <a:avLst/>
                    </a:prstGeom>
                  </pic:spPr>
                </pic:pic>
              </a:graphicData>
            </a:graphic>
          </wp:inline>
        </w:drawing>
      </w:r>
      <w:r>
        <w:rPr/>
        <w:drawing>
          <wp:inline distT="0" distB="0" distL="0" distR="0">
            <wp:extent cx="9144000" cy="3657600"/>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2"/>
                    <a:stretch>
                      <a:fillRect/>
                    </a:stretch>
                  </pic:blipFill>
                  <pic:spPr bwMode="auto">
                    <a:xfrm>
                      <a:off x="0" y="0"/>
                      <a:ext cx="9144000" cy="3657600"/>
                    </a:xfrm>
                    <a:prstGeom prst="rect">
                      <a:avLst/>
                    </a:prstGeom>
                  </pic:spPr>
                </pic:pic>
              </a:graphicData>
            </a:graphic>
          </wp:inline>
        </w:drawing>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(a)Where applicable, maturities reflect the anticipated repayment date of the Tower Revenue Notes, Series 2018-2; excludes finance leases and other obligations; amounts presented at face value, net of required principal amortizations and repurchases held at the Company. </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 July 2026, we repaid in full the 1.050% Senior Notes with a face value of $1.0 billion on the contractual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First Quarter 2025</w:t>
      </w:r>
    </w:p>
    <w:tbl>
      <w:tblPr>
        <w:tblW w:w="681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20"/>
        <w:gridCol w:w="420"/>
        <w:gridCol w:w="42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FINANCIAL</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6901" w:type="dxa"/>
        <w:jc w:val="center"/>
        <w:tblInd w:w="0" w:type="dxa"/>
        <w:tblLayout w:type="fixed"/>
        <w:tblCellMar>
          <w:top w:w="28" w:type="dxa"/>
          <w:left w:w="28" w:type="dxa"/>
          <w:bottom w:w="28" w:type="dxa"/>
          <w:right w:w="28" w:type="dxa"/>
        </w:tblCellMar>
      </w:tblPr>
      <w:tblGrid>
        <w:gridCol w:w="1819"/>
        <w:gridCol w:w="1600"/>
        <w:gridCol w:w="1605"/>
        <w:gridCol w:w="166"/>
        <w:gridCol w:w="166"/>
        <w:gridCol w:w="166"/>
        <w:gridCol w:w="298"/>
        <w:gridCol w:w="847"/>
        <w:gridCol w:w="23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90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LIQUIDITY OVERVIEW</w:t>
            </w:r>
            <w:r>
              <w:rPr>
                <w:rFonts w:ascii="Times New Roman;serif" w:hAnsi="Times New Roman;serif"/>
                <w:b/>
                <w:color w:val="000000"/>
                <w:sz w:val="12"/>
              </w:rPr>
              <w:t>(a)</w:t>
            </w:r>
          </w:p>
        </w:tc>
      </w:tr>
      <w:tr>
        <w:trPr/>
        <w:tc>
          <w:tcPr>
            <w:tcW w:w="50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4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Cash and cash equivalents, and restricted cash and cash equivalents</w:t>
            </w:r>
            <w:r>
              <w:rPr>
                <w:rFonts w:ascii="Times New Roman;serif" w:hAnsi="Times New Roman;serif"/>
                <w:b w:val="false"/>
                <w:color w:val="000000"/>
                <w:sz w:val="12"/>
              </w:rPr>
              <w:t>(b)</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Undrawn 2026 Revolver availability</w:t>
            </w:r>
            <w:r>
              <w:rPr>
                <w:rFonts w:ascii="Times New Roman;serif" w:hAnsi="Times New Roman;serif"/>
                <w:b w:val="false"/>
                <w:color w:val="000000"/>
                <w:sz w:val="12"/>
              </w:rPr>
              <w:t>(c)</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2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debt and other obligations (current and non-current)</w:t>
            </w:r>
            <w:r>
              <w:rPr>
                <w:rFonts w:ascii="Times New Roman;serif" w:hAnsi="Times New Roman;serif"/>
                <w:b w:val="false"/>
                <w:color w:val="000000"/>
                <w:sz w:val="12"/>
              </w:rPr>
              <w:t>(d)</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equity (deficit)</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w:t>
            </w:r>
          </w:p>
        </w:tc>
        <w:tc>
          <w:tcPr>
            <w:tcW w:w="2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807"/>
        <w:gridCol w:w="439"/>
        <w:gridCol w:w="404"/>
        <w:gridCol w:w="146"/>
        <w:gridCol w:w="146"/>
        <w:gridCol w:w="146"/>
        <w:gridCol w:w="866"/>
        <w:gridCol w:w="785"/>
        <w:gridCol w:w="788"/>
        <w:gridCol w:w="146"/>
        <w:gridCol w:w="146"/>
        <w:gridCol w:w="146"/>
        <w:gridCol w:w="537"/>
        <w:gridCol w:w="537"/>
        <w:gridCol w:w="539"/>
        <w:gridCol w:w="146"/>
        <w:gridCol w:w="146"/>
        <w:gridCol w:w="146"/>
        <w:gridCol w:w="534"/>
        <w:gridCol w:w="534"/>
        <w:gridCol w:w="535"/>
        <w:gridCol w:w="146"/>
        <w:gridCol w:w="146"/>
        <w:gridCol w:w="146"/>
        <w:gridCol w:w="332"/>
        <w:gridCol w:w="332"/>
        <w:gridCol w:w="484"/>
      </w:tblGrid>
      <w:tr>
        <w:trPr/>
        <w:tc>
          <w:tcPr>
            <w:tcW w:w="8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SUMMARY OF MAINTENANCE AND FINANCIAL COVENANTS</w:t>
            </w:r>
          </w:p>
        </w:tc>
      </w:tr>
      <w:tr>
        <w:trPr/>
        <w:tc>
          <w:tcPr>
            <w:tcW w:w="1650"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w:t>
            </w:r>
          </w:p>
        </w:tc>
        <w:tc>
          <w:tcPr>
            <w:tcW w:w="43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Borrower / Issuer</w:t>
            </w:r>
          </w:p>
        </w:tc>
        <w:tc>
          <w:tcPr>
            <w:tcW w:w="43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Covenant</w:t>
            </w:r>
            <w:r>
              <w:rPr>
                <w:rFonts w:ascii="Times New Roman;serif" w:hAnsi="Times New Roman;serif"/>
                <w:b/>
                <w:color w:val="000000"/>
                <w:sz w:val="12"/>
              </w:rPr>
              <w:t>(e)</w:t>
            </w:r>
          </w:p>
        </w:tc>
        <w:tc>
          <w:tcPr>
            <w:tcW w:w="43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Covenant Level Requirement</w:t>
            </w:r>
          </w:p>
        </w:tc>
        <w:tc>
          <w:tcPr>
            <w:tcW w:w="43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Maintenance Financial Covenants</w:t>
            </w:r>
            <w:r>
              <w:rPr>
                <w:rFonts w:ascii="Times New Roman;serif" w:hAnsi="Times New Roman;serif"/>
                <w:b/>
                <w:color w:val="000000"/>
                <w:sz w:val="12"/>
              </w:rPr>
              <w:t>(f)</w:t>
            </w:r>
          </w:p>
        </w:tc>
      </w:tr>
      <w:tr>
        <w:trPr/>
        <w:tc>
          <w:tcPr>
            <w:tcW w:w="16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Credit Facility</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CCI</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Leverage Ratio</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7.00x</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6.1x</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Credit Facility</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CCI</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Secured Leverage Ratio</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3.50x</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0.3x</w:t>
            </w:r>
          </w:p>
        </w:tc>
      </w:tr>
      <w:tr>
        <w:trPr/>
        <w:tc>
          <w:tcPr>
            <w:tcW w:w="165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Financial covenants requiring excess cash flows to be deposited in a cash trap reserve account and not released</w:t>
            </w:r>
          </w:p>
        </w:tc>
      </w:tr>
      <w:tr>
        <w:trPr/>
        <w:tc>
          <w:tcPr>
            <w:tcW w:w="165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2018-2</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4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Crown Castle Towers LLC and its Subsidiaries</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&gt; 1.75x</w:t>
            </w:r>
          </w:p>
        </w:tc>
        <w:tc>
          <w:tcPr>
            <w:tcW w:w="43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(g)</w:t>
            </w:r>
          </w:p>
        </w:tc>
        <w:tc>
          <w:tcPr>
            <w:tcW w:w="114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30.2x</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2009 Securitized Notes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Pinnacle Towers Acquisition Holdings LLC and its Subsidiaries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&gt; 1.30x</w:t>
            </w:r>
          </w:p>
        </w:tc>
        <w:tc>
          <w:tcPr>
            <w:tcW w:w="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(g)</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53.9x</w:t>
            </w:r>
          </w:p>
        </w:tc>
      </w:tr>
      <w:tr>
        <w:trPr/>
        <w:tc>
          <w:tcPr>
            <w:tcW w:w="165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Financial covenants restricting ability of relevant issuer to issue additional notes under the applicable indenture</w:t>
            </w:r>
          </w:p>
        </w:tc>
      </w:tr>
      <w:tr>
        <w:trPr/>
        <w:tc>
          <w:tcPr>
            <w:tcW w:w="165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2018-2</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4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Crown Castle Towers LLC and its Subsidiaries</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3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2.00x</w:t>
            </w:r>
          </w:p>
        </w:tc>
        <w:tc>
          <w:tcPr>
            <w:tcW w:w="438"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(h)</w:t>
            </w:r>
          </w:p>
        </w:tc>
        <w:tc>
          <w:tcPr>
            <w:tcW w:w="114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30.2x</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2009 Securitized Notes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Pinnacle Towers Acquisition Holdings LLC and its Subsidiaries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2.34x</w:t>
            </w:r>
          </w:p>
        </w:tc>
        <w:tc>
          <w:tcPr>
            <w:tcW w:w="43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(h)</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53.9x</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 addition, we have the following sources of liquidity: </w:t>
      </w:r>
    </w:p>
    <w:p>
      <w:pPr>
        <w:pStyle w:val="TextBody"/>
        <w:bidi w:val="0"/>
        <w:spacing w:lineRule="auto" w:line="288" w:before="0" w:after="0"/>
        <w:ind w:left="0" w:right="0" w:hanging="444"/>
        <w:jc w:val="both"/>
        <w:rPr>
          <w:rFonts w:ascii="Times New Roman;serif" w:hAnsi="Times New Roman;serif"/>
          <w:b w:val="false"/>
          <w:color w:val="000000"/>
          <w:sz w:val="16"/>
        </w:rPr>
      </w:pPr>
      <w:r>
        <w:rPr>
          <w:rFonts w:ascii="Times New Roman;serif" w:hAnsi="Times New Roman;serif"/>
          <w:b w:val="false"/>
          <w:color w:val="000000"/>
          <w:sz w:val="16"/>
        </w:rPr>
        <w:t xml:space="preserve">i.In March 2024, we established an at-the-market stock offering program ("ATM Program") through which we may, from time to time, issue and sell shares of our common stock having an aggregate gross sales price of up to $750 million to or through sales agents. No shares of common stock have been sold under the ATM Program. </w:t>
      </w:r>
    </w:p>
    <w:p>
      <w:pPr>
        <w:pStyle w:val="TextBody"/>
        <w:bidi w:val="0"/>
        <w:spacing w:lineRule="auto" w:line="288" w:before="0" w:after="0"/>
        <w:ind w:left="0" w:right="0" w:hanging="489"/>
        <w:jc w:val="both"/>
        <w:rPr>
          <w:rFonts w:ascii="Times New Roman;serif" w:hAnsi="Times New Roman;serif"/>
          <w:b w:val="false"/>
          <w:color w:val="000000"/>
          <w:sz w:val="16"/>
        </w:rPr>
      </w:pPr>
      <w:r>
        <w:rPr>
          <w:rFonts w:ascii="Times New Roman;serif" w:hAnsi="Times New Roman;serif"/>
          <w:b w:val="false"/>
          <w:color w:val="000000"/>
          <w:sz w:val="16"/>
        </w:rPr>
        <w:t>ii.In April 2019, we established a CP Program through which we may issue short term, unsecured CP Notes. Amounts available under the CP Program may be issued, repaid and re-issued from time to time, with the aggregate principal amount of CP Notes outstanding under the CP Program at any time not to exceed $2.0 billion. As of June 30, 2026, there were no CP Notes outstanding under our CP Program. We intend to maintain available commitments under our 2026 Revolver in an amount at least equal to the amount of CP Notes outstanding at any point in time.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(b)Inclusive of $5 million included within "Other assets, net" on our condensed consolidated balance sheet.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(c)Availability at any point in time is subject to reaffirmation of the representations and warranties in, and there being no default under, the credit agreement governing our 2026 Revolver.</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(d)See </w:t>
      </w:r>
      <w:r>
        <w:rPr>
          <w:rFonts w:ascii="Times New Roman;serif" w:hAnsi="Times New Roman;serif"/>
          <w:b w:val="false"/>
          <w:i/>
          <w:color w:val="000000"/>
          <w:sz w:val="16"/>
        </w:rPr>
        <w:t xml:space="preserve">"Non-GAAP Measures and Other Information" </w:t>
      </w:r>
      <w:r>
        <w:rPr>
          <w:rFonts w:ascii="Times New Roman;serif" w:hAnsi="Times New Roman;serif"/>
          <w:b w:val="false"/>
          <w:color w:val="000000"/>
          <w:sz w:val="16"/>
        </w:rPr>
        <w:t>for further information on, and reconciliation to, Net Debt.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(e)As defined in the respective debt agreement. In the indentures for the Tower Revenue Notes, Series 2018-2 and the 2009 Securitized Notes, the defined term for Debt Service Coverage Ratio is "DSCR." Total Net Leverage Ratio, Total Senior Secured Leverage Ratio and all DSCR ratios are calculated using the trailing twelve months.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(f)Failure to comply with the financial maintenance covenants would, absent a waiver, result in an event of default under the credit agreement governing our 2026 Credit Facility.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(g)The Tower Revenue Notes, Series 2018-2 and 2009 Securitized Notes also include the potential for amortization events, which could result in applying current and future cash flow to the prepayment of debt with applicable prepayment consideration. An amortization event occurs when the Debt Service Coverage Ratio falls below 1.45x or 1.15x, in each case as described under the indentures for the Tower Revenue Notes, Series 2018-2 or 2009 Securitized Notes,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(h)Rating Agency Confirmation (as defined in the respective debt agreement) is required.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First Quarter 2025</w:t>
      </w:r>
    </w:p>
    <w:tbl>
      <w:tblPr>
        <w:tblW w:w="681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20"/>
        <w:gridCol w:w="420"/>
        <w:gridCol w:w="42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FINANCIAL</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5649" w:type="dxa"/>
        <w:jc w:val="center"/>
        <w:tblInd w:w="0" w:type="dxa"/>
        <w:tblLayout w:type="fixed"/>
        <w:tblCellMar>
          <w:top w:w="28" w:type="dxa"/>
          <w:left w:w="28" w:type="dxa"/>
          <w:bottom w:w="28" w:type="dxa"/>
          <w:right w:w="28" w:type="dxa"/>
        </w:tblCellMar>
      </w:tblPr>
      <w:tblGrid>
        <w:gridCol w:w="994"/>
        <w:gridCol w:w="872"/>
        <w:gridCol w:w="878"/>
        <w:gridCol w:w="201"/>
        <w:gridCol w:w="201"/>
        <w:gridCol w:w="201"/>
        <w:gridCol w:w="205"/>
        <w:gridCol w:w="205"/>
        <w:gridCol w:w="205"/>
        <w:gridCol w:w="201"/>
        <w:gridCol w:w="201"/>
        <w:gridCol w:w="201"/>
        <w:gridCol w:w="201"/>
        <w:gridCol w:w="201"/>
        <w:gridCol w:w="201"/>
        <w:gridCol w:w="109"/>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INTEREST RATE EXPOSURE</w:t>
            </w:r>
            <w:r>
              <w:rPr>
                <w:rFonts w:ascii="Times New Roman;serif" w:hAnsi="Times New Roman;serif"/>
                <w:b/>
                <w:color w:val="000000"/>
                <w:sz w:val="12"/>
              </w:rPr>
              <w:t>(a)(b)</w:t>
            </w:r>
          </w:p>
        </w:tc>
        <w:tc>
          <w:tcPr>
            <w:tcW w:w="481" w:type="dxa"/>
            <w:gridSpan w:val="4"/>
            <w:tcBorders/>
          </w:tcPr>
          <w:p>
            <w:pPr>
              <w:pStyle w:val="TableContents"/>
              <w:bidi w:val="0"/>
              <w:spacing w:before="0" w:after="283"/>
              <w:jc w:val="left"/>
              <w:rPr>
                <w:sz w:val="4"/>
                <w:szCs w:val="4"/>
              </w:rPr>
            </w:pPr>
            <w:r>
              <w:rPr>
                <w:sz w:val="4"/>
                <w:szCs w:val="4"/>
              </w:rPr>
            </w:r>
          </w:p>
        </w:tc>
      </w:tr>
      <w:tr>
        <w:trPr/>
        <w:tc>
          <w:tcPr>
            <w:tcW w:w="516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dollars 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168"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Face value of principal outstanding</w:t>
            </w:r>
            <w:r>
              <w:rPr>
                <w:rFonts w:ascii="Times New Roman;serif" w:hAnsi="Times New Roman;serif"/>
                <w:b w:val="false"/>
                <w:color w:val="000000"/>
                <w:sz w:val="12"/>
              </w:rPr>
              <w:t>(c)</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$18,092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total debt</w:t>
            </w:r>
          </w:p>
        </w:tc>
        <w:tc>
          <w:tcPr>
            <w:tcW w:w="60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8" w:type="dxa"/>
            <w:gridSpan w:val="15"/>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Upcoming maturities:</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u w:val="single"/>
              </w:rPr>
              <w:t>2026</w:t>
            </w:r>
            <w:r>
              <w:rPr>
                <w:rFonts w:ascii="Times New Roman;serif" w:hAnsi="Times New Roman;serif"/>
                <w:b/>
                <w:color w:val="000000"/>
                <w:sz w:val="12"/>
                <w:u w:val="single"/>
              </w:rPr>
              <w:t>(d)</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Face value of principal outstanding</w:t>
            </w:r>
            <w:r>
              <w:rPr>
                <w:rFonts w:ascii="Times New Roman;serif" w:hAnsi="Times New Roman;serif"/>
                <w:b w:val="false"/>
                <w:color w:val="000000"/>
                <w:sz w:val="12"/>
              </w:rPr>
              <w:t>(c)</w:t>
            </w:r>
          </w:p>
        </w:tc>
        <w:tc>
          <w:tcPr>
            <w:tcW w:w="60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w:t>
            </w:r>
          </w:p>
        </w:tc>
        <w:tc>
          <w:tcPr>
            <w:tcW w:w="60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144"/>
        <w:gridCol w:w="864"/>
        <w:gridCol w:w="871"/>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09"/>
        <w:gridCol w:w="109"/>
        <w:gridCol w:w="109"/>
        <w:gridCol w:w="109"/>
        <w:gridCol w:w="196"/>
        <w:gridCol w:w="436"/>
        <w:gridCol w:w="109"/>
        <w:gridCol w:w="109"/>
        <w:gridCol w:w="109"/>
        <w:gridCol w:w="109"/>
        <w:gridCol w:w="155"/>
      </w:tblGrid>
      <w:tr>
        <w:trPr/>
        <w:tc>
          <w:tcPr>
            <w:tcW w:w="114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55" w:type="dxa"/>
            <w:gridSpan w:val="3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COMPONENTS OF INTEREST EXPENSE</w:t>
            </w:r>
          </w:p>
        </w:tc>
        <w:tc>
          <w:tcPr>
            <w:tcW w:w="1550" w:type="dxa"/>
            <w:gridSpan w:val="10"/>
            <w:tcBorders/>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7"/>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8"/>
            <w:tcBorders/>
          </w:tcPr>
          <w:p>
            <w:pPr>
              <w:pStyle w:val="TableContents"/>
              <w:bidi w:val="0"/>
              <w:spacing w:before="0" w:after="283"/>
              <w:jc w:val="left"/>
              <w:rPr>
                <w:sz w:val="4"/>
                <w:szCs w:val="4"/>
              </w:rPr>
            </w:pPr>
            <w:r>
              <w:rPr>
                <w:sz w:val="4"/>
                <w:szCs w:val="4"/>
              </w:rPr>
            </w:r>
          </w:p>
        </w:tc>
      </w:tr>
      <w:tr>
        <w:trPr/>
        <w:tc>
          <w:tcPr>
            <w:tcW w:w="2879"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7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7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installment purchase liabilities and finance leases; assumes no default.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(b)The Company had no floating-rate debt outstanding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(c)Net of required principal amortization and repurchases.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 July 2026, we repaid in full the 1.050% Senior Notes on the contractual maturity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2524"/>
        <w:gridCol w:w="2005"/>
        <w:gridCol w:w="2029"/>
        <w:gridCol w:w="152"/>
        <w:gridCol w:w="152"/>
        <w:gridCol w:w="152"/>
        <w:gridCol w:w="274"/>
        <w:gridCol w:w="905"/>
        <w:gridCol w:w="152"/>
        <w:gridCol w:w="152"/>
        <w:gridCol w:w="152"/>
        <w:gridCol w:w="152"/>
        <w:gridCol w:w="274"/>
        <w:gridCol w:w="905"/>
        <w:gridCol w:w="225"/>
      </w:tblGrid>
      <w:tr>
        <w:trPr/>
        <w:tc>
          <w:tcPr>
            <w:tcW w:w="2524"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 (Unaudited)</w:t>
            </w:r>
          </w:p>
        </w:tc>
      </w:tr>
      <w:tr>
        <w:trPr/>
        <w:tc>
          <w:tcPr>
            <w:tcW w:w="6558" w:type="dxa"/>
            <w:gridSpan w:val="3"/>
            <w:tcBorders>
              <w:top w:val="single" w:sz="8" w:space="0" w:color="000000"/>
              <w:bottom w:val="sing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par values)</w:t>
            </w:r>
          </w:p>
        </w:tc>
        <w:tc>
          <w:tcPr>
            <w:tcW w:w="45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bottom w:val="sing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5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bottom w:val="sing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and cash equivalents </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site rental receivables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Current assets of discontinued operations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15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25"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site rental receivables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6,165 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contracts and tenant relationships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assets of discontinued operations </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 AND EQUITY (DEFICIT)</w:t>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debt and other obligations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of discontinued operations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3,290 </w:t>
            </w:r>
          </w:p>
        </w:tc>
        <w:tc>
          <w:tcPr>
            <w:tcW w:w="15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225"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4,907 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liabilities of discontinued operations </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equity (deficit):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1,200 shares authorized; June 30, 2026—437 shares issued and 426 outstanding, and December 31, 2025—435 shares issued and outstanding</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June 30, 2026—11 shares, and December 31, 2025—0 shares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in excess of earnings</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(20,839)</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equity (deficit)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 (deficit)</w:t>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21,512 </w:t>
            </w:r>
          </w:p>
        </w:tc>
        <w:tc>
          <w:tcPr>
            <w:tcW w:w="15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31,518 </w:t>
            </w:r>
          </w:p>
        </w:tc>
        <w:tc>
          <w:tcPr>
            <w:tcW w:w="22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1804"/>
        <w:gridCol w:w="1385"/>
        <w:gridCol w:w="1397"/>
        <w:gridCol w:w="129"/>
        <w:gridCol w:w="129"/>
        <w:gridCol w:w="129"/>
        <w:gridCol w:w="233"/>
        <w:gridCol w:w="557"/>
        <w:gridCol w:w="129"/>
        <w:gridCol w:w="129"/>
        <w:gridCol w:w="129"/>
        <w:gridCol w:w="129"/>
        <w:gridCol w:w="233"/>
        <w:gridCol w:w="664"/>
        <w:gridCol w:w="129"/>
        <w:gridCol w:w="129"/>
        <w:gridCol w:w="129"/>
        <w:gridCol w:w="129"/>
        <w:gridCol w:w="233"/>
        <w:gridCol w:w="664"/>
        <w:gridCol w:w="129"/>
        <w:gridCol w:w="129"/>
        <w:gridCol w:w="129"/>
        <w:gridCol w:w="129"/>
        <w:gridCol w:w="233"/>
        <w:gridCol w:w="664"/>
        <w:gridCol w:w="203"/>
      </w:tblGrid>
      <w:tr>
        <w:trPr/>
        <w:tc>
          <w:tcPr>
            <w:tcW w:w="180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 OF OPERATIONS (Unaudited)</w:t>
            </w:r>
          </w:p>
        </w:tc>
      </w:tr>
      <w:tr>
        <w:trPr/>
        <w:tc>
          <w:tcPr>
            <w:tcW w:w="45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Costs of operations:</w:t>
            </w:r>
            <w:r>
              <w:rPr>
                <w:rFonts w:ascii="Times New Roman;serif" w:hAnsi="Times New Roman;serif"/>
                <w:b w:val="false"/>
                <w:color w:val="000000"/>
                <w:sz w:val="12"/>
              </w:rPr>
              <w:t>(a)</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from continuing operations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basic</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basic</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(loss)—basic</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diluted</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2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2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2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03"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diluted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(loss)—diluted</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2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(a)Exclusive of depreciation, amortization and accretion shown separately.</w:t>
      </w:r>
    </w:p>
    <w:p>
      <w:pPr>
        <w:pStyle w:val="TextBody"/>
        <w:bidi w:val="0"/>
        <w:spacing w:before="0" w:after="0"/>
        <w:jc w:val="both"/>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2209"/>
        <w:gridCol w:w="1823"/>
        <w:gridCol w:w="1759"/>
        <w:gridCol w:w="204"/>
        <w:gridCol w:w="204"/>
        <w:gridCol w:w="204"/>
        <w:gridCol w:w="368"/>
        <w:gridCol w:w="1045"/>
        <w:gridCol w:w="204"/>
        <w:gridCol w:w="204"/>
        <w:gridCol w:w="204"/>
        <w:gridCol w:w="204"/>
        <w:gridCol w:w="368"/>
        <w:gridCol w:w="909"/>
        <w:gridCol w:w="296"/>
      </w:tblGrid>
      <w:tr>
        <w:trPr/>
        <w:tc>
          <w:tcPr>
            <w:tcW w:w="220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 OF CASH FLOWS (Unaudited)</w:t>
            </w:r>
          </w:p>
        </w:tc>
      </w:tr>
      <w:tr>
        <w:trPr/>
        <w:tc>
          <w:tcPr>
            <w:tcW w:w="579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9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12"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2"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(loss) from continuing operations to net cash provided by (used for) operating activities: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other non-cash interest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net </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provision</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 net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 from discontinued operations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excluding the effects of acquisitions: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accrued interest</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receivables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other assets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cash provided by (used for) investing activities from discontinued operations</w:t>
            </w:r>
            <w:r>
              <w:rPr>
                <w:rFonts w:ascii="Times New Roman;serif" w:hAnsi="Times New Roman;serif"/>
                <w:b w:val="false"/>
                <w:color w:val="000000"/>
                <w:sz w:val="12"/>
              </w:rPr>
              <w:t>(a)</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investing activities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7,973 </w:t>
            </w:r>
          </w:p>
        </w:tc>
        <w:tc>
          <w:tcPr>
            <w:tcW w:w="204"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296"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debt and other long-term obligations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redemptions of long-term debt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credit facility</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revolving credit facility</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issuances (repayments) under commercial paper program</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costs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common stock </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paid on common stock</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(8,067)</w:t>
            </w:r>
          </w:p>
        </w:tc>
        <w:tc>
          <w:tcPr>
            <w:tcW w:w="204"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296"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and restricted cash and cash equivalents</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and cash equivalents and restricted cash and cash equivalents at beginning of period</w:t>
            </w:r>
            <w:r>
              <w:rPr>
                <w:rFonts w:ascii="Times New Roman;serif" w:hAnsi="Times New Roman;serif"/>
                <w:b w:val="false"/>
                <w:color w:val="000000"/>
                <w:sz w:val="12"/>
              </w:rPr>
              <w:t>(b)</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and cash equivalents and restricted cash and cash equivalents at end of period</w:t>
            </w:r>
            <w:r>
              <w:rPr>
                <w:rFonts w:ascii="Times New Roman;serif" w:hAnsi="Times New Roman;serif"/>
                <w:b w:val="false"/>
                <w:color w:val="000000"/>
                <w:sz w:val="12"/>
              </w:rPr>
              <w:t>(c)</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04"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96"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20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(refunded)</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$8.4 billion of net cash proceeds from the completed sale of the Fiber Business in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(b)Inclusive of cash and cash equivalents and restricted cash and cash equivalents included in discontinued operations.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(c)Inclusive of cash and cash equivalents and restricted cash and cash equivalents included in discontinued operations for the period ending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4740" w:type="dxa"/>
        <w:jc w:val="center"/>
        <w:tblInd w:w="0" w:type="dxa"/>
        <w:tblLayout w:type="fixed"/>
        <w:tblCellMar>
          <w:top w:w="28" w:type="dxa"/>
          <w:left w:w="28" w:type="dxa"/>
          <w:bottom w:w="28" w:type="dxa"/>
          <w:right w:w="28" w:type="dxa"/>
        </w:tblCellMar>
      </w:tblPr>
      <w:tblGrid>
        <w:gridCol w:w="1516"/>
        <w:gridCol w:w="1332"/>
        <w:gridCol w:w="1892"/>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NON-GAAP MEASURES AND OTHER INFORMATION</w:t>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Supplement includes presentations of Adjusted EBITDA, Adjusted Funds from Operations ("AFFO"), including per share amounts, Funds from Operations ("FFO"), including per share amounts, Organic Contribution to Site Rental Billings, (including as Adjusted for Impact of Sprint Cancellations and DISH Terminations), Adjusted Site Rental Gross Margin, Adjusted Services and Other Gross Margin, Net Debt, Net Debt to Last Quarter Annualized Adjusted EBITDA, Consolidated Return on Invested Capital, and Cash Yield on Invested Capital, which are non-GAAP financial measures. These non-GAAP financial measures are not intended as alternative measures of operating results or cash flow from operations (as determined in accordance with Generally Accepted Accounting Principles ("GAAP")).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Our non-GAAP financial measures may not be comparable to similarly titled measures of other companies, including other companies in the towers sector or other REITs.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 addition, we provide the components of certain GAAP measures, such as site rental revenues and capital expenditures.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Our non-GAAP financial measures are presented as additional information because management believes these measures are useful indicators of the financial performance of our business. Among other things, management believes that: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Adjusted EBITDA is useful to investors or other interested parties in evaluating our financial performance. Adjusted EBITDA is a financial measure frequently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towers sector and other REITs to measure financial performance without regard to items such as depreciation, amortization and accretion, which can vary depending upon accounting methods and the book value of assets. Adjusted EBITDA should be considered only as a supplement to net income (loss) computed in accordance with GAAP as a measure of our performance.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AFFO, including per share amounts,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(in periods where applicable)) and (2) sustaining capital expenditures, and excludes the impact of our (1) asset base (primarily depreciation, amortization and accretion) and (2)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(1) revenues are recognized on a straight-lined basis over the fixed, non-cancelable term of the tenant contract, and (2) expenses are recognized on a straight-lined basis over the estimated lease term including renewal options that are reasonably certain to be exercised. Management notes that Crown Castle uses AFFO only as a performance measure. AFFO should be considered only as a supplement to net income (loss) computed in accordance with GAAP as a measure of our performance and should not be considered as an alternative to cash flow from operations or as residual cash flow available for discretionary investment.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FFO, including per share amounts,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real estate depreciation, amortization and accretion). FFO is not a key performance indicator used by Crown Castle. FFO should be considered only as a supplement to net income (loss) computed in accordance with GAAP as a measure of our performance and should not be considered as an alternative to cash flow from operations.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Organic Contribution to Site Rental Billings (also referred to as organic growth) is useful to investors or other interested parties in understanding the components of the year-over-year changes in our site rental revenues computed in accordance with GAAP. Management uses Organic Contribution to Site Rental Billings to assess year-over-year growth rates for our rental activities, to evaluate current performance, to capture trends in rental rates, core leasing activities and tenant non-renewals in our core business, as well as to forecast future results. Separately, we are also disclosing Organic Contribution to Site Rental Billings as Adjusted for Sprint Cancellations and DISH Terminations, which is outside of ordinary course, to provide further insight into our results of operations and underlying trends. Management believes that identifying the impact of Sprint Cancellations and DISH Terminations provides increased transparency and comparability across periods. Organic Contribution to Site Rental Billings (including as Adjusted for Impact of Sprint Cancellations and DISH Terminations) is not meant as an alternative measure of revenue and should be considered only as a supplement in understanding and assessing the performance of our site rental revenues computed in accordance with GAAP.</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 xml:space="preserve">Adjusted Site Rental Gross Margin and Adjusted Services and Other Gross Margin are useful to investors or other interested parties in evaluating our financial performance. These measures are used by our management (1) to evaluate the economic productivity of our business, (2) to identify underlying business trends that are impacting our performance, and (3) for purposes of making decisions about allocating resources to, and assessing the performance of, our business. We also believe it helps investors and other interested parties meaningfully evaluate and compare the results of our operations from period to period.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Net Debt is useful to investors or other interested parties in evaluating our overall debt position and future debt capacity. Management uses Net Debt in assessing our leverage. Net Debt is not meant as an alternative measure of debt and should be considered only as a supplement in understanding and assessing our leverage.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Net Debt to Last Quarter Annualized Adjusted EBITDA is useful to investors or other interested parties, specifically credit rating agencies, in analyzing our operating performance in the context of targeted financial leverage. Management uses Net Debt to Last Quarter Annualized Adjusted EBITDA in assessing our leverage. Net Debt to Last Quarter Annualized Adjusted EBITDA is not meant as an alternative to GAAP measures such as debt and net income (loss) computed in accordance with GAAP. Net Debt to Last Quarter Annualized Adjusted EBITDA should be considered only as a supplement in understanding and assessing our leverage.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Consolidated Return on Invested Capital and Cash Yield on Invested Capital are useful to investors or other interested parties in evaluating the financial performance of our assets. Management believes that these metrics are useful in assessing our efficiency at allocating capital to generate returns over time. Consolidated Return on Invested Capital and Cash Yield on Invested Capital are not meant as alternatives to GAAP measures such as revenues, operating income, and certain asset classes (such as property and equipment, site rental contracts and tenant relationships, and goodwill) computed in accordance with GAAP. Such non-GAAP metrics should be considered only as a supplement in understanding and assessing the performance of our assets.</w:t>
      </w:r>
    </w:p>
    <w:p>
      <w:pPr>
        <w:pStyle w:val="TextBody"/>
        <w:bidi w:val="0"/>
        <w:spacing w:lineRule="auto" w:line="288" w:before="180" w:after="283"/>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Non-GAAP Financial Measures</w:t>
      </w:r>
    </w:p>
    <w:p>
      <w:pPr>
        <w:pStyle w:val="TextBody"/>
        <w:bidi w:val="0"/>
        <w:spacing w:lineRule="auto" w:line="288" w:before="120" w:after="283"/>
        <w:jc w:val="both"/>
        <w:rPr/>
      </w:pP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We define Adjusted EBITDA as net income (loss) plus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w:t>
      </w:r>
    </w:p>
    <w:p>
      <w:pPr>
        <w:pStyle w:val="TextBody"/>
        <w:bidi w:val="0"/>
        <w:spacing w:lineRule="auto" w:line="288" w:before="120" w:after="283"/>
        <w:jc w:val="both"/>
        <w:rPr/>
      </w:pPr>
      <w:r>
        <w:rPr>
          <w:rFonts w:ascii="Times New Roman;serif" w:hAnsi="Times New Roman;serif"/>
          <w:b w:val="false"/>
          <w:i/>
          <w:color w:val="000000"/>
          <w:sz w:val="18"/>
        </w:rPr>
        <w:t>AFFO.</w:t>
      </w:r>
      <w:r>
        <w:rPr>
          <w:color w:val="000000"/>
        </w:rPr>
        <w:t xml:space="preserve"> </w:t>
      </w:r>
      <w:r>
        <w:rPr>
          <w:rFonts w:ascii="Times New Roman;serif" w:hAnsi="Times New Roman;serif"/>
          <w:b w:val="false"/>
          <w:color w:val="000000"/>
          <w:sz w:val="18"/>
        </w:rPr>
        <w:t>We define AFFO as FFO before straight-lined revenues, straight-lined expenses, stock-based compensation expense, net, non-cash portion of tax provision, non-real estate related 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w:t>
      </w:r>
    </w:p>
    <w:p>
      <w:pPr>
        <w:pStyle w:val="TextBody"/>
        <w:bidi w:val="0"/>
        <w:spacing w:lineRule="auto" w:line="288" w:before="120" w:after="283"/>
        <w:jc w:val="both"/>
        <w:rPr/>
      </w:pPr>
      <w:r>
        <w:rPr>
          <w:rFonts w:ascii="Times New Roman;serif" w:hAnsi="Times New Roman;serif"/>
          <w:b w:val="false"/>
          <w:i/>
          <w:color w:val="000000"/>
          <w:sz w:val="18"/>
        </w:rPr>
        <w:t>AFFO per share.</w:t>
      </w:r>
      <w:r>
        <w:rPr>
          <w:color w:val="000000"/>
        </w:rPr>
        <w:t xml:space="preserve"> </w:t>
      </w:r>
      <w:r>
        <w:rPr>
          <w:rFonts w:ascii="Times New Roman;serif" w:hAnsi="Times New Roman;serif"/>
          <w:b w:val="false"/>
          <w:color w:val="000000"/>
          <w:sz w:val="18"/>
        </w:rPr>
        <w:t>We define AFFO per share as AFFO divided by diluted weighted-average common shares outstanding.</w:t>
      </w:r>
    </w:p>
    <w:p>
      <w:pPr>
        <w:pStyle w:val="TextBody"/>
        <w:bidi w:val="0"/>
        <w:spacing w:lineRule="auto" w:line="288" w:before="120" w:after="283"/>
        <w:jc w:val="both"/>
        <w:rPr/>
      </w:pPr>
      <w:r>
        <w:rPr>
          <w:rFonts w:ascii="Times New Roman;serif" w:hAnsi="Times New Roman;serif"/>
          <w:b w:val="false"/>
          <w:i/>
          <w:color w:val="000000"/>
          <w:sz w:val="18"/>
        </w:rPr>
        <w:t xml:space="preserve">FFO. </w:t>
      </w:r>
      <w:r>
        <w:rPr>
          <w:rFonts w:ascii="Times New Roman;serif" w:hAnsi="Times New Roman;serif"/>
          <w:b w:val="false"/>
          <w:color w:val="000000"/>
          <w:sz w:val="18"/>
        </w:rPr>
        <w:t>We define FFO as net income (loss) plus real estate related depreciation, amortization and accretion, asset write-down charges, goodwill impairment charges, and (income) loss from discontinued operations, net of tax, less noncontrolling interest and cash paid for preferred stock dividends (in periods where applicable), and is a measure of funds from operations attributable to common stockholders.</w:t>
      </w:r>
    </w:p>
    <w:p>
      <w:pPr>
        <w:pStyle w:val="TextBody"/>
        <w:bidi w:val="0"/>
        <w:spacing w:lineRule="auto" w:line="288" w:before="180" w:after="283"/>
        <w:jc w:val="both"/>
        <w:rPr/>
      </w:pPr>
      <w:r>
        <w:rPr>
          <w:rFonts w:ascii="Times New Roman;serif" w:hAnsi="Times New Roman;serif"/>
          <w:b w:val="false"/>
          <w:i/>
          <w:color w:val="000000"/>
          <w:sz w:val="18"/>
        </w:rPr>
        <w:t>FFO per share.</w:t>
      </w:r>
      <w:r>
        <w:rPr>
          <w:color w:val="000000"/>
        </w:rPr>
        <w:t xml:space="preserve"> </w:t>
      </w:r>
      <w:r>
        <w:rPr>
          <w:rFonts w:ascii="Times New Roman;serif" w:hAnsi="Times New Roman;serif"/>
          <w:b w:val="false"/>
          <w:color w:val="000000"/>
          <w:sz w:val="18"/>
        </w:rPr>
        <w:t xml:space="preserve">We define FFO per share as FFO divided by diluted weighted-average common shares outstanding. </w:t>
      </w:r>
    </w:p>
    <w:p>
      <w:pPr>
        <w:pStyle w:val="TextBody"/>
        <w:bidi w:val="0"/>
        <w:spacing w:lineRule="auto" w:line="288" w:before="120" w:after="283"/>
        <w:jc w:val="both"/>
        <w:rPr/>
      </w:pPr>
      <w:r>
        <w:rPr>
          <w:rFonts w:ascii="Times New Roman;serif" w:hAnsi="Times New Roman;serif"/>
          <w:b w:val="false"/>
          <w:i/>
          <w:color w:val="000000"/>
          <w:sz w:val="18"/>
        </w:rPr>
        <w:t>Organic Contribution to Site Rental Billings.</w:t>
      </w:r>
      <w:r>
        <w:rPr>
          <w:color w:val="000000"/>
        </w:rPr>
        <w:t xml:space="preserve"> </w:t>
      </w:r>
      <w:r>
        <w:rPr>
          <w:rFonts w:ascii="Times New Roman;serif" w:hAnsi="Times New Roman;serif"/>
          <w:b w:val="false"/>
          <w:color w:val="000000"/>
          <w:sz w:val="18"/>
        </w:rPr>
        <w:t xml:space="preserve">We define Organic Contribution to Site Rental Billings (also referred to as organic growth) as the sum of the change in site rental revenues related to core leasing activity, escalators and other billings, including those associated with DISH Terminations, less non-renewals of tenant contracts, including those associated with Sprint Cancellations, and DISH Terminations. Additionally, Organic Contribution to Site Rental Billings as Adjusted for Impact of Sprint Cancellations and DISH Terminations reflects Organic Contribution to Site Rental Billings plus non-renewals associated with Sprint Cancellations, less Organic Contribution to Site Rental Billings associated with DISH Terminations. </w:t>
      </w:r>
    </w:p>
    <w:p>
      <w:pPr>
        <w:pStyle w:val="TextBody"/>
        <w:bidi w:val="0"/>
        <w:spacing w:lineRule="auto" w:line="288" w:before="120" w:after="283"/>
        <w:jc w:val="both"/>
        <w:rPr/>
      </w:pPr>
      <w:r>
        <w:rPr>
          <w:rFonts w:ascii="Times New Roman;serif" w:hAnsi="Times New Roman;serif"/>
          <w:b w:val="false"/>
          <w:i/>
          <w:color w:val="000000"/>
          <w:sz w:val="18"/>
        </w:rPr>
        <w:t>Net Debt.</w:t>
      </w:r>
      <w:r>
        <w:rPr>
          <w:color w:val="000000"/>
        </w:rPr>
        <w:t xml:space="preserve"> </w:t>
      </w:r>
      <w:r>
        <w:rPr>
          <w:rFonts w:ascii="Times New Roman;serif" w:hAnsi="Times New Roman;serif"/>
          <w:b w:val="false"/>
          <w:color w:val="000000"/>
          <w:sz w:val="18"/>
        </w:rPr>
        <w:t>We define Net Debt as (1) debt and other long-term obligations and (2) current maturities of debt and other obligations, excluding unamortized adjustments, net, less cash and cash equivalents and restricted cash and cash equivalents.</w:t>
      </w:r>
    </w:p>
    <w:p>
      <w:pPr>
        <w:pStyle w:val="TextBody"/>
        <w:bidi w:val="0"/>
        <w:spacing w:lineRule="auto" w:line="288" w:before="120" w:after="283"/>
        <w:jc w:val="both"/>
        <w:rPr/>
      </w:pPr>
      <w:r>
        <w:rPr>
          <w:rFonts w:ascii="Times New Roman;serif" w:hAnsi="Times New Roman;serif"/>
          <w:b w:val="false"/>
          <w:i/>
          <w:color w:val="000000"/>
          <w:sz w:val="18"/>
        </w:rPr>
        <w:t>Net Debt to Last Quarter Annualized Adjusted EBITDA.</w:t>
      </w:r>
      <w:r>
        <w:rPr>
          <w:color w:val="000000"/>
        </w:rPr>
        <w:t xml:space="preserve"> </w:t>
      </w:r>
      <w:r>
        <w:rPr>
          <w:rFonts w:ascii="Times New Roman;serif" w:hAnsi="Times New Roman;serif"/>
          <w:b w:val="false"/>
          <w:color w:val="000000"/>
          <w:sz w:val="18"/>
        </w:rPr>
        <w:t>We define Net Debt to Last Quarter Annualized Adjusted EBITDA as Net Debt divided by the most recent quarter's Adjusted EBITDA multiplied by four.</w:t>
      </w:r>
    </w:p>
    <w:p>
      <w:pPr>
        <w:pStyle w:val="TextBody"/>
        <w:bidi w:val="0"/>
        <w:spacing w:lineRule="auto" w:line="288" w:before="120" w:after="283"/>
        <w:jc w:val="both"/>
        <w:rPr/>
      </w:pPr>
      <w:r>
        <w:rPr>
          <w:rFonts w:ascii="Times New Roman;serif" w:hAnsi="Times New Roman;serif"/>
          <w:b w:val="false"/>
          <w:i/>
          <w:color w:val="000000"/>
          <w:sz w:val="18"/>
        </w:rPr>
        <w:t>Consolidated Invested Capital.</w:t>
      </w:r>
      <w:r>
        <w:rPr>
          <w:color w:val="000000"/>
        </w:rPr>
        <w:t xml:space="preserve"> </w:t>
      </w:r>
      <w:r>
        <w:rPr>
          <w:rFonts w:ascii="Times New Roman;serif" w:hAnsi="Times New Roman;serif"/>
          <w:b w:val="false"/>
          <w:color w:val="000000"/>
          <w:sz w:val="18"/>
        </w:rPr>
        <w:t>We define Consolidated Invested Capital as the historical gross investment in (1) property and equipment (excluding the impact of construction in process and write-offs), (2) site rental contracts and tenant relationships and (3) goodwill (excluding impairment charges).</w:t>
      </w:r>
    </w:p>
    <w:p>
      <w:pPr>
        <w:pStyle w:val="TextBody"/>
        <w:bidi w:val="0"/>
        <w:spacing w:lineRule="auto" w:line="288" w:before="120" w:after="283"/>
        <w:jc w:val="both"/>
        <w:rPr/>
      </w:pPr>
      <w:r>
        <w:rPr>
          <w:rFonts w:ascii="Times New Roman;serif" w:hAnsi="Times New Roman;serif"/>
          <w:b w:val="false"/>
          <w:i/>
          <w:color w:val="000000"/>
          <w:sz w:val="18"/>
        </w:rPr>
        <w:t xml:space="preserve">Consolidated Return on Invested Capital. </w:t>
      </w:r>
      <w:r>
        <w:rPr>
          <w:rFonts w:ascii="Times New Roman;serif" w:hAnsi="Times New Roman;serif"/>
          <w:b w:val="false"/>
          <w:color w:val="000000"/>
          <w:sz w:val="18"/>
        </w:rPr>
        <w:t>We define Consolidated Return on Invested Capital as Adjusted EBITDA less cash taxes paid divided by Consolidated Invested Capital.</w:t>
      </w:r>
    </w:p>
    <w:p>
      <w:pPr>
        <w:pStyle w:val="TextBody"/>
        <w:bidi w:val="0"/>
        <w:spacing w:lineRule="auto" w:line="288" w:before="120" w:after="283"/>
        <w:jc w:val="both"/>
        <w:rPr/>
      </w:pPr>
      <w:r>
        <w:rPr>
          <w:rFonts w:ascii="Times New Roman;serif" w:hAnsi="Times New Roman;serif"/>
          <w:b w:val="false"/>
          <w:i/>
          <w:color w:val="000000"/>
          <w:sz w:val="18"/>
        </w:rPr>
        <w:t>Net Invested Capital.</w:t>
      </w:r>
      <w:r>
        <w:rPr>
          <w:color w:val="000000"/>
        </w:rPr>
        <w:t xml:space="preserve"> </w:t>
      </w:r>
      <w:r>
        <w:rPr>
          <w:rFonts w:ascii="Times New Roman;serif" w:hAnsi="Times New Roman;serif"/>
          <w:b w:val="false"/>
          <w:color w:val="000000"/>
          <w:sz w:val="18"/>
        </w:rPr>
        <w:t>We define Net Invested Capital as the investment in (1) property and equipment, excluding the impact of construction in process and non-productive assets (such as information technology assets and buildings) and write-offs, reduced by the amount of prepaid rent received from tenants, (2) site rental contracts and tenant relationships, and (3) goodwill, excluding the impact of certain assets and liabilities recorded in connection with acquisitions and impairment charges.</w:t>
      </w:r>
    </w:p>
    <w:p>
      <w:pPr>
        <w:pStyle w:val="TextBody"/>
        <w:bidi w:val="0"/>
        <w:spacing w:lineRule="auto" w:line="288" w:before="120" w:after="283"/>
        <w:jc w:val="both"/>
        <w:rPr/>
      </w:pPr>
      <w:r>
        <w:rPr>
          <w:rFonts w:ascii="Times New Roman;serif" w:hAnsi="Times New Roman;serif"/>
          <w:b w:val="false"/>
          <w:i/>
          <w:color w:val="000000"/>
          <w:sz w:val="18"/>
        </w:rPr>
        <w:t>Cash Yield on Invested Capital.</w:t>
      </w:r>
      <w:r>
        <w:rPr>
          <w:color w:val="000000"/>
        </w:rPr>
        <w:t xml:space="preserve"> </w:t>
      </w:r>
      <w:r>
        <w:rPr>
          <w:rFonts w:ascii="Times New Roman;serif" w:hAnsi="Times New Roman;serif"/>
          <w:b w:val="false"/>
          <w:color w:val="000000"/>
          <w:sz w:val="18"/>
        </w:rPr>
        <w:t>We define Cash Yield on Invested Capital as Adjusted Site Rental Gross Margin adjusted for the impacts of (1) amortization of prepaid rent, (2) straight-lined revenues, and (3) straight-lined expenses divided by Net Invested Capital.</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20" w:after="283"/>
        <w:jc w:val="both"/>
        <w:rPr/>
      </w:pPr>
      <w:r>
        <w:rPr>
          <w:rFonts w:ascii="Times New Roman;serif" w:hAnsi="Times New Roman;serif"/>
          <w:b w:val="false"/>
          <w:i/>
          <w:color w:val="000000"/>
          <w:sz w:val="18"/>
        </w:rPr>
        <w:t xml:space="preserve">Adjusted Site Rental Gross Margin. </w:t>
      </w:r>
      <w:r>
        <w:rPr>
          <w:rFonts w:ascii="Times New Roman;serif" w:hAnsi="Times New Roman;serif"/>
          <w:b w:val="false"/>
          <w:color w:val="000000"/>
          <w:sz w:val="18"/>
        </w:rPr>
        <w:t xml:space="preserve">We define Adjusted Site Rental Gross Margin as site rental revenues less site rental costs of operations, excluding stock-based compensation expense, net and amortization of prepaid lease purchase price adjustments. This measure is exclusive of depreciation, amortization and accretion, which are shown separately. </w:t>
      </w:r>
    </w:p>
    <w:p>
      <w:pPr>
        <w:pStyle w:val="TextBody"/>
        <w:bidi w:val="0"/>
        <w:spacing w:lineRule="auto" w:line="288" w:before="120" w:after="283"/>
        <w:jc w:val="both"/>
        <w:rPr/>
      </w:pPr>
      <w:r>
        <w:rPr>
          <w:rFonts w:ascii="Times New Roman;serif" w:hAnsi="Times New Roman;serif"/>
          <w:b w:val="false"/>
          <w:i/>
          <w:color w:val="000000"/>
          <w:sz w:val="18"/>
        </w:rPr>
        <w:t>Adjusted Services and Other Gross Margin</w:t>
      </w:r>
      <w:r>
        <w:rPr>
          <w:rFonts w:ascii="Times New Roman;serif" w:hAnsi="Times New Roman;serif"/>
          <w:b w:val="false"/>
          <w:color w:val="000000"/>
          <w:sz w:val="18"/>
        </w:rPr>
        <w:t xml:space="preserve">. We define Adjusted Services and Other Gross Margin as services and other revenues less services and other costs of operations, excluding stock-based compensation expense, net. </w:t>
      </w:r>
    </w:p>
    <w:p>
      <w:pPr>
        <w:pStyle w:val="TextBody"/>
        <w:bidi w:val="0"/>
        <w:spacing w:lineRule="auto" w:line="288" w:before="180" w:after="283"/>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Other Information</w:t>
      </w:r>
    </w:p>
    <w:p>
      <w:pPr>
        <w:pStyle w:val="TextBody"/>
        <w:bidi w:val="0"/>
        <w:spacing w:lineRule="auto" w:line="288" w:before="120" w:after="283"/>
        <w:jc w:val="both"/>
        <w:rPr/>
      </w:pPr>
      <w:r>
        <w:rPr>
          <w:rFonts w:ascii="Times New Roman;serif" w:hAnsi="Times New Roman;serif"/>
          <w:b w:val="false"/>
          <w:i/>
          <w:color w:val="000000"/>
          <w:sz w:val="18"/>
        </w:rPr>
        <w:t xml:space="preserve">Site rental billings. </w:t>
      </w:r>
      <w:r>
        <w:rPr>
          <w:rFonts w:ascii="Times New Roman;serif" w:hAnsi="Times New Roman;serif"/>
          <w:b w:val="false"/>
          <w:color w:val="000000"/>
          <w:sz w:val="18"/>
        </w:rPr>
        <w:t>We define site rental billings as site rental revenues exclusive of the impacts from (1) straight-lined revenues, (2) amortization of prepaid rent in accordance with GAAP, (3) contribution from recent acquisitions until the one-year anniversary of such acquisitions, (4) other revenues, such as tenant cancellation fees, finance charges and other items and (5) amounts related to DISH Terminations, where applicable.</w:t>
      </w:r>
    </w:p>
    <w:p>
      <w:pPr>
        <w:pStyle w:val="TextBody"/>
        <w:bidi w:val="0"/>
        <w:spacing w:lineRule="auto" w:line="288" w:before="120" w:after="283"/>
        <w:jc w:val="both"/>
        <w:rPr/>
      </w:pPr>
      <w:r>
        <w:rPr>
          <w:rFonts w:ascii="Times New Roman;serif" w:hAnsi="Times New Roman;serif"/>
          <w:b w:val="false"/>
          <w:i/>
          <w:color w:val="000000"/>
          <w:sz w:val="18"/>
        </w:rPr>
        <w:t>Core leasing activity</w:t>
      </w:r>
      <w:r>
        <w:rPr>
          <w:rFonts w:ascii="Times New Roman;serif" w:hAnsi="Times New Roman;serif"/>
          <w:b w:val="false"/>
          <w:color w:val="000000"/>
          <w:sz w:val="18"/>
        </w:rPr>
        <w:t xml:space="preserve">. We define core leasing activity as site rental revenues growth from tenant additions and renewals or extensions of tenant contracts, exclusive of (1) the impacts from both straight-lined revenues and amortization of prepaid rent in accordance with GAAP, (2) other revenues and (3) amounts related to DISH Terminations, where applicable. </w:t>
      </w:r>
    </w:p>
    <w:p>
      <w:pPr>
        <w:pStyle w:val="TextBody"/>
        <w:bidi w:val="0"/>
        <w:spacing w:lineRule="auto" w:line="288" w:before="120" w:after="283"/>
        <w:jc w:val="both"/>
        <w:rPr/>
      </w:pPr>
      <w:r>
        <w:rPr>
          <w:rFonts w:ascii="Times New Roman;serif" w:hAnsi="Times New Roman;serif"/>
          <w:b w:val="false"/>
          <w:i/>
          <w:color w:val="000000"/>
          <w:sz w:val="18"/>
        </w:rPr>
        <w:t>Other billings</w:t>
      </w:r>
      <w:r>
        <w:rPr>
          <w:rFonts w:ascii="Times New Roman;serif" w:hAnsi="Times New Roman;serif"/>
          <w:b w:val="false"/>
          <w:color w:val="000000"/>
          <w:sz w:val="18"/>
        </w:rPr>
        <w:t>. We define other billings as the growth or reduction in site rental revenues as a result of non-recurring contractual billings and adjustments, expense recoveries, sales credits and other amounts not captured in core leasing activity, exclusive of amounts related to DISH Terminations, where applicable.</w:t>
      </w:r>
    </w:p>
    <w:p>
      <w:pPr>
        <w:pStyle w:val="TextBody"/>
        <w:bidi w:val="0"/>
        <w:spacing w:lineRule="auto" w:line="288" w:before="120" w:after="283"/>
        <w:jc w:val="both"/>
        <w:rPr/>
      </w:pPr>
      <w:r>
        <w:rPr>
          <w:rFonts w:ascii="Times New Roman;serif" w:hAnsi="Times New Roman;serif"/>
          <w:b w:val="false"/>
          <w:i/>
          <w:color w:val="000000"/>
          <w:sz w:val="18"/>
        </w:rPr>
        <w:t>Non-renewals</w:t>
      </w:r>
      <w:r>
        <w:rPr>
          <w:rFonts w:ascii="Times New Roman;serif" w:hAnsi="Times New Roman;serif"/>
          <w:b w:val="false"/>
          <w:color w:val="000000"/>
          <w:sz w:val="18"/>
        </w:rPr>
        <w:t>. We define non-renewals of tenant contracts as the reduction in site rental revenues as a result of tenant churn, terminations and, in limited circumstances, reductions of existing lease rates, exclusive of non-renewals associated with Sprint Cancellations and DISH Terminations, where applicable.</w:t>
      </w:r>
    </w:p>
    <w:p>
      <w:pPr>
        <w:pStyle w:val="TextBody"/>
        <w:bidi w:val="0"/>
        <w:spacing w:lineRule="auto" w:line="288" w:before="120" w:after="283"/>
        <w:jc w:val="both"/>
        <w:rPr/>
      </w:pPr>
      <w:r>
        <w:rPr>
          <w:rFonts w:ascii="Times New Roman;serif" w:hAnsi="Times New Roman;serif"/>
          <w:b w:val="false"/>
          <w:i/>
          <w:color w:val="000000"/>
          <w:sz w:val="18"/>
        </w:rPr>
        <w:t>Discretionary capital expenditures.</w:t>
      </w:r>
      <w:r>
        <w:rPr>
          <w:color w:val="000000"/>
        </w:rPr>
        <w:t xml:space="preserve"> </w:t>
      </w:r>
      <w:r>
        <w:rPr>
          <w:rFonts w:ascii="Times New Roman;serif" w:hAnsi="Times New Roman;serif"/>
          <w:b w:val="false"/>
          <w:color w:val="000000"/>
          <w:sz w:val="18"/>
        </w:rPr>
        <w:t>We define discretionary capital expenditures relating to continuing operations as those made with respect to activities which we believe exhibit sufficient potential to enhance long-term stockholder value. Discretionary capital expenditures, including with respect to discontinued operations, primarily consist of expansion or development of our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relates to land assets under towers as we seek to manage our interests in the land beneath our towers), certain technology-related investments necessary to support and scale future customer demand for our communications infrastructure, and other capital projects.</w:t>
      </w:r>
    </w:p>
    <w:p>
      <w:pPr>
        <w:pStyle w:val="TextBody"/>
        <w:bidi w:val="0"/>
        <w:spacing w:lineRule="auto" w:line="288" w:before="120" w:after="283"/>
        <w:jc w:val="both"/>
        <w:rPr/>
      </w:pPr>
      <w:r>
        <w:rPr>
          <w:rFonts w:ascii="Times New Roman;serif" w:hAnsi="Times New Roman;serif"/>
          <w:b w:val="false"/>
          <w:i/>
          <w:color w:val="000000"/>
          <w:sz w:val="18"/>
        </w:rPr>
        <w:t xml:space="preserve">Sustaining capital expenditures. </w:t>
      </w:r>
      <w:r>
        <w:rPr>
          <w:rFonts w:ascii="Times New Roman;serif" w:hAnsi="Times New Roman;serif"/>
          <w:b w:val="false"/>
          <w:color w:val="000000"/>
          <w:sz w:val="18"/>
        </w:rPr>
        <w:t>We define sustaining capital expenditures as those capital expenditures (including with respect to discontinued operations)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pStyle w:val="TextBody"/>
        <w:bidi w:val="0"/>
        <w:spacing w:lineRule="auto" w:line="288" w:before="120" w:after="283"/>
        <w:jc w:val="both"/>
        <w:rPr/>
      </w:pPr>
      <w:r>
        <w:rPr>
          <w:rFonts w:ascii="Times New Roman;serif" w:hAnsi="Times New Roman;serif"/>
          <w:b w:val="false"/>
          <w:i/>
          <w:color w:val="000000"/>
          <w:sz w:val="18"/>
        </w:rPr>
        <w:t>Sprint Cancellations.</w:t>
      </w:r>
      <w:r>
        <w:rPr>
          <w:color w:val="000000"/>
        </w:rPr>
        <w:t xml:space="preserve"> </w:t>
      </w:r>
      <w:r>
        <w:rPr>
          <w:rFonts w:ascii="Times New Roman;serif" w:hAnsi="Times New Roman;serif"/>
          <w:b w:val="false"/>
          <w:color w:val="000000"/>
          <w:sz w:val="18"/>
        </w:rPr>
        <w:t>We define Sprint Cancellations as lease cancellations related to the previously disclosed T-Mobile US, Inc. and Sprint network consolidation as described in our press release dated April 19, 2023.</w:t>
      </w:r>
    </w:p>
    <w:p>
      <w:pPr>
        <w:pStyle w:val="TextBody"/>
        <w:bidi w:val="0"/>
        <w:spacing w:lineRule="auto" w:line="288" w:before="120" w:after="283"/>
        <w:jc w:val="both"/>
        <w:rPr/>
      </w:pPr>
      <w:r>
        <w:rPr>
          <w:rFonts w:ascii="Times New Roman;serif" w:hAnsi="Times New Roman;serif"/>
          <w:b w:val="false"/>
          <w:i/>
          <w:color w:val="000000"/>
          <w:sz w:val="18"/>
        </w:rPr>
        <w:t xml:space="preserve">DISH Terminations. </w:t>
      </w:r>
      <w:r>
        <w:rPr>
          <w:rFonts w:ascii="Times New Roman;serif" w:hAnsi="Times New Roman;serif"/>
          <w:b w:val="false"/>
          <w:color w:val="000000"/>
          <w:sz w:val="18"/>
        </w:rPr>
        <w:t>We define DISH Terminations as the impact of lease terminations related to the previously disclosed notice of default and termination that was sent to DISH Wireless L.L.C. ("DISH") regarding our Master Lease Agreement and related agreements as described in our press release dated January 12, 2026.</w:t>
      </w:r>
    </w:p>
    <w:p>
      <w:pPr>
        <w:pStyle w:val="TextBody"/>
        <w:bidi w:val="0"/>
        <w:spacing w:lineRule="auto" w:line="288" w:before="120" w:after="283"/>
        <w:jc w:val="both"/>
        <w:rPr/>
      </w:pPr>
      <w:r>
        <w:rPr>
          <w:rFonts w:ascii="Times New Roman;serif" w:hAnsi="Times New Roman;serif"/>
          <w:b w:val="false"/>
          <w:i/>
          <w:color w:val="000000"/>
          <w:sz w:val="18"/>
        </w:rPr>
        <w:t>Fiber Business.</w:t>
      </w:r>
      <w:r>
        <w:rPr>
          <w:color w:val="000000"/>
        </w:rPr>
        <w:t xml:space="preserve"> </w:t>
      </w:r>
      <w:r>
        <w:rPr>
          <w:rFonts w:ascii="Times New Roman;serif" w:hAnsi="Times New Roman;serif"/>
          <w:b w:val="false"/>
          <w:color w:val="000000"/>
          <w:sz w:val="18"/>
        </w:rPr>
        <w:t xml:space="preserve">We define Fiber Business as the historically reported Fiber segment, prior to its reclassification to discontinued operations, together with certain supporting assets and personnel. Management signed the Strategic Fiber Agreement to sell the Fiber Business with EQT Active Core Infrastructure fund ("EQT") acquiring the small cells business and Zayo Group Holdings Inc. ("Zayo") acquiring the fiber solutions business for $8.5 billion in aggregate, subject to certain closing adjustments ("Strategic Fiber Transaction"). The Strategic Fiber Transaction was completed on May 1, 2026. We received aggregate net cash proceeds of $8.4 billion, representing the gross contractual purchase price of $8.5 billion less the net impact of preliminary purchase price adjustments of $124 million, which are subject to a post-closing settlement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Reconciliation of Historical Adjusted EBITDA:</w:t>
      </w:r>
    </w:p>
    <w:tbl>
      <w:tblPr>
        <w:tblW w:w="10205" w:type="dxa"/>
        <w:jc w:val="center"/>
        <w:tblInd w:w="0" w:type="dxa"/>
        <w:tblLayout w:type="fixed"/>
        <w:tblCellMar>
          <w:top w:w="28" w:type="dxa"/>
          <w:left w:w="28" w:type="dxa"/>
          <w:bottom w:w="28" w:type="dxa"/>
          <w:right w:w="28" w:type="dxa"/>
        </w:tblCellMar>
      </w:tblPr>
      <w:tblGrid>
        <w:gridCol w:w="1140"/>
        <w:gridCol w:w="852"/>
        <w:gridCol w:w="859"/>
        <w:gridCol w:w="109"/>
        <w:gridCol w:w="109"/>
        <w:gridCol w:w="109"/>
        <w:gridCol w:w="196"/>
        <w:gridCol w:w="463"/>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09"/>
        <w:gridCol w:w="109"/>
        <w:gridCol w:w="109"/>
        <w:gridCol w:w="109"/>
        <w:gridCol w:w="196"/>
        <w:gridCol w:w="436"/>
        <w:gridCol w:w="109"/>
        <w:gridCol w:w="109"/>
        <w:gridCol w:w="109"/>
        <w:gridCol w:w="109"/>
        <w:gridCol w:w="156"/>
      </w:tblGrid>
      <w:tr>
        <w:trPr/>
        <w:tc>
          <w:tcPr>
            <w:tcW w:w="114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gridSpan w:val="10"/>
            <w:tcBorders/>
          </w:tcPr>
          <w:p>
            <w:pPr>
              <w:pStyle w:val="TableContents"/>
              <w:bidi w:val="0"/>
              <w:spacing w:before="0" w:after="283"/>
              <w:jc w:val="left"/>
              <w:rPr>
                <w:sz w:val="4"/>
                <w:szCs w:val="4"/>
              </w:rPr>
            </w:pPr>
            <w:r>
              <w:rPr>
                <w:sz w:val="4"/>
                <w:szCs w:val="4"/>
              </w:rPr>
            </w:r>
          </w:p>
        </w:tc>
      </w:tr>
      <w:tr>
        <w:trPr/>
        <w:tc>
          <w:tcPr>
            <w:tcW w:w="285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3"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718</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718</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Reconciliation of Outlook for Adjusted EBITDA:</w:t>
      </w:r>
    </w:p>
    <w:tbl>
      <w:tblPr>
        <w:tblW w:w="8430" w:type="dxa"/>
        <w:jc w:val="left"/>
        <w:tblInd w:w="0" w:type="dxa"/>
        <w:tblLayout w:type="fixed"/>
        <w:tblCellMar>
          <w:top w:w="28" w:type="dxa"/>
          <w:left w:w="28" w:type="dxa"/>
          <w:bottom w:w="28" w:type="dxa"/>
          <w:right w:w="28" w:type="dxa"/>
        </w:tblCellMar>
      </w:tblPr>
      <w:tblGrid>
        <w:gridCol w:w="1761"/>
        <w:gridCol w:w="1543"/>
        <w:gridCol w:w="1555"/>
        <w:gridCol w:w="109"/>
        <w:gridCol w:w="109"/>
        <w:gridCol w:w="109"/>
        <w:gridCol w:w="109"/>
        <w:gridCol w:w="109"/>
        <w:gridCol w:w="410"/>
        <w:gridCol w:w="410"/>
        <w:gridCol w:w="410"/>
        <w:gridCol w:w="410"/>
        <w:gridCol w:w="413"/>
        <w:gridCol w:w="109"/>
        <w:gridCol w:w="109"/>
        <w:gridCol w:w="109"/>
        <w:gridCol w:w="188"/>
        <w:gridCol w:w="188"/>
        <w:gridCol w:w="270"/>
      </w:tblGrid>
      <w:tr>
        <w:trPr/>
        <w:tc>
          <w:tcPr>
            <w:tcW w:w="176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(g)</w:t>
            </w:r>
          </w:p>
        </w:tc>
        <w:tc>
          <w:tcPr>
            <w:tcW w:w="973"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32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$1,010</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4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722</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832</w:t>
            </w:r>
          </w:p>
        </w:tc>
      </w:tr>
      <w:tr>
        <w:trPr/>
        <w:tc>
          <w:tcPr>
            <w:tcW w:w="4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4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485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$2,665</w:t>
            </w:r>
          </w:p>
        </w:tc>
        <w:tc>
          <w:tcPr>
            <w:tcW w:w="327"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46"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$2,715</w:t>
            </w:r>
          </w:p>
        </w:tc>
      </w:tr>
    </w:tbl>
    <w:p>
      <w:pPr>
        <w:pStyle w:val="TextBody"/>
        <w:bidi w:val="0"/>
        <w:spacing w:lineRule="auto" w:line="288" w:before="18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restructuring charges recorded related to the Company's restructuring plan announced in February 2026, as further discussed in the Annual Report on Form 10-K for the year ended December 31, 2025 ("2026 Restructuring Plan"). For the three and six months ended June 30, 2026, no charges and $14 million of charges were recorded related to the 2026 Restructuring Plan,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the reconciliation of "</w:t>
      </w:r>
      <w:r>
        <w:rPr>
          <w:rFonts w:ascii="Times New Roman;serif" w:hAnsi="Times New Roman;serif"/>
          <w:b w:val="false"/>
          <w:i/>
          <w:color w:val="000000"/>
          <w:sz w:val="16"/>
        </w:rPr>
        <w:t>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(d)Represents results from the Fiber Business, including a loss on disposal of $280 million and $252 million recorded in the three months ended June 30, 2026 and 2025, respectively, and $625 million and $1,082 million recorded in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(e)See discussion and our definition of Adjusted EBITDA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(g)As issued on July 22, 2026.</w:t>
      </w:r>
    </w:p>
    <w:p>
      <w:pPr>
        <w:pStyle w:val="TextBody"/>
        <w:bidi w:val="0"/>
        <w:spacing w:lineRule="auto" w:line="288" w:before="0" w:after="0"/>
        <w:ind w:left="0" w:right="0" w:hanging="360"/>
        <w:jc w:val="both"/>
        <w:rPr/>
      </w:pPr>
      <w:r>
        <w:rPr>
          <w:rFonts w:ascii="Times New Roman;serif" w:hAnsi="Times New Roman;serif"/>
          <w:b w:val="false"/>
          <w:color w:val="000000"/>
          <w:sz w:val="16"/>
        </w:rPr>
        <w:t>(h)See the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(i)Represents expected results from the Fiber Business, including the estimated loss on disposal, through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jc w:val="both"/>
        <w:rPr>
          <w:rFonts w:ascii="Times New Roman;serif" w:hAnsi="Times New Roman;serif"/>
          <w:b/>
          <w:color w:val="000000"/>
          <w:sz w:val="18"/>
        </w:rPr>
      </w:pPr>
      <w:r>
        <w:rPr>
          <w:rFonts w:ascii="Times New Roman;serif" w:hAnsi="Times New Roman;serif"/>
          <w:b/>
          <w:color w:val="000000"/>
          <w:sz w:val="18"/>
        </w:rPr>
        <w:t>Reconciliation of Historical FFO and AFFO:</w:t>
      </w:r>
    </w:p>
    <w:tbl>
      <w:tblPr>
        <w:tblW w:w="10205" w:type="dxa"/>
        <w:jc w:val="center"/>
        <w:tblInd w:w="0" w:type="dxa"/>
        <w:tblLayout w:type="fixed"/>
        <w:tblCellMar>
          <w:top w:w="28" w:type="dxa"/>
          <w:left w:w="28" w:type="dxa"/>
          <w:bottom w:w="28" w:type="dxa"/>
          <w:right w:w="28" w:type="dxa"/>
        </w:tblCellMar>
      </w:tblPr>
      <w:tblGrid>
        <w:gridCol w:w="1301"/>
        <w:gridCol w:w="770"/>
        <w:gridCol w:w="779"/>
        <w:gridCol w:w="109"/>
        <w:gridCol w:w="109"/>
        <w:gridCol w:w="109"/>
        <w:gridCol w:w="196"/>
        <w:gridCol w:w="463"/>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09"/>
        <w:gridCol w:w="109"/>
        <w:gridCol w:w="109"/>
        <w:gridCol w:w="109"/>
        <w:gridCol w:w="196"/>
        <w:gridCol w:w="436"/>
        <w:gridCol w:w="109"/>
        <w:gridCol w:w="109"/>
        <w:gridCol w:w="109"/>
        <w:gridCol w:w="109"/>
        <w:gridCol w:w="157"/>
      </w:tblGrid>
      <w:tr>
        <w:trPr/>
        <w:tc>
          <w:tcPr>
            <w:tcW w:w="13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7"/>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8"/>
            <w:tcBorders/>
          </w:tcPr>
          <w:p>
            <w:pPr>
              <w:pStyle w:val="TableContents"/>
              <w:bidi w:val="0"/>
              <w:spacing w:before="0" w:after="283"/>
              <w:jc w:val="left"/>
              <w:rPr>
                <w:sz w:val="4"/>
                <w:szCs w:val="4"/>
              </w:rPr>
            </w:pPr>
            <w:r>
              <w:rPr>
                <w:sz w:val="4"/>
                <w:szCs w:val="4"/>
              </w:rPr>
            </w:r>
          </w:p>
        </w:tc>
      </w:tr>
      <w:tr>
        <w:trPr/>
        <w:tc>
          <w:tcPr>
            <w:tcW w:w="2850"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479</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a loss on disposal of $280 million and $252 million recorded in the three months ended June 30, 2026 and 2025, respectively, and $625 million and $1,082 million recorded in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(e)Represents restructuring charges recorded related to the 2026 Restructuring Plan. </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jc w:val="both"/>
        <w:rPr>
          <w:rFonts w:ascii="Times New Roman;serif" w:hAnsi="Times New Roman;serif"/>
          <w:b/>
          <w:color w:val="000000"/>
          <w:sz w:val="18"/>
        </w:rPr>
      </w:pPr>
      <w:r>
        <w:rPr>
          <w:rFonts w:ascii="Times New Roman;serif" w:hAnsi="Times New Roman;serif"/>
          <w:b/>
          <w:color w:val="000000"/>
          <w:sz w:val="18"/>
        </w:rPr>
        <w:t>Reconciliation of Historical FFO and AFFO per share:</w:t>
      </w:r>
    </w:p>
    <w:tbl>
      <w:tblPr>
        <w:tblW w:w="10205" w:type="dxa"/>
        <w:jc w:val="center"/>
        <w:tblInd w:w="0" w:type="dxa"/>
        <w:tblLayout w:type="fixed"/>
        <w:tblCellMar>
          <w:top w:w="28" w:type="dxa"/>
          <w:left w:w="28" w:type="dxa"/>
          <w:bottom w:w="28" w:type="dxa"/>
          <w:right w:w="28" w:type="dxa"/>
        </w:tblCellMar>
      </w:tblPr>
      <w:tblGrid>
        <w:gridCol w:w="1292"/>
        <w:gridCol w:w="648"/>
        <w:gridCol w:w="651"/>
        <w:gridCol w:w="109"/>
        <w:gridCol w:w="109"/>
        <w:gridCol w:w="109"/>
        <w:gridCol w:w="196"/>
        <w:gridCol w:w="498"/>
        <w:gridCol w:w="109"/>
        <w:gridCol w:w="109"/>
        <w:gridCol w:w="109"/>
        <w:gridCol w:w="109"/>
        <w:gridCol w:w="196"/>
        <w:gridCol w:w="481"/>
        <w:gridCol w:w="109"/>
        <w:gridCol w:w="109"/>
        <w:gridCol w:w="109"/>
        <w:gridCol w:w="109"/>
        <w:gridCol w:w="196"/>
        <w:gridCol w:w="481"/>
        <w:gridCol w:w="109"/>
        <w:gridCol w:w="109"/>
        <w:gridCol w:w="109"/>
        <w:gridCol w:w="109"/>
        <w:gridCol w:w="196"/>
        <w:gridCol w:w="481"/>
        <w:gridCol w:w="109"/>
        <w:gridCol w:w="109"/>
        <w:gridCol w:w="109"/>
        <w:gridCol w:w="109"/>
        <w:gridCol w:w="196"/>
        <w:gridCol w:w="481"/>
        <w:gridCol w:w="109"/>
        <w:gridCol w:w="109"/>
        <w:gridCol w:w="109"/>
        <w:gridCol w:w="109"/>
        <w:gridCol w:w="109"/>
        <w:gridCol w:w="109"/>
        <w:gridCol w:w="109"/>
        <w:gridCol w:w="109"/>
        <w:gridCol w:w="196"/>
        <w:gridCol w:w="481"/>
        <w:gridCol w:w="109"/>
        <w:gridCol w:w="109"/>
        <w:gridCol w:w="109"/>
        <w:gridCol w:w="109"/>
        <w:gridCol w:w="156"/>
      </w:tblGrid>
      <w:tr>
        <w:trPr/>
        <w:tc>
          <w:tcPr>
            <w:tcW w:w="1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6" w:type="dxa"/>
            <w:gridSpan w:val="10"/>
            <w:tcBorders/>
          </w:tcPr>
          <w:p>
            <w:pPr>
              <w:pStyle w:val="TableContents"/>
              <w:bidi w:val="0"/>
              <w:spacing w:before="0" w:after="283"/>
              <w:jc w:val="left"/>
              <w:rPr>
                <w:sz w:val="4"/>
                <w:szCs w:val="4"/>
              </w:rPr>
            </w:pPr>
            <w:r>
              <w:rPr>
                <w:sz w:val="4"/>
                <w:szCs w:val="4"/>
              </w:rPr>
            </w:r>
          </w:p>
        </w:tc>
      </w:tr>
      <w:tr>
        <w:trPr/>
        <w:tc>
          <w:tcPr>
            <w:tcW w:w="2591"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a loss on disposal of $280 million and $252 million recorded in the three months ended June 30, 2026 and 2025, respectively, and $625 million and $1,082 million recorded in the six months ended June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restructuring charges recorded related to the 2026 Restructuring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180"/>
        <w:jc w:val="both"/>
        <w:rPr>
          <w:rFonts w:ascii="Times New Roman;serif" w:hAnsi="Times New Roman;serif"/>
          <w:b/>
          <w:color w:val="000000"/>
          <w:sz w:val="18"/>
        </w:rPr>
      </w:pPr>
      <w:r>
        <w:rPr>
          <w:rFonts w:ascii="Times New Roman;serif" w:hAnsi="Times New Roman;serif"/>
          <w:b/>
          <w:color w:val="000000"/>
          <w:sz w:val="18"/>
        </w:rPr>
        <w:t>Reconciliation of Outlook for FFO and AFFO:</w:t>
      </w:r>
    </w:p>
    <w:tbl>
      <w:tblPr>
        <w:tblW w:w="10205" w:type="dxa"/>
        <w:jc w:val="left"/>
        <w:tblInd w:w="0" w:type="dxa"/>
        <w:tblLayout w:type="fixed"/>
        <w:tblCellMar>
          <w:top w:w="28" w:type="dxa"/>
          <w:left w:w="28" w:type="dxa"/>
          <w:bottom w:w="28" w:type="dxa"/>
          <w:right w:w="28" w:type="dxa"/>
        </w:tblCellMar>
      </w:tblPr>
      <w:tblGrid>
        <w:gridCol w:w="1666"/>
        <w:gridCol w:w="1303"/>
        <w:gridCol w:w="1314"/>
        <w:gridCol w:w="109"/>
        <w:gridCol w:w="109"/>
        <w:gridCol w:w="109"/>
        <w:gridCol w:w="109"/>
        <w:gridCol w:w="109"/>
        <w:gridCol w:w="332"/>
        <w:gridCol w:w="332"/>
        <w:gridCol w:w="372"/>
        <w:gridCol w:w="332"/>
        <w:gridCol w:w="335"/>
        <w:gridCol w:w="109"/>
        <w:gridCol w:w="109"/>
        <w:gridCol w:w="109"/>
        <w:gridCol w:w="316"/>
        <w:gridCol w:w="273"/>
        <w:gridCol w:w="252"/>
        <w:gridCol w:w="252"/>
        <w:gridCol w:w="252"/>
        <w:gridCol w:w="252"/>
        <w:gridCol w:w="316"/>
        <w:gridCol w:w="270"/>
        <w:gridCol w:w="252"/>
        <w:gridCol w:w="109"/>
        <w:gridCol w:w="109"/>
        <w:gridCol w:w="109"/>
        <w:gridCol w:w="167"/>
        <w:gridCol w:w="167"/>
        <w:gridCol w:w="251"/>
      </w:tblGrid>
      <w:tr>
        <w:trPr/>
        <w:tc>
          <w:tcPr>
            <w:tcW w:w="166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2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(a)</w:t>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 Per Share</w:t>
            </w:r>
            <w:r>
              <w:rPr>
                <w:rFonts w:ascii="Times New Roman;serif" w:hAnsi="Times New Roman;serif"/>
                <w:b/>
                <w:color w:val="000000"/>
                <w:sz w:val="12"/>
              </w:rPr>
              <w:t>(a)</w:t>
            </w:r>
          </w:p>
        </w:tc>
        <w:tc>
          <w:tcPr>
            <w:tcW w:w="912" w:type="dxa"/>
            <w:gridSpan w:val="6"/>
            <w:tcBorders/>
          </w:tcPr>
          <w:p>
            <w:pPr>
              <w:pStyle w:val="TableContents"/>
              <w:bidi w:val="0"/>
              <w:spacing w:before="0" w:after="283"/>
              <w:jc w:val="left"/>
              <w:rPr>
                <w:sz w:val="4"/>
                <w:szCs w:val="4"/>
              </w:rPr>
            </w:pPr>
            <w:r>
              <w:rPr>
                <w:sz w:val="4"/>
                <w:szCs w:val="4"/>
              </w:rPr>
            </w:r>
          </w:p>
        </w:tc>
      </w:tr>
      <w:tr>
        <w:trPr/>
        <w:tc>
          <w:tcPr>
            <w:tcW w:w="4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$2.35</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680</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1.58</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0.05</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(c)</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0.84</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FFO</w:t>
            </w:r>
            <w:r>
              <w:rPr>
                <w:rFonts w:ascii="Times New Roman;serif" w:hAnsi="Times New Roman;serif"/>
                <w:b/>
                <w:color w:val="000000"/>
                <w:sz w:val="12"/>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$1,730</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$1,760</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$4.02</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$4.09</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5"/>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12" w:type="dxa"/>
            <w:gridSpan w:val="6"/>
            <w:tcBorders/>
          </w:tcPr>
          <w:p>
            <w:pPr>
              <w:pStyle w:val="TableContents"/>
              <w:bidi w:val="0"/>
              <w:spacing w:before="0" w:after="283"/>
              <w:jc w:val="left"/>
              <w:rPr>
                <w:sz w:val="4"/>
                <w:szCs w:val="4"/>
              </w:rPr>
            </w:pPr>
            <w:r>
              <w:rPr>
                <w:sz w:val="4"/>
                <w:szCs w:val="4"/>
              </w:rPr>
            </w:r>
          </w:p>
        </w:tc>
      </w:tr>
      <w:tr>
        <w:trPr/>
        <w:tc>
          <w:tcPr>
            <w:tcW w:w="4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FFO (from above)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$1,760</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$4.09</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0.17</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0.15</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net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0.19</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0.10</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and integration costs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0.08</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AFFO</w:t>
            </w:r>
            <w:r>
              <w:rPr>
                <w:rFonts w:ascii="Times New Roman;serif" w:hAnsi="Times New Roman;serif"/>
                <w:b/>
                <w:color w:val="000000"/>
                <w:sz w:val="12"/>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$1,950</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$2,000</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$4.65</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5"/>
            <w:tcBorders>
              <w:top w:val="double" w:sz="8" w:space="0" w:color="000000"/>
              <w:bottom w:val="sing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bottom w:val="single" w:sz="8" w:space="0" w:color="000000"/>
            </w:tcBorders>
            <w:shd w:fill="DBE5F1"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12"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Reconciliation of Net Debt and Calculation of Net Debt to Last Quarter Annualized Adjusted EBITDA:</w:t>
      </w:r>
    </w:p>
    <w:tbl>
      <w:tblPr>
        <w:tblW w:w="7287" w:type="dxa"/>
        <w:jc w:val="left"/>
        <w:tblInd w:w="0" w:type="dxa"/>
        <w:tblLayout w:type="fixed"/>
        <w:tblCellMar>
          <w:top w:w="28" w:type="dxa"/>
          <w:left w:w="28" w:type="dxa"/>
          <w:bottom w:w="28" w:type="dxa"/>
          <w:right w:w="28" w:type="dxa"/>
        </w:tblCellMar>
      </w:tblPr>
      <w:tblGrid>
        <w:gridCol w:w="2086"/>
        <w:gridCol w:w="1829"/>
        <w:gridCol w:w="1845"/>
        <w:gridCol w:w="109"/>
        <w:gridCol w:w="109"/>
        <w:gridCol w:w="109"/>
        <w:gridCol w:w="214"/>
        <w:gridCol w:w="723"/>
        <w:gridCol w:w="263"/>
      </w:tblGrid>
      <w:tr>
        <w:trPr/>
        <w:tc>
          <w:tcPr>
            <w:tcW w:w="2086"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June 30, 2026; dollars in millions)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 (current and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18,239 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adjustments,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6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face value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Ending cash and cash equivalents and restricted cash and cash equivalents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6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w:t>
            </w:r>
            <w:r>
              <w:rPr>
                <w:rFonts w:ascii="Times New Roman;serif" w:hAnsi="Times New Roman;serif"/>
                <w:b/>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17,099</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for the three months ended June 30, 2026</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Last quarter annualized Adjusted EBITDA</w:t>
            </w:r>
            <w:r>
              <w:rPr>
                <w:rFonts w:ascii="Times New Roman;serif" w:hAnsi="Times New Roman;serif"/>
                <w:b w:val="false"/>
                <w:color w:val="000000"/>
                <w:sz w:val="12"/>
              </w:rPr>
              <w:t>(d)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26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 to Last Quarter Annualized Adjusted EBITDA</w:t>
            </w:r>
            <w:r>
              <w:rPr>
                <w:rFonts w:ascii="Times New Roman;serif" w:hAnsi="Times New Roman;serif"/>
                <w:b/>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x</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July 22,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contribution from discontinued operations through April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expected results from the Fiber Business, including the estimated loss on disposal,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(d)See discussion and our definitions of FFO and AFFO, including per share amounts, Net Debt, Adjusted EBITDA, and Net Debt to Last Quarter Adjusted EBITDA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(e)The above reconciliation excludes line items included in our definition which are not applicable for the period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Second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60" w:after="283"/>
        <w:jc w:val="both"/>
        <w:rPr>
          <w:rFonts w:ascii="Times New Roman;serif" w:hAnsi="Times New Roman;serif"/>
          <w:b/>
          <w:color w:val="000000"/>
          <w:sz w:val="18"/>
        </w:rPr>
      </w:pPr>
      <w:r>
        <w:rPr>
          <w:rFonts w:ascii="Times New Roman;serif" w:hAnsi="Times New Roman;serif"/>
          <w:b/>
          <w:color w:val="000000"/>
          <w:sz w:val="18"/>
        </w:rPr>
        <w:t>Reconciliation of Adjusted Site Rental Gross Margin and Adjusted Services and Other Gross Margin:</w:t>
      </w:r>
    </w:p>
    <w:tbl>
      <w:tblPr>
        <w:tblW w:w="10205" w:type="dxa"/>
        <w:jc w:val="center"/>
        <w:tblInd w:w="0" w:type="dxa"/>
        <w:tblLayout w:type="fixed"/>
        <w:tblCellMar>
          <w:top w:w="28" w:type="dxa"/>
          <w:left w:w="28" w:type="dxa"/>
          <w:bottom w:w="28" w:type="dxa"/>
          <w:right w:w="28" w:type="dxa"/>
        </w:tblCellMar>
      </w:tblPr>
      <w:tblGrid>
        <w:gridCol w:w="1840"/>
        <w:gridCol w:w="1561"/>
        <w:gridCol w:w="1573"/>
        <w:gridCol w:w="109"/>
        <w:gridCol w:w="109"/>
        <w:gridCol w:w="109"/>
        <w:gridCol w:w="252"/>
        <w:gridCol w:w="560"/>
        <w:gridCol w:w="139"/>
        <w:gridCol w:w="139"/>
        <w:gridCol w:w="139"/>
        <w:gridCol w:w="139"/>
        <w:gridCol w:w="252"/>
        <w:gridCol w:w="560"/>
        <w:gridCol w:w="139"/>
        <w:gridCol w:w="109"/>
        <w:gridCol w:w="109"/>
        <w:gridCol w:w="109"/>
        <w:gridCol w:w="207"/>
        <w:gridCol w:w="605"/>
        <w:gridCol w:w="115"/>
        <w:gridCol w:w="115"/>
        <w:gridCol w:w="115"/>
        <w:gridCol w:w="115"/>
        <w:gridCol w:w="207"/>
        <w:gridCol w:w="605"/>
        <w:gridCol w:w="174"/>
      </w:tblGrid>
      <w:tr>
        <w:trPr/>
        <w:tc>
          <w:tcPr>
            <w:tcW w:w="184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of dollars; totals may not sum due to rounding)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Services and other costs of operations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4"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1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74"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site rental costs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1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7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Site Rental Gross Margin</w:t>
            </w:r>
            <w:r>
              <w:rPr>
                <w:rFonts w:ascii="Times New Roman;serif" w:hAnsi="Times New Roman;serif"/>
                <w:b/>
                <w:color w:val="000000"/>
                <w:sz w:val="12"/>
              </w:rPr>
              <w:t>(b)(c)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723</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762</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1,448</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1,538</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tbl>
      <w:tblPr>
        <w:tblW w:w="10205" w:type="dxa"/>
        <w:jc w:val="center"/>
        <w:tblInd w:w="0" w:type="dxa"/>
        <w:tblLayout w:type="fixed"/>
        <w:tblCellMar>
          <w:top w:w="28" w:type="dxa"/>
          <w:left w:w="28" w:type="dxa"/>
          <w:bottom w:w="28" w:type="dxa"/>
          <w:right w:w="28" w:type="dxa"/>
        </w:tblCellMar>
      </w:tblPr>
      <w:tblGrid>
        <w:gridCol w:w="1907"/>
        <w:gridCol w:w="1604"/>
        <w:gridCol w:w="1615"/>
        <w:gridCol w:w="109"/>
        <w:gridCol w:w="109"/>
        <w:gridCol w:w="109"/>
        <w:gridCol w:w="259"/>
        <w:gridCol w:w="458"/>
        <w:gridCol w:w="144"/>
        <w:gridCol w:w="144"/>
        <w:gridCol w:w="144"/>
        <w:gridCol w:w="144"/>
        <w:gridCol w:w="259"/>
        <w:gridCol w:w="558"/>
        <w:gridCol w:w="144"/>
        <w:gridCol w:w="109"/>
        <w:gridCol w:w="109"/>
        <w:gridCol w:w="109"/>
        <w:gridCol w:w="225"/>
        <w:gridCol w:w="484"/>
        <w:gridCol w:w="124"/>
        <w:gridCol w:w="124"/>
        <w:gridCol w:w="124"/>
        <w:gridCol w:w="124"/>
        <w:gridCol w:w="225"/>
        <w:gridCol w:w="555"/>
        <w:gridCol w:w="186"/>
      </w:tblGrid>
      <w:tr>
        <w:trPr/>
        <w:tc>
          <w:tcPr>
            <w:tcW w:w="1907"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of dollars; totals may not sum due to rounding)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Site rental costs of operations</w:t>
            </w:r>
            <w:r>
              <w:rPr>
                <w:rFonts w:ascii="Times New Roman;serif" w:hAnsi="Times New Roman;serif"/>
                <w:b w:val="false"/>
                <w:color w:val="000000"/>
                <w:sz w:val="12"/>
              </w:rPr>
              <w:t>(d)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8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6"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loss on retirement of long-term obligations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services and other costs of operations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Services and Other Gross Margin</w:t>
            </w:r>
            <w:r>
              <w:rPr>
                <w:rFonts w:ascii="Times New Roman;serif" w:hAnsi="Times New Roman;serif"/>
                <w:b/>
                <w:color w:val="000000"/>
                <w:sz w:val="12"/>
              </w:rPr>
              <w:t>(b)(c)</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8"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4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8"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4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12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w:t>
            </w:r>
            <w:r>
              <w:rPr>
                <w:color w:val="000000"/>
              </w:rPr>
              <w:t> </w:t>
            </w:r>
          </w:p>
        </w:tc>
        <w:tc>
          <w:tcPr>
            <w:tcW w:w="18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(b)See discussion and our definition of Adjusted Site Rental Gross Margin and Adjusted Services and Other Gross Margin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above reconciliation excludes line items included in our definition which are not applicable for the periods shown.</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(d)Exclusive of depreciation, amortization and accretion shown separately.</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22366</Words>
  <Characters>124855</Characters>
  <CharactersWithSpaces>143670</CharactersWithSpaces>
  <Paragraphs>5514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