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2016</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3"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8" w:lineRule="exact"/>
        <w:rPr>
          <w:sz w:val="24"/>
          <w:szCs w:val="24"/>
          <w:color w:val="auto"/>
        </w:rPr>
      </w:pPr>
    </w:p>
    <w:p>
      <w:pPr>
        <w:ind w:left="4160"/>
        <w:spacing w:after="0"/>
        <w:tabs>
          <w:tab w:leader="none" w:pos="6520" w:val="left"/>
        </w:tabs>
        <w:rPr>
          <w:sz w:val="20"/>
          <w:szCs w:val="20"/>
          <w:color w:val="auto"/>
        </w:rPr>
      </w:pPr>
      <w:r>
        <w:rPr>
          <w:rFonts w:ascii="Arial" w:cs="Arial" w:eastAsia="Arial" w:hAnsi="Arial"/>
          <w:sz w:val="18"/>
          <w:szCs w:val="18"/>
          <w:color w:val="auto"/>
        </w:rPr>
        <w:t>For the transition period</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333-187970</w:t>
      </w:r>
    </w:p>
    <w:p>
      <w:pPr>
        <w:spacing w:after="0" w:line="23"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6" w:lineRule="exact"/>
        <w:rPr>
          <w:sz w:val="24"/>
          <w:szCs w:val="24"/>
          <w:color w:val="auto"/>
        </w:rPr>
      </w:pPr>
    </w:p>
    <w:tbl>
      <w:tblPr>
        <w:tblLayout w:type="fixed"/>
        <w:tblInd w:w="2720" w:type="dxa"/>
        <w:tblCellMar>
          <w:top w:w="0" w:type="dxa"/>
          <w:left w:w="0" w:type="dxa"/>
          <w:bottom w:w="0" w:type="dxa"/>
          <w:right w:w="0" w:type="dxa"/>
        </w:tblCellMar>
      </w:tblPr>
      <w:tr>
        <w:trPr>
          <w:trHeight w:val="234"/>
        </w:trPr>
        <w:tc>
          <w:tcPr>
            <w:tcW w:w="3200" w:type="dxa"/>
            <w:vAlign w:val="bottom"/>
          </w:tcPr>
          <w:p>
            <w:pPr>
              <w:jc w:val="center"/>
              <w:ind w:right="1348"/>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jc w:val="center"/>
              <w:ind w:left="1328"/>
              <w:spacing w:after="0"/>
              <w:rPr>
                <w:sz w:val="20"/>
                <w:szCs w:val="20"/>
                <w:color w:val="auto"/>
              </w:rPr>
            </w:pPr>
            <w:r>
              <w:rPr>
                <w:rFonts w:ascii="Arial" w:cs="Arial" w:eastAsia="Arial" w:hAnsi="Arial"/>
                <w:sz w:val="18"/>
                <w:szCs w:val="18"/>
                <w:b w:val="1"/>
                <w:bCs w:val="1"/>
                <w:color w:val="auto"/>
                <w:w w:val="91"/>
              </w:rPr>
              <w:t>20-4300339</w:t>
            </w:r>
          </w:p>
        </w:tc>
      </w:tr>
      <w:tr>
        <w:trPr>
          <w:trHeight w:val="171"/>
        </w:trPr>
        <w:tc>
          <w:tcPr>
            <w:tcW w:w="3200" w:type="dxa"/>
            <w:vAlign w:val="bottom"/>
          </w:tcPr>
          <w:p>
            <w:pPr>
              <w:jc w:val="center"/>
              <w:ind w:right="1368"/>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2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48"/>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2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1220 Augusta Drive, Suite 600, Houston, Texas 77057-2261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570-3000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92" w:right="239" w:bottom="1440" w:gutter="0" w:footer="0" w:header="0"/>
        </w:sectPr>
      </w:pPr>
    </w:p>
    <w:p>
      <w:pPr>
        <w:spacing w:after="0" w:line="279"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3760" w:space="380"/>
            <w:col w:w="1540" w:space="720"/>
            <w:col w:w="1920" w:space="720"/>
            <w:col w:w="2380"/>
          </w:cols>
          <w:pgMar w:left="240" w:top="1192" w:right="23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3680" w:space="460"/>
            <w:col w:w="1540" w:space="720"/>
            <w:col w:w="1980" w:space="660"/>
            <w:col w:w="2380"/>
          </w:cols>
          <w:pgMar w:left="240" w:top="1192"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60" w:space="160"/>
            <w:col w:w="440" w:space="180"/>
            <w:col w:w="2880"/>
          </w:cols>
          <w:pgMar w:left="240" w:top="1192"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As of September 30, 2016, the only member of the registrant is a wholly-owned indirect subsidiary of Crown Castle International Corp.</w:t>
      </w:r>
    </w:p>
    <w:p>
      <w:pPr>
        <w:spacing w:after="0" w:line="17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9"/>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60" w:type="dxa"/>
            <w:vAlign w:val="bottom"/>
            <w:gridSpan w:val="4"/>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1"/>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6"/>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2"/>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4"/>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8"/>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0"/>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6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thereof, and similar expressions are intended to identify forward-looking statements. Such statements include plans, projections and estimates contained in </w:t>
      </w:r>
      <w:r>
        <w:rPr>
          <w:rFonts w:ascii="Arial" w:cs="Arial" w:eastAsia="Arial" w:hAnsi="Arial"/>
          <w:sz w:val="17"/>
          <w:szCs w:val="17"/>
          <w:i w:val="1"/>
          <w:iCs w:val="1"/>
          <w:color w:val="auto"/>
        </w:rPr>
        <w:t xml:space="preserve">"Part I—Item 2. Management's Discussion and Analysis of Financial Condition and Results of Operations" </w:t>
      </w:r>
      <w:r>
        <w:rPr>
          <w:rFonts w:ascii="Arial" w:cs="Arial" w:eastAsia="Arial" w:hAnsi="Arial"/>
          <w:sz w:val="17"/>
          <w:szCs w:val="17"/>
          <w:color w:val="auto"/>
        </w:rPr>
        <w:t>("MD&amp;A") herein. Such forward-looking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 (1) expectations regarding 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(collectively, the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2015 ("2015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86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8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80" w:type="dxa"/>
            <w:vAlign w:val="bottom"/>
          </w:tcPr>
          <w:p>
            <w:pPr>
              <w:jc w:val="center"/>
              <w:ind w:left="1796"/>
              <w:spacing w:after="0"/>
              <w:rPr>
                <w:sz w:val="20"/>
                <w:szCs w:val="20"/>
                <w:color w:val="auto"/>
              </w:rPr>
            </w:pPr>
            <w:r>
              <w:rPr>
                <w:rFonts w:ascii="Arial" w:cs="Arial" w:eastAsia="Arial" w:hAnsi="Arial"/>
                <w:sz w:val="18"/>
                <w:szCs w:val="18"/>
                <w:b w:val="1"/>
                <w:bCs w:val="1"/>
                <w:color w:val="auto"/>
                <w:w w:val="99"/>
              </w:rPr>
              <w:t>CC HOLDINGS GS V LLC</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jc w:val="center"/>
              <w:ind w:left="1816"/>
              <w:spacing w:after="0"/>
              <w:rPr>
                <w:sz w:val="20"/>
                <w:szCs w:val="20"/>
                <w:color w:val="auto"/>
              </w:rPr>
            </w:pPr>
            <w:r>
              <w:rPr>
                <w:rFonts w:ascii="Arial" w:cs="Arial" w:eastAsia="Arial" w:hAnsi="Arial"/>
                <w:sz w:val="18"/>
                <w:szCs w:val="18"/>
                <w:b w:val="1"/>
                <w:bCs w:val="1"/>
                <w:color w:val="auto"/>
                <w:w w:val="99"/>
              </w:rPr>
              <w:t>CONDENSED CONSOLIDATED BALANCE SHEET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80" w:type="dxa"/>
            <w:vAlign w:val="bottom"/>
          </w:tcPr>
          <w:p>
            <w:pPr>
              <w:jc w:val="center"/>
              <w:ind w:left="1816"/>
              <w:spacing w:after="0"/>
              <w:rPr>
                <w:sz w:val="20"/>
                <w:szCs w:val="20"/>
                <w:color w:val="auto"/>
              </w:rPr>
            </w:pPr>
            <w:r>
              <w:rPr>
                <w:rFonts w:ascii="Arial" w:cs="Arial" w:eastAsia="Arial" w:hAnsi="Arial"/>
                <w:sz w:val="18"/>
                <w:szCs w:val="18"/>
                <w:b w:val="1"/>
                <w:bCs w:val="1"/>
                <w:color w:val="auto"/>
                <w:w w:val="89"/>
              </w:rPr>
              <w:t>(In thousands of dollars)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8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39,581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20,401</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26,376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24,318</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11,336</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86,456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60,042</w:t>
            </w:r>
          </w:p>
        </w:tc>
        <w:tc>
          <w:tcPr>
            <w:tcW w:w="0" w:type="dxa"/>
            <w:vAlign w:val="bottom"/>
          </w:tcPr>
          <w:p>
            <w:pPr>
              <w:spacing w:after="0"/>
              <w:rPr>
                <w:sz w:val="1"/>
                <w:szCs w:val="1"/>
                <w:color w:val="auto"/>
              </w:rPr>
            </w:pPr>
          </w:p>
        </w:tc>
      </w:tr>
      <w:tr>
        <w:trPr>
          <w:trHeight w:val="33"/>
        </w:trPr>
        <w:tc>
          <w:tcPr>
            <w:tcW w:w="88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350,407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40"/>
              <w:spacing w:after="0"/>
              <w:rPr>
                <w:sz w:val="20"/>
                <w:szCs w:val="20"/>
                <w:color w:val="auto"/>
              </w:rPr>
            </w:pPr>
            <w:r>
              <w:rPr>
                <w:rFonts w:ascii="Arial" w:cs="Arial" w:eastAsia="Arial" w:hAnsi="Arial"/>
                <w:sz w:val="16"/>
                <w:szCs w:val="16"/>
                <w:color w:val="auto"/>
              </w:rPr>
              <w:t>Property and equipment, net of accumulated depreciation of $806,784 and $740,236, respectively</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1,098,657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1,135,704</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237"/>
        </w:trPr>
        <w:tc>
          <w:tcPr>
            <w:tcW w:w="8860" w:type="dxa"/>
            <w:vAlign w:val="bottom"/>
            <w:gridSpan w:val="3"/>
          </w:tcPr>
          <w:p>
            <w:pPr>
              <w:ind w:left="8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1,067,070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1,152,354</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32,835</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3,976,114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4,070,072</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80" w:type="dxa"/>
            <w:vAlign w:val="bottom"/>
          </w:tcPr>
          <w:p>
            <w:pPr>
              <w:ind w:left="276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Accrued expenses and payables</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12,961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12,825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8,655</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12,165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Debt</w:t>
            </w:r>
          </w:p>
        </w:tc>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990,933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1,487,055</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95,837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48,655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49,187</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1,665,724</w:t>
            </w:r>
          </w:p>
        </w:tc>
        <w:tc>
          <w:tcPr>
            <w:tcW w:w="0" w:type="dxa"/>
            <w:vAlign w:val="bottom"/>
          </w:tcPr>
          <w:p>
            <w:pPr>
              <w:spacing w:after="0"/>
              <w:rPr>
                <w:sz w:val="1"/>
                <w:szCs w:val="1"/>
                <w:color w:val="auto"/>
              </w:rPr>
            </w:pPr>
          </w:p>
        </w:tc>
      </w:tr>
      <w:tr>
        <w:trPr>
          <w:trHeight w:val="217"/>
        </w:trPr>
        <w:tc>
          <w:tcPr>
            <w:tcW w:w="8860" w:type="dxa"/>
            <w:vAlign w:val="bottom"/>
            <w:gridSpan w:val="3"/>
          </w:tcPr>
          <w:p>
            <w:pPr>
              <w:ind w:left="8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878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2,794,195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2,327,938</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76,410</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6"/>
                <w:szCs w:val="16"/>
                <w:color w:val="auto"/>
              </w:rPr>
              <w:t>Total member's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2,794,195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3,976,114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4,070,072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8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152,523</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152,023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458,781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454,245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4"/>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38,670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38,061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112,575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112,958</w:t>
            </w:r>
          </w:p>
        </w:tc>
      </w:tr>
      <w:tr>
        <w:trPr>
          <w:trHeight w:val="270"/>
        </w:trPr>
        <w:tc>
          <w:tcPr>
            <w:tcW w:w="5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8,569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25,238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23,731</w:t>
            </w:r>
          </w:p>
        </w:tc>
      </w:tr>
      <w:tr>
        <w:trPr>
          <w:trHeight w:val="25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47,239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46,063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137,813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136,689</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11,425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10,981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32,564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3,435</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52,624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51,819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157,098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154,800</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327,488</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40,285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41,783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126,210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126,757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(39,917)</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17,004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28,620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76,306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86,998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16,920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76,053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86,689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90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76,053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86,689</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157,098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154,800</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3,435</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Gains (losses) on retirement of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Changes in assets and liabilities: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12,599</w:t>
            </w:r>
          </w:p>
        </w:tc>
      </w:tr>
      <w:tr>
        <w:trPr>
          <w:trHeight w:val="237"/>
        </w:trPr>
        <w:tc>
          <w:tcPr>
            <w:tcW w:w="902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612</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w:t>
            </w:r>
          </w:p>
        </w:tc>
      </w:tr>
      <w:tr>
        <w:trPr>
          <w:trHeight w:val="237"/>
        </w:trPr>
        <w:tc>
          <w:tcPr>
            <w:tcW w:w="902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1,961</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other current assets, deferred site rental receivable, long-term prepaid rent,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(24,001)</w:t>
            </w:r>
          </w:p>
        </w:tc>
      </w:tr>
      <w:tr>
        <w:trPr>
          <w:trHeight w:val="217"/>
        </w:trPr>
        <w:tc>
          <w:tcPr>
            <w:tcW w:w="902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253,175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240,127</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(65,575)</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(65,575)</w:t>
            </w: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and redemptions of debt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508,472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(162,933)</w:t>
            </w:r>
          </w:p>
        </w:tc>
      </w:tr>
      <w:tr>
        <w:trPr>
          <w:trHeight w:val="217"/>
        </w:trPr>
        <w:tc>
          <w:tcPr>
            <w:tcW w:w="902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(194,678)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(162,933)</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26,231</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37,850</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6,033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2,333,971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 (note 4)</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(65,168)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16,920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16,920</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2,794,195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2,794,195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40"/>
              <w:spacing w:after="0"/>
              <w:rPr>
                <w:sz w:val="20"/>
                <w:szCs w:val="20"/>
                <w:color w:val="auto"/>
              </w:rPr>
            </w:pPr>
            <w:r>
              <w:rPr>
                <w:rFonts w:ascii="Arial" w:cs="Arial" w:eastAsia="Arial" w:hAnsi="Arial"/>
                <w:sz w:val="16"/>
                <w:szCs w:val="16"/>
                <w:color w:val="auto"/>
              </w:rPr>
              <w:t>Balance, July 1,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145,661</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2,473,599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(57,315)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(57,315)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28,517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28,517</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116,863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2,444,801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Equity contribution related to debt repayment (note 4)</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76,053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76,053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2,794,195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2,794,195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40"/>
              <w:spacing w:after="0"/>
              <w:rPr>
                <w:sz w:val="20"/>
                <w:szCs w:val="20"/>
                <w:color w:val="auto"/>
              </w:rPr>
            </w:pPr>
            <w:r>
              <w:rPr>
                <w:rFonts w:ascii="Arial" w:cs="Arial" w:eastAsia="Arial" w:hAnsi="Arial"/>
                <w:sz w:val="16"/>
                <w:szCs w:val="16"/>
                <w:color w:val="auto"/>
              </w:rPr>
              <w:t>Balance, January 1,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193,107</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2,521,045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(162,933)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(162,933)</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86,689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86,689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116,863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2,444,801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the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2015, and related notes thereto, included in the 2015 Form 10-K filed by the Company with the SEC.</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organized specifically to own, lease and manage sites. The Company's core business is providing access, including space or capacity, to its sites via long-term contracts in various forms, including licenses, subleases and lease agreements. The Company's sites are geographically dispersed throughout the United States ("U.S."). Management services related to the Company's sites are performed by Crown Castle USA, Inc. ("CCUSA"), an affiliate of the Company, under the Management Agreement, as the Company has no employees.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September 30, 2016, and the consolidated results of operations and the consolidated cash flows for the nine months ended September 30, 2016 and 2015.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2015 Form 10-K, other than certain recent accounting pronouncements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April 2015, the FASB issued new guidance on the presentation of debt issuance costs. The guidance requires debt issuance costs be presented on the balance sheet as a direct deduction from the carrying amount of the related debt liability, consistent with debt discounts and premiums. The Company adopted the guidance as of January 1, 2016, and has applied the guidance retrospectively. As a result, the Company reclassified $12.9 million of deferred financing costs as of December 31, 2015 from "long-term prepaid rent and other assets, net" as a direct reduction of "debt."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The Company expects this guidance to have a material impact on its condensed consolidated financial statements and is currently evaluating the impact.</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Early adoption is permitted. The Company does not expect this guidance to have a material impact on its condensed consolidated financial statements.</w:t>
      </w:r>
    </w:p>
    <w:p>
      <w:pPr>
        <w:spacing w:after="0" w:line="33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outstanding balance of the 2012 Secured Notes as of September 30, 2016 and December 31, 2015 was $1.0 billion and $1.5 billion, respectively. The 2012 Secured Notes originally consisted of $500 million aggregate principal amount of 2.381% secured notes ("2.381% Secured Notes") due December 2017 and $1.0 billion aggregate principal amount of 3.849% secured notes ("3.849% Secured Notes") due April 2023. In September 2016, CCIC issued $700 million aggregate principal amount of 2.25% senior secured notes ("September 2016 Senior Notes"). CCIC used a portion of the net proceeds from the September 2016 Senior Notes offering to repay in full the previously outstanding 2.381% Secured Notes. The Company recorded an equity contribution related to the repayment of the 2.381% Secured Notes for the nine months ended September 30, 2016 (see note 4).</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8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49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12,267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12,599</w:t>
            </w: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37,465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37,796</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707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2,121</w:t>
            </w:r>
          </w:p>
        </w:tc>
      </w:tr>
      <w:tr>
        <w:trPr>
          <w:trHeight w:val="33"/>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12,934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13,306</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39,546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39,917</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Purchases and Redemptions of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purchases and redemptions of debt during the three and nine months ended September 30,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3"/>
              </w:rPr>
              <w:t>Three and Nine Months Ended September 30, 2016</w:t>
            </w:r>
          </w:p>
        </w:tc>
      </w:tr>
      <w:tr>
        <w:trPr>
          <w:trHeight w:val="264"/>
        </w:trPr>
        <w:tc>
          <w:tcPr>
            <w:tcW w:w="6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205"/>
              <w:spacing w:after="0"/>
              <w:rPr>
                <w:sz w:val="20"/>
                <w:szCs w:val="20"/>
                <w:color w:val="auto"/>
              </w:rPr>
            </w:pPr>
            <w:r>
              <w:rPr>
                <w:rFonts w:ascii="Arial" w:cs="Arial" w:eastAsia="Arial" w:hAnsi="Arial"/>
                <w:sz w:val="14"/>
                <w:szCs w:val="14"/>
                <w:b w:val="1"/>
                <w:bCs w:val="1"/>
                <w:color w:val="auto"/>
                <w:w w:val="98"/>
              </w:rPr>
              <w:t>Principal Amount</w:t>
            </w:r>
          </w:p>
        </w:tc>
        <w:tc>
          <w:tcPr>
            <w:tcW w:w="380" w:type="dxa"/>
            <w:vAlign w:val="bottom"/>
          </w:tcPr>
          <w:p>
            <w:pPr>
              <w:spacing w:after="0"/>
              <w:rPr>
                <w:sz w:val="22"/>
                <w:szCs w:val="22"/>
                <w:color w:val="auto"/>
              </w:rPr>
            </w:pPr>
          </w:p>
        </w:tc>
        <w:tc>
          <w:tcPr>
            <w:tcW w:w="1320" w:type="dxa"/>
            <w:vAlign w:val="bottom"/>
          </w:tcPr>
          <w:p>
            <w:pPr>
              <w:jc w:val="center"/>
              <w:ind w:right="203"/>
              <w:spacing w:after="0"/>
              <w:rPr>
                <w:sz w:val="20"/>
                <w:szCs w:val="20"/>
                <w:color w:val="auto"/>
              </w:rPr>
            </w:pPr>
            <w:r>
              <w:rPr>
                <w:rFonts w:ascii="Arial" w:cs="Arial" w:eastAsia="Arial" w:hAnsi="Arial"/>
                <w:sz w:val="14"/>
                <w:szCs w:val="14"/>
                <w:b w:val="1"/>
                <w:bCs w:val="1"/>
                <w:color w:val="auto"/>
                <w:w w:val="92"/>
              </w:rPr>
              <w:t>Cash Paid</w:t>
            </w:r>
            <w:r>
              <w:rPr>
                <w:rFonts w:ascii="Arial" w:cs="Arial" w:eastAsia="Arial" w:hAnsi="Arial"/>
                <w:sz w:val="8"/>
                <w:szCs w:val="8"/>
                <w:b w:val="1"/>
                <w:bCs w:val="1"/>
                <w:color w:val="auto"/>
                <w:w w:val="92"/>
              </w:rPr>
              <w:t>(a)</w:t>
            </w:r>
          </w:p>
        </w:tc>
        <w:tc>
          <w:tcPr>
            <w:tcW w:w="320" w:type="dxa"/>
            <w:vAlign w:val="bottom"/>
          </w:tcPr>
          <w:p>
            <w:pPr>
              <w:spacing w:after="0"/>
              <w:rPr>
                <w:sz w:val="22"/>
                <w:szCs w:val="22"/>
                <w:color w:val="auto"/>
              </w:rPr>
            </w:pPr>
          </w:p>
        </w:tc>
        <w:tc>
          <w:tcPr>
            <w:tcW w:w="1360" w:type="dxa"/>
            <w:vAlign w:val="bottom"/>
          </w:tcPr>
          <w:p>
            <w:pPr>
              <w:jc w:val="right"/>
              <w:ind w:right="243"/>
              <w:spacing w:after="0"/>
              <w:rPr>
                <w:sz w:val="20"/>
                <w:szCs w:val="20"/>
                <w:color w:val="auto"/>
              </w:rPr>
            </w:pPr>
            <w:r>
              <w:rPr>
                <w:rFonts w:ascii="Arial" w:cs="Arial" w:eastAsia="Arial" w:hAnsi="Arial"/>
                <w:sz w:val="14"/>
                <w:szCs w:val="14"/>
                <w:b w:val="1"/>
                <w:bCs w:val="1"/>
                <w:color w:val="auto"/>
                <w:w w:val="96"/>
              </w:rPr>
              <w:t>Gains (losses)</w:t>
            </w:r>
            <w:r>
              <w:rPr>
                <w:rFonts w:ascii="Arial" w:cs="Arial" w:eastAsia="Arial" w:hAnsi="Arial"/>
                <w:sz w:val="8"/>
                <w:szCs w:val="8"/>
                <w:b w:val="1"/>
                <w:bCs w:val="1"/>
                <w:color w:val="auto"/>
                <w:w w:val="96"/>
              </w:rPr>
              <w:t>(b)</w:t>
            </w: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2.381% Secured Notes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500,000</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508,472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w:t>
            </w:r>
          </w:p>
        </w:tc>
      </w:tr>
      <w:tr>
        <w:trPr>
          <w:trHeight w:val="33"/>
        </w:trPr>
        <w:tc>
          <w:tcPr>
            <w:tcW w:w="6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Inclusive of $1.8 million related to the write off of deferred financing costs.</w:t>
      </w:r>
    </w:p>
    <w:p>
      <w:pPr>
        <w:spacing w:after="0" w:line="31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insurance premiums). Further, in connection with its role as Manager, CCUSA may make certain modifications to the Company's sites.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an affiliate acquiring rights to such land. As of September 30, 2016, there was approximately 26% of the Company's sites where the land under the tower is controlled by an affiliate. Also, the Company receives rent revenue from affiliates for land controlled by the Company that affiliates have towers on.</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nine months ended September 30, 2016, the Company recorded a net equity contribution of $313.8 million, which was inclusive of (1) an equity contribution from CCIC of $508.5 million related to the repayment of the previously outstanding 2.381% Secured Notes (see note 3) and (2) an equity distribution of $194.7 million, reflecting distributions to its member and ultimately other subsidiaries of CCIC. For the nine months ended September 30, 2015, the Company recorded an equity distribution of $162.9 million, reflecting distributions to its member and ultimately other subsidiaries of CCIC. Cash on hand above the amount that is required by the Management Agreement has been, and is expected to continue to be, distributed to the Company's parent company.</w:t>
      </w:r>
    </w:p>
    <w:p>
      <w:pPr>
        <w:spacing w:after="0" w:line="35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Effective January 1, 2014, CCIC commenced operating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part of the CCIC REIT.</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nine months ended September 30, 2016 and 2015, the Company's effective tax rate differed from the federal statutory rate predominately due to CCIC's dividends paid deduction.</w:t>
      </w:r>
    </w:p>
    <w:p>
      <w:pPr>
        <w:spacing w:after="0" w:line="32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2015 in the Company's valuation techniques used to measure fair values. The estimated fair values of the Company's financial instruments, along with the carrying amounts of the related assets and liabilities, are as follows: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39,581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39,581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20,401</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990,933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1,071,500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1,487,055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1,486,600</w:t>
            </w:r>
          </w:p>
        </w:tc>
      </w:tr>
    </w:tbl>
    <w:p>
      <w:pPr>
        <w:spacing w:after="0" w:line="39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396"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060"/>
        <w:spacing w:after="0"/>
        <w:tabs>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280"/>
        <w:spacing w:after="0"/>
        <w:tabs>
          <w:tab w:leader="none" w:pos="8580" w:val="left"/>
          <w:tab w:leader="none" w:pos="9380" w:val="left"/>
          <w:tab w:leader="none" w:pos="10080" w:val="left"/>
          <w:tab w:leader="none" w:pos="10840" w:val="left"/>
        </w:tabs>
        <w:rPr>
          <w:sz w:val="20"/>
          <w:szCs w:val="20"/>
          <w:color w:val="auto"/>
        </w:rPr>
      </w:pPr>
      <w:r>
        <w:rPr>
          <w:rFonts w:ascii="Arial" w:cs="Arial" w:eastAsia="Arial" w:hAnsi="Arial"/>
          <w:sz w:val="16"/>
          <w:szCs w:val="16"/>
          <w:color w:val="auto"/>
        </w:rPr>
        <w:t>Interest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28,372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25,198</w:t>
      </w:r>
    </w:p>
    <w:p>
      <w:pPr>
        <w:spacing w:after="0" w:line="200" w:lineRule="exact"/>
        <w:rPr>
          <w:sz w:val="20"/>
          <w:szCs w:val="20"/>
          <w:color w:val="auto"/>
        </w:rPr>
      </w:pPr>
    </w:p>
    <w:p>
      <w:pPr>
        <w:spacing w:after="0" w:line="21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2012 Secured Notes are guaranteed by all subsidiaries of CCL, each of which is a 100% wholly-owned subsidiary of CCL, other than Crown Castle GS III Corp., which is a co-issuer of the 2012 Secured Notes and a 100%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the consolidated financial statements of the Company including the related notes and </w:t>
      </w:r>
      <w:r>
        <w:rPr>
          <w:rFonts w:ascii="Arial" w:cs="Arial" w:eastAsia="Arial" w:hAnsi="Arial"/>
          <w:sz w:val="18"/>
          <w:szCs w:val="18"/>
          <w:i w:val="1"/>
          <w:iCs w:val="1"/>
          <w:color w:val="auto"/>
        </w:rPr>
        <w:t>"Item 7."Management's Discussion and Analysis of Financial Condition and Results of Operations"</w:t>
      </w:r>
      <w:r>
        <w:rPr>
          <w:rFonts w:ascii="Arial" w:cs="Arial" w:eastAsia="Arial" w:hAnsi="Arial"/>
          <w:sz w:val="18"/>
          <w:szCs w:val="18"/>
          <w:color w:val="auto"/>
        </w:rPr>
        <w:t xml:space="preserve"> ("MD&amp;A") included in our 2015 Form 10-K. Capitalized terms used but not defined in this Form 10-Q have the same meaning given to them in our 2015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nine months ended September 30, 2016.</w:t>
      </w:r>
    </w:p>
    <w:p>
      <w:pPr>
        <w:spacing w:after="0" w:line="23"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demand resulting from wireless network expansion and new entrants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65" w:lineRule="auto"/>
        <w:tabs>
          <w:tab w:leader="none" w:pos="12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or (6) the availability of additional spectrum.</w:t>
      </w: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w:t>
      </w: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wireless infrastructure, such as towers or other structures, and have no employees.</w:t>
      </w:r>
    </w:p>
    <w:p>
      <w:pPr>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 rental revenues under long-term tenant leases with contractual escalations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Initial terms of five to 15 years with multiple renewal periods at the option of the tenant of five to ten years each.</w:t>
      </w:r>
    </w:p>
    <w:p>
      <w:pPr>
        <w:spacing w:after="0" w:line="9" w:lineRule="exact"/>
        <w:rPr>
          <w:rFonts w:ascii="Arial" w:cs="Arial" w:eastAsia="Arial" w:hAnsi="Arial"/>
          <w:sz w:val="18"/>
          <w:szCs w:val="18"/>
          <w:color w:val="auto"/>
        </w:rPr>
      </w:pPr>
    </w:p>
    <w:p>
      <w:pPr>
        <w:jc w:val="both"/>
        <w:ind w:left="1220" w:right="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lease by the related site rental revenue) of approximately six years, exclusive of renewals at the tenants' option, currently representing approximately $4.0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88%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Majority of land interests under our wireless infrastructure are under long-term control</w:t>
      </w:r>
    </w:p>
    <w:p>
      <w:pPr>
        <w:spacing w:after="0" w:line="9" w:lineRule="exact"/>
        <w:rPr>
          <w:rFonts w:ascii="Arial" w:cs="Arial" w:eastAsia="Arial" w:hAnsi="Arial"/>
          <w:sz w:val="18"/>
          <w:szCs w:val="18"/>
          <w:color w:val="auto"/>
        </w:rPr>
      </w:pPr>
    </w:p>
    <w:p>
      <w:pPr>
        <w:jc w:val="both"/>
        <w:ind w:left="1220" w:hanging="402"/>
        <w:spacing w:after="0" w:line="281"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Approximately 90% of our site rental gross margin and approximately 50% of our site rental gross margin is derived from sites that we own or control for greater than 10 and 20 years, respectively. The aforementioned amounts include sites that reside on land interests that are owned, including fee interests and perpetual easements, which represent approximately one-sixth of our site rental gross margin.</w:t>
      </w:r>
    </w:p>
    <w:p>
      <w:pPr>
        <w:spacing w:after="0" w:line="2" w:lineRule="exact"/>
        <w:rPr>
          <w:rFonts w:ascii="Arial" w:cs="Arial" w:eastAsia="Arial" w:hAnsi="Arial"/>
          <w:sz w:val="16"/>
          <w:szCs w:val="16"/>
          <w:color w:val="auto"/>
        </w:rPr>
      </w:pP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Approximately 18% of our site rental cost of operations represents ground lease payments to affiliates of ours.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net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ind w:left="1220" w:right="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due 2023. See note 3 to our condensed consolidated financial statements.</w:t>
      </w:r>
    </w:p>
    <w:p>
      <w:pPr>
        <w:jc w:val="both"/>
        <w:ind w:left="1220" w:hanging="402"/>
        <w:spacing w:after="0" w:line="250"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September 2016, CCIC issued $700 million aggregate principal amount of September 2016 Senior Notes. CCIC used a portion of the net proceeds from the September 2016 Senior Notes offering to repay $500 million of our previously outstanding 2.381% Secured Notes. See notes 3 and 4 to our condensed consolidated financial statements.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$253.2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25"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2016 and 2017.</w:t>
      </w:r>
    </w:p>
    <w:p>
      <w:pPr>
        <w:spacing w:after="0" w:line="23" w:lineRule="exact"/>
        <w:rPr>
          <w:rFonts w:ascii="Arial" w:cs="Arial" w:eastAsia="Arial" w:hAnsi="Arial"/>
          <w:sz w:val="18"/>
          <w:szCs w:val="18"/>
          <w:color w:val="auto"/>
        </w:rPr>
      </w:pPr>
    </w:p>
    <w:p>
      <w:pPr>
        <w:ind w:left="1220" w:hanging="807"/>
        <w:spacing w:after="0" w:line="261"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2016 and 2017, we also expect that the impact from tenant leasing will be offset by non-renewals of tenant leases, primarily from our customers' decommissioning of the Acquired Networks, at least in part.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2015 Form 10-K. The following discussion of our results of operations is based on our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herein and note 2 to our 2015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20" w:type="dxa"/>
            <w:vAlign w:val="bottom"/>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September 30, 2015</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40" w:type="dxa"/>
            <w:vAlign w:val="bottom"/>
            <w:gridSpan w:val="4"/>
            <w:shd w:val="clear" w:color="auto" w:fill="CCEEFF"/>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Site rental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152,523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152,023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47,239</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46,063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18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11,425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10,981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1,377</w:t>
            </w:r>
          </w:p>
        </w:tc>
        <w:tc>
          <w:tcPr>
            <w:tcW w:w="134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52,624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51,819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112,238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110,240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40,285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41,783</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Gains (losses) on retirement of long-term obligations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17,004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28,620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16,920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28,517</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4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600" w:type="dxa"/>
            <w:vAlign w:val="bottom"/>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c>
          <w:tcPr>
            <w:tcW w:w="220" w:type="dxa"/>
            <w:vAlign w:val="bottom"/>
          </w:tcPr>
          <w:p>
            <w:pPr>
              <w:spacing w:after="0"/>
              <w:rPr>
                <w:sz w:val="14"/>
                <w:szCs w:val="14"/>
                <w:color w:val="auto"/>
              </w:rPr>
            </w:pPr>
          </w:p>
        </w:tc>
        <w:tc>
          <w:tcPr>
            <w:tcW w:w="1460" w:type="dxa"/>
            <w:vAlign w:val="bottom"/>
          </w:tcPr>
          <w:p>
            <w:pPr>
              <w:jc w:val="right"/>
              <w:ind w:right="42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0" w:type="dxa"/>
            <w:vAlign w:val="bottom"/>
            <w:tcBorders>
              <w:bottom w:val="single" w:sz="8" w:color="CCEEFF"/>
            </w:tcBorders>
          </w:tcPr>
          <w:p>
            <w:pPr>
              <w:spacing w:after="0"/>
              <w:rPr>
                <w:sz w:val="16"/>
                <w:szCs w:val="16"/>
                <w:color w:val="auto"/>
              </w:rPr>
            </w:pPr>
          </w:p>
        </w:tc>
        <w:tc>
          <w:tcPr>
            <w:tcW w:w="5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7"/>
              </w:rPr>
              <w:t>September 30, 2015</w:t>
            </w:r>
          </w:p>
        </w:tc>
        <w:tc>
          <w:tcPr>
            <w:tcW w:w="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40" w:type="dxa"/>
            <w:vAlign w:val="bottom"/>
            <w:gridSpan w:val="4"/>
            <w:shd w:val="clear" w:color="auto" w:fill="CCEEFF"/>
          </w:tcPr>
          <w:p>
            <w:pPr>
              <w:jc w:val="right"/>
              <w:ind w:right="1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Site rental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458,781</w:t>
            </w:r>
          </w:p>
        </w:tc>
        <w:tc>
          <w:tcPr>
            <w:tcW w:w="2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454,245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900" w:type="dxa"/>
            <w:vAlign w:val="bottom"/>
            <w:gridSpan w:val="2"/>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137,813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136,689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0"/>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200" w:type="dxa"/>
            <w:vAlign w:val="bottom"/>
          </w:tcPr>
          <w:p>
            <w:pPr>
              <w:spacing w:after="0"/>
              <w:rPr>
                <w:sz w:val="23"/>
                <w:szCs w:val="23"/>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33,936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32,564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Asset write-down charges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3,435</w:t>
            </w:r>
          </w:p>
        </w:tc>
        <w:tc>
          <w:tcPr>
            <w:tcW w:w="1680" w:type="dxa"/>
            <w:vAlign w:val="bottom"/>
            <w:tcBorders>
              <w:bottom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20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157,098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154,800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332,571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327,488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126,210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126,757</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(10,273)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76,306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86,998</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76,053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86,689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9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570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Third Quarter 2016 and 2015</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Site rental revenues for the three months ended September 30, 2016 was $152.5 million compared to site rental revenues of $152.0 million for the three months ended September 30, 2015. Site rental revenues were impacted by the following items, inclusive of straight-line accounting, in no particular order: tenant additions across our entire portfolio, renewals or extensions of tenant leases, escalations and non-renewals of tenant leases. Tenant additions were influenced by our customers' ongoing efforts to improve network quality and capacity. See also </w:t>
      </w:r>
      <w:r>
        <w:rPr>
          <w:rFonts w:ascii="Arial" w:cs="Arial" w:eastAsia="Arial" w:hAnsi="Arial"/>
          <w:sz w:val="16"/>
          <w:szCs w:val="16"/>
          <w:i w:val="1"/>
          <w:iCs w:val="1"/>
          <w:color w:val="auto"/>
        </w:rPr>
        <w:t>"Item 2. MD&amp;A—General Overview."</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Site rental gross margins for the three months ended September 30, 2016 was $105.3 million compared to site rental gross margin of $106.0 million for the same period in 2015 due to the relatively fixed costs to operate our sites.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management fee for the three months ended September 30, 2016 increased by $0.4 million, or 4%, from the three months ended September 30, 2015, but remained approximately 7% of total net revenues. The management fee is equal to 7.5% of our Operating Revenues as defined in the Management Agreement.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amortization and accretion for the three months ended September 30, 2016 increased by $0.8 million, or 2%, from the three months ended September 30, 2015. This increase predominately resulted from a corresponding increase in our gross property and equipment primarily related to capital expenditures to accommodate new tenant additions.</w:t>
      </w:r>
    </w:p>
    <w:p>
      <w:pPr>
        <w:spacing w:after="0" w:line="12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September 2016, CCIC issued $700 million aggregate principal amount of 2.25% September 2016 Senior Notes and used a portion of the proceeds to repay all of the previously outstanding 2.381% Secured Notes, which resulted in a loss on retirement of long-term obligations of $10.3 million.</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for the three months ended September 30, 2016 was $16.9 million compared to net income of $28.5 million for the three months ended September 30, 2015. The decrease was due primarily to the aforementioned loss on retirement of long-term obligations recorded for the repayment of the previously outstanding 2.381% Secured Notes.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0"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i w:val="1"/>
          <w:iCs w:val="1"/>
          <w:color w:val="auto"/>
        </w:rPr>
        <w:t>First Nine Months 2016 and 2015</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Site rental revenues for the nine months ended September 30, 2016 increased by $4.5 million, or 1%, from the same period in the prior year. This increase in site rental revenues was impacted by the following items, inclusive of straight-line accounting, in no particular order: new tenant additions across our entire portfolio, renewals or extensions of tenant leases, escalations and non-renewals of tenant leases. Tenant additions were influenced by our customers' ongoing efforts to improve network quality and capacity. See also </w:t>
      </w:r>
      <w:r>
        <w:rPr>
          <w:rFonts w:ascii="Arial" w:cs="Arial" w:eastAsia="Arial" w:hAnsi="Arial"/>
          <w:sz w:val="17"/>
          <w:szCs w:val="17"/>
          <w:i w:val="1"/>
          <w:iCs w:val="1"/>
          <w:color w:val="auto"/>
        </w:rPr>
        <w:t>"Item 2. MD&amp;A—General Overview"</w:t>
      </w:r>
      <w:r>
        <w:rPr>
          <w:rFonts w:ascii="Arial" w:cs="Arial" w:eastAsia="Arial" w:hAnsi="Arial"/>
          <w:sz w:val="17"/>
          <w:szCs w:val="17"/>
          <w:color w:val="auto"/>
        </w:rPr>
        <w:t xml:space="preserve"> herein.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Site rental gross margins for the nine months ended September 30, 2016 increased by $3.4 million, or 1%, from the nine months ended September 30, 2015. The increase in the site rental gross margins was related to the previously mentioned 1% increase in site rental revenues and the relatively fixed costs to operate our sites.</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management fee for the nine months ended September 30, 2016 increased by $1.4 million, or 4%, from the nine months ended September 30, 2015, but remained 7% of total net revenues. The management fee is equal to 7.5% of our Management Agreement Operating Revenues.</w:t>
      </w:r>
    </w:p>
    <w:p>
      <w:pPr>
        <w:spacing w:after="0" w:line="9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Depreciation, amortization and accretion for the nine months ended September 30, 2016 increased by $2.3 million, or 1%, from the nine months ended September 30, 2015. This increase predominately resulted from a corresponding increase in our gross property and equipment primarily related to capital expenditures to accommodate new tenant additions.</w:t>
      </w:r>
    </w:p>
    <w:p>
      <w:pPr>
        <w:spacing w:after="0" w:line="12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September 2016, CCIC issued $700 million aggregate principal amount of September 2016 Senior Notes and used a portion of the proceeds to repay all of the previously outstanding 2.381% Secured Notes which resulted in a loss on retirement of long-term obligations of $10.3 million.</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for the nine months ended September 30, 2016 was $76.1 million compared to net income of $86.7 million for the nine months ended September 30, 2015. The decrease was due primarily to the aforementioned loss on retirement of long-term obligations recorded for the repayment of the previously outstanding 2.381% Secured Notes.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leases (See</w:t>
      </w:r>
      <w:r>
        <w:rPr>
          <w:rFonts w:ascii="Arial" w:cs="Arial" w:eastAsia="Arial" w:hAnsi="Arial"/>
          <w:sz w:val="16"/>
          <w:szCs w:val="16"/>
          <w:i w:val="1"/>
          <w:iCs w:val="1"/>
          <w:color w:val="auto"/>
        </w:rPr>
        <w:t xml:space="preserve"> "Item 2. MD&amp;A—General Overview")</w:t>
      </w:r>
      <w:r>
        <w:rPr>
          <w:rFonts w:ascii="Arial" w:cs="Arial" w:eastAsia="Arial" w:hAnsi="Arial"/>
          <w:sz w:val="16"/>
          <w:szCs w:val="16"/>
          <w:color w:val="auto"/>
        </w:rPr>
        <w:t>, predominantly from the largest U.S.</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 our capital expenditures. We seek to allocate the net cash generated from our business in a manner that we believe drives value for our member and ultimately CCIC.</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indirect parent, CCIC.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September 30, 2016:</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9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43"/>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39,581</w:t>
            </w:r>
          </w:p>
        </w:tc>
      </w:tr>
      <w:tr>
        <w:trPr>
          <w:trHeight w:val="224"/>
        </w:trPr>
        <w:tc>
          <w:tcPr>
            <w:tcW w:w="9120" w:type="dxa"/>
            <w:vAlign w:val="bottom"/>
          </w:tcPr>
          <w:p>
            <w:pPr>
              <w:ind w:left="2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990,933</w:t>
            </w:r>
          </w:p>
        </w:tc>
      </w:tr>
      <w:tr>
        <w:trPr>
          <w:trHeight w:val="33"/>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2,794,195</w:t>
            </w:r>
          </w:p>
        </w:tc>
      </w:tr>
      <w:tr>
        <w:trPr>
          <w:trHeight w:val="33"/>
        </w:trPr>
        <w:tc>
          <w:tcPr>
            <w:tcW w:w="9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for):</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activities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Change</w:t>
            </w:r>
          </w:p>
        </w:tc>
      </w:tr>
      <w:tr>
        <w:trPr>
          <w:trHeight w:val="190"/>
        </w:trPr>
        <w:tc>
          <w:tcPr>
            <w:tcW w:w="280" w:type="dxa"/>
            <w:vAlign w:val="bottom"/>
          </w:tcPr>
          <w:p>
            <w:pPr>
              <w:spacing w:after="0"/>
              <w:rPr>
                <w:sz w:val="16"/>
                <w:szCs w:val="16"/>
                <w:color w:val="auto"/>
              </w:rPr>
            </w:pPr>
          </w:p>
        </w:tc>
        <w:tc>
          <w:tcPr>
            <w:tcW w:w="244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(In thousands of dollars)</w:t>
            </w:r>
          </w:p>
        </w:tc>
        <w:tc>
          <w:tcPr>
            <w:tcW w:w="920" w:type="dxa"/>
            <w:vAlign w:val="bottom"/>
          </w:tcPr>
          <w:p>
            <w:pPr>
              <w:spacing w:after="0"/>
              <w:rPr>
                <w:sz w:val="16"/>
                <w:szCs w:val="16"/>
                <w:color w:val="auto"/>
              </w:rPr>
            </w:pPr>
          </w:p>
        </w:tc>
      </w:tr>
      <w:tr>
        <w:trPr>
          <w:trHeight w:val="519"/>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253,175</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240,127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13,048</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(39,317)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(65,575)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26,258</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(194,678)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(162,933)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(31,745)</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19,180</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11,619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7,561</w:t>
            </w:r>
          </w:p>
        </w:tc>
      </w:tr>
      <w:tr>
        <w:trPr>
          <w:trHeight w:val="33"/>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-882650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-539750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-196850</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040" w:space="720"/>
            <w:col w:w="3660"/>
          </w:cols>
          <w:pgMar w:left="240" w:top="530" w:right="239" w:bottom="1440" w:gutter="0" w:footer="0" w:header="0"/>
        </w:sect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net cash provided by operating activities for the first nine months of 2016 of $13.0 million, or 5%, from the first nine months of 2015, was due primarily to growth in cash revenues, including cash escalations that are subject to straight-line accounting and a benefit from other changes in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Sustaining capital expenditures consist of maintenance on our sites that enable our customers' ongoing quiet enjoyment of the site.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nine months ended September 30, 2016 and 2015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left="523"/>
              <w:spacing w:after="0"/>
              <w:rPr>
                <w:sz w:val="20"/>
                <w:szCs w:val="20"/>
                <w:color w:val="auto"/>
              </w:rPr>
            </w:pPr>
            <w:r>
              <w:rPr>
                <w:rFonts w:ascii="Arial" w:cs="Arial" w:eastAsia="Arial" w:hAnsi="Arial"/>
                <w:sz w:val="14"/>
                <w:szCs w:val="14"/>
                <w:b w:val="1"/>
                <w:bCs w:val="1"/>
                <w:color w:val="auto"/>
                <w:w w:val="93"/>
              </w:rPr>
              <w:t>Nine Months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Change</w:t>
            </w:r>
          </w:p>
        </w:tc>
      </w:tr>
      <w:tr>
        <w:trPr>
          <w:trHeight w:val="190"/>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(In thousands of dollars)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9"/>
        </w:trPr>
        <w:tc>
          <w:tcPr>
            <w:tcW w:w="7300" w:type="dxa"/>
            <w:vAlign w:val="bottom"/>
          </w:tcPr>
          <w:p>
            <w:pPr>
              <w:ind w:left="40"/>
              <w:spacing w:after="0"/>
              <w:rPr>
                <w:sz w:val="20"/>
                <w:szCs w:val="20"/>
                <w:color w:val="auto"/>
              </w:rPr>
            </w:pPr>
            <w:r>
              <w:rPr>
                <w:rFonts w:ascii="Arial" w:cs="Arial" w:eastAsia="Arial" w:hAnsi="Arial"/>
                <w:sz w:val="16"/>
                <w:szCs w:val="16"/>
                <w:color w:val="auto"/>
              </w:rPr>
              <w:t>Site improvements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32,980</w:t>
            </w:r>
          </w:p>
        </w:tc>
        <w:tc>
          <w:tcPr>
            <w:tcW w:w="52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59,261</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(26,281)</w:t>
            </w:r>
          </w:p>
        </w:tc>
      </w:tr>
      <w:tr>
        <w:trPr>
          <w:trHeight w:val="33"/>
        </w:trPr>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Sustaining</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r>
      <w:tr>
        <w:trPr>
          <w:trHeight w:val="217"/>
        </w:trPr>
        <w:tc>
          <w:tcPr>
            <w:tcW w:w="730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39,317</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65,575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(26,258)</w:t>
            </w:r>
          </w:p>
        </w:tc>
      </w:tr>
      <w:tr>
        <w:trPr>
          <w:trHeight w:val="33"/>
        </w:trPr>
        <w:tc>
          <w:tcPr>
            <w:tcW w:w="7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cash flows used for financing activities in the nine months ended September 30, 2016 and 2015 includes the impact from our continued practice of distributing excess cash to our member and ultimately other subsidiaries of CCIC. In September 2016, CCIC issued $700 million aggregate principal amount of September 2016 Senior Notes. CCIC used a portion of the net proceeds from the September 2016 Senior Notes offering to repay $500 million of our previously outstanding 2.381% Secured Notes. We recorded an equity contribution related to the debt repayment of our 2.381% Secured Notes for the nine months ended September 30, 2016. See notes 3 and 4 to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2015 Form 10-K for a discussion of the 2012 Secured Notes, debt restrictions, and disclosures about market risk. There are no financial maintenance covenants in the 2012 Secured Notes. We are currently not restricted in our ability to incur additional indebtedness or distribute cash to affiliates or issue dividends to our parent.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2016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2015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2015 Form 10-K. The critical accounting policies and estimates for the first nine months of 2016 have not changed from the critical accounting policies for the year ended December 31,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 including a discussion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issued lease accounting standard.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1A—Risk Factors"</w:t>
      </w:r>
      <w:r>
        <w:rPr>
          <w:rFonts w:ascii="Arial" w:cs="Arial" w:eastAsia="Arial" w:hAnsi="Arial"/>
          <w:sz w:val="18"/>
          <w:szCs w:val="18"/>
          <w:color w:val="auto"/>
        </w:rPr>
        <w:t xml:space="preserve"> in our 2015 Form 10-K.</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list of exhibits set forth in the accompanying Exhibit Index is incorporated by reference into this Item 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and Chief Financial Officer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620" w:val="left"/>
        </w:tabs>
        <w:rPr>
          <w:sz w:val="20"/>
          <w:szCs w:val="20"/>
          <w:color w:val="auto"/>
        </w:rPr>
      </w:pPr>
      <w:r>
        <w:rPr>
          <w:rFonts w:ascii="Arial" w:cs="Arial" w:eastAsia="Arial" w:hAnsi="Arial"/>
          <w:sz w:val="18"/>
          <w:szCs w:val="18"/>
          <w:color w:val="auto"/>
        </w:rPr>
        <w:t>Date: November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 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 A. Fisher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898"/>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6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41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Certificate of Formation, as amended, of CC Holdings GS V LLC</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Second Amended and Restated Limited Liability Company Agreement of CC Holdings GS V LLC</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Certification of Chief Executive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Certification of Chief Financial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Section 906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101.INS</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101.SCH</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101.DEF</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101.CAL</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101.LAB</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101.PRE</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240" w:top="513" w:right="10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2016</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2016</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September 30, 2016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8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September 30, 2016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1, 2016</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1, 2016</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lvl w:ilvl="1">
      <w:lvlJc w:val="left"/>
      <w:lvlText w:val="(%2)"/>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2019-12-29T10:53:03Z</dcterms:created>
  <dcterms:modified xsi:type="dcterms:W3CDTF">2019-12-29T10:53:03Z</dcterms:modified>
</cp:coreProperties>
</file>