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760"/>
        <w:spacing w:after="0"/>
        <w:rPr>
          <w:sz w:val="20"/>
          <w:szCs w:val="20"/>
          <w:color w:val="auto"/>
        </w:rPr>
      </w:pPr>
      <w:r>
        <w:rPr>
          <w:rFonts w:ascii="Arial" w:cs="Arial" w:eastAsia="Arial" w:hAnsi="Arial"/>
          <w:sz w:val="11"/>
          <w:szCs w:val="11"/>
          <w:color w:val="auto"/>
        </w:rPr>
        <w:t>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36" w:lineRule="exact"/>
        <w:rPr>
          <w:sz w:val="24"/>
          <w:szCs w:val="24"/>
          <w:color w:val="auto"/>
        </w:rPr>
      </w:pPr>
    </w:p>
    <w:p>
      <w:pPr>
        <w:ind w:left="5020"/>
        <w:spacing w:after="0"/>
        <w:rPr>
          <w:sz w:val="20"/>
          <w:szCs w:val="20"/>
          <w:color w:val="auto"/>
        </w:rPr>
      </w:pPr>
      <w:r>
        <w:rPr>
          <w:rFonts w:ascii="Arial" w:cs="Arial" w:eastAsia="Arial" w:hAnsi="Arial"/>
          <w:sz w:val="11"/>
          <w:szCs w:val="11"/>
          <w:color w:val="auto"/>
        </w:rPr>
        <w:t>__________________________</w:t>
      </w:r>
    </w:p>
    <w:p>
      <w:pPr>
        <w:spacing w:after="0" w:line="136"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31" w:lineRule="exact"/>
        <w:rPr>
          <w:rFonts w:ascii="Arial" w:cs="Arial" w:eastAsia="Arial" w:hAnsi="Arial"/>
          <w:sz w:val="18"/>
          <w:szCs w:val="18"/>
          <w:color w:val="auto"/>
        </w:rPr>
      </w:pPr>
    </w:p>
    <w:p>
      <w:pPr>
        <w:ind w:left="5600" w:right="3800" w:hanging="1390"/>
        <w:spacing w:after="0" w:line="298" w:lineRule="auto"/>
        <w:rPr>
          <w:rFonts w:ascii="Arial" w:cs="Arial" w:eastAsia="Arial" w:hAnsi="Arial"/>
          <w:sz w:val="18"/>
          <w:szCs w:val="18"/>
          <w:color w:val="auto"/>
        </w:rPr>
      </w:pPr>
      <w:r>
        <w:rPr>
          <w:rFonts w:ascii="Arial" w:cs="Arial" w:eastAsia="Arial" w:hAnsi="Arial"/>
          <w:sz w:val="18"/>
          <w:szCs w:val="18"/>
          <w:b w:val="1"/>
          <w:bCs w:val="1"/>
          <w:color w:val="auto"/>
        </w:rPr>
        <w:t>For the fiscal year ended December 31, 2018 or</w:t>
      </w:r>
    </w:p>
    <w:p>
      <w:pPr>
        <w:spacing w:after="0" w:line="103"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TRANSITION REPORT PURSUANT TO SECTION 13 OR 15 (d) OF THE SECURITIES EXCHANGE ACT OF 1934</w:t>
      </w:r>
    </w:p>
    <w:p>
      <w:pPr>
        <w:spacing w:after="0" w:line="18"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5820" w:type="dxa"/>
            <w:vAlign w:val="bottom"/>
          </w:tcPr>
          <w:p>
            <w:pPr>
              <w:ind w:left="3440"/>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81"/>
        </w:trPr>
        <w:tc>
          <w:tcPr>
            <w:tcW w:w="7340" w:type="dxa"/>
            <w:vAlign w:val="bottom"/>
            <w:gridSpan w:val="5"/>
          </w:tcPr>
          <w:p>
            <w:pPr>
              <w:jc w:val="center"/>
              <w:ind w:left="3183"/>
              <w:spacing w:after="0"/>
              <w:rPr>
                <w:sz w:val="20"/>
                <w:szCs w:val="20"/>
                <w:color w:val="auto"/>
              </w:rPr>
            </w:pPr>
            <w:r>
              <w:rPr>
                <w:rFonts w:ascii="Arial" w:cs="Arial" w:eastAsia="Arial" w:hAnsi="Arial"/>
                <w:sz w:val="18"/>
                <w:szCs w:val="18"/>
                <w:b w:val="1"/>
                <w:bCs w:val="1"/>
                <w:color w:val="auto"/>
                <w:w w:val="90"/>
              </w:rPr>
              <w:t>Commission File Number 333-187970</w:t>
            </w:r>
          </w:p>
        </w:tc>
        <w:tc>
          <w:tcPr>
            <w:tcW w:w="1400" w:type="dxa"/>
            <w:vAlign w:val="bottom"/>
          </w:tcPr>
          <w:p>
            <w:pPr>
              <w:spacing w:after="0"/>
              <w:rPr>
                <w:sz w:val="24"/>
                <w:szCs w:val="24"/>
                <w:color w:val="auto"/>
              </w:rPr>
            </w:pPr>
          </w:p>
        </w:tc>
      </w:tr>
      <w:tr>
        <w:trPr>
          <w:trHeight w:val="104"/>
        </w:trPr>
        <w:tc>
          <w:tcPr>
            <w:tcW w:w="6360" w:type="dxa"/>
            <w:vAlign w:val="bottom"/>
            <w:gridSpan w:val="2"/>
          </w:tcPr>
          <w:p>
            <w:pPr>
              <w:jc w:val="right"/>
              <w:ind w:right="360"/>
              <w:spacing w:after="0" w:line="104" w:lineRule="exact"/>
              <w:rPr>
                <w:sz w:val="20"/>
                <w:szCs w:val="20"/>
                <w:color w:val="auto"/>
              </w:rPr>
            </w:pPr>
            <w:r>
              <w:rPr>
                <w:rFonts w:ascii="Arial" w:cs="Arial" w:eastAsia="Arial" w:hAnsi="Arial"/>
                <w:sz w:val="11"/>
                <w:szCs w:val="11"/>
                <w:color w:val="auto"/>
              </w:rPr>
              <w:t>__________________________</w:t>
            </w: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391"/>
        </w:trPr>
        <w:tc>
          <w:tcPr>
            <w:tcW w:w="7340" w:type="dxa"/>
            <w:vAlign w:val="bottom"/>
            <w:gridSpan w:val="5"/>
          </w:tcPr>
          <w:p>
            <w:pPr>
              <w:jc w:val="center"/>
              <w:ind w:left="3183"/>
              <w:spacing w:after="0"/>
              <w:rPr>
                <w:sz w:val="20"/>
                <w:szCs w:val="20"/>
                <w:color w:val="auto"/>
              </w:rPr>
            </w:pPr>
            <w:r>
              <w:rPr>
                <w:rFonts w:ascii="Arial" w:cs="Arial" w:eastAsia="Arial" w:hAnsi="Arial"/>
                <w:sz w:val="32"/>
                <w:szCs w:val="32"/>
                <w:b w:val="1"/>
                <w:bCs w:val="1"/>
                <w:color w:val="auto"/>
              </w:rPr>
              <w:t>CC HOLDINGS GS V LLC</w:t>
            </w:r>
          </w:p>
        </w:tc>
        <w:tc>
          <w:tcPr>
            <w:tcW w:w="1400" w:type="dxa"/>
            <w:vAlign w:val="bottom"/>
          </w:tcPr>
          <w:p>
            <w:pPr>
              <w:spacing w:after="0"/>
              <w:rPr>
                <w:sz w:val="24"/>
                <w:szCs w:val="24"/>
                <w:color w:val="auto"/>
              </w:rPr>
            </w:pPr>
          </w:p>
        </w:tc>
      </w:tr>
      <w:tr>
        <w:trPr>
          <w:trHeight w:val="193"/>
        </w:trPr>
        <w:tc>
          <w:tcPr>
            <w:tcW w:w="7340" w:type="dxa"/>
            <w:vAlign w:val="bottom"/>
            <w:gridSpan w:val="5"/>
          </w:tcPr>
          <w:p>
            <w:pPr>
              <w:jc w:val="center"/>
              <w:ind w:left="316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00" w:type="dxa"/>
            <w:vAlign w:val="bottom"/>
          </w:tcPr>
          <w:p>
            <w:pPr>
              <w:spacing w:after="0"/>
              <w:rPr>
                <w:sz w:val="16"/>
                <w:szCs w:val="16"/>
                <w:color w:val="auto"/>
              </w:rPr>
            </w:pPr>
          </w:p>
        </w:tc>
      </w:tr>
      <w:tr>
        <w:trPr>
          <w:trHeight w:val="136"/>
        </w:trPr>
        <w:tc>
          <w:tcPr>
            <w:tcW w:w="6360" w:type="dxa"/>
            <w:vAlign w:val="bottom"/>
            <w:gridSpan w:val="2"/>
          </w:tcPr>
          <w:p>
            <w:pPr>
              <w:jc w:val="right"/>
              <w:ind w:right="360"/>
              <w:spacing w:after="0"/>
              <w:rPr>
                <w:sz w:val="20"/>
                <w:szCs w:val="20"/>
                <w:color w:val="auto"/>
              </w:rPr>
            </w:pPr>
            <w:r>
              <w:rPr>
                <w:rFonts w:ascii="Arial" w:cs="Arial" w:eastAsia="Arial" w:hAnsi="Arial"/>
                <w:sz w:val="11"/>
                <w:szCs w:val="11"/>
                <w:color w:val="auto"/>
              </w:rPr>
              <w:t>__________________________</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354"/>
        </w:trPr>
        <w:tc>
          <w:tcPr>
            <w:tcW w:w="6360" w:type="dxa"/>
            <w:vAlign w:val="bottom"/>
            <w:gridSpan w:val="2"/>
          </w:tcPr>
          <w:p>
            <w:pPr>
              <w:jc w:val="center"/>
              <w:ind w:right="1720"/>
              <w:spacing w:after="0"/>
              <w:rPr>
                <w:sz w:val="20"/>
                <w:szCs w:val="20"/>
                <w:color w:val="auto"/>
              </w:rPr>
            </w:pPr>
            <w:r>
              <w:rPr>
                <w:rFonts w:ascii="Arial" w:cs="Arial" w:eastAsia="Arial" w:hAnsi="Arial"/>
                <w:sz w:val="16"/>
                <w:szCs w:val="16"/>
                <w:b w:val="1"/>
                <w:bCs w:val="1"/>
                <w:color w:val="auto"/>
                <w:w w:val="91"/>
              </w:rPr>
              <w:t>Delaware</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ind w:left="350"/>
              <w:spacing w:after="0"/>
              <w:rPr>
                <w:sz w:val="20"/>
                <w:szCs w:val="20"/>
                <w:color w:val="auto"/>
              </w:rPr>
            </w:pPr>
            <w:r>
              <w:rPr>
                <w:rFonts w:ascii="Arial" w:cs="Arial" w:eastAsia="Arial" w:hAnsi="Arial"/>
                <w:sz w:val="16"/>
                <w:szCs w:val="16"/>
                <w:b w:val="1"/>
                <w:bCs w:val="1"/>
                <w:color w:val="auto"/>
                <w:w w:val="91"/>
              </w:rPr>
              <w:t>20-4300339</w:t>
            </w:r>
          </w:p>
        </w:tc>
      </w:tr>
      <w:tr>
        <w:trPr>
          <w:trHeight w:val="177"/>
        </w:trPr>
        <w:tc>
          <w:tcPr>
            <w:tcW w:w="6360" w:type="dxa"/>
            <w:vAlign w:val="bottom"/>
            <w:gridSpan w:val="2"/>
          </w:tcPr>
          <w:p>
            <w:pPr>
              <w:jc w:val="center"/>
              <w:ind w:right="1720"/>
              <w:spacing w:after="0"/>
              <w:rPr>
                <w:sz w:val="20"/>
                <w:szCs w:val="20"/>
                <w:color w:val="auto"/>
              </w:rPr>
            </w:pPr>
            <w:r>
              <w:rPr>
                <w:rFonts w:ascii="Arial" w:cs="Arial" w:eastAsia="Arial" w:hAnsi="Arial"/>
                <w:sz w:val="13"/>
                <w:szCs w:val="13"/>
                <w:b w:val="1"/>
                <w:bCs w:val="1"/>
                <w:color w:val="auto"/>
                <w:w w:val="88"/>
              </w:rPr>
              <w:t>(State or other jurisdiction</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ind w:left="350"/>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6360" w:type="dxa"/>
            <w:vAlign w:val="bottom"/>
            <w:gridSpan w:val="2"/>
          </w:tcPr>
          <w:p>
            <w:pPr>
              <w:jc w:val="center"/>
              <w:ind w:right="1700"/>
              <w:spacing w:after="0"/>
              <w:rPr>
                <w:sz w:val="20"/>
                <w:szCs w:val="20"/>
                <w:color w:val="auto"/>
              </w:rPr>
            </w:pPr>
            <w:r>
              <w:rPr>
                <w:rFonts w:ascii="Arial" w:cs="Arial" w:eastAsia="Arial" w:hAnsi="Arial"/>
                <w:sz w:val="13"/>
                <w:szCs w:val="13"/>
                <w:b w:val="1"/>
                <w:bCs w:val="1"/>
                <w:color w:val="auto"/>
                <w:w w:val="88"/>
              </w:rPr>
              <w:t>of incorporation or organization)</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left="350"/>
              <w:spacing w:after="0"/>
              <w:rPr>
                <w:sz w:val="20"/>
                <w:szCs w:val="20"/>
                <w:color w:val="auto"/>
              </w:rPr>
            </w:pPr>
            <w:r>
              <w:rPr>
                <w:rFonts w:ascii="Arial" w:cs="Arial" w:eastAsia="Arial" w:hAnsi="Arial"/>
                <w:sz w:val="13"/>
                <w:szCs w:val="13"/>
                <w:b w:val="1"/>
                <w:bCs w:val="1"/>
                <w:color w:val="auto"/>
                <w:w w:val="89"/>
              </w:rPr>
              <w:t>Identification No.)</w:t>
            </w:r>
          </w:p>
        </w:tc>
      </w:tr>
      <w:tr>
        <w:trPr>
          <w:trHeight w:val="421"/>
        </w:trPr>
        <w:tc>
          <w:tcPr>
            <w:tcW w:w="8740" w:type="dxa"/>
            <w:vAlign w:val="bottom"/>
            <w:gridSpan w:val="6"/>
          </w:tcPr>
          <w:p>
            <w:pPr>
              <w:jc w:val="center"/>
              <w:ind w:left="1743"/>
              <w:spacing w:after="0"/>
              <w:rPr>
                <w:sz w:val="20"/>
                <w:szCs w:val="20"/>
                <w:color w:val="auto"/>
              </w:rPr>
            </w:pPr>
            <w:r>
              <w:rPr>
                <w:rFonts w:ascii="Arial" w:cs="Arial" w:eastAsia="Arial" w:hAnsi="Arial"/>
                <w:sz w:val="18"/>
                <w:szCs w:val="18"/>
                <w:b w:val="1"/>
                <w:bCs w:val="1"/>
                <w:color w:val="auto"/>
                <w:w w:val="89"/>
              </w:rPr>
              <w:t>1220 Augusta Drive, Suite 600, Houston Texas 77057-2261</w:t>
            </w:r>
          </w:p>
        </w:tc>
      </w:tr>
      <w:tr>
        <w:trPr>
          <w:trHeight w:val="200"/>
        </w:trPr>
        <w:tc>
          <w:tcPr>
            <w:tcW w:w="7340" w:type="dxa"/>
            <w:vAlign w:val="bottom"/>
            <w:gridSpan w:val="5"/>
          </w:tcPr>
          <w:p>
            <w:pPr>
              <w:jc w:val="center"/>
              <w:ind w:left="3143"/>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1400" w:type="dxa"/>
            <w:vAlign w:val="bottom"/>
          </w:tcPr>
          <w:p>
            <w:pPr>
              <w:spacing w:after="0"/>
              <w:rPr>
                <w:sz w:val="17"/>
                <w:szCs w:val="17"/>
                <w:color w:val="auto"/>
              </w:rPr>
            </w:pPr>
          </w:p>
        </w:tc>
      </w:tr>
      <w:tr>
        <w:trPr>
          <w:trHeight w:val="187"/>
        </w:trPr>
        <w:tc>
          <w:tcPr>
            <w:tcW w:w="5820" w:type="dxa"/>
            <w:vAlign w:val="bottom"/>
          </w:tcPr>
          <w:p>
            <w:pPr>
              <w:jc w:val="right"/>
              <w:spacing w:after="0"/>
              <w:rPr>
                <w:sz w:val="20"/>
                <w:szCs w:val="20"/>
                <w:color w:val="auto"/>
              </w:rPr>
            </w:pPr>
            <w:r>
              <w:rPr>
                <w:rFonts w:ascii="Arial" w:cs="Arial" w:eastAsia="Arial" w:hAnsi="Arial"/>
                <w:sz w:val="16"/>
                <w:szCs w:val="16"/>
                <w:b w:val="1"/>
                <w:bCs w:val="1"/>
                <w:color w:val="auto"/>
              </w:rPr>
              <w:t>(713) 570-3000</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64"/>
        </w:trPr>
        <w:tc>
          <w:tcPr>
            <w:tcW w:w="7340" w:type="dxa"/>
            <w:vAlign w:val="bottom"/>
            <w:gridSpan w:val="5"/>
          </w:tcPr>
          <w:p>
            <w:pPr>
              <w:jc w:val="center"/>
              <w:ind w:left="3143"/>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400" w:type="dxa"/>
            <w:vAlign w:val="bottom"/>
          </w:tcPr>
          <w:p>
            <w:pPr>
              <w:spacing w:after="0"/>
              <w:rPr>
                <w:sz w:val="14"/>
                <w:szCs w:val="14"/>
                <w:color w:val="auto"/>
              </w:rPr>
            </w:pPr>
          </w:p>
        </w:tc>
      </w:tr>
      <w:tr>
        <w:trPr>
          <w:trHeight w:val="358"/>
        </w:trPr>
        <w:tc>
          <w:tcPr>
            <w:tcW w:w="7340" w:type="dxa"/>
            <w:vAlign w:val="bottom"/>
            <w:gridSpan w:val="5"/>
          </w:tcPr>
          <w:p>
            <w:pPr>
              <w:jc w:val="center"/>
              <w:ind w:left="3163"/>
              <w:spacing w:after="0"/>
              <w:rPr>
                <w:sz w:val="20"/>
                <w:szCs w:val="20"/>
                <w:color w:val="auto"/>
              </w:rPr>
            </w:pPr>
            <w:r>
              <w:rPr>
                <w:rFonts w:ascii="Arial" w:cs="Arial" w:eastAsia="Arial" w:hAnsi="Arial"/>
                <w:sz w:val="14"/>
                <w:szCs w:val="14"/>
                <w:b w:val="1"/>
                <w:bCs w:val="1"/>
                <w:color w:val="auto"/>
                <w:w w:val="92"/>
              </w:rPr>
              <w:t>Securities Registered Pursuant to Section 12(b) of the Act: NONE.</w:t>
            </w:r>
          </w:p>
        </w:tc>
        <w:tc>
          <w:tcPr>
            <w:tcW w:w="1400" w:type="dxa"/>
            <w:vAlign w:val="bottom"/>
          </w:tcPr>
          <w:p>
            <w:pPr>
              <w:spacing w:after="0"/>
              <w:rPr>
                <w:sz w:val="24"/>
                <w:szCs w:val="24"/>
                <w:color w:val="auto"/>
              </w:rPr>
            </w:pPr>
          </w:p>
        </w:tc>
      </w:tr>
      <w:tr>
        <w:trPr>
          <w:trHeight w:val="171"/>
        </w:trPr>
        <w:tc>
          <w:tcPr>
            <w:tcW w:w="7340" w:type="dxa"/>
            <w:vAlign w:val="bottom"/>
            <w:gridSpan w:val="5"/>
          </w:tcPr>
          <w:p>
            <w:pPr>
              <w:jc w:val="center"/>
              <w:ind w:left="3163"/>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c>
          <w:tcPr>
            <w:tcW w:w="1400" w:type="dxa"/>
            <w:vAlign w:val="bottom"/>
          </w:tcPr>
          <w:p>
            <w:pPr>
              <w:spacing w:after="0"/>
              <w:rPr>
                <w:sz w:val="14"/>
                <w:szCs w:val="14"/>
                <w:color w:val="auto"/>
              </w:rPr>
            </w:pPr>
          </w:p>
        </w:tc>
      </w:tr>
      <w:tr>
        <w:trPr>
          <w:trHeight w:val="160"/>
        </w:trPr>
        <w:tc>
          <w:tcPr>
            <w:tcW w:w="6600" w:type="dxa"/>
            <w:vAlign w:val="bottom"/>
            <w:gridSpan w:val="3"/>
          </w:tcPr>
          <w:p>
            <w:pPr>
              <w:jc w:val="right"/>
              <w:ind w:right="10"/>
              <w:spacing w:after="0"/>
              <w:rPr>
                <w:sz w:val="20"/>
                <w:szCs w:val="20"/>
                <w:color w:val="auto"/>
              </w:rPr>
            </w:pPr>
            <w:r>
              <w:rPr>
                <w:rFonts w:ascii="Arial" w:cs="Arial" w:eastAsia="Arial" w:hAnsi="Arial"/>
                <w:sz w:val="13"/>
                <w:szCs w:val="13"/>
                <w:color w:val="auto"/>
              </w:rPr>
              <w:t>______________________________________</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34"/>
        </w:trPr>
        <w:tc>
          <w:tcPr>
            <w:tcW w:w="734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  Yes o</w:t>
            </w:r>
          </w:p>
        </w:tc>
        <w:tc>
          <w:tcPr>
            <w:tcW w:w="1400" w:type="dxa"/>
            <w:vAlign w:val="bottom"/>
          </w:tcPr>
          <w:p>
            <w:pPr>
              <w:ind w:left="40"/>
              <w:spacing w:after="0"/>
              <w:rPr>
                <w:sz w:val="20"/>
                <w:szCs w:val="20"/>
                <w:color w:val="auto"/>
              </w:rPr>
            </w:pPr>
            <w:r>
              <w:rPr>
                <w:rFonts w:ascii="Arial" w:cs="Arial" w:eastAsia="Arial" w:hAnsi="Arial"/>
                <w:sz w:val="14"/>
                <w:szCs w:val="14"/>
                <w:color w:val="auto"/>
              </w:rPr>
              <w:t>No x</w:t>
            </w:r>
          </w:p>
        </w:tc>
      </w:tr>
      <w:tr>
        <w:trPr>
          <w:trHeight w:val="230"/>
        </w:trPr>
        <w:tc>
          <w:tcPr>
            <w:tcW w:w="7340" w:type="dxa"/>
            <w:vAlign w:val="bottom"/>
            <w:gridSpan w:val="5"/>
          </w:tcPr>
          <w:p>
            <w:pPr>
              <w:spacing w:after="0"/>
              <w:rPr>
                <w:sz w:val="20"/>
                <w:szCs w:val="20"/>
                <w:color w:val="auto"/>
              </w:rPr>
            </w:pPr>
            <w:r>
              <w:rPr>
                <w:rFonts w:ascii="Arial" w:cs="Arial" w:eastAsia="Arial" w:hAnsi="Arial"/>
                <w:sz w:val="14"/>
                <w:szCs w:val="14"/>
                <w:color w:val="auto"/>
                <w:w w:val="94"/>
              </w:rPr>
              <w:t>Indicated by check mark if the registrant is not required to file reports pursuant to Section 13 or Section 15(d) of the Act.  Yes</w:t>
            </w:r>
          </w:p>
        </w:tc>
        <w:tc>
          <w:tcPr>
            <w:tcW w:w="1400" w:type="dxa"/>
            <w:vAlign w:val="bottom"/>
          </w:tcPr>
          <w:p>
            <w:pPr>
              <w:ind w:left="40"/>
              <w:spacing w:after="0"/>
              <w:rPr>
                <w:sz w:val="20"/>
                <w:szCs w:val="20"/>
                <w:color w:val="auto"/>
              </w:rPr>
            </w:pPr>
            <w:r>
              <w:rPr>
                <w:rFonts w:ascii="Arial" w:cs="Arial" w:eastAsia="Arial" w:hAnsi="Arial"/>
                <w:sz w:val="14"/>
                <w:szCs w:val="14"/>
                <w:color w:val="auto"/>
              </w:rPr>
              <w:t>x No o</w:t>
            </w:r>
          </w:p>
        </w:tc>
      </w:tr>
    </w:tbl>
    <w:p>
      <w:pPr>
        <w:spacing w:after="0" w:line="47" w:lineRule="exact"/>
        <w:rPr>
          <w:sz w:val="24"/>
          <w:szCs w:val="24"/>
          <w:color w:val="auto"/>
        </w:rPr>
      </w:pPr>
    </w:p>
    <w:p>
      <w:pPr>
        <w:jc w:val="both"/>
        <w:ind w:right="20" w:firstLine="405"/>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 w:lineRule="exact"/>
        <w:rPr>
          <w:sz w:val="24"/>
          <w:szCs w:val="24"/>
          <w:color w:val="auto"/>
        </w:rPr>
      </w:pPr>
    </w:p>
    <w:p>
      <w:pPr>
        <w:jc w:val="both"/>
        <w:ind w:firstLine="405"/>
        <w:spacing w:after="0" w:line="257" w:lineRule="auto"/>
        <w:rPr>
          <w:sz w:val="20"/>
          <w:szCs w:val="20"/>
          <w:color w:val="auto"/>
        </w:rPr>
      </w:pPr>
      <w:r>
        <w:rPr>
          <w:rFonts w:ascii="Arial" w:cs="Arial" w:eastAsia="Arial" w:hAnsi="Arial"/>
          <w:sz w:val="14"/>
          <w:szCs w:val="14"/>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37" w:lineRule="exact"/>
        <w:rPr>
          <w:sz w:val="24"/>
          <w:szCs w:val="24"/>
          <w:color w:val="auto"/>
        </w:rPr>
      </w:pPr>
    </w:p>
    <w:p>
      <w:pPr>
        <w:jc w:val="both"/>
        <w:ind w:firstLine="405"/>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5" w:lineRule="exact"/>
        <w:rPr>
          <w:sz w:val="24"/>
          <w:szCs w:val="24"/>
          <w:color w:val="auto"/>
        </w:rPr>
      </w:pPr>
    </w:p>
    <w:p>
      <w:pPr>
        <w:jc w:val="both"/>
        <w:ind w:firstLine="405"/>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5" w:lineRule="exact"/>
        <w:rPr>
          <w:sz w:val="24"/>
          <w:szCs w:val="24"/>
          <w:color w:val="auto"/>
        </w:rPr>
      </w:pPr>
    </w:p>
    <w:p>
      <w:pPr>
        <w:jc w:val="both"/>
        <w:ind w:firstLine="405"/>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a "large accelerated filer," "accelerated filer," "smaller reporting company," and "emerging growth company" in rule 12b-2 of the Exchange Act.</w:t>
      </w:r>
    </w:p>
    <w:p>
      <w:pPr>
        <w:spacing w:after="0" w:line="25" w:lineRule="exact"/>
        <w:rPr>
          <w:sz w:val="24"/>
          <w:szCs w:val="24"/>
          <w:color w:val="auto"/>
        </w:rPr>
      </w:pPr>
    </w:p>
    <w:p>
      <w:pPr>
        <w:ind w:left="420"/>
        <w:spacing w:after="0"/>
        <w:tabs>
          <w:tab w:leader="none" w:pos="2000" w:val="left"/>
          <w:tab w:leader="none" w:pos="3260" w:val="left"/>
        </w:tabs>
        <w:rPr>
          <w:sz w:val="20"/>
          <w:szCs w:val="20"/>
          <w:color w:val="auto"/>
        </w:rPr>
      </w:pPr>
      <w:r>
        <w:rPr>
          <w:rFonts w:ascii="Arial" w:cs="Arial" w:eastAsia="Arial" w:hAnsi="Arial"/>
          <w:sz w:val="14"/>
          <w:szCs w:val="14"/>
          <w:color w:val="auto"/>
        </w:rPr>
        <w:t>Large accelerated filer  o</w:t>
        <w:tab/>
        <w:t>Accelerated filer o</w:t>
      </w:r>
      <w:r>
        <w:rPr>
          <w:sz w:val="20"/>
          <w:szCs w:val="20"/>
          <w:color w:val="auto"/>
        </w:rPr>
        <w:tab/>
      </w:r>
      <w:r>
        <w:rPr>
          <w:rFonts w:ascii="Arial" w:cs="Arial" w:eastAsia="Arial" w:hAnsi="Arial"/>
          <w:sz w:val="13"/>
          <w:szCs w:val="13"/>
          <w:color w:val="auto"/>
        </w:rPr>
        <w:t>Non-accelerated filer x Smaller reporting company o Emerging growth company o</w:t>
      </w:r>
    </w:p>
    <w:p>
      <w:pPr>
        <w:spacing w:after="0" w:line="69" w:lineRule="exact"/>
        <w:rPr>
          <w:sz w:val="24"/>
          <w:szCs w:val="24"/>
          <w:color w:val="auto"/>
        </w:rPr>
      </w:pPr>
    </w:p>
    <w:p>
      <w:pPr>
        <w:ind w:right="340" w:firstLine="405"/>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5" w:lineRule="exact"/>
        <w:rPr>
          <w:sz w:val="24"/>
          <w:szCs w:val="24"/>
          <w:color w:val="auto"/>
        </w:rPr>
      </w:pPr>
    </w:p>
    <w:p>
      <w:pPr>
        <w:ind w:left="420"/>
        <w:spacing w:after="0"/>
        <w:tabs>
          <w:tab w:leader="none" w:pos="7060" w:val="left"/>
          <w:tab w:leader="none" w:pos="75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Yes o</w:t>
        <w:tab/>
        <w:t>No x</w:t>
      </w:r>
    </w:p>
    <w:p>
      <w:pPr>
        <w:spacing w:after="0" w:line="69" w:lineRule="exact"/>
        <w:rPr>
          <w:sz w:val="24"/>
          <w:szCs w:val="24"/>
          <w:color w:val="auto"/>
        </w:rPr>
      </w:pPr>
    </w:p>
    <w:p>
      <w:pPr>
        <w:ind w:left="420"/>
        <w:spacing w:after="0"/>
        <w:rPr>
          <w:sz w:val="20"/>
          <w:szCs w:val="20"/>
          <w:color w:val="auto"/>
        </w:rPr>
      </w:pPr>
      <w:r>
        <w:rPr>
          <w:rFonts w:ascii="Arial" w:cs="Arial" w:eastAsia="Arial" w:hAnsi="Arial"/>
          <w:sz w:val="14"/>
          <w:szCs w:val="14"/>
          <w:color w:val="auto"/>
        </w:rPr>
        <w:t>As of December 31, 2018, the only member of the registrant is a wholly-owned indirect subsidiary of Crown Castle International Corp.</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 NONE.</w:t>
      </w:r>
    </w:p>
    <w:p>
      <w:pPr>
        <w:spacing w:after="0" w:line="275" w:lineRule="exact"/>
        <w:rPr>
          <w:sz w:val="24"/>
          <w:szCs w:val="24"/>
          <w:color w:val="auto"/>
        </w:rPr>
      </w:pPr>
    </w:p>
    <w:p>
      <w:pPr>
        <w:ind w:right="20" w:firstLine="405"/>
        <w:spacing w:after="0" w:line="273" w:lineRule="auto"/>
        <w:rPr>
          <w:sz w:val="20"/>
          <w:szCs w:val="20"/>
          <w:color w:val="auto"/>
        </w:rPr>
      </w:pPr>
      <w:r>
        <w:rPr>
          <w:rFonts w:ascii="Arial" w:cs="Arial" w:eastAsia="Arial" w:hAnsi="Arial"/>
          <w:sz w:val="14"/>
          <w:szCs w:val="14"/>
          <w:color w:val="auto"/>
        </w:rPr>
        <w:t>The registrant is a wholly-owned indirect subsidiary of Crown Castle International Corp. and meets the conditions set forth in General Instructions (I)(1)(a) and (b) for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60" w:type="dxa"/>
            <w:vAlign w:val="bottom"/>
            <w:gridSpan w:val="15"/>
          </w:tcPr>
          <w:p>
            <w:pPr>
              <w:jc w:val="center"/>
              <w:ind w:right="3680"/>
              <w:spacing w:after="0"/>
              <w:rPr>
                <w:sz w:val="20"/>
                <w:szCs w:val="20"/>
                <w:color w:val="auto"/>
              </w:rPr>
            </w:pPr>
            <w:r>
              <w:rPr>
                <w:rFonts w:ascii="Arial" w:cs="Arial" w:eastAsia="Arial" w:hAnsi="Arial"/>
                <w:sz w:val="18"/>
                <w:szCs w:val="18"/>
                <w:b w:val="1"/>
                <w:bCs w:val="1"/>
                <w:color w:val="auto"/>
                <w:w w:val="99"/>
              </w:rPr>
              <w:t>CC HOLDINGS GS V LLC</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14"/>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8"/>
              </w:rPr>
              <w:t>PART I</w:t>
            </w:r>
          </w:p>
        </w:tc>
        <w:tc>
          <w:tcPr>
            <w:tcW w:w="4080" w:type="dxa"/>
            <w:vAlign w:val="bottom"/>
            <w:gridSpan w:val="7"/>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auto"/>
            </w:tcBorders>
            <w:gridSpan w:val="2"/>
            <w:vMerge w:val="continue"/>
          </w:tcPr>
          <w:p>
            <w:pPr>
              <w:spacing w:after="0"/>
              <w:rPr>
                <w:sz w:val="17"/>
                <w:szCs w:val="17"/>
                <w:color w:val="auto"/>
              </w:rPr>
            </w:pPr>
          </w:p>
        </w:tc>
        <w:tc>
          <w:tcPr>
            <w:tcW w:w="4080" w:type="dxa"/>
            <w:vAlign w:val="bottom"/>
            <w:gridSpan w:val="7"/>
            <w:vMerge w:val="continue"/>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Pr>
          <w:p>
            <w:pPr>
              <w:spacing w:after="0"/>
              <w:rPr>
                <w:sz w:val="20"/>
                <w:szCs w:val="20"/>
                <w:color w:val="auto"/>
              </w:rPr>
            </w:pPr>
            <w:r>
              <w:rPr>
                <w:rFonts w:ascii="Arial" w:cs="Arial" w:eastAsia="Arial" w:hAnsi="Arial"/>
                <w:sz w:val="18"/>
                <w:szCs w:val="18"/>
                <w:color w:val="auto"/>
                <w:w w:val="84"/>
              </w:rPr>
              <w:t>Business</w:t>
            </w:r>
          </w:p>
        </w:tc>
        <w:tc>
          <w:tcPr>
            <w:tcW w:w="8080" w:type="dxa"/>
            <w:vAlign w:val="bottom"/>
            <w:gridSpan w:val="22"/>
          </w:tcPr>
          <w:p>
            <w:pPr>
              <w:spacing w:after="0"/>
              <w:rPr>
                <w:sz w:val="21"/>
                <w:szCs w:val="21"/>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Risk Factors</w:t>
            </w:r>
          </w:p>
        </w:tc>
        <w:tc>
          <w:tcPr>
            <w:tcW w:w="7820" w:type="dxa"/>
            <w:vAlign w:val="bottom"/>
            <w:gridSpan w:val="20"/>
          </w:tcPr>
          <w:p>
            <w:pPr>
              <w:spacing w:after="0"/>
              <w:rPr>
                <w:sz w:val="21"/>
                <w:szCs w:val="21"/>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7"/>
          </w:tcPr>
          <w:p>
            <w:pPr>
              <w:spacing w:after="0"/>
              <w:rPr>
                <w:sz w:val="20"/>
                <w:szCs w:val="20"/>
                <w:color w:val="auto"/>
              </w:rPr>
            </w:pPr>
            <w:r>
              <w:rPr>
                <w:rFonts w:ascii="Arial" w:cs="Arial" w:eastAsia="Arial" w:hAnsi="Arial"/>
                <w:sz w:val="18"/>
                <w:szCs w:val="18"/>
                <w:color w:val="auto"/>
                <w:w w:val="89"/>
              </w:rPr>
              <w:t>Unresolved Staff Comments</w:t>
            </w:r>
          </w:p>
        </w:tc>
        <w:tc>
          <w:tcPr>
            <w:tcW w:w="6680" w:type="dxa"/>
            <w:vAlign w:val="bottom"/>
            <w:gridSpan w:val="16"/>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0">
              <w:r>
                <w:rPr>
                  <w:rFonts w:ascii="Arial" w:cs="Arial" w:eastAsia="Arial" w:hAnsi="Arial"/>
                  <w:sz w:val="17"/>
                  <w:szCs w:val="17"/>
                  <w:color w:val="0000EE"/>
                  <w:w w:val="73"/>
                </w:rPr>
                <w:t>10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20" w:type="dxa"/>
            <w:vAlign w:val="bottom"/>
            <w:gridSpan w:val="2"/>
          </w:tcPr>
          <w:p>
            <w:pPr>
              <w:spacing w:after="0"/>
              <w:rPr>
                <w:sz w:val="20"/>
                <w:szCs w:val="20"/>
                <w:color w:val="auto"/>
              </w:rPr>
            </w:pPr>
            <w:r>
              <w:rPr>
                <w:rFonts w:ascii="Arial" w:cs="Arial" w:eastAsia="Arial" w:hAnsi="Arial"/>
                <w:sz w:val="18"/>
                <w:szCs w:val="18"/>
                <w:color w:val="auto"/>
                <w:w w:val="85"/>
              </w:rPr>
              <w:t>Properties</w:t>
            </w:r>
          </w:p>
        </w:tc>
        <w:tc>
          <w:tcPr>
            <w:tcW w:w="1320" w:type="dxa"/>
            <w:vAlign w:val="bottom"/>
            <w:gridSpan w:val="5"/>
          </w:tcPr>
          <w:p>
            <w:pPr>
              <w:spacing w:after="0"/>
              <w:rPr>
                <w:sz w:val="21"/>
                <w:szCs w:val="21"/>
                <w:color w:val="auto"/>
              </w:rPr>
            </w:pPr>
          </w:p>
        </w:tc>
        <w:tc>
          <w:tcPr>
            <w:tcW w:w="6680" w:type="dxa"/>
            <w:vAlign w:val="bottom"/>
            <w:gridSpan w:val="16"/>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0">
              <w:r>
                <w:rPr>
                  <w:rFonts w:ascii="Arial" w:cs="Arial" w:eastAsia="Arial" w:hAnsi="Arial"/>
                  <w:sz w:val="17"/>
                  <w:szCs w:val="17"/>
                  <w:color w:val="0000EE"/>
                  <w:w w:val="73"/>
                </w:rPr>
                <w:t>10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20" w:type="dxa"/>
            <w:vAlign w:val="bottom"/>
            <w:gridSpan w:val="23"/>
          </w:tcPr>
          <w:p>
            <w:pPr>
              <w:spacing w:after="0"/>
              <w:rPr>
                <w:sz w:val="20"/>
                <w:szCs w:val="20"/>
                <w:color w:val="auto"/>
              </w:rPr>
            </w:pPr>
            <w:r>
              <w:rPr>
                <w:rFonts w:ascii="Arial" w:cs="Arial" w:eastAsia="Arial" w:hAnsi="Arial"/>
                <w:sz w:val="18"/>
                <w:szCs w:val="18"/>
                <w:color w:val="auto"/>
              </w:rPr>
              <w:t>Legal Proceedings</w:t>
            </w:r>
          </w:p>
        </w:tc>
        <w:tc>
          <w:tcPr>
            <w:tcW w:w="920" w:type="dxa"/>
            <w:vAlign w:val="bottom"/>
            <w:gridSpan w:val="4"/>
          </w:tcPr>
          <w:p>
            <w:pPr>
              <w:jc w:val="right"/>
              <w:ind w:right="4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720" w:type="dxa"/>
            <w:vAlign w:val="bottom"/>
            <w:gridSpan w:val="23"/>
          </w:tcPr>
          <w:p>
            <w:pPr>
              <w:spacing w:after="0"/>
              <w:rPr>
                <w:sz w:val="20"/>
                <w:szCs w:val="20"/>
                <w:color w:val="auto"/>
              </w:rPr>
            </w:pPr>
            <w:r>
              <w:rPr>
                <w:rFonts w:ascii="Arial" w:cs="Arial" w:eastAsia="Arial" w:hAnsi="Arial"/>
                <w:sz w:val="18"/>
                <w:szCs w:val="18"/>
                <w:color w:val="auto"/>
              </w:rPr>
              <w:t>Mine Safety Disclosures</w:t>
            </w:r>
          </w:p>
        </w:tc>
        <w:tc>
          <w:tcPr>
            <w:tcW w:w="920" w:type="dxa"/>
            <w:vAlign w:val="bottom"/>
            <w:gridSpan w:val="4"/>
          </w:tcPr>
          <w:p>
            <w:pPr>
              <w:jc w:val="right"/>
              <w:ind w:right="4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PART II</w:t>
            </w:r>
          </w:p>
        </w:tc>
        <w:tc>
          <w:tcPr>
            <w:tcW w:w="4040" w:type="dxa"/>
            <w:vAlign w:val="bottom"/>
            <w:gridSpan w:val="6"/>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720" w:type="dxa"/>
            <w:vAlign w:val="bottom"/>
            <w:gridSpan w:val="23"/>
          </w:tcPr>
          <w:p>
            <w:pPr>
              <w:spacing w:after="0"/>
              <w:rPr>
                <w:sz w:val="20"/>
                <w:szCs w:val="20"/>
                <w:color w:val="auto"/>
              </w:rPr>
            </w:pPr>
            <w:r>
              <w:rPr>
                <w:rFonts w:ascii="Arial" w:cs="Arial" w:eastAsia="Arial" w:hAnsi="Arial"/>
                <w:sz w:val="18"/>
                <w:szCs w:val="18"/>
                <w:color w:val="auto"/>
                <w:w w:val="97"/>
              </w:rPr>
              <w:t>Market for Registrant's Common Equity, Related Stockholder Matters and Issuer Purchases of Equity Securities</w:t>
            </w:r>
          </w:p>
        </w:tc>
        <w:tc>
          <w:tcPr>
            <w:tcW w:w="920" w:type="dxa"/>
            <w:vAlign w:val="bottom"/>
            <w:gridSpan w:val="4"/>
          </w:tcPr>
          <w:p>
            <w:pPr>
              <w:jc w:val="right"/>
              <w:ind w:right="4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20"/>
          </w:tcPr>
          <w:p>
            <w:pPr>
              <w:spacing w:after="0"/>
              <w:rPr>
                <w:sz w:val="20"/>
                <w:szCs w:val="20"/>
                <w:color w:val="auto"/>
              </w:rPr>
            </w:pPr>
            <w:r>
              <w:rPr>
                <w:rFonts w:ascii="Arial" w:cs="Arial" w:eastAsia="Arial" w:hAnsi="Arial"/>
                <w:sz w:val="18"/>
                <w:szCs w:val="18"/>
                <w:color w:val="auto"/>
                <w:w w:val="90"/>
              </w:rPr>
              <w:t>Management's Discussion and Analysis of Financial Condition and Results of Operations</w:t>
            </w:r>
          </w:p>
        </w:tc>
        <w:tc>
          <w:tcPr>
            <w:tcW w:w="160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40" w:type="dxa"/>
            <w:vAlign w:val="bottom"/>
            <w:gridSpan w:val="20"/>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2280" w:type="dxa"/>
            <w:vAlign w:val="bottom"/>
            <w:gridSpan w:val="3"/>
          </w:tcPr>
          <w:p>
            <w:pPr>
              <w:spacing w:after="0"/>
              <w:rPr>
                <w:sz w:val="21"/>
                <w:szCs w:val="21"/>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20" w:type="dxa"/>
            <w:vAlign w:val="bottom"/>
            <w:gridSpan w:val="10"/>
          </w:tcPr>
          <w:p>
            <w:pPr>
              <w:spacing w:after="0"/>
              <w:rPr>
                <w:sz w:val="20"/>
                <w:szCs w:val="20"/>
                <w:color w:val="auto"/>
              </w:rPr>
            </w:pPr>
            <w:r>
              <w:rPr>
                <w:rFonts w:ascii="Arial" w:cs="Arial" w:eastAsia="Arial" w:hAnsi="Arial"/>
                <w:sz w:val="18"/>
                <w:szCs w:val="18"/>
                <w:color w:val="auto"/>
                <w:w w:val="88"/>
              </w:rPr>
              <w:t>Financial Statements and Supplementary Data</w:t>
            </w:r>
          </w:p>
        </w:tc>
        <w:tc>
          <w:tcPr>
            <w:tcW w:w="1020" w:type="dxa"/>
            <w:vAlign w:val="bottom"/>
            <w:gridSpan w:val="5"/>
          </w:tcPr>
          <w:p>
            <w:pPr>
              <w:spacing w:after="0"/>
              <w:rPr>
                <w:sz w:val="21"/>
                <w:szCs w:val="21"/>
                <w:color w:val="auto"/>
              </w:rPr>
            </w:pPr>
          </w:p>
        </w:tc>
        <w:tc>
          <w:tcPr>
            <w:tcW w:w="4380" w:type="dxa"/>
            <w:vAlign w:val="bottom"/>
            <w:gridSpan w:val="8"/>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0">
              <w:r>
                <w:rPr>
                  <w:rFonts w:ascii="Arial" w:cs="Arial" w:eastAsia="Arial" w:hAnsi="Arial"/>
                  <w:sz w:val="17"/>
                  <w:szCs w:val="17"/>
                  <w:color w:val="0000EE"/>
                  <w:w w:val="73"/>
                </w:rPr>
                <w:t>20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720" w:type="dxa"/>
            <w:vAlign w:val="bottom"/>
            <w:gridSpan w:val="23"/>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920" w:type="dxa"/>
            <w:vAlign w:val="bottom"/>
            <w:gridSpan w:val="4"/>
          </w:tcPr>
          <w:p>
            <w:pPr>
              <w:jc w:val="right"/>
              <w:ind w:right="4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60" w:type="dxa"/>
            <w:vAlign w:val="bottom"/>
            <w:gridSpan w:val="6"/>
          </w:tcPr>
          <w:p>
            <w:pPr>
              <w:spacing w:after="0"/>
              <w:rPr>
                <w:sz w:val="20"/>
                <w:szCs w:val="20"/>
                <w:color w:val="auto"/>
              </w:rPr>
            </w:pPr>
            <w:r>
              <w:rPr>
                <w:rFonts w:ascii="Arial" w:cs="Arial" w:eastAsia="Arial" w:hAnsi="Arial"/>
                <w:sz w:val="18"/>
                <w:szCs w:val="18"/>
                <w:color w:val="auto"/>
                <w:w w:val="87"/>
              </w:rPr>
              <w:t>Controls and Procedures</w:t>
            </w:r>
          </w:p>
        </w:tc>
        <w:tc>
          <w:tcPr>
            <w:tcW w:w="4740" w:type="dxa"/>
            <w:vAlign w:val="bottom"/>
            <w:gridSpan w:val="15"/>
          </w:tcPr>
          <w:p>
            <w:pPr>
              <w:spacing w:after="0"/>
              <w:rPr>
                <w:sz w:val="21"/>
                <w:szCs w:val="21"/>
                <w:color w:val="auto"/>
              </w:rPr>
            </w:pPr>
          </w:p>
        </w:tc>
        <w:tc>
          <w:tcPr>
            <w:tcW w:w="222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37">
              <w:r>
                <w:rPr>
                  <w:rFonts w:ascii="Arial" w:cs="Arial" w:eastAsia="Arial" w:hAnsi="Arial"/>
                  <w:sz w:val="17"/>
                  <w:szCs w:val="17"/>
                  <w:color w:val="0000EE"/>
                  <w:w w:val="73"/>
                </w:rPr>
                <w:t>37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sz w:val="20"/>
                <w:szCs w:val="20"/>
                <w:color w:val="auto"/>
              </w:rPr>
            </w:pPr>
            <w:r>
              <w:rPr>
                <w:rFonts w:ascii="Arial" w:cs="Arial" w:eastAsia="Arial" w:hAnsi="Arial"/>
                <w:sz w:val="18"/>
                <w:szCs w:val="18"/>
                <w:color w:val="auto"/>
              </w:rPr>
              <w:t>Other Information</w:t>
            </w:r>
          </w:p>
        </w:tc>
        <w:tc>
          <w:tcPr>
            <w:tcW w:w="6960" w:type="dxa"/>
            <w:vAlign w:val="bottom"/>
            <w:gridSpan w:val="17"/>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38">
              <w:r>
                <w:rPr>
                  <w:rFonts w:ascii="Arial" w:cs="Arial" w:eastAsia="Arial" w:hAnsi="Arial"/>
                  <w:sz w:val="17"/>
                  <w:szCs w:val="17"/>
                  <w:color w:val="0000EE"/>
                  <w:w w:val="73"/>
                </w:rPr>
                <w:t>38</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8"/>
                <w:szCs w:val="18"/>
                <w:b w:val="1"/>
                <w:bCs w:val="1"/>
                <w:color w:val="auto"/>
              </w:rPr>
              <w:t>PART III</w:t>
            </w:r>
          </w:p>
        </w:tc>
        <w:tc>
          <w:tcPr>
            <w:tcW w:w="4000" w:type="dxa"/>
            <w:vAlign w:val="bottom"/>
            <w:gridSpan w:val="4"/>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8720" w:type="dxa"/>
            <w:vAlign w:val="bottom"/>
            <w:gridSpan w:val="23"/>
          </w:tcPr>
          <w:p>
            <w:pPr>
              <w:spacing w:after="0"/>
              <w:rPr>
                <w:sz w:val="20"/>
                <w:szCs w:val="20"/>
                <w:color w:val="auto"/>
              </w:rPr>
            </w:pPr>
            <w:r>
              <w:rPr>
                <w:rFonts w:ascii="Arial" w:cs="Arial" w:eastAsia="Arial" w:hAnsi="Arial"/>
                <w:sz w:val="18"/>
                <w:szCs w:val="18"/>
                <w:color w:val="auto"/>
              </w:rPr>
              <w:t>Principal Accounting Fees and Services</w:t>
            </w:r>
          </w:p>
        </w:tc>
        <w:tc>
          <w:tcPr>
            <w:tcW w:w="920" w:type="dxa"/>
            <w:vAlign w:val="bottom"/>
            <w:gridSpan w:val="4"/>
          </w:tcPr>
          <w:p>
            <w:pPr>
              <w:jc w:val="right"/>
              <w:ind w:right="4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11"/>
          </w:tcPr>
          <w:p>
            <w:pPr>
              <w:jc w:val="center"/>
              <w:ind w:right="4020"/>
              <w:spacing w:after="0"/>
              <w:rPr>
                <w:sz w:val="20"/>
                <w:szCs w:val="20"/>
                <w:color w:val="auto"/>
              </w:rPr>
            </w:pPr>
            <w:r>
              <w:rPr>
                <w:rFonts w:ascii="Arial" w:cs="Arial" w:eastAsia="Arial" w:hAnsi="Arial"/>
                <w:sz w:val="18"/>
                <w:szCs w:val="18"/>
                <w:b w:val="1"/>
                <w:bCs w:val="1"/>
                <w:color w:val="auto"/>
                <w:w w:val="98"/>
              </w:rPr>
              <w:t>PART IV</w:t>
            </w:r>
          </w:p>
        </w:tc>
        <w:tc>
          <w:tcPr>
            <w:tcW w:w="72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000" w:type="dxa"/>
            <w:vAlign w:val="bottom"/>
            <w:gridSpan w:val="12"/>
          </w:tcPr>
          <w:p>
            <w:pPr>
              <w:spacing w:after="0"/>
              <w:rPr>
                <w:sz w:val="20"/>
                <w:szCs w:val="20"/>
                <w:color w:val="auto"/>
              </w:rPr>
            </w:pPr>
            <w:r>
              <w:rPr>
                <w:rFonts w:ascii="Arial" w:cs="Arial" w:eastAsia="Arial" w:hAnsi="Arial"/>
                <w:sz w:val="18"/>
                <w:szCs w:val="18"/>
                <w:color w:val="auto"/>
              </w:rPr>
              <w:t>Exhibits, Financial Statement Schedules</w:t>
            </w:r>
          </w:p>
        </w:tc>
        <w:tc>
          <w:tcPr>
            <w:tcW w:w="700" w:type="dxa"/>
            <w:vAlign w:val="bottom"/>
            <w:tcBorders>
              <w:top w:val="single" w:sz="8" w:color="auto"/>
            </w:tcBorders>
            <w:gridSpan w:val="6"/>
          </w:tcPr>
          <w:p>
            <w:pPr>
              <w:spacing w:after="0"/>
              <w:rPr>
                <w:sz w:val="21"/>
                <w:szCs w:val="21"/>
                <w:color w:val="auto"/>
              </w:rPr>
            </w:pPr>
          </w:p>
        </w:tc>
        <w:tc>
          <w:tcPr>
            <w:tcW w:w="4020" w:type="dxa"/>
            <w:vAlign w:val="bottom"/>
            <w:gridSpan w:val="5"/>
          </w:tcPr>
          <w:p>
            <w:pPr>
              <w:spacing w:after="0"/>
              <w:rPr>
                <w:sz w:val="21"/>
                <w:szCs w:val="21"/>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5840" w:type="dxa"/>
            <w:vAlign w:val="bottom"/>
            <w:gridSpan w:val="14"/>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2880" w:type="dxa"/>
            <w:vAlign w:val="bottom"/>
            <w:gridSpan w:val="9"/>
          </w:tcPr>
          <w:p>
            <w:pPr>
              <w:spacing w:after="0"/>
              <w:rPr>
                <w:sz w:val="20"/>
                <w:szCs w:val="20"/>
                <w:color w:val="auto"/>
              </w:rPr>
            </w:pPr>
            <w:r>
              <w:rPr>
                <w:rFonts w:ascii="Arial" w:cs="Arial" w:eastAsia="Arial" w:hAnsi="Arial"/>
                <w:sz w:val="18"/>
                <w:szCs w:val="18"/>
                <w:color w:val="auto"/>
              </w:rPr>
              <w:t>Form 10-K Summary</w:t>
            </w:r>
          </w:p>
        </w:tc>
        <w:tc>
          <w:tcPr>
            <w:tcW w:w="5840" w:type="dxa"/>
            <w:vAlign w:val="bottom"/>
            <w:gridSpan w:val="14"/>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40">
              <w:r>
                <w:rPr>
                  <w:rFonts w:ascii="Arial" w:cs="Arial" w:eastAsia="Arial" w:hAnsi="Arial"/>
                  <w:sz w:val="17"/>
                  <w:szCs w:val="17"/>
                  <w:color w:val="0000EE"/>
                  <w:w w:val="73"/>
                </w:rPr>
                <w:t>40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60" w:type="dxa"/>
            <w:vAlign w:val="bottom"/>
          </w:tcPr>
          <w:p>
            <w:pPr>
              <w:spacing w:after="0"/>
              <w:rPr>
                <w:sz w:val="20"/>
                <w:szCs w:val="20"/>
                <w:color w:val="auto"/>
              </w:rPr>
            </w:pPr>
            <w:r>
              <w:rPr>
                <w:rFonts w:ascii="Arial" w:cs="Arial" w:eastAsia="Arial" w:hAnsi="Arial"/>
                <w:sz w:val="18"/>
                <w:szCs w:val="18"/>
                <w:color w:val="auto"/>
                <w:w w:val="85"/>
              </w:rPr>
              <w:t>Signatures</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41">
              <w:r>
                <w:rPr>
                  <w:rFonts w:ascii="Arial" w:cs="Arial" w:eastAsia="Arial" w:hAnsi="Arial"/>
                  <w:sz w:val="17"/>
                  <w:szCs w:val="17"/>
                  <w:color w:val="0000EE"/>
                  <w:w w:val="73"/>
                </w:rPr>
                <w:t>41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Cautionary Language Regarding Forward-Looking Statements</w:t>
      </w:r>
    </w:p>
    <w:p>
      <w:pPr>
        <w:spacing w:after="0" w:line="175" w:lineRule="exact"/>
        <w:rPr>
          <w:sz w:val="20"/>
          <w:szCs w:val="20"/>
          <w:color w:val="auto"/>
        </w:rPr>
      </w:pPr>
    </w:p>
    <w:p>
      <w:pPr>
        <w:jc w:val="both"/>
        <w:ind w:firstLine="405"/>
        <w:spacing w:after="0" w:line="283" w:lineRule="auto"/>
        <w:rPr>
          <w:sz w:val="20"/>
          <w:szCs w:val="20"/>
          <w:color w:val="auto"/>
        </w:rPr>
      </w:pPr>
      <w:r>
        <w:rPr>
          <w:rFonts w:ascii="Arial" w:cs="Arial" w:eastAsia="Arial" w:hAnsi="Arial"/>
          <w:sz w:val="16"/>
          <w:szCs w:val="16"/>
          <w:color w:val="auto"/>
        </w:rPr>
        <w:t xml:space="preserve">This Annual Report on Form 10-K ("Form 10-K") contains forward-looking statements that are based on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and any variations of these words,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"Item 1. Business," "Item 3. Legal Proceedings," "Item 7. Management's Discussion and Analysis of Financial Condition and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Operations" </w:t>
      </w:r>
      <w:r>
        <w:rPr>
          <w:rFonts w:ascii="Arial" w:cs="Arial" w:eastAsia="Arial" w:hAnsi="Arial"/>
          <w:sz w:val="16"/>
          <w:szCs w:val="16"/>
          <w:color w:val="auto"/>
        </w:rPr>
        <w:t>("MD&amp;A"), and</w:t>
      </w:r>
      <w:r>
        <w:rPr>
          <w:rFonts w:ascii="Arial" w:cs="Arial" w:eastAsia="Arial" w:hAnsi="Arial"/>
          <w:sz w:val="16"/>
          <w:szCs w:val="16"/>
          <w:i w:val="1"/>
          <w:iCs w:val="1"/>
          <w:color w:val="auto"/>
        </w:rPr>
        <w:t xml:space="preserve"> "Item 7A. Quantitative and Qualitative Disclosures About Market Risk" </w:t>
      </w:r>
      <w:r>
        <w:rPr>
          <w:rFonts w:ascii="Arial" w:cs="Arial" w:eastAsia="Arial" w:hAnsi="Arial"/>
          <w:sz w:val="16"/>
          <w:szCs w:val="16"/>
          <w:color w:val="auto"/>
        </w:rPr>
        <w:t>herein. Such forward-looking statements include (1)</w:t>
      </w:r>
      <w:r>
        <w:rPr>
          <w:rFonts w:ascii="Arial" w:cs="Arial" w:eastAsia="Arial" w:hAnsi="Arial"/>
          <w:sz w:val="16"/>
          <w:szCs w:val="16"/>
          <w:i w:val="1"/>
          <w:iCs w:val="1"/>
          <w:color w:val="auto"/>
        </w:rPr>
        <w:t xml:space="preserve"> </w:t>
      </w:r>
      <w:r>
        <w:rPr>
          <w:rFonts w:ascii="Arial" w:cs="Arial" w:eastAsia="Arial" w:hAnsi="Arial"/>
          <w:sz w:val="16"/>
          <w:szCs w:val="16"/>
          <w:color w:val="auto"/>
        </w:rPr>
        <w:t>expectations regarding anticipated growth in the wireless industry, carriers' investments in their networks, tenant additions and demand for wireless data and our communications infrastructure (as defined below), (2) expectations regarding non-renewals of tenant contracts (including the impact of our tenants' decommissioning of the former Leap Wireless, MetroPCS and Clearwire networks (collectively, "Acquired Networks")), (3) expectations regarding our communications infrastructure and the potential benefits that may be derived therefrom, (4) the strength of the U.S. market for communications infrastructure,</w:t>
      </w:r>
    </w:p>
    <w:p>
      <w:pPr>
        <w:spacing w:after="0" w:line="6" w:lineRule="exact"/>
        <w:rPr>
          <w:sz w:val="20"/>
          <w:szCs w:val="20"/>
          <w:color w:val="auto"/>
        </w:rPr>
      </w:pPr>
    </w:p>
    <w:p>
      <w:pPr>
        <w:jc w:val="both"/>
        <w:ind w:firstLine="8"/>
        <w:spacing w:after="0" w:line="287" w:lineRule="auto"/>
        <w:tabs>
          <w:tab w:leader="none" w:pos="266" w:val="left"/>
        </w:tabs>
        <w:numPr>
          <w:ilvl w:val="0"/>
          <w:numId w:val="3"/>
        </w:numPr>
        <w:rPr>
          <w:rFonts w:ascii="Arial" w:cs="Arial" w:eastAsia="Arial" w:hAnsi="Arial"/>
          <w:sz w:val="16"/>
          <w:szCs w:val="16"/>
          <w:color w:val="auto"/>
        </w:rPr>
      </w:pPr>
      <w:r>
        <w:rPr>
          <w:rFonts w:ascii="Arial" w:cs="Arial" w:eastAsia="Arial" w:hAnsi="Arial"/>
          <w:sz w:val="16"/>
          <w:szCs w:val="16"/>
          <w:color w:val="auto"/>
        </w:rPr>
        <w:t>availability and adequacy of cash flows and liquidity for, or plans regarding, future discretionary investments, including capital expenditures limitations created as a result of being a wholly-owned indirect subsidiary of Crown Castle International Corp. ("CCIC" or "Crown Castle") and reliance on strategic decisions made by CCIC management that enable such discretionary investments, (6) potential benefits of our discretionary investments, (7) our full year 2019 outlook and the anticipated changes in our financial results, including future revenues and operating cash flows, (8) expectations regarding our capital structure and the credit markets, our availability and cost of capital, or our ability to service our debt and comply with debt covenants, (9) expectations for sustaining capital expenditures, (10) expectations related to CCIC's ability to remain qualified as a real estate investment trust ("REIT") and the advantages, benefits or impact of, or opportunities created by the inclusion of our assets and operations in CCIC's REIT and (11) expectations related to the impact of tenant consolidation or ownership changes, including the potential combination of T-Mobile and Sprint.</w:t>
      </w:r>
    </w:p>
    <w:p>
      <w:pPr>
        <w:sectPr>
          <w:pgSz w:w="11900" w:h="16838" w:orient="portrait"/>
          <w:cols w:equalWidth="0" w:num="1">
            <w:col w:w="11420"/>
          </w:cols>
          <w:pgMar w:left="240" w:top="580" w:right="239" w:bottom="1440" w:gutter="0" w:footer="0" w:header="0"/>
        </w:sectPr>
      </w:pPr>
    </w:p>
    <w:bookmarkStart w:id="2" w:name="page3"/>
    <w:bookmarkEnd w:id="2"/>
    <w:p>
      <w:pPr>
        <w:jc w:val="both"/>
        <w:ind w:right="20" w:firstLine="405"/>
        <w:spacing w:after="0" w:line="264"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under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herein and other factors. Should one or more of these risks or uncertainties materialize, or should underlying assumptions prove incorrect, actual results may vary materially from those expected.</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used herein, the term "including," and any variation thereof, means "including without limitation." The use of the word "or" herein is not exclusive. Unless this Form 10-K indicates otherwise or the context otherwise requires, the terms, "we," "our," "our company," "the company," or "us" as used in this Form 10-K refer to CC Holdings GS V LLC ("CCL") and its consolidated wholly-owned subsidiaries (collectively, "Company"). The Company is a wholly-owned subsidiary of Global Signal Operating Partnership, L.P. ("GSOP"), which is an indirect subsidiary of CCIC.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32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an indirect, wholly-owned subsidiary of CCIC, which is one of the largest owners and operators in the United States ("U.S.") of shared communications infrastructure, including (1) towers and other structures, such as rooftops (collectively, "towers"), and (2) fiber primarily supporting small cell networks ("small cells") and fiber solutions. As of December 31, 2018, CCIC and its subsidiaries collectively owned, leased or managed (1) approximately 40,000 towers and (2) approximately 65,000 route miles of fiber in the U.S., including Puerto Rico.</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core business is providing access, including space or capacity, to certain communications infrastructure sites ("sites") via long-term contracts in various forms, including lease, license and sublease agreements (collectively, "contracts"). Our existing customers on our communications infrastructure are referred to herein as "tenants." We seek to increase our site rental revenues through tenant additions or modifications of existing tenant installations (collectively, "tenant additions"). Our operating costs generally tend to escalate at approximately the rate of inflation and are not typically influenced by tenant additions.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certain information concerning our business and organizational structure:</w:t>
      </w:r>
    </w:p>
    <w:p>
      <w:pPr>
        <w:spacing w:after="0" w:line="63" w:lineRule="exact"/>
        <w:rPr>
          <w:sz w:val="20"/>
          <w:szCs w:val="20"/>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own, lease and manage approximately 7,600 sites.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62% and 77% of our sites are located in the 50 and 100 largest basic trading areas ("BTAs"), respectively.</w:t>
      </w:r>
    </w:p>
    <w:p>
      <w:pPr>
        <w:spacing w:after="0" w:line="9" w:lineRule="exact"/>
        <w:rPr>
          <w:rFonts w:ascii="Arial" w:cs="Arial" w:eastAsia="Arial" w:hAnsi="Arial"/>
          <w:sz w:val="18"/>
          <w:szCs w:val="18"/>
          <w:color w:val="auto"/>
        </w:rPr>
      </w:pPr>
    </w:p>
    <w:p>
      <w:pPr>
        <w:ind w:left="660" w:right="20" w:hanging="247"/>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68% of our sites are leased or subleased or operated and managed ("Sprint Sites") pursuant to 32-year master leases (expiring in May 2037) ("Sprint Master Leases") or other agreements with subsidiaries of Sprint.</w:t>
      </w:r>
    </w:p>
    <w:p>
      <w:pPr>
        <w:ind w:left="660" w:right="20" w:hanging="247"/>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contracts for land interests under our towers have an average total remaining life (calculated by weighting the remaining term for each contract by its percentage of our total site rental revenues) of approximately 25 years.</w:t>
      </w:r>
    </w:p>
    <w:p>
      <w:pPr>
        <w:ind w:left="660" w:hanging="247"/>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are organized specifically to own, lease and manage certain communications infrastructure, such as sites or other structures, and have no employees.</w:t>
      </w:r>
    </w:p>
    <w:p>
      <w:pPr>
        <w:jc w:val="both"/>
        <w:ind w:left="660" w:hanging="247"/>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Management services, including those functions reasonably necessary to maintain, market, operate, manage, or administer the sites, are performed by Crown Castle USA Inc. ("CCUSA"), an affiliate of CCIC, under a management agreement ("Management Agreement"). The management fee under the Management Agreement is equal to 7.5% of our "Operating Revenues," as defined in the Management Agreement.</w:t>
      </w: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U.S. federal income tax purposes, our assets and operations are included in CCIC's REIT.</w:t>
      </w:r>
    </w:p>
    <w:p>
      <w:pPr>
        <w:spacing w:after="0" w:line="9" w:lineRule="exact"/>
        <w:rPr>
          <w:rFonts w:ascii="Arial" w:cs="Arial" w:eastAsia="Arial" w:hAnsi="Arial"/>
          <w:sz w:val="18"/>
          <w:szCs w:val="18"/>
          <w:color w:val="auto"/>
        </w:rPr>
      </w:pPr>
    </w:p>
    <w:p>
      <w:pPr>
        <w:jc w:val="both"/>
        <w:ind w:left="1300" w:hanging="239"/>
        <w:spacing w:after="0" w:line="288"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Tax Cuts and Jobs Act, enacted in 2018 ("Tax Reform Act"), made substantial changes to the Internal Revenue Code of 1986, as amended ("Code"). Among the many corporate changes are a significant reduction in the corporate income tax rate, repeal of the corporate alternative minimum tax for years beginning in 2018 and limitations on the deductibility on interest expense. In addition, under the Tax Reform Act, qualified REIT dividends (within the meaning of Section 199A(e)(3) of the Code) constitute a part of a non-corporate taxpayer's "qualified business income amount" and thus CCIC's non-corporate U.S. stockholders may be eligible to take a qualified business income deduction in an amount equal to 20% of such dividends received from CCIC. Without further legislative action, the 20% deduction applicable to qualified REIT dividends will expire on January 1, 2026. The Tax Reform Act has not had a material impact on the Company.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information concerning our tenants and site rental contracts is as follows:</w:t>
      </w:r>
    </w:p>
    <w:p>
      <w:pPr>
        <w:spacing w:after="0" w:line="63" w:lineRule="exact"/>
        <w:rPr>
          <w:sz w:val="20"/>
          <w:szCs w:val="20"/>
          <w:color w:val="auto"/>
        </w:rPr>
      </w:pPr>
    </w:p>
    <w:p>
      <w:pPr>
        <w:ind w:left="660" w:hanging="247"/>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largest tenants include Sprint, AT&amp;T, T-Mobile and Verizon Wireless, which collectively accounted for 89% of our 2018 site rental revenues.</w:t>
      </w:r>
    </w:p>
    <w:p>
      <w:pPr>
        <w:spacing w:after="0" w:line="46" w:lineRule="exact"/>
        <w:rPr>
          <w:rFonts w:ascii="Arial" w:cs="Arial" w:eastAsia="Arial" w:hAnsi="Arial"/>
          <w:sz w:val="16"/>
          <w:szCs w:val="16"/>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vast majority of our site rental revenues are of a recurring nature and are subject to long-term contracts with our tenants.</w:t>
      </w:r>
    </w:p>
    <w:p>
      <w:pPr>
        <w:sectPr>
          <w:pgSz w:w="11900" w:h="16838" w:orient="portrait"/>
          <w:cols w:equalWidth="0" w:num="1">
            <w:col w:w="11420"/>
          </w:cols>
          <w:pgMar w:left="240" w:top="746" w:right="239" w:bottom="1440" w:gutter="0" w:footer="0" w:header="0"/>
        </w:sectPr>
      </w:pPr>
    </w:p>
    <w:bookmarkStart w:id="3" w:name="page4"/>
    <w:bookmarkEnd w:id="3"/>
    <w:p>
      <w:pPr>
        <w:ind w:left="660" w:hanging="247"/>
        <w:spacing w:after="0" w:line="274"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site rental revenues typically result from long-term tenant contracts with (1) initial terms of five to 15 years, (2) multiple renewal periods at the option of the tenant of five to ten years each, (3) limited termination rights for our tenants and (4) contractual escalations of the rental price.</w:t>
      </w:r>
    </w:p>
    <w:p>
      <w:pPr>
        <w:ind w:left="660" w:hanging="247"/>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Exclusive of renewals at the tenants' option, our tenant contracts have a weighted-average remaining life of approximately six years and represent $4.3 billion of expected future cash inflows.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7. MD&amp;A—General Overview"</w:t>
      </w:r>
      <w:r>
        <w:rPr>
          <w:rFonts w:ascii="Arial" w:cs="Arial" w:eastAsia="Arial" w:hAnsi="Arial"/>
          <w:sz w:val="18"/>
          <w:szCs w:val="18"/>
          <w:color w:val="auto"/>
        </w:rPr>
        <w:t xml:space="preserve"> for a further discussion of our business fundamentals.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CCIC maintains a website at www.crowncastle.com. Our annual reports on Form 10-K, quarterly reports on Form 10-Q, current reports on Form 8-K (and any amendments to those reports filed or furnished pursuant to Section 13(a) or 15(d) of the Securities Exchange Act of 1934, as amended) ("Exchange Act") and other information about us are made available, free of charge, through the investor relations section of CCIC's website at http://investor.crowncastle.com or at the SEC's website at http://www.sec.gov as soon as reasonably practicable after we electronically file such material with, or furnish it to, the SEC.</w:t>
      </w:r>
    </w:p>
    <w:p>
      <w:pPr>
        <w:spacing w:after="0" w:line="34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jc w:val="both"/>
        <w:ind w:left="40" w:firstLine="405"/>
        <w:spacing w:after="0" w:line="277" w:lineRule="auto"/>
        <w:rPr>
          <w:sz w:val="20"/>
          <w:szCs w:val="20"/>
          <w:color w:val="auto"/>
        </w:rPr>
      </w:pPr>
      <w:r>
        <w:rPr>
          <w:rFonts w:ascii="Arial" w:cs="Arial" w:eastAsia="Arial" w:hAnsi="Arial"/>
          <w:sz w:val="18"/>
          <w:szCs w:val="18"/>
          <w:color w:val="auto"/>
        </w:rPr>
        <w:t>You should carefully consider all of the risks discussed below, as well as the other information contained in this document when evaluating our business.</w:t>
      </w:r>
    </w:p>
    <w:p>
      <w:pPr>
        <w:spacing w:after="0" w:line="116" w:lineRule="exact"/>
        <w:rPr>
          <w:sz w:val="20"/>
          <w:szCs w:val="20"/>
          <w:color w:val="auto"/>
        </w:rPr>
      </w:pPr>
    </w:p>
    <w:p>
      <w:pPr>
        <w:jc w:val="both"/>
        <w:ind w:left="40"/>
        <w:spacing w:after="0" w:line="286" w:lineRule="auto"/>
        <w:rPr>
          <w:sz w:val="20"/>
          <w:szCs w:val="20"/>
          <w:color w:val="auto"/>
        </w:rPr>
      </w:pPr>
      <w:r>
        <w:rPr>
          <w:rFonts w:ascii="Arial" w:cs="Arial" w:eastAsia="Arial" w:hAnsi="Arial"/>
          <w:sz w:val="17"/>
          <w:szCs w:val="17"/>
          <w:b w:val="1"/>
          <w:bCs w:val="1"/>
          <w:i w:val="1"/>
          <w:iCs w:val="1"/>
          <w:color w:val="auto"/>
        </w:rPr>
        <w:t>Our business depends on the demand for our communications infrastructure, driven primarily by demand for wireless data, and we may be adversely affected by any slowdown in such demand. Additionally, a reduction in the amount or change in the mix of network investment by our tenants may materially and adversely affect our business (including reducing demand for our communications infrastructure).</w:t>
      </w:r>
    </w:p>
    <w:p>
      <w:pPr>
        <w:spacing w:after="0" w:line="11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Tenant demand for our communications infrastructure depends on the demand for wireless data from their tenants. The willingness of our tenants to utilize our communications infrastructure, or renew or extend existing contracts on our communications infrastructure, is affected by numerous factors, including:</w:t>
      </w:r>
    </w:p>
    <w:p>
      <w:pPr>
        <w:spacing w:after="0" w:line="154" w:lineRule="exact"/>
        <w:rPr>
          <w:sz w:val="20"/>
          <w:szCs w:val="20"/>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consumers' demand for wireless data;</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or capacity of our communications infrastructure or associated land interests;</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location of our communications infrastructure;</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condition of our tenants, including their profitability and availability or cost of capital;</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willingness of our tenants to maintain or increase their network investment or changes in their capital allocation strategy;</w:t>
      </w:r>
    </w:p>
    <w:p>
      <w:pPr>
        <w:spacing w:after="0" w:line="22"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and cost of spectrum for commercial use;</w:t>
      </w:r>
    </w:p>
    <w:p>
      <w:pPr>
        <w:spacing w:after="0" w:line="2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use of network sharing, roaming, joint development, or resale agreements by our tenants;</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mergers or consolidations by and among our tenants;</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or success of, our tenants' business models;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governmental regulations and initiatives, including local or state restrictions on the proliferation of communications infrastructure;</w:t>
      </w:r>
    </w:p>
    <w:p>
      <w:pPr>
        <w:spacing w:after="0" w:line="35"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constructing communications infrastructure;</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market competition;</w:t>
      </w:r>
    </w:p>
    <w:p>
      <w:pPr>
        <w:spacing w:after="0" w:line="23" w:lineRule="exact"/>
        <w:rPr>
          <w:rFonts w:ascii="Arial" w:cs="Arial" w:eastAsia="Arial" w:hAnsi="Arial"/>
          <w:sz w:val="18"/>
          <w:szCs w:val="18"/>
          <w:color w:val="auto"/>
        </w:rPr>
      </w:pPr>
    </w:p>
    <w:p>
      <w:pPr>
        <w:jc w:val="both"/>
        <w:ind w:left="660" w:hanging="247"/>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changes including those (1) affecting the number or type of communications infrastructure needed to provide wireless data to a given geographic area or otherwise serve as a substitute or alternative to our communications infrastructure or (2) resulting in the obsolescence or decommissioning of certain existing wireless networks; and</w:t>
      </w:r>
    </w:p>
    <w:p>
      <w:pPr>
        <w:spacing w:after="0" w:line="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efficiently satisfy our tenants' service requirements.</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slowdown in demand for wireless data or our communications infrastructure may negatively impact our growth or otherwise have a material adverse effect on us. If our tenants or potential tenants are unable to raise adequate capital to fund their business plans, as a result of disruptions in the financial and credit markets or otherwise, they may reduce their spending, which could adversely affect our anticipated growth or the demand for our communications infrastructure.</w:t>
      </w:r>
    </w:p>
    <w:p>
      <w:pPr>
        <w:spacing w:after="0" w:line="13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amount, timing and mix of our tenants' network investment is variable and can be significantly impacted by the various matters described in these risk factors. Changes in carrier network investment typically impact the demand for our communications infrastructure. As a result, changes in carrier plans such as delays in the implementation of new systems, new and emerging technologies (including small cells), or plans to expand coverage or capacity may reduce demand for our communications infrastructure. Furthermore, the wireless industry could experience a slowdown or slowing growth rates as a result of numerous factors, including a reduction in consumer demand for wireless data or general economic conditions. There can be no assurances that weakness or uncertainty in the economic environment will not adversely impact the wireless industry, which may materially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both"/>
        <w:ind w:right="20"/>
        <w:spacing w:after="0" w:line="342" w:lineRule="auto"/>
        <w:rPr>
          <w:sz w:val="20"/>
          <w:szCs w:val="20"/>
          <w:color w:val="auto"/>
        </w:rPr>
      </w:pPr>
      <w:r>
        <w:rPr>
          <w:rFonts w:ascii="Arial" w:cs="Arial" w:eastAsia="Arial" w:hAnsi="Arial"/>
          <w:sz w:val="16"/>
          <w:szCs w:val="16"/>
          <w:color w:val="auto"/>
        </w:rPr>
        <w:t>and adversely affect our business, including by reducing demand for our communications infrastructure. In addition, a slowdown may increase competition for site rental tenants. Such an industry slowdown or a reduction in tenant network investment may materially and adversely affect our business.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revenues is derived from a small number of tenants, and the loss, consolidation, or financial instability of any of such tenants may materially decrease revenues or reduce demand for our communications infrastructure.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year ended December 31, 2018, our site rental revenues by tenant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118110</wp:posOffset>
            </wp:positionV>
            <wp:extent cx="4913630" cy="2058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1363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loss of any one of our large tenants as a result of consolidation, merger, bankruptcy, insolvency, network sharing, roaming, joint development, resale agreements by our tenants, or otherwise may result in (1) a material decrease in our revenues, (2) uncollectible account receivables, (3) an impairment of our deferred site rental receivables, communications infrastructure assets, intangible assets, or (4) other adverse effects to our business. We cannot guarantee that contracts with our major tenants will not be terminated or that these tenants will renew their contracts with us. In addition, we also derive a portion of our revenues, and anticipate future growth from new entrants offering or contemplating offering wireless services. Such tenants may be smaller or have less financial resources than our four largest tenants, may have business models that may not be successful, or may require additional capital.</w:t>
      </w:r>
    </w:p>
    <w:p>
      <w:pPr>
        <w:spacing w:after="0" w:line="1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Consolidation among our tenants will likely result in duplicate or overlapping parts of networks, for example, where they are co-residents on a tower, which may result in the termination or non-renewal of the tenant contracts and negatively impact revenues from our communications infrastructure. Due to the long-term nature of tenant contracts, we expect, but cannot be certain, that any termination of tenant contracts as a result of this potential consolidation would be spread over multiple years. Such consolidation may result in a reduction in such tenants' future network investment in the aggregate because their expansion plans may be similar. Tenant consolidation could decrease the demand for our communications infrastructure, which in turn may result in a reduction in our revenues or cash flows.</w:t>
      </w:r>
    </w:p>
    <w:p>
      <w:pPr>
        <w:spacing w:after="0" w:line="1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recent years, AT&amp;T, T-Mobile and Sprint acquired Leap Wireless, MetroPCS and Clearwire ("Acquired Networks"), respectively. During 2019, we anticipate any increase to site rental revenues attributable to new leasing will be offset by expected non-renewals of tenant contracts, including from our tenants' continued decommissioning of the Acquired Networks. The Acquired Networks represented approximately 7% of our site rental revenues for the year ended December 31, 2018. Depending on the eventual network deployment and decommissioning plans of AT&amp;T, T-Mobile and Sprint, the impact and timing of such non-renewals may vary from our expectations.</w:t>
      </w:r>
    </w:p>
    <w:p>
      <w:pPr>
        <w:spacing w:after="0" w:line="13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April 2018, T-Mobile and Sprint entered into a definitive agreement to merge, subject to regulatory approval and other closing conditions. This potential transaction may result in a decrease or delay in demand for our communications infrastructure, as a result of the anticipated integration of the T-Mobile and Sprint networks and related duplicate or overlapping parts of their networks, which may lead to a reduction in our revenues or cash flows and may trigger a review for impairment of certain long-lived assets. For the year ended December 31, 2018, T-Mobile and Sprint represented approximately 19% and 36%, respectively, of the Company's consolidated site rental revenues. Further, the Company derived approximately 16% of its consolidated site rental revenues from each of T-Mobile and Sprint on towers where both carriers currently reside, inclusive of approximately 2% impact from the aforementioned expected non-renewals from the anticipated decommissioning of portions of T-Mobile's MetroPCS and Sprint's Clearwire networks. In addition, there is an average of approximately five years and six years of current term remaining on all lease agreements with T-Mobile and Sprint, respectively. See also </w:t>
      </w:r>
      <w:r>
        <w:rPr>
          <w:rFonts w:ascii="Arial" w:cs="Arial" w:eastAsia="Arial" w:hAnsi="Arial"/>
          <w:sz w:val="17"/>
          <w:szCs w:val="17"/>
          <w:i w:val="1"/>
          <w:iCs w:val="1"/>
          <w:color w:val="auto"/>
        </w:rPr>
        <w:t>"Item 1.</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w:t>
      </w:r>
      <w:r>
        <w:rPr>
          <w:rFonts w:ascii="Arial" w:cs="Arial" w:eastAsia="Arial" w:hAnsi="Arial"/>
          <w:sz w:val="17"/>
          <w:szCs w:val="17"/>
          <w:color w:val="auto"/>
        </w:rPr>
        <w:t>and note 11 to our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6" w:right="239" w:bottom="1440" w:gutter="0" w:footer="0" w:header="0"/>
        </w:sectPr>
      </w:pPr>
    </w:p>
    <w:bookmarkStart w:id="5" w:name="page6"/>
    <w:bookmarkEnd w:id="5"/>
    <w:p>
      <w:pPr>
        <w:ind w:left="40"/>
        <w:spacing w:after="0" w:line="277" w:lineRule="auto"/>
        <w:rPr>
          <w:sz w:val="20"/>
          <w:szCs w:val="20"/>
          <w:color w:val="auto"/>
        </w:rPr>
      </w:pPr>
      <w:r>
        <w:rPr>
          <w:rFonts w:ascii="Arial" w:cs="Arial" w:eastAsia="Arial" w:hAnsi="Arial"/>
          <w:sz w:val="18"/>
          <w:szCs w:val="18"/>
          <w:b w:val="1"/>
          <w:bCs w:val="1"/>
          <w:i w:val="1"/>
          <w:iCs w:val="1"/>
          <w:color w:val="auto"/>
        </w:rPr>
        <w:t>Our ability to repay the principal under our 2012 Secured Notes on or prior to the relevant maturity date will be subject to a number of factors outside our control.</w:t>
      </w:r>
    </w:p>
    <w:p>
      <w:pPr>
        <w:spacing w:after="0" w:line="11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indenture ("Secured Notes Indenture") governing our $1.0 billion aggregate principal amount of 3.849% secured notes due 2023 ("3.849% Secured Notes") and our previously outstanding $500 million aggregate principal amount of 2.381% secured notes due 2017 ("2.381% Secured Notes") (collectively, the "2012 Secured Notes"), requires us to repay the principal under the 3.849% Secured Notes by their maturity date in April 2023. We currently expect to distribute a substantial portion of our cash flow to our member as dividends. Therefore, our ability to repay the principal under the 3.849% Secured Notes on or prior to their maturity date depends upon our ability either to refinance the indebtedness under the 3.849% Secured Notes or to sell our interests in the sites for an amount that is sufficient to repay the 3.849% Secured Notes in full with interest. Our ability to achieve either of these goals will be affected by a number of factors, including the availability of credit for wireless communications sites, the fair market value of the sites, our equity in the sites, our financial condition, the operating history of the sites, tax laws, or general economic conditions. Since the current term of the tenant contracts as of the date of this filing will have substantially expired by the date 3.849% Secured Notes mature, our ability to sell or refinance at such date will also be affected by the degree of our success in extending existing tenant contracts or obtaining new tenant contracts as those remaining terms expire. In addition, neither the trustee for the 3.849% Secured Notes nor any of its respective affiliates or any other person is obligated to provide the funds to refinance the 3.849% Secured Notes.</w:t>
      </w:r>
    </w:p>
    <w:p>
      <w:pPr>
        <w:spacing w:after="0" w:line="119"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CCL is a holding company, and therefore its ability to repay its indebtedness is dependent on cash flow generated by its subsidiaries and their ability to make distributions to CCL.</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CCL is a holding company with no operations or material assets other than the direct or indirect equity interests it holds in its subsidiaries. As a result, its ability to pay principal and interest on its indebtedness is dependent on the generation of cash flow by its subsidiaries and their ability to make such cash available to CCL by dividend, debt repayment, or otherwise. The earnings and cash flow generated by CCL's subsidiaries will depend on their financial and operating performance, which will be affected by general economic, industry, financial, competitive, operating, legislative, regulatory, or other factors beyond our control. Any payments of dividends, distributions, loans, or advances to CCL by its subsidiaries could also be subject to restrictions on dividends under applicable local law in the jurisdictions in which such subsidiaries operate.</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event that CCL does not receive distributions from its subsidiaries, or to the extent that the earnings from, or other available assets of, such subsidiaries are insufficient, CCL may be unable to make payments on its indebtedness. Furthermore, Crown Castle GS III Corp., the co-issuer of the 3.849% Secured Notes, has no assets, conducts no operations, and has no independent ability to service the interest and principal obligations under the 3.849% Secured Notes.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a result of competition in our industry, we may find it more difficult to negotiate favorable rates on our new or renewing tenant contracts.</w:t>
      </w:r>
    </w:p>
    <w:p>
      <w:pPr>
        <w:spacing w:after="0" w:line="18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growth is dependent on our entering into new tenant contracts (including amendments to contracts upon modification of an existing tower installation), as well as renewing or renegotiating tenant contracts when existing tenant contracts terminate. Competition in our industry may make it more difficult for us to attract new tenants, maintain or increase our gross margins or maintain or increase our market share. We face competition for site rental tenants and associated rental rates from various sources, including (1) other independent communications infrastructure owners or operators, including those that own, operate, or manage sites, rooftops, broadcast towers, utility poles, fiber or small cells, or (2) new alternative deployment methods for communications infrastructure.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technologies may reduce demand for our communications infrastructure or negatively impact our revenues.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Improvements in the efficiency, architecture and design of communication networks may reduce the demand for our communications infrastructure. For example, new technologies that may promote network sharing, joint development, wireless backhaul, or resale agreements by our tenants, such as signal combining technologies or network functions virtualization, may reduce the need for our communications infrastructure. In addition, other technologies, such as Wi-Fi, Distributed Antenna Systems ("DAS"), femtocells, other small cells, or satellite (such as low earth orbiting) and mesh transmission systems may, in the future, serve as substitutes for or alternatives to leasing on communications infrastructure that might otherwise be anticipated or expected had such technologies not existed. In addition, new technologies that enhance the range, efficiency and capacity of communication equipment could reduce demand for our communications infrastructure. Any reduction in demand for our communications infrastructure resulting from the new technologies may negatively impact our revenues or otherwise have a material adverse effect on us.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i w:val="1"/>
          <w:iCs w:val="1"/>
          <w:color w:val="auto"/>
        </w:rPr>
        <w:t>If we fail to retain rights to our communications infrastructure, including the land interests under our towers, our business may be adversely affected.</w:t>
      </w:r>
    </w:p>
    <w:p>
      <w:pPr>
        <w:spacing w:after="0" w:line="194"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property interests on which our towers reside, including the land interests under our towers (other than the sites sub-leased under the Sprint Master Leases) consist of leaseholds and exclusive easements, as well as permits granted by governmental entities. A loss of these interests for any reason, including losses arising from the bankruptcies of a significant number of our lessors, from the default by a significant number of our lessors under their mortgage financings or from a legal challenge to our interest in the real property, may interfere with our ability to conduct our business or generate revenues. If a material number of the grantors of these rights elect not to renew their terms, our ability to conduct business or generate revenues could be adversely affected. Further, we may not be able to renew ground leases on commercially viable terms. Our ability to retain rights to the land interests on which our towers reside depends on our ability to purchase such land, including fee interests and perpetual easements, or renegotiate or extend the terms of the leases relating to such land. In some cases, other subsidiaries of CCIC have acquired certain third party land interests under certain of our sites as a result of negotiated transactions, and we have entered into leases with such affiliates. Approximately 15% of our sites for the year ended December 31, 2018 are under our control for less than 10 years. If we are unable to retain rights to the property interests on which our towers reside, our business may be adversely affected.</w:t>
      </w:r>
    </w:p>
    <w:p>
      <w:pPr>
        <w:spacing w:after="0" w:line="1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of December 31, 2018, approximately 68% of our sites were Sprint Sites. CCIC, through its subsidiaries (including us), has the option to purchase, in 2037, all (but not less than all) of the leased and subleased Sprint Sites (as well as other Sprint sites leased or subleased by other subsidiaries of CCIC) from Sprint for approximately $2.3 billion; CCIC has no obligation to exercise such purchase option. CCIC may not have the required available capital to exercise such purchase option at the time this option is exercisable. Even if CCIC does have available capital, it may choose not to exercise its purchase option for business or other reasons. In the event that CCIC does not exercise the purchase option, or is otherwise unable to acquire an interest that would allow us to continue to operate these towers after the applicable period, we will lose the cash flows derived from such towers, which may have a material adverse effect on our business. In the event that CCIC decides to exercise the purchase option, the benefits of the acquisition of the sites may not exceed the costs, which could adversely affect our business.</w:t>
      </w:r>
    </w:p>
    <w:p>
      <w:pPr>
        <w:spacing w:after="0" w:line="13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Failure on our subsidiaries' part to cause the performance of their obligations as landlords under tenant contracts could lead to abatement of rent or termination of tenant contracts.</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vast majority of our tenant contracts are not net contracts. Accordingly, each of our subsidiaries that acts as a landlord is responsible for ensuring the maintenance and repair of its sites and for other obligations and liabilities associated with its sites, such as the payment of real estate taxes related to the tower and ground lease rents, the maintenance of insurance or environmental compliance and remediation. The failure of such subsidiary to cause the performance of their obligations as landlords under a tenant contract could entitle the related lessee to an abatement of rent or, in some circumstances, could result in a termination of the tenant contract. Because our subsidiaries nor we have any employees, as further discussed herein, the Manager (as defined below) is responsible for carrying out the landlord's responsibilities under the tenant contracts. An unscheduled reduction or cessation of payments due under a tenant contract may result in a reduction of the amounts available to make payments on the 3.849% Secured Notes.</w:t>
      </w:r>
    </w:p>
    <w:p>
      <w:pPr>
        <w:spacing w:after="0" w:line="11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Bankruptcy proceedings involving either our subsidiaries or their lessors under the ground leases could adversely affect our ability to enforce our subsidiaries' rights under the ground leases or to remain in possession of the leased property.</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Upon the bankruptcy of a lessor or a lessee under a ground lease, the debtor entity generally has the right to assume or reject the ground lease. Pursuant to Section 365(h) of the United States Bankruptcy Code ("Bankruptcy Code"), a ground lessee (i.e., a subsidiary) whose ground lease is rejected by a debtor ground lessor has the right to remain in possession of its leased premises under the rent reserved in the contract for the term of the ground lease, including any renewals, but is not entitled to enforce the obligation of the ground lessor to provide any services required under the ground lease. In the event of concurrent bankruptcy proceedings involving the ground lessor and the ground lessee, the ground lease could be terminated.</w:t>
      </w:r>
    </w:p>
    <w:p>
      <w:pPr>
        <w:spacing w:after="0" w:line="11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Similarly, upon the bankruptcy of one of our subsidiaries or a third-party owner of a managed site, the debtor entity would have the right to assume or reject any related site management agreement. Because the arrangements under which we derive revenue from the managed sites would not likely constitute contracts of real property for purposes of Section 365(h) of the Bankruptcy Code, the applicable subsidiary may not have the right to remain in possession of the premises or otherwise retain the benefit of the site management agreement if the site management agreement is rejected by a debtor third-party owner.</w:t>
      </w:r>
    </w:p>
    <w:p>
      <w:pPr>
        <w:spacing w:after="0" w:line="100" w:lineRule="exact"/>
        <w:rPr>
          <w:sz w:val="20"/>
          <w:szCs w:val="20"/>
          <w:color w:val="auto"/>
        </w:rPr>
      </w:pPr>
    </w:p>
    <w:p>
      <w:pPr>
        <w:ind w:left="40" w:right="20"/>
        <w:spacing w:after="0" w:line="277" w:lineRule="auto"/>
        <w:rPr>
          <w:sz w:val="20"/>
          <w:szCs w:val="20"/>
          <w:color w:val="auto"/>
        </w:rPr>
      </w:pPr>
      <w:r>
        <w:rPr>
          <w:rFonts w:ascii="Arial" w:cs="Arial" w:eastAsia="Arial" w:hAnsi="Arial"/>
          <w:sz w:val="18"/>
          <w:szCs w:val="18"/>
          <w:b w:val="1"/>
          <w:bCs w:val="1"/>
          <w:i w:val="1"/>
          <w:iCs w:val="1"/>
          <w:color w:val="auto"/>
        </w:rPr>
        <w:t>The bankruptcy of certain Sprint subsidiaries, which are sublessors to one of our subsidiaries, could result in such subsidiary's sublease interests being rejected by the bankruptcy court.</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of the towers leased from Sprint are located on land leased from third parties under ground leases. One of our subsidiaries, Global Signal Acquisitions II LLC ("Global Signal Acquisitions II"), subleases these sites from bankruptcy remote Sprint subsidiaries. If one of these Sprint subsidiaries should become a debtor in a bankruptcy proceeding and is permitted to reject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the underlying ground lease, Global Signal Acquisitions II could lose its interest in the applicable sites. If Global Signal Acquisitions II were to lose its interest in the applicable sites or if the applicable ground leases were to be terminated, we would lose the cash flow derived from the towers on those sites, which may have a material adverse effect on our business. We have similar bankruptcy risks with respect to sites that we operate under management agreements.</w:t>
      </w:r>
    </w:p>
    <w:p>
      <w:pPr>
        <w:spacing w:after="0" w:line="13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Our failure to comply with our covenants in the Sprint Master Leases, including our obligation to timely pay ground lease rent, could result in an event of default under the applicable Sprint Master Leases, which would adversely impact our business.</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Subject to certain cure, arbitration, or other provisions, in the event of an uncured default under a Sprint Master Lease, Sprint may terminate the Sprint Master Lease as to the applicable sites. If we default under the Sprint Master Leases with respect to more than 20% of the Sprint Sites within any rolling five-year period, Sprint will have the right to terminate the Sprint Master Leases with respect to all Sprint Sites. If Sprint terminates Sprint Master Leases with respect to all of or a significant number of sites, we would lose all of our interests in those sites (which collectively represent approximately 68% of our sites as of December 31, 2018) and our ability to make payments on the 3.849% Secured Notes would therefore be significantly impaired.</w:t>
      </w:r>
    </w:p>
    <w:p>
      <w:pPr>
        <w:spacing w:after="0" w:line="119" w:lineRule="exact"/>
        <w:rPr>
          <w:sz w:val="20"/>
          <w:szCs w:val="20"/>
          <w:color w:val="auto"/>
        </w:rPr>
      </w:pPr>
    </w:p>
    <w:p>
      <w:pPr>
        <w:ind w:left="40" w:right="20"/>
        <w:spacing w:after="0" w:line="277" w:lineRule="auto"/>
        <w:rPr>
          <w:sz w:val="20"/>
          <w:szCs w:val="20"/>
          <w:color w:val="auto"/>
        </w:rPr>
      </w:pPr>
      <w:r>
        <w:rPr>
          <w:rFonts w:ascii="Arial" w:cs="Arial" w:eastAsia="Arial" w:hAnsi="Arial"/>
          <w:sz w:val="18"/>
          <w:szCs w:val="18"/>
          <w:b w:val="1"/>
          <w:bCs w:val="1"/>
          <w:i w:val="1"/>
          <w:iCs w:val="1"/>
          <w:color w:val="auto"/>
        </w:rPr>
        <w:t>We have no employees of our own and hence are dependent on the Manager for the conduct of our operations. Any failure of the Manager to continue to perform in its role as manager of the sites could have a material adverse impact on our business.</w:t>
      </w:r>
    </w:p>
    <w:p>
      <w:pPr>
        <w:spacing w:after="0" w:line="11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Pursuant to a management agreement among CCL, certain of its direct and indirect subsidiaries and CCUSA ("Management Agreement"), all of our sites are managed by CCUSA ("Manager"). The Manager continues to be responsible for causing maintenance to be carried out in a timely fashion, carrying out the landlord's responsibilities under the tenant contracts, and marketing the site spaces. Management errors may adversely affect the revenue generated by the sites. In addition, the Manager's performance continues to depend to a significant degree upon the continued contributions of key management, engineering, sales and marketing, tenant support, legal, or finance personnel, some of whom may be difficult to replace. The Manager does not have employment agreements with any of its employees, and no assurance can be given that the services of such personnel will continue to be available to the Manager. Furthermore, the Manager does not maintain key man life insurance policies on its executives that would adequately compensate it for any loss of services of such executives. The loss of the services of one or more of these executives could have a material adverse effect on the Manager's ability to manage our operations.</w:t>
      </w:r>
    </w:p>
    <w:p>
      <w:pPr>
        <w:spacing w:after="0" w:line="14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management of the sites requires special skills and particularized knowledge. If the Management Agreement is terminated or the Manager is for any reason unable to continue to manage the sites on our behalf, there may be substantial delays in engaging a replacement manager with the requisite skills and experience to manage the sites. There can be no assurance that a qualified replacement manager can be located or engaged in a timely fashion or on economical terms. If an insolvency proceeding were commenced with respect to the Manager, the Manager as debtor or its bankruptcy trustee might have the power to prevent us from replacing it with a new manager for the sites.</w:t>
      </w:r>
    </w:p>
    <w:p>
      <w:pPr>
        <w:spacing w:after="0" w:line="13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The Manager may experience conflicts of interest in the management of the sites and in the management of sites of affiliates carried out pursuant to other management agreements.</w:t>
      </w:r>
    </w:p>
    <w:p>
      <w:pPr>
        <w:spacing w:after="0" w:line="11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addition to managing our operations, the Manager is currently party to, and may in the future enter into, separate management agreements with its other affiliates that own, lease, and manage towers or other wireless communications sites. These other affiliates may be engaged in the construction, acquisition, or leasing of wireless communications sites in proximity to our sites. As a result, the Manager may engage in business activities that are in competition with our business in respect of the sites, and the Manager may experience conflicts of interest in the management of our sites and such other sites. Pursuant to the Management Agreement, the Manager continues to be prohibited from soliciting lessees to transfer tenant contracts from sites owned, leased, or managed by us to sites owned, leased or managed by our affiliates. However, there can be no assurance that the persons that control us, the Manager, or those other affiliates will allocate their management efforts in such a way as to maximize the returns with respect to our sites, as opposed to maximizing the returns with respect to other sites. The expansion and development of the Manager's business through acquisitions, increased product offerings or other strategic growth opportunities may cause disruptions in our business, which may have an adverse effect on our business operations or financial results. As a result, the Manager and we may experience conflicts of interest in the management of the land sites. Pursuant to the Management Agreement, the Manager has agreed to manage the sites in the same manner as if the lessees thereunder were not affiliates.</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we may, subject to certain restrictions on affiliate transactions in the Secured Notes Indenture, enter into arms-length transactions with our affiliates to acquire land under our sites. There can be no assurance that the persons that control us will allocate potential opportunities in such a way as to maximize the returns with respect to our sites, as opposed to maximizing the returns for our affiliates.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b w:val="1"/>
          <w:bCs w:val="1"/>
          <w:i w:val="1"/>
          <w:iCs w:val="1"/>
          <w:color w:val="auto"/>
        </w:rPr>
        <w:t>New wireless technologies may not deploy or be adopted by tenants as rapidly or in the manner projected.</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can be no assurances that new wireless services or technologies will be introduced or deployed as rapidly or in the manner projected by the wireless or broadcast industries. In addition, demand or adoption rates for such new technologies may be lower or slower than anticipated for numerous reasons. As a result, growth opportunities or demand for our communications infrastructure arising from such technologies may not be realized at the times or to the extent anticipated.</w:t>
      </w:r>
    </w:p>
    <w:p>
      <w:pPr>
        <w:spacing w:after="0" w:line="133" w:lineRule="exact"/>
        <w:rPr>
          <w:sz w:val="20"/>
          <w:szCs w:val="20"/>
          <w:color w:val="auto"/>
        </w:rPr>
      </w:pPr>
    </w:p>
    <w:p>
      <w:pPr>
        <w:ind w:left="40" w:right="20"/>
        <w:spacing w:after="0" w:line="277" w:lineRule="auto"/>
        <w:rPr>
          <w:sz w:val="20"/>
          <w:szCs w:val="20"/>
          <w:color w:val="auto"/>
        </w:rPr>
      </w:pPr>
      <w:r>
        <w:rPr>
          <w:rFonts w:ascii="Arial" w:cs="Arial" w:eastAsia="Arial" w:hAnsi="Arial"/>
          <w:sz w:val="18"/>
          <w:szCs w:val="18"/>
          <w:b w:val="1"/>
          <w:bCs w:val="1"/>
          <w:i w:val="1"/>
          <w:iCs w:val="1"/>
          <w:color w:val="auto"/>
        </w:rPr>
        <w:t>If radio frequency emissions from wireless handsets or equipment on our communications infrastructure are demonstrated to cause negative health effects, potential future claims could adversely affect our operations, costs, or revenues.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potential connection between radio frequency emissions and certain negative health effects, including some forms of cancer, has been the subject of substantial study by the scientific community in recent years. We cannot guarantee that claims relating to radio frequency emissions will not arise in the future or that the results of such studies will not be adverse to us.</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Public perception of possible health risks associated with cellular or other wireless data services may slow or diminish the growth of wireless companies, which may in turn slow or diminish our growth. In particular, negative public perception of, and regulations regarding, these perceived health risks may slow or diminish the market acceptance of wireless services. If a connection between radio frequency emissions and possible negative health effects were established, our operations, costs or revenues may be materially and adversely affected. We currently do not maintain any significant insurance with respect to these matters.</w:t>
      </w:r>
    </w:p>
    <w:p>
      <w:pPr>
        <w:spacing w:after="0" w:line="13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If we fail to comply with laws or regulations which regulate our business and which may change at any time, we may be fined or even lose our right to conduct some of our business.</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 variety of federal, state, local, and foreign laws and regulations apply to our business. Failure to comply with applicable requirements may lead to civil or criminal penalties, require us to assume indemnification obligations or breach contractual provisions. We cannot guarantee that existing or future laws or regulations, including federal, state and local tax laws, will not adversely affect our business (including CCIC's REIT status), increase delays or result in additional costs. We also may incur additional costs as a result of liabilities under applicable laws and regulations, such as those governing environmental and safety matters. These factors may have a material adverse effect on us.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CCIC’s failure to remain qualified to be taxed as a REIT would result in its inability to deduct dividends to stockholders when computing its taxable income, which could reduce our available cash or subject us to income taxes.</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CCIC operates as a REIT for federal income tax purposes. As a REIT, CCIC is generally entitled to a deduction for dividends that it pays and therefore is not subject to U.S. federal corporate income tax on its taxable income that is distributed to its stockholders. As a REIT, CCIC may still be subject to certain federal, state, local, and foreign taxes on its income and assets, including alternative minimum taxes, taxes on any undistributed income, and state, local, or foreign income, franchise, property, and transfer taxes. We are an indirect subsidiary of CCIC and, for U.S. federal income tax purposes, our assets and operations are part of the CCIC REIT. Furthermore, as a result of the deduction for dividends paid, some or all of CCIC's net operating loss carryforwards ("NOLs") related to its REIT status may expire without utilization.</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While CCIC intends to operate so that it remains qualified as a REIT, given the highly complex nature of the rules governing REITs, the importance of ongoing factual determinations, the possibility of future changes in circumstances, and the potential impact of future changes to laws and regulations impacting REITs, no assurance can be given by CCIC or us that CCIC will qualify as a REIT for any particular year.</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do not expect the Tax Reform Act to significantly affect us, although we cannot predict with certainty how such legislation will affect CCIC and us in the future. In addition, the present U.S. federal tax treatment of REITs is subject to change, possibly with retroactive effect, by legislative, judicial or administrative action at any time, and any such change might adversely affect CCIC's REIT status or benefits. We cannot predict the impact, if any, that such changes, if enacted, might have on our business. However, it is possible that such changes could adversely affect our business or inclusion of our assets and operations in CCIC's REIT.</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If, in any taxable year, CCIC fails to qualify for taxation as a REIT and it is not entitled to relief under the Code, then we will be subject to federal and state income tax, including for applicable years beginning before January 1, 2018, any applicable alternative minimum tax, on our taxable income at regular corporate rates.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9" w:name="page10"/>
    <w:bookmarkEnd w:id="9"/>
    <w:p>
      <w:pPr>
        <w:jc w:val="both"/>
        <w:ind w:firstLine="405"/>
        <w:spacing w:after="0" w:line="272" w:lineRule="auto"/>
        <w:rPr>
          <w:sz w:val="20"/>
          <w:szCs w:val="20"/>
          <w:color w:val="auto"/>
        </w:rPr>
      </w:pPr>
      <w:r>
        <w:rPr>
          <w:rFonts w:ascii="Arial" w:cs="Arial" w:eastAsia="Arial" w:hAnsi="Arial"/>
          <w:sz w:val="17"/>
          <w:szCs w:val="17"/>
          <w:color w:val="auto"/>
        </w:rPr>
        <w:t>As a REIT, CCIC needs to continually satisfy tests concerning, among other things, the sources of its income, the nature and diversification of its assets, the amounts it dividends to its stockholders, and the ownership of its capital stock in order to maintain REIT status. Compliance with these tests requires CCIC to refrain from certain activities and may hinder its ability to make certain attractive investments, including the purchase of non-qualifying assets, the expansion of non-real estate activities, and investments in the businesses to be conducted by its taxable REIT subsidiaries ("TRSs"), and to that extent limit its opportunities and its flexibility to change its business strategy. Furthermore, acquisition opportunities in domestic or international markets may be adversely affected if CCIC needs or requires the target company to comply with some REIT requirements prior to completing any such acquisition. In addition, as a REIT, CCIC may face investor pressures not to pursue growth opportunities that are not immediately accretive.</w:t>
      </w:r>
    </w:p>
    <w:p>
      <w:pPr>
        <w:spacing w:after="0" w:line="3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Towers are vertical, metal structures generally ranging in height from 50 to 300 feet. Our towers are located on tracts of land that support the towers, equipment shelters and, where applicable, guy-wires to stabilize the structure. As of December 31, 2018, the average number of tenants (defined as a unique license and any related amendments thereto) per site is approximately </w:t>
      </w:r>
      <w:r>
        <w:rPr>
          <w:rFonts w:ascii="Arial" w:cs="Arial" w:eastAsia="Arial" w:hAnsi="Arial"/>
          <w:sz w:val="18"/>
          <w:szCs w:val="18"/>
          <w:color w:val="231F20"/>
        </w:rPr>
        <w:t>2.7</w:t>
      </w:r>
      <w:r>
        <w:rPr>
          <w:rFonts w:ascii="Arial" w:cs="Arial" w:eastAsia="Arial" w:hAnsi="Arial"/>
          <w:sz w:val="18"/>
          <w:szCs w:val="18"/>
          <w:color w:val="auto"/>
        </w:rPr>
        <w:t>. Substantially all of our towers can accommodate additional tenancy either as currently constructed or with appropriate modifications to the structure.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the following for further information regarding our communications infrastructure:</w:t>
      </w:r>
    </w:p>
    <w:p>
      <w:pPr>
        <w:spacing w:after="0" w:line="198" w:lineRule="exact"/>
        <w:rPr>
          <w:sz w:val="20"/>
          <w:szCs w:val="20"/>
          <w:color w:val="auto"/>
        </w:rPr>
      </w:pPr>
    </w:p>
    <w:p>
      <w:pPr>
        <w:ind w:left="1360" w:hanging="299"/>
        <w:spacing w:after="0"/>
        <w:tabs>
          <w:tab w:leader="none" w:pos="13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"Item 1. Business—Overview" </w:t>
      </w:r>
      <w:r>
        <w:rPr>
          <w:rFonts w:ascii="Arial" w:cs="Arial" w:eastAsia="Arial" w:hAnsi="Arial"/>
          <w:sz w:val="18"/>
          <w:szCs w:val="18"/>
          <w:color w:val="auto"/>
        </w:rPr>
        <w:t>for information regarding our communications infrastructure portfolio.</w:t>
      </w:r>
    </w:p>
    <w:p>
      <w:pPr>
        <w:spacing w:after="0" w:line="184" w:lineRule="exact"/>
        <w:rPr>
          <w:rFonts w:ascii="Arial" w:cs="Arial" w:eastAsia="Arial" w:hAnsi="Arial"/>
          <w:sz w:val="18"/>
          <w:szCs w:val="18"/>
          <w:i w:val="1"/>
          <w:iCs w:val="1"/>
          <w:color w:val="auto"/>
        </w:rPr>
      </w:pPr>
    </w:p>
    <w:p>
      <w:pPr>
        <w:ind w:left="1300" w:right="20" w:hanging="239"/>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"Item 7. MD&amp;A—Liquidity and Capital Resources—Contractual Cash Obligations" </w:t>
      </w:r>
      <w:r>
        <w:rPr>
          <w:rFonts w:ascii="Arial" w:cs="Arial" w:eastAsia="Arial" w:hAnsi="Arial"/>
          <w:sz w:val="18"/>
          <w:szCs w:val="18"/>
          <w:color w:val="auto"/>
        </w:rPr>
        <w:t>for a tabular presentation of the remaining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related to our business as of December 31, 2018, including our lease obligations.</w:t>
      </w:r>
    </w:p>
    <w:p>
      <w:pPr>
        <w:spacing w:after="0" w:line="116" w:lineRule="exact"/>
        <w:rPr>
          <w:rFonts w:ascii="Arial" w:cs="Arial" w:eastAsia="Arial" w:hAnsi="Arial"/>
          <w:sz w:val="18"/>
          <w:szCs w:val="18"/>
          <w:color w:val="auto"/>
        </w:rPr>
      </w:pPr>
    </w:p>
    <w:p>
      <w:pPr>
        <w:ind w:left="1300" w:hanging="239"/>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"Schedule III - Schedule of Real Estate and Accumulated Depreciation" </w:t>
      </w:r>
      <w:r>
        <w:rPr>
          <w:rFonts w:ascii="Arial" w:cs="Arial" w:eastAsia="Arial" w:hAnsi="Arial"/>
          <w:sz w:val="18"/>
          <w:szCs w:val="18"/>
          <w:color w:val="auto"/>
        </w:rPr>
        <w:t>for further information on our productive properties.</w:t>
      </w:r>
    </w:p>
    <w:p>
      <w:pPr>
        <w:spacing w:after="0" w:line="3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are periodically involved in legal proceedings that arise in the ordinary course of business. Most of these proceedings arising in the ordinary course of business involve disputes with landlords, vendors, collection matters involving bankrupt tenants, zoning or siting matters or condemnation. While the outcome of these matters cannot be predicted with certainty, management does not expect any pending matters to have a material adverse effect on us.</w:t>
      </w:r>
    </w:p>
    <w:p>
      <w:pPr>
        <w:spacing w:after="0" w:line="30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equity is not publicly traded. Our only member is GSOP, a wholly-owned indirect subsidiary of CCIC. During 2018 and 2017, we recorded an equity distribution from GSOP of amounts due to our affiliates of $313.0 million and $296.5 million, respectively. See notes 5 and 6 to our consolidated financial statements.</w:t>
      </w:r>
    </w:p>
    <w:p>
      <w:pPr>
        <w:spacing w:after="0" w:line="33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We own, lease and manage approximately 7,600 sites located across the United States. See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for additional information regarding our sites and contracts.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Business Fundamentals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as of and for the year ended December 31, 2018:</w:t>
      </w:r>
    </w:p>
    <w:p>
      <w:pPr>
        <w:spacing w:after="0" w:line="171" w:lineRule="exact"/>
        <w:rPr>
          <w:sz w:val="20"/>
          <w:szCs w:val="20"/>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wireless data</w:t>
      </w:r>
    </w:p>
    <w:p>
      <w:pPr>
        <w:spacing w:after="0" w:line="23"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expect U.S. wireless carriers will continue their focus on improving network quality and expanding capacity (including through 5G initiatives) by adding additional antennas or other equipment on our towers.</w:t>
      </w:r>
    </w:p>
    <w:p>
      <w:pPr>
        <w:jc w:val="both"/>
        <w:ind w:left="1220" w:hanging="402"/>
        <w:spacing w:after="0" w:line="250" w:lineRule="auto"/>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expect existing new tenant demand for our towers will result from (1) new technologies, (2) increased usage of mobile entertainment, mobile internet usage and machine-to-machine applications, (3) adoption of other emerging and embedded wireless devices (including smartphones, laptops, tablets and other devices), (4) increasing smartphone penetration, (5) wireless carrier focus on expanding both network quality and capacity and (6) the availability of additional spectrum.</w:t>
      </w:r>
    </w:p>
    <w:p>
      <w:pPr>
        <w:spacing w:after="0" w:line="1"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Substantially all of our towers can accommodate additional tenancy, either as currently constructed or with appropriate modifications to the structure.</w:t>
      </w: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For U.S. federal income tax purposes, CCIC operates as a REIT and, as its indirect subsidiary, our assets and operations are included in the CCIC REIT.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notes 2 and 8 to our consolidated financial statements.</w:t>
      </w:r>
    </w:p>
    <w:p>
      <w:pPr>
        <w:ind w:left="1220" w:hanging="402"/>
        <w:spacing w:after="0" w:line="250" w:lineRule="auto"/>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communications infrastructure, such as towers or other structures, and have no employees.</w:t>
      </w:r>
    </w:p>
    <w:p>
      <w:pPr>
        <w:jc w:val="both"/>
        <w:ind w:left="1220" w:hanging="402"/>
        <w:spacing w:after="0" w:line="250" w:lineRule="auto"/>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Management services, including those functions reasonably necessary to maintain, market, operate, manage or administer the sites, are performed by CCUSA. The management fee under the Management Agreement is equal to 7.5% of our "Operating Revenues," as defined under the Management Agreement.</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Initial terms of five to 15 years for site rental revenues derived from tenants, with contractual escalations and multiple renewal periods at the option of the tenant of five to ten years each.</w:t>
      </w:r>
    </w:p>
    <w:p>
      <w:pPr>
        <w:jc w:val="both"/>
        <w:ind w:left="1220" w:hanging="402"/>
        <w:spacing w:after="0" w:line="250" w:lineRule="auto"/>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weighted-average remaining term (calculated by weighting the remaining term for each contract by the related site rental revenue) of tenant contracts was approximately six years, exclusive of renewals at the tenants' option, currently representing approximately $4.3 billion of expected future cash inflows.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Majority of our revenues from large wireless carriers.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Approximately 89% of our site rental revenues were derived from Sprint, AT&amp;T, T-Mobile and Verizon Wireless. See </w:t>
      </w:r>
      <w:r>
        <w:rPr>
          <w:rFonts w:ascii="Arial" w:cs="Arial" w:eastAsia="Arial" w:hAnsi="Arial"/>
          <w:sz w:val="18"/>
          <w:szCs w:val="18"/>
          <w:i w:val="1"/>
          <w:iCs w:val="1"/>
          <w:color w:val="auto"/>
        </w:rPr>
        <w:t>"Item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and note 11 to our consolidated financial statements.</w:t>
      </w:r>
    </w:p>
    <w:p>
      <w:pPr>
        <w:ind w:left="1220" w:hanging="402"/>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average number of tenants per site was approximately 2.7.</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Majority of land interests under our towers are under long-term control.</w:t>
      </w:r>
    </w:p>
    <w:p>
      <w:pPr>
        <w:spacing w:after="0" w:line="9" w:lineRule="exact"/>
        <w:rPr>
          <w:rFonts w:ascii="Arial" w:cs="Arial" w:eastAsia="Arial" w:hAnsi="Arial"/>
          <w:sz w:val="18"/>
          <w:szCs w:val="18"/>
          <w:color w:val="auto"/>
        </w:rPr>
      </w:pPr>
    </w:p>
    <w:p>
      <w:pPr>
        <w:ind w:left="1220" w:hanging="402"/>
        <w:spacing w:after="0" w:line="281" w:lineRule="auto"/>
        <w:tabs>
          <w:tab w:leader="none" w:pos="1220" w:val="left"/>
        </w:tabs>
        <w:numPr>
          <w:ilvl w:val="1"/>
          <w:numId w:val="9"/>
        </w:numPr>
        <w:rPr>
          <w:rFonts w:ascii="Arial" w:cs="Arial" w:eastAsia="Arial" w:hAnsi="Arial"/>
          <w:sz w:val="16"/>
          <w:szCs w:val="16"/>
          <w:color w:val="auto"/>
        </w:rPr>
      </w:pPr>
      <w:r>
        <w:rPr>
          <w:rFonts w:ascii="Arial" w:cs="Arial" w:eastAsia="Arial" w:hAnsi="Arial"/>
          <w:sz w:val="16"/>
          <w:szCs w:val="16"/>
          <w:color w:val="auto"/>
        </w:rPr>
        <w:t>More than 80% and more than 50% of our sites are under our control for greater than 10 and 20 years, respectively. The aforementioned percentages include towers that reside on land interests that are owned by us, including fee interests and perpetual easements.</w:t>
      </w:r>
    </w:p>
    <w:p>
      <w:pPr>
        <w:spacing w:after="0" w:line="1" w:lineRule="exact"/>
        <w:rPr>
          <w:rFonts w:ascii="Arial" w:cs="Arial" w:eastAsia="Arial" w:hAnsi="Arial"/>
          <w:sz w:val="16"/>
          <w:szCs w:val="16"/>
          <w:color w:val="auto"/>
        </w:rPr>
      </w:pPr>
    </w:p>
    <w:p>
      <w:pPr>
        <w:ind w:left="1220" w:hanging="402"/>
        <w:spacing w:after="0" w:line="261" w:lineRule="auto"/>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contracts for land interest under our towers had an average remaining life (calculated by weighting the remaining term for each contract by its percentage of our total site rental revenues) of approximately 25 years.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jc w:val="both"/>
        <w:ind w:left="807" w:hanging="402"/>
        <w:spacing w:after="0" w:line="256" w:lineRule="auto"/>
        <w:tabs>
          <w:tab w:leader="none" w:pos="80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Approximately 21% of our site rental cost of operations represents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ind w:left="407" w:hanging="407"/>
        <w:spacing w:after="0"/>
        <w:tabs>
          <w:tab w:leader="none" w:pos="4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807" w:hanging="402"/>
        <w:spacing w:after="0" w:line="250" w:lineRule="auto"/>
        <w:tabs>
          <w:tab w:leader="none" w:pos="807"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ind w:left="407" w:hanging="407"/>
        <w:spacing w:after="0"/>
        <w:tabs>
          <w:tab w:leader="none" w:pos="4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807" w:hanging="402"/>
        <w:spacing w:after="0"/>
        <w:tabs>
          <w:tab w:leader="none" w:pos="807"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1% of site rental revenues.</w:t>
      </w:r>
    </w:p>
    <w:p>
      <w:pPr>
        <w:spacing w:after="0" w:line="9" w:lineRule="exact"/>
        <w:rPr>
          <w:rFonts w:ascii="Arial" w:cs="Arial" w:eastAsia="Arial" w:hAnsi="Arial"/>
          <w:sz w:val="18"/>
          <w:szCs w:val="18"/>
          <w:color w:val="auto"/>
        </w:rPr>
      </w:pPr>
    </w:p>
    <w:p>
      <w:pPr>
        <w:ind w:left="407" w:hanging="407"/>
        <w:spacing w:after="0"/>
        <w:tabs>
          <w:tab w:leader="none" w:pos="4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9" w:lineRule="exact"/>
        <w:rPr>
          <w:rFonts w:ascii="Arial" w:cs="Arial" w:eastAsia="Arial" w:hAnsi="Arial"/>
          <w:sz w:val="18"/>
          <w:szCs w:val="18"/>
          <w:color w:val="auto"/>
        </w:rPr>
      </w:pPr>
    </w:p>
    <w:p>
      <w:pPr>
        <w:ind w:left="807" w:hanging="402"/>
        <w:spacing w:after="0"/>
        <w:tabs>
          <w:tab w:leader="none" w:pos="807" w:val="left"/>
        </w:tabs>
        <w:numPr>
          <w:ilvl w:val="1"/>
          <w:numId w:val="10"/>
        </w:numPr>
        <w:rPr>
          <w:rFonts w:ascii="Arial" w:cs="Arial" w:eastAsia="Arial" w:hAnsi="Arial"/>
          <w:sz w:val="16"/>
          <w:szCs w:val="16"/>
          <w:color w:val="auto"/>
        </w:rPr>
      </w:pPr>
      <w:r>
        <w:rPr>
          <w:rFonts w:ascii="Arial" w:cs="Arial" w:eastAsia="Arial" w:hAnsi="Arial"/>
          <w:sz w:val="16"/>
          <w:szCs w:val="16"/>
          <w:color w:val="auto"/>
        </w:rPr>
        <w:t>Our debt consists of $1.0 billion aggregate principal amount of 3.849% Secured Notes. See note 5 to our consolidated financial statements.</w:t>
      </w:r>
    </w:p>
    <w:p>
      <w:pPr>
        <w:spacing w:after="0" w:line="32" w:lineRule="exact"/>
        <w:rPr>
          <w:rFonts w:ascii="Arial" w:cs="Arial" w:eastAsia="Arial" w:hAnsi="Arial"/>
          <w:sz w:val="16"/>
          <w:szCs w:val="16"/>
          <w:color w:val="auto"/>
        </w:rPr>
      </w:pPr>
    </w:p>
    <w:p>
      <w:pPr>
        <w:ind w:left="407" w:hanging="407"/>
        <w:spacing w:after="0"/>
        <w:tabs>
          <w:tab w:leader="none" w:pos="4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807" w:hanging="402"/>
        <w:spacing w:after="0"/>
        <w:tabs>
          <w:tab w:leader="none" w:pos="807"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$372.0 million. See </w:t>
      </w:r>
      <w:r>
        <w:rPr>
          <w:rFonts w:ascii="Arial" w:cs="Arial" w:eastAsia="Arial" w:hAnsi="Arial"/>
          <w:sz w:val="18"/>
          <w:szCs w:val="18"/>
          <w:i w:val="1"/>
          <w:iCs w:val="1"/>
          <w:color w:val="auto"/>
        </w:rPr>
        <w:t>"Item 7. MD&amp;A—Liquidity and Capital Resources."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Outlook Highlights</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are certain highlights of our outlook that impact our business fundamentals described above.</w:t>
      </w:r>
    </w:p>
    <w:p>
      <w:pPr>
        <w:spacing w:after="0" w:line="198" w:lineRule="exact"/>
        <w:rPr>
          <w:sz w:val="20"/>
          <w:szCs w:val="20"/>
          <w:color w:val="auto"/>
        </w:rPr>
      </w:pPr>
    </w:p>
    <w:p>
      <w:pPr>
        <w:ind w:left="467" w:hanging="467"/>
        <w:spacing w:after="0"/>
        <w:tabs>
          <w:tab w:leader="none" w:pos="4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demand for tenant leasing to continue during 2019.</w:t>
      </w:r>
    </w:p>
    <w:p>
      <w:pPr>
        <w:spacing w:after="0" w:line="23" w:lineRule="exact"/>
        <w:rPr>
          <w:rFonts w:ascii="Arial" w:cs="Arial" w:eastAsia="Arial" w:hAnsi="Arial"/>
          <w:sz w:val="18"/>
          <w:szCs w:val="18"/>
          <w:color w:val="auto"/>
        </w:rPr>
      </w:pPr>
    </w:p>
    <w:p>
      <w:pPr>
        <w:ind w:left="807" w:right="20" w:hanging="807"/>
        <w:spacing w:after="0" w:line="276" w:lineRule="auto"/>
        <w:tabs>
          <w:tab w:leader="none" w:pos="4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2019, we anticipate any increase to site rental revenues attributable to new leasing will be offset by expected non-renewals of tenant contracts, including from our tenants' continued decommissioning of the Acquired Networks.</w:t>
      </w:r>
    </w:p>
    <w:p>
      <w:pPr>
        <w:spacing w:after="0" w:line="200" w:lineRule="exact"/>
        <w:rPr>
          <w:sz w:val="20"/>
          <w:szCs w:val="20"/>
          <w:color w:val="auto"/>
        </w:rPr>
      </w:pPr>
    </w:p>
    <w:p>
      <w:pPr>
        <w:spacing w:after="0" w:line="377" w:lineRule="exact"/>
        <w:rPr>
          <w:sz w:val="20"/>
          <w:szCs w:val="20"/>
          <w:color w:val="auto"/>
        </w:rPr>
      </w:pPr>
    </w:p>
    <w:p>
      <w:pPr>
        <w:jc w:val="center"/>
        <w:ind w:right="39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7"/>
          </w:cols>
          <w:pgMar w:left="653"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w:t>
      </w:r>
      <w:r>
        <w:rPr>
          <w:rFonts w:ascii="Arial" w:cs="Arial" w:eastAsia="Arial" w:hAnsi="Arial"/>
          <w:sz w:val="18"/>
          <w:szCs w:val="18"/>
          <w:i w:val="1"/>
          <w:iCs w:val="1"/>
          <w:color w:val="auto"/>
        </w:rPr>
        <w:t>"Item 1. Business," "Item 7. MD&amp;A—Liquidity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and our consolidated financial statements. The following discussion of our results of operations is based on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prepared in accordance with generally accepted accounting principles in the U.S. ("GAAP") which requires us to make estimates and judgments that affect the reported amounts. See </w:t>
      </w:r>
      <w:r>
        <w:rPr>
          <w:rFonts w:ascii="Arial" w:cs="Arial" w:eastAsia="Arial" w:hAnsi="Arial"/>
          <w:sz w:val="18"/>
          <w:szCs w:val="18"/>
          <w:i w:val="1"/>
          <w:iCs w:val="1"/>
          <w:color w:val="auto"/>
        </w:rPr>
        <w:t>"Item 7. MD&amp;A—Accounting and Reporting Matters—Critical Accounting Policies and Estimates"</w:t>
      </w:r>
      <w:r>
        <w:rPr>
          <w:rFonts w:ascii="Arial" w:cs="Arial" w:eastAsia="Arial" w:hAnsi="Arial"/>
          <w:sz w:val="18"/>
          <w:szCs w:val="18"/>
          <w:color w:val="auto"/>
        </w:rPr>
        <w:t xml:space="preserve"> and note 2 to our consolidated financial statements.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Comparison of Consolidated 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comparison of our 2018, 2017 and 2016 consolidated results of operations: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4"/>
                <w:szCs w:val="14"/>
                <w:b w:val="1"/>
                <w:bCs w:val="1"/>
                <w:color w:val="auto"/>
                <w:w w:val="91"/>
              </w:rPr>
              <w:t>Years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center"/>
              <w:ind w:right="240"/>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auto"/>
              </w:rPr>
              <w:t>2018 vs. 2017</w:t>
            </w:r>
          </w:p>
        </w:tc>
        <w:tc>
          <w:tcPr>
            <w:tcW w:w="1460" w:type="dxa"/>
            <w:vAlign w:val="bottom"/>
          </w:tcPr>
          <w:p>
            <w:pPr>
              <w:jc w:val="right"/>
              <w:ind w:right="240"/>
              <w:spacing w:after="0"/>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(In thousands of dollars)</w:t>
            </w: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659,490</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616,897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611,639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70"/>
        </w:trPr>
        <w:tc>
          <w:tcPr>
            <w:tcW w:w="408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3940" w:type="dxa"/>
            <w:vAlign w:val="bottom"/>
          </w:tcPr>
          <w:p>
            <w:pPr>
              <w:ind w:left="36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190,729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186,419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185,713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70"/>
        </w:trPr>
        <w:tc>
          <w:tcPr>
            <w:tcW w:w="140" w:type="dxa"/>
            <w:vAlign w:val="bottom"/>
            <w:shd w:val="clear" w:color="auto" w:fill="CCEEFF"/>
          </w:tcPr>
          <w:p>
            <w:pPr>
              <w:spacing w:after="0"/>
              <w:rPr>
                <w:sz w:val="23"/>
                <w:szCs w:val="23"/>
                <w:color w:val="auto"/>
              </w:rPr>
            </w:pPr>
          </w:p>
        </w:tc>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48,520</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46,946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45,433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3940" w:type="dxa"/>
            <w:vAlign w:val="bottom"/>
          </w:tcPr>
          <w:p>
            <w:pPr>
              <w:ind w:left="360"/>
              <w:spacing w:after="0"/>
              <w:rPr>
                <w:sz w:val="20"/>
                <w:szCs w:val="20"/>
                <w:color w:val="auto"/>
              </w:rPr>
            </w:pPr>
            <w:r>
              <w:rPr>
                <w:rFonts w:ascii="Arial" w:cs="Arial" w:eastAsia="Arial" w:hAnsi="Arial"/>
                <w:sz w:val="16"/>
                <w:szCs w:val="16"/>
                <w:color w:val="auto"/>
              </w:rPr>
              <w:t>Asset write-down charges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4,851</w:t>
            </w:r>
          </w:p>
        </w:tc>
        <w:tc>
          <w:tcPr>
            <w:tcW w:w="152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Depreciation, amortization and accretion</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210,072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210,607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209,361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3940" w:type="dxa"/>
            <w:vAlign w:val="bottom"/>
          </w:tcPr>
          <w:p>
            <w:pPr>
              <w:ind w:left="6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449,914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444,153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445,358</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209,576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172,744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166,281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20"/>
        </w:trPr>
        <w:tc>
          <w:tcPr>
            <w:tcW w:w="4080" w:type="dxa"/>
            <w:vAlign w:val="bottom"/>
            <w:gridSpan w:val="2"/>
          </w:tcPr>
          <w:p>
            <w:pPr>
              <w:ind w:left="40"/>
              <w:spacing w:after="0"/>
              <w:rPr>
                <w:sz w:val="20"/>
                <w:szCs w:val="20"/>
                <w:color w:val="auto"/>
              </w:rPr>
            </w:pPr>
            <w:r>
              <w:rPr>
                <w:rFonts w:ascii="Arial" w:cs="Arial" w:eastAsia="Arial" w:hAnsi="Arial"/>
                <w:sz w:val="16"/>
                <w:szCs w:val="16"/>
                <w:color w:val="auto"/>
              </w:rPr>
              <w:t>Interest expense and amortization of deferred financing</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3940" w:type="dxa"/>
            <w:vAlign w:val="bottom"/>
          </w:tcPr>
          <w:p>
            <w:pPr>
              <w:ind w:left="60"/>
              <w:spacing w:after="0" w:line="239" w:lineRule="exact"/>
              <w:rPr>
                <w:sz w:val="20"/>
                <w:szCs w:val="20"/>
                <w:color w:val="auto"/>
              </w:rPr>
            </w:pPr>
            <w:r>
              <w:rPr>
                <w:rFonts w:ascii="Arial" w:cs="Arial" w:eastAsia="Arial" w:hAnsi="Arial"/>
                <w:sz w:val="16"/>
                <w:szCs w:val="16"/>
                <w:color w:val="auto"/>
              </w:rPr>
              <w:t>costs</w:t>
            </w:r>
            <w:r>
              <w:rPr>
                <w:rFonts w:ascii="Arial" w:cs="Arial" w:eastAsia="Arial" w:hAnsi="Arial"/>
                <w:sz w:val="21"/>
                <w:szCs w:val="21"/>
                <w:color w:val="auto"/>
                <w:vertAlign w:val="superscript"/>
              </w:rPr>
              <w:t>(b)</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(39,874)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(39,874)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(49,515)</w:t>
            </w:r>
          </w:p>
        </w:tc>
        <w:tc>
          <w:tcPr>
            <w:tcW w:w="100" w:type="dxa"/>
            <w:vAlign w:val="bottom"/>
          </w:tcPr>
          <w:p>
            <w:pPr>
              <w:spacing w:after="0"/>
              <w:rPr>
                <w:sz w:val="20"/>
                <w:szCs w:val="20"/>
                <w:color w:val="auto"/>
              </w:rPr>
            </w:pPr>
          </w:p>
        </w:tc>
        <w:tc>
          <w:tcPr>
            <w:tcW w:w="15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Gain (loss) on retirement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(10,273)</w:t>
            </w:r>
          </w:p>
        </w:tc>
        <w:tc>
          <w:tcPr>
            <w:tcW w:w="152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6"/>
                <w:szCs w:val="16"/>
                <w:color w:val="auto"/>
              </w:rPr>
              <w:t>Other income (expense)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w:t>
            </w:r>
          </w:p>
        </w:tc>
        <w:tc>
          <w:tcPr>
            <w:tcW w:w="152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169,898</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133,157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106,251</w:t>
            </w:r>
          </w:p>
        </w:tc>
        <w:tc>
          <w:tcPr>
            <w:tcW w:w="152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668</w:t>
            </w:r>
          </w:p>
        </w:tc>
        <w:tc>
          <w:tcPr>
            <w:tcW w:w="152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169,482</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133,771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106,919</w:t>
            </w:r>
          </w:p>
        </w:tc>
        <w:tc>
          <w:tcPr>
            <w:tcW w:w="15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0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940" w:type="dxa"/>
            <w:vAlign w:val="bottom"/>
          </w:tcPr>
          <w:p>
            <w:pPr>
              <w:ind w:left="200"/>
              <w:spacing w:after="0"/>
              <w:rPr>
                <w:sz w:val="20"/>
                <w:szCs w:val="20"/>
                <w:color w:val="auto"/>
              </w:rPr>
            </w:pPr>
            <w:r>
              <w:rPr>
                <w:rFonts w:ascii="Arial" w:cs="Arial" w:eastAsia="Arial" w:hAnsi="Arial"/>
                <w:sz w:val="14"/>
                <w:szCs w:val="14"/>
                <w:color w:val="auto"/>
              </w:rPr>
              <w:t>Percentage is not meaningful.</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Inclusive of related party transactions.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Y</w:t>
      </w:r>
      <w:r>
        <w:rPr>
          <w:rFonts w:ascii="Arial" w:cs="Arial" w:eastAsia="Arial" w:hAnsi="Arial"/>
          <w:sz w:val="18"/>
          <w:szCs w:val="18"/>
          <w:b w:val="1"/>
          <w:bCs w:val="1"/>
          <w:i w:val="1"/>
          <w:iCs w:val="1"/>
          <w:color w:val="000000"/>
        </w:rPr>
        <w:t>ears Ended December 31, 2018 and 2017</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Site rental revenues for 2018 increased by approximately $42.6 million, or 7%, from 2017. Site rental revenues were impacted by the following items, inclusive of straight-line accounting: tenant additions across our entire portfolio, renewals or extensions of tenant contracts, escalations and non-renewals of tenant contracts. Tenant additions were influenced by our tenants' ongoing efforts to improve network quality and capacity. See also </w:t>
      </w:r>
      <w:r>
        <w:rPr>
          <w:rFonts w:ascii="Arial" w:cs="Arial" w:eastAsia="Arial" w:hAnsi="Arial"/>
          <w:sz w:val="18"/>
          <w:szCs w:val="18"/>
          <w:i w:val="1"/>
          <w:iCs w:val="1"/>
          <w:color w:val="auto"/>
        </w:rPr>
        <w:t>"Item 7. MD&amp;A—</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Overview."</w:t>
      </w:r>
    </w:p>
    <w:p>
      <w:pPr>
        <w:spacing w:after="0" w:line="13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Operating income for 2018 increased by approximately $36.8 million, or 21%, from 2017. The increase in operating income was predominately due to the aforementioned increase in site rental revenues, partially offset by an increase in cost of operations and the management fee.</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and amortization of deferred financing costs were unchanged from 2017 to 2018.</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Benefit (provision) for income taxes for 2018 was a provision of $0.4 million compared to a benefit of $0.6 million for 2017. The effective tax rates for 2018 and 2017 differ from the federal statutory rate predominately due to CCIC's REIT status (including the dividends paid deduction) and our inclusion therein.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notes 2 and 8 to our consolidated financial statements.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income for 2018 was approximately $169.5 million, compared to net income of approximately $133.8 million for 2017. The increase in net income was predominately due to the aforementioned increase in site rental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b w:val="1"/>
          <w:bCs w:val="1"/>
          <w:i w:val="1"/>
          <w:iCs w:val="1"/>
          <w:color w:val="auto"/>
        </w:rPr>
        <w:t>Years Ended December 31, 2017 and 2016</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Site rental revenues for 2017 increased by approximately $5.3 million, or 1%, from 2016. Site rental revenues were impacted by the following items, inclusive of straight-line accounting: tenant additions across our entire portfolio, renewals or extensions of tenant contracts, escalations and non-renewals of tenant contracts. Tenant additions were influenced by our tenants' ongoing efforts to improve network quality and capacity. See also </w:t>
      </w:r>
      <w:r>
        <w:rPr>
          <w:rFonts w:ascii="Arial" w:cs="Arial" w:eastAsia="Arial" w:hAnsi="Arial"/>
          <w:sz w:val="18"/>
          <w:szCs w:val="18"/>
          <w:i w:val="1"/>
          <w:iCs w:val="1"/>
          <w:color w:val="auto"/>
        </w:rPr>
        <w:t>"Item 7. MD&amp;A—</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Overview."</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Operating income for 2017 increased by $6.5 million, or 4%, from 2016. The increase in operating income was predominately due to the aforementioned increase in site rental revenues and a decrease in asset write-down charges.</w:t>
      </w:r>
    </w:p>
    <w:p>
      <w:pPr>
        <w:spacing w:after="0" w:line="11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During September 2016, CCIC issued $700 million aggregate principal amount of 2.250% senior unsecured notes and used a portion of the proceeds to repay all of our previously outstanding 2.381% Secured Notes, which resulted in a loss on retirement of debt of approximately $10.3 million.</w:t>
      </w:r>
    </w:p>
    <w:p>
      <w:pPr>
        <w:spacing w:after="0" w:line="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2017 decreased by $9.6 million, or 19%, from 2016. This decrease was related to the aforementioned repayment in September 2016 of the previously outstanding 2.381% Secured Notes.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Benefit (provision) for income taxes remained consistent from 2016 to 2017. The effective tax rates for 2017 and 2016 differs from the federal statutory rate predominately due to CCIC's REIT status (including the dividends paid deduction) and our inclusion therein.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notes 2 and 8 to our consolidated financial statements.</w:t>
      </w:r>
    </w:p>
    <w:p>
      <w:pPr>
        <w:spacing w:after="0" w:line="12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Net income for 2017 was approximately $133.8 million, compared to net income of approximately $106.9 million for 2016. The increase in net income was predominately due to the aforementioned loss on retirement of debt and related decrease in interest expense and amortization of deferred financing costs.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Our core business generates revenues under long-term contracts (see "</w:t>
      </w:r>
      <w:r>
        <w:rPr>
          <w:rFonts w:ascii="Arial" w:cs="Arial" w:eastAsia="Arial" w:hAnsi="Arial"/>
          <w:sz w:val="16"/>
          <w:szCs w:val="16"/>
          <w:i w:val="1"/>
          <w:iCs w:val="1"/>
          <w:color w:val="auto"/>
        </w:rPr>
        <w:t xml:space="preserve">Item 7. MD&amp;A—General Overview") </w:t>
      </w:r>
      <w:r>
        <w:rPr>
          <w:rFonts w:ascii="Arial" w:cs="Arial" w:eastAsia="Arial" w:hAnsi="Arial"/>
          <w:sz w:val="16"/>
          <w:szCs w:val="16"/>
          <w:color w:val="auto"/>
        </w:rPr>
        <w:t>from the largest U.S.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carriers. Historically, our net cash provided by operating activities (net of cash interest payments) has exceeded our capital expenditures. For the foreseeable future, we expect to continue to generate net cash provided by operating activities (exclusive of movements in working capital) that exceeds our capital expenditures. We seek to allocate the net cash provided by our operating activities in a manner that we believe drives value for our member.</w:t>
      </w:r>
    </w:p>
    <w:p>
      <w:pPr>
        <w:spacing w:after="0" w:line="10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CCIC operates as a REIT for U.S. federal income tax purposes. We are an indirect subsidiary of CCIC and for U.S. federal income tax purposes, our assets and operations are included in the CCIC REIT. We expect to continue to pay minimal cash income taxes as a result of CCIC's REIT status and NOLs. </w:t>
      </w:r>
      <w:r>
        <w:rPr>
          <w:rFonts w:ascii="Arial" w:cs="Arial" w:eastAsia="Arial" w:hAnsi="Arial"/>
          <w:sz w:val="18"/>
          <w:szCs w:val="18"/>
          <w:i w:val="1"/>
          <w:iCs w:val="1"/>
          <w:color w:val="auto"/>
        </w:rPr>
        <w:t xml:space="preserve">"Item 1A. Risk Factors" </w:t>
      </w:r>
      <w:r>
        <w:rPr>
          <w:rFonts w:ascii="Arial" w:cs="Arial" w:eastAsia="Arial" w:hAnsi="Arial"/>
          <w:sz w:val="18"/>
          <w:szCs w:val="18"/>
          <w:color w:val="auto"/>
        </w:rPr>
        <w:t>and notes 2 and 8 to our consolidated financial statements.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December 31,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jc w:val="right"/>
              <w:ind w:right="483"/>
              <w:spacing w:after="0"/>
              <w:rPr>
                <w:sz w:val="20"/>
                <w:szCs w:val="20"/>
                <w:color w:val="auto"/>
              </w:rPr>
            </w:pPr>
            <w:r>
              <w:rPr>
                <w:rFonts w:ascii="Arial" w:cs="Arial" w:eastAsia="Arial" w:hAnsi="Arial"/>
                <w:sz w:val="14"/>
                <w:szCs w:val="14"/>
                <w:b w:val="1"/>
                <w:bCs w:val="1"/>
                <w:color w:val="auto"/>
              </w:rPr>
              <w:t>December 31, 2018</w:t>
            </w:r>
          </w:p>
        </w:tc>
      </w:tr>
      <w:tr>
        <w:trPr>
          <w:trHeight w:val="276"/>
        </w:trPr>
        <w:tc>
          <w:tcPr>
            <w:tcW w:w="9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w w:val="99"/>
              </w:rPr>
              <w:t>(In thousands of dollars)</w:t>
            </w:r>
          </w:p>
        </w:tc>
      </w:tr>
      <w:tr>
        <w:trPr>
          <w:trHeight w:val="236"/>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18,707</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Debt</w:t>
            </w:r>
          </w:p>
        </w:tc>
        <w:tc>
          <w:tcPr>
            <w:tcW w:w="240" w:type="dxa"/>
            <w:vAlign w:val="bottom"/>
          </w:tcPr>
          <w:p>
            <w:pPr>
              <w:spacing w:after="0"/>
              <w:rPr>
                <w:sz w:val="19"/>
                <w:szCs w:val="19"/>
                <w:color w:val="auto"/>
              </w:rPr>
            </w:pPr>
          </w:p>
        </w:tc>
        <w:tc>
          <w:tcPr>
            <w:tcW w:w="2020" w:type="dxa"/>
            <w:vAlign w:val="bottom"/>
          </w:tcPr>
          <w:p>
            <w:pPr>
              <w:jc w:val="right"/>
              <w:ind w:right="23"/>
              <w:spacing w:after="0"/>
              <w:rPr>
                <w:sz w:val="20"/>
                <w:szCs w:val="20"/>
                <w:color w:val="auto"/>
              </w:rPr>
            </w:pPr>
            <w:r>
              <w:rPr>
                <w:rFonts w:ascii="Arial" w:cs="Arial" w:eastAsia="Arial" w:hAnsi="Arial"/>
                <w:sz w:val="16"/>
                <w:szCs w:val="16"/>
                <w:color w:val="auto"/>
              </w:rPr>
              <w:t>994,047</w:t>
            </w:r>
          </w:p>
        </w:tc>
      </w:tr>
      <w:tr>
        <w:trPr>
          <w:trHeight w:val="33"/>
        </w:trPr>
        <w:tc>
          <w:tcPr>
            <w:tcW w:w="9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9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2,432,991</w:t>
            </w:r>
          </w:p>
        </w:tc>
      </w:tr>
      <w:tr>
        <w:trPr>
          <w:trHeight w:val="33"/>
        </w:trPr>
        <w:tc>
          <w:tcPr>
            <w:tcW w:w="9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no debt maturities.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4" w:name="page15"/>
    <w:bookmarkEnd w:id="14"/>
    <w:p>
      <w:pPr>
        <w:jc w:val="both"/>
        <w:ind w:firstLine="405"/>
        <w:spacing w:after="0" w:line="279" w:lineRule="auto"/>
        <w:rPr>
          <w:sz w:val="20"/>
          <w:szCs w:val="20"/>
          <w:color w:val="auto"/>
        </w:rPr>
      </w:pPr>
      <w:r>
        <w:rPr>
          <w:rFonts w:ascii="Arial" w:cs="Arial" w:eastAsia="Arial" w:hAnsi="Arial"/>
          <w:sz w:val="17"/>
          <w:szCs w:val="17"/>
          <w:i w:val="1"/>
          <w:iCs w:val="1"/>
          <w:color w:val="auto"/>
        </w:rPr>
        <w:t>Long-term Strategy</w:t>
      </w:r>
      <w:r>
        <w:rPr>
          <w:rFonts w:ascii="Arial" w:cs="Arial" w:eastAsia="Arial" w:hAnsi="Arial"/>
          <w:sz w:val="17"/>
          <w:szCs w:val="17"/>
          <w:color w:val="auto"/>
        </w:rPr>
        <w:t>. We may increase our debt in nominal dollars, subject to the provisions of the 2012 Secured Notes outstanding and various other</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such as the state of the capital markets and CCIC's targeted capital structure, including with respect to leverage ratios. 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5 to our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Flows Information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(In thousands of dollars)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372,048</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357,317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333,052</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(71,150)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(49,551)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(53,409)</w:t>
            </w:r>
          </w:p>
        </w:tc>
      </w:tr>
      <w:tr>
        <w:trPr>
          <w:trHeight w:val="237"/>
        </w:trPr>
        <w:tc>
          <w:tcPr>
            <w:tcW w:w="708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(312,962)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(296,545)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(280,494)</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(12,064)</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11,221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increase in net cash provided by operating activities for 2018 of $14.7 million, or 4%, from 2017 was primarily due to growth in cash revenues, including cash escalations that are subject to straight-line accounting, partially offset by a net decrease in working capital. The increase in net cash provided by operating activities from 2016 to 2017 was primarily due to (1) growth in cash revenues, including cash escalations that are subject to straight-line accounting and (2) a net benefit from changes in working capital. Changes in working capital contribute to variability in net cash provided by operating activities, largely due to the timing of advanced payments by us and advanced receipts from tenants.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capital expenditures include the following:</w:t>
      </w:r>
    </w:p>
    <w:p>
      <w:pPr>
        <w:spacing w:after="0" w:line="171" w:lineRule="exact"/>
        <w:rPr>
          <w:sz w:val="20"/>
          <w:szCs w:val="20"/>
          <w:color w:val="auto"/>
        </w:rPr>
      </w:pPr>
    </w:p>
    <w:p>
      <w:pPr>
        <w:jc w:val="both"/>
        <w:ind w:left="820" w:hanging="407"/>
        <w:spacing w:after="0" w:line="291"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Site improvement capital expenditures consist of improvements to existing sites to accommodate tenant additions and typically vary based on, among other factors: (1) the type of site, (2) the scope, volume, and mix of work performed on the site, (3) existing capacity prior to installation or</w:t>
      </w:r>
    </w:p>
    <w:p>
      <w:pPr>
        <w:jc w:val="both"/>
        <w:ind w:left="820" w:hanging="2"/>
        <w:spacing w:after="0" w:line="255" w:lineRule="auto"/>
        <w:tabs>
          <w:tab w:leader="none" w:pos="11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changes in structural engineering regulations and standards. Our decisions regarding capital expenditures are influenced by (1) sufficient potential to enhance CCIC's long-term stockholder value, (2) CCIC's availability and cost of capital and (3) CCIC's expected returns on alternative uses of cash, such as payments of dividends and investments.</w:t>
      </w:r>
    </w:p>
    <w:p>
      <w:pPr>
        <w:spacing w:after="0" w:line="136"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Sustaining capital expenditures consist of maintenance capital expenditures on our sites that enable our tenants' ongoing quiet enjoyment of the site.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capital expenditures for the last three years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2"/>
              </w:rPr>
              <w:t>Years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13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580" w:type="dxa"/>
            <w:vAlign w:val="bottom"/>
            <w:tcBorders>
              <w:bottom w:val="single" w:sz="8" w:color="auto"/>
            </w:tcBorders>
            <w:gridSpan w:val="3"/>
          </w:tcPr>
          <w:p>
            <w:pPr>
              <w:jc w:val="center"/>
              <w:ind w:left="12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r>
      <w:tr>
        <w:trPr>
          <w:trHeight w:val="237"/>
        </w:trPr>
        <w:tc>
          <w:tcPr>
            <w:tcW w:w="7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(In thousands of dollars)</w:t>
            </w:r>
          </w:p>
        </w:tc>
        <w:tc>
          <w:tcPr>
            <w:tcW w:w="1080" w:type="dxa"/>
            <w:vAlign w:val="bottom"/>
          </w:tcPr>
          <w:p>
            <w:pPr>
              <w:spacing w:after="0"/>
              <w:rPr>
                <w:sz w:val="20"/>
                <w:szCs w:val="20"/>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improvements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63,590</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40,051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43,721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Sustaining</w:t>
            </w:r>
          </w:p>
        </w:tc>
        <w:tc>
          <w:tcPr>
            <w:tcW w:w="1300" w:type="dxa"/>
            <w:vAlign w:val="bottom"/>
          </w:tcPr>
          <w:p>
            <w:pPr>
              <w:jc w:val="right"/>
              <w:spacing w:after="0"/>
              <w:rPr>
                <w:sz w:val="20"/>
                <w:szCs w:val="20"/>
                <w:color w:val="auto"/>
              </w:rPr>
            </w:pPr>
            <w:r>
              <w:rPr>
                <w:rFonts w:ascii="Arial" w:cs="Arial" w:eastAsia="Arial" w:hAnsi="Arial"/>
                <w:sz w:val="16"/>
                <w:szCs w:val="16"/>
                <w:color w:val="auto"/>
              </w:rPr>
              <w:t>7,560</w:t>
            </w: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9,500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9,688</w:t>
            </w:r>
          </w:p>
        </w:tc>
      </w:tr>
      <w:tr>
        <w:trPr>
          <w:trHeight w:val="33"/>
        </w:trPr>
        <w:tc>
          <w:tcPr>
            <w:tcW w:w="7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71,150</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49,551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53,409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Capital expenditures increased by approximately $21.6 million from 2017 to 2018 predominately due to a higher volume of improvements performed on existing sites.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net cash flows used for financing activities during the years ended December 31, 2018, 2017 and 2016 were impacted by our continued practice of distributing excess cash to our member. In addition, in September 2016, CCIC issued $700 million aggregate principal amount of September 2016 Senior Notes and used a portion of the net proceeds from the September 2016 Senior Notes offering to repay $500 million of our previously outstanding 2.381% Secured Notes. We recorded an equity contribution related to the debt repayment of our previously outstanding 2.381% Secured Notes for the year ended December 31, 2016. See notes 5 and 6 to our consolidated financial statements.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Cash Obligations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our contractual cash obligations as of December 31, 2018. These contractual cash obligations relate primarily to our 3.849% Secured Notes and lease obligations for land interests under our towers.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9"/>
          </w:tcPr>
          <w:p>
            <w:pPr>
              <w:ind w:left="620"/>
              <w:spacing w:after="0"/>
              <w:rPr>
                <w:sz w:val="20"/>
                <w:szCs w:val="20"/>
                <w:color w:val="auto"/>
              </w:rPr>
            </w:pPr>
            <w:r>
              <w:rPr>
                <w:rFonts w:ascii="Arial" w:cs="Arial" w:eastAsia="Arial" w:hAnsi="Arial"/>
                <w:sz w:val="14"/>
                <w:szCs w:val="14"/>
                <w:b w:val="1"/>
                <w:bCs w:val="1"/>
                <w:color w:val="auto"/>
              </w:rPr>
              <w:t>Years Ending December 31,</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Contractual Obligations</w:t>
            </w:r>
            <w:r>
              <w:rPr>
                <w:rFonts w:ascii="Arial" w:cs="Arial" w:eastAsia="Arial" w:hAnsi="Arial"/>
                <w:sz w:val="8"/>
                <w:szCs w:val="8"/>
                <w:b w:val="1"/>
                <w:bCs w:val="1"/>
                <w:color w:val="auto"/>
              </w:rPr>
              <w:t>(a)</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Totals</w:t>
            </w:r>
          </w:p>
        </w:tc>
      </w:tr>
      <w:tr>
        <w:trPr>
          <w:trHeight w:val="196"/>
        </w:trPr>
        <w:tc>
          <w:tcPr>
            <w:tcW w:w="3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(In thousands of dollars)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1,000,000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1,000,000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Interest payments on debt</w:t>
            </w:r>
          </w:p>
        </w:tc>
        <w:tc>
          <w:tcPr>
            <w:tcW w:w="24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38,490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38,490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38,490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38,490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19,245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173,205</w:t>
            </w:r>
          </w:p>
        </w:tc>
      </w:tr>
      <w:tr>
        <w:trPr>
          <w:trHeight w:val="33"/>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obligations</w:t>
            </w:r>
            <w:r>
              <w:rPr>
                <w:rFonts w:ascii="Arial" w:cs="Arial" w:eastAsia="Arial" w:hAnsi="Arial"/>
                <w:sz w:val="21"/>
                <w:szCs w:val="21"/>
                <w:color w:val="auto"/>
                <w:vertAlign w:val="superscript"/>
              </w:rPr>
              <w:t>(b)</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142,671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144,069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144,390</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142,144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140,193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1,697,442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2,410,909</w:t>
            </w:r>
          </w:p>
        </w:tc>
      </w:tr>
      <w:tr>
        <w:trPr>
          <w:trHeight w:val="217"/>
        </w:trPr>
        <w:tc>
          <w:tcPr>
            <w:tcW w:w="3440" w:type="dxa"/>
            <w:vAlign w:val="bottom"/>
          </w:tcPr>
          <w:p>
            <w:pPr>
              <w:ind w:left="40"/>
              <w:spacing w:after="0"/>
              <w:rPr>
                <w:sz w:val="20"/>
                <w:szCs w:val="20"/>
                <w:color w:val="auto"/>
              </w:rPr>
            </w:pPr>
            <w:r>
              <w:rPr>
                <w:rFonts w:ascii="Arial" w:cs="Arial" w:eastAsia="Arial" w:hAnsi="Arial"/>
                <w:sz w:val="16"/>
                <w:szCs w:val="16"/>
                <w:color w:val="auto"/>
              </w:rPr>
              <w:t>Total contractual obligations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181,161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182,559</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182,880</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180,634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1,159,438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1,697,442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3,584,114</w:t>
            </w:r>
          </w:p>
        </w:tc>
      </w:tr>
      <w:tr>
        <w:trPr>
          <w:trHeight w:val="33"/>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111760</wp:posOffset>
            </wp:positionV>
            <wp:extent cx="114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following items are in addition to the obligations disclosed in the above table:</w:t>
      </w:r>
    </w:p>
    <w:p>
      <w:pPr>
        <w:spacing w:after="0" w:line="13"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1"/>
          <w:numId w:val="15"/>
        </w:numPr>
        <w:rPr>
          <w:rFonts w:ascii="Arial" w:cs="Arial" w:eastAsia="Arial" w:hAnsi="Arial"/>
          <w:sz w:val="14"/>
          <w:szCs w:val="14"/>
          <w:color w:val="auto"/>
        </w:rPr>
      </w:pPr>
      <w:r>
        <w:rPr>
          <w:rFonts w:ascii="Arial" w:cs="Arial" w:eastAsia="Arial" w:hAnsi="Arial"/>
          <w:sz w:val="14"/>
          <w:szCs w:val="14"/>
          <w:color w:val="auto"/>
        </w:rPr>
        <w:t>We have a legal obligation to perform certain asset retirement activities, including requirements upon contract and easement terminations to remove communications infrastructure or remediate the land upon which our communications infrastructure resides. The cash obligations disclosed in the above table, as of December 31, 2018, are exclusive of estimated undiscounted future cash outlays for asset retirement obligations of approximately $133 million. As of December 31, 2018, the net present value of these asset retirement obligations was approximately $33.4 million.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1"/>
          <w:numId w:val="15"/>
        </w:numPr>
        <w:rPr>
          <w:rFonts w:ascii="Arial" w:cs="Arial" w:eastAsia="Arial" w:hAnsi="Arial"/>
          <w:sz w:val="14"/>
          <w:szCs w:val="14"/>
          <w:color w:val="auto"/>
        </w:rPr>
      </w:pPr>
      <w:r>
        <w:rPr>
          <w:rFonts w:ascii="Arial" w:cs="Arial" w:eastAsia="Arial" w:hAnsi="Arial"/>
          <w:sz w:val="14"/>
          <w:szCs w:val="14"/>
          <w:color w:val="auto"/>
        </w:rPr>
        <w:t>We are contractually obligated to pay or reimburse others for property taxes related to our sites.</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1"/>
          <w:numId w:val="15"/>
        </w:numPr>
        <w:rPr>
          <w:rFonts w:ascii="Arial" w:cs="Arial" w:eastAsia="Arial" w:hAnsi="Arial"/>
          <w:sz w:val="14"/>
          <w:szCs w:val="14"/>
          <w:color w:val="auto"/>
        </w:rPr>
      </w:pPr>
      <w:r>
        <w:rPr>
          <w:rFonts w:ascii="Arial" w:cs="Arial" w:eastAsia="Arial" w:hAnsi="Arial"/>
          <w:sz w:val="14"/>
          <w:szCs w:val="14"/>
          <w:color w:val="auto"/>
        </w:rPr>
        <w:t>CCIC has the option to purchase approximately 68% of our sites that are leased or subleased or operated and managed under Sprint Master Leases at the end of their contract term. CCIC has no obligation to exercise the purchase option. See note 1 to our consolidated financial statements for further discussion.</w:t>
      </w:r>
    </w:p>
    <w:p>
      <w:pPr>
        <w:ind w:left="660" w:hanging="328"/>
        <w:spacing w:after="0"/>
        <w:tabs>
          <w:tab w:leader="none" w:pos="660" w:val="left"/>
        </w:tabs>
        <w:numPr>
          <w:ilvl w:val="1"/>
          <w:numId w:val="15"/>
        </w:numPr>
        <w:rPr>
          <w:rFonts w:ascii="Arial" w:cs="Arial" w:eastAsia="Arial" w:hAnsi="Arial"/>
          <w:sz w:val="14"/>
          <w:szCs w:val="14"/>
          <w:color w:val="auto"/>
        </w:rPr>
      </w:pPr>
      <w:r>
        <w:rPr>
          <w:rFonts w:ascii="Arial" w:cs="Arial" w:eastAsia="Arial" w:hAnsi="Arial"/>
          <w:sz w:val="14"/>
          <w:szCs w:val="14"/>
          <w:color w:val="auto"/>
        </w:rPr>
        <w:t>We have legal obligations for open purchase order commitments obtained in the ordinary course of business that have not yet been fulfilled.</w:t>
      </w:r>
    </w:p>
    <w:p>
      <w:pPr>
        <w:spacing w:after="0" w:line="1" w:lineRule="exact"/>
        <w:rPr>
          <w:rFonts w:ascii="Arial" w:cs="Arial" w:eastAsia="Arial" w:hAnsi="Arial"/>
          <w:sz w:val="14"/>
          <w:szCs w:val="14"/>
          <w:color w:val="auto"/>
        </w:rPr>
      </w:pPr>
    </w:p>
    <w:p>
      <w:pPr>
        <w:jc w:val="both"/>
        <w:ind w:left="340" w:hanging="332"/>
        <w:spacing w:after="0" w:line="246"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relate primarily to contract obligations for the land interests on which our towers reside. The operating lease payments included in the table above include payments for certain renewal periods at our option that are reasonably certain to be exercised and an estimate of contingent payments based on revenues and gross margins derived from existing tenant contracts. As of December 31, 2018, the contracts for land interests under our towers had an average remaining life of approximately 25 years, weighted based on site rental revenues. See note 10 to our consolidated financial statements.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Debt Restrictions</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Secured Notes Indenture does not contain financial maintenance covenants but it does contain restrictive covenants, subject to certain exceptions, related to our ability to incur indebtedness, incur liens, enter into certain mergers or change of control transactions, sell or issue equity interests, and enter into related party transactions. With respect to the restriction regarding the issuance of debt, we may not issue debt other than (1) certain permitted refinancings of the 3.849% Secured Notes, (2) unsecured trade payables in the ordinary course of business and financing of equipment, land or other property up to an aggregate of $100.0 million or (3) unsecured debt or additional notes under the Secured Notes Indenture provided that the Debt to Adjusted Consolidated Cash Flow Ratio (as defined in the Secured Notes Indenture) at the time of incurrence, and after giving effect to such incurrence, would have been no greater than 3.5 to 1. As of December 31, 2018, our Debt to Adjusted Consolidated Cash Flow Ratio was 2.3 to 1, and, as a result, we are currently not restricted in our ability to incur additional indebtedness. Further, we are not restricted in our ability to distribute cash to affiliates or issue dividends to our member.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following is a discussion of the accounting policies and estimates in effect for 2018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2018 are not intended to be a comprehensive list of our accounting policies and estimates. See note 2 to our consolidated financial statements for a summary of our significant accounting policies.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6" w:name="page17"/>
    <w:bookmarkEnd w:id="16"/>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Our revenue consists solely of site rental revenues, which are recognized on a ratable basis over the fixed, non-cancelable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relevant contract (generally ranging from five to 15 years), regardless of whether the payments from the tenant are received in equal monthly amounts during the life of a contract. Certain of our contracts contain fixed escalation clauses (such as fixed-dollar or fixed-percentage increases) or inflation-based escalation clauses (such as those tied to the consumer price index). If the payment terms call for fixed escalations, upfront payments or rent-free periods, the revenue is recognized on a straight-line basis over the fixed, non-cancelable term of the contract. When calculating our straight-line rental revenues, we consider all fixed elements of tenant contractual escalation provisions, even if such escalation provisions contain a variable element (such as an escalator tied to an inflation-based index) in addition to a minimum. Since we recognize revenue on a straight-line basis, a portion of the site rental revenues in a given period represents cash collected or contractually collectible in other periods. Our assets related to straight-line site rental revenues are included in "deferred site rental receivables." Amounts billed or received prior to being earned, are deferred and reflected in "deferred revenues" and "above-market leases and other liabilities." See note 2 to our consolidated financial statements.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Accounting for Long-Lived Assets—Valuation. </w:t>
      </w:r>
      <w:r>
        <w:rPr>
          <w:rFonts w:ascii="Arial" w:cs="Arial" w:eastAsia="Arial" w:hAnsi="Arial"/>
          <w:sz w:val="18"/>
          <w:szCs w:val="18"/>
          <w:color w:val="auto"/>
        </w:rPr>
        <w:t>As of December 31, 2018, our largest assets were our intangible assets, including goodwill and site rental</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and tenant relationships (approximately $1.3 billion and $790 million in net book value, respectively, resulting predominately from the merger of Global Signal Inc. with and into a subsidiary of CCIC in 2007), followed by our $1.0 billion in net book value of property and equipment, which predominately consists of sites. Nearly all of our identifiable intangibles relate to the site rental contracts and tenant relationships intangible assets. See notes 2 and 4 to our consolidated financial statements for further information regarding the nature and composition of the site rental contracts and tenant relationships intangible assets.</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our business combinations, we allocate the purchase price to the assets acquired and liabilities assumed based on their estimated fair value at the date of acquisition. Any purchase price in excess of the net fair value of the assets acquired and liabilities assumed is allocated to goodwill. The fair value of the vast majority of our assets and liabilities is determined by using either:</w:t>
      </w:r>
    </w:p>
    <w:p>
      <w:pPr>
        <w:spacing w:after="0" w:line="127" w:lineRule="exact"/>
        <w:rPr>
          <w:sz w:val="20"/>
          <w:szCs w:val="20"/>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estimates of replacement costs (for tangible fixed assets such as sites), or</w:t>
      </w:r>
    </w:p>
    <w:p>
      <w:pPr>
        <w:spacing w:after="0" w:line="23" w:lineRule="exact"/>
        <w:rPr>
          <w:rFonts w:ascii="Arial" w:cs="Arial" w:eastAsia="Arial" w:hAnsi="Arial"/>
          <w:sz w:val="18"/>
          <w:szCs w:val="18"/>
          <w:color w:val="auto"/>
        </w:rPr>
      </w:pPr>
    </w:p>
    <w:p>
      <w:pPr>
        <w:ind w:left="820" w:right="20" w:hanging="407"/>
        <w:spacing w:after="0" w:line="261"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discounted cash flow valuation methods (for estimating identifiable intangibles such as site rental contracts and tenant relationships and above-market and below-market leases).</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purchase price allocation requires subjective estimates that, if incorrectly estimated, could be material to our consolidated financial statements, including the amount of depreciation, amortization and accretion expense. The most important estimates for measurement of tangible fixed assets are: (1) the cost to replace the asset with a new asset and (2) the economic useful life after giving effect to age, quality and condition. The most important estimates for measurement of intangible assets are (1) discount rates and (2) timing, length and amount of cash flows including estimates regarding tenant renewals and cancellations.</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record the fair value of obligations to perform certain asset retirement activities, including requirements, pursuant to our ground contracts or easements, to remove sites or remediate the land upon which certain of our sites reside. In determining the fair value of these asset retirement obligations, we must make several subjective and highly judgmental estimates such as those related to: (1) timing of cash flows, (2) future costs, (3) discount rates and (4) the probability of enforcement to remove the towers or remediate the land. See note 2 to our consolidated financial statements.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Accounting for Long-Lived Assets—Useful Lives. </w:t>
      </w:r>
      <w:r>
        <w:rPr>
          <w:rFonts w:ascii="Arial" w:cs="Arial" w:eastAsia="Arial" w:hAnsi="Arial"/>
          <w:sz w:val="16"/>
          <w:szCs w:val="16"/>
          <w:color w:val="auto"/>
        </w:rPr>
        <w:t>We are required to make subjective assessments as to the useful lives of our tangible and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for purposes of determining depreciation, amortization and accretion expense that, if incorrectly estimated, could be material to our consolidated financial statements. Depreciation expense for our property and equipment is computed using the straight-line method over the estimated useful lives of our various classes of tangible assets. The substantial portion of our property and equipment represents the cost of our sites, which is depreciated with an estimated useful life equal to the shorter of (1) 20 years or (2) the term of the contract (including optional renewals) for the land interests under the towers.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17" w:name="page18"/>
    <w:bookmarkEnd w:id="17"/>
    <w:p>
      <w:pPr>
        <w:jc w:val="both"/>
        <w:ind w:firstLine="405"/>
        <w:spacing w:after="0" w:line="288" w:lineRule="auto"/>
        <w:rPr>
          <w:sz w:val="20"/>
          <w:szCs w:val="20"/>
          <w:color w:val="auto"/>
        </w:rPr>
      </w:pPr>
      <w:r>
        <w:rPr>
          <w:rFonts w:ascii="Arial" w:cs="Arial" w:eastAsia="Arial" w:hAnsi="Arial"/>
          <w:sz w:val="16"/>
          <w:szCs w:val="16"/>
          <w:color w:val="auto"/>
        </w:rPr>
        <w:t>The useful life of our intangible assets is estimated based on the period over which the intangible asset is expected to benefit us and gives consideration to the expected useful life of other assets to which the useful life may relate. We review the expected useful lives of our intangible assets on an ongoing basis and adjust if necessary. Amortization expense for intangible assets is computed using the straight-line method over the estimated useful life of each of the intangible assets. The useful life of the site rental contracts and tenant relationships intangible assets is limited by the maximum depreciable life of the communications infrastructure (20 years), as a result of the interdependency of the sites and site rental contracts and tenant relationships. In contrast, the site rental contracts and tenant relationships are estimated to provide economic benefits for several decades because of the low rate of tenant cancellations and high rate of renewals experienced to date. Thus, while site rental contracts and tenant relationships are valued based upon the fair value of the site rental contracts and tenant relationships which includes assumptions regarding both (1) tenants' exercise of optional renewals contained in the acquired contracts and (2) renewals of the acquired contracts past the contractual term including exercisable options, the site rental contracts are amortized over a period not to exceed 20 years as a result of the useful life being limited by the depreciable life of the sites.</w:t>
      </w:r>
    </w:p>
    <w:p>
      <w:pPr>
        <w:spacing w:after="0" w:line="11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 xml:space="preserve">Accounting for Long-Lived Assets—Impairment Evaluation. </w:t>
      </w:r>
      <w:r>
        <w:rPr>
          <w:rFonts w:ascii="Arial" w:cs="Arial" w:eastAsia="Arial" w:hAnsi="Arial"/>
          <w:sz w:val="16"/>
          <w:szCs w:val="16"/>
          <w:color w:val="auto"/>
        </w:rPr>
        <w:t>We review the carrying values of property and equipment, intangible assets or other long-lived assets for impairment whenever events or changes in circumstances indicate that the carrying amounts may not be recoverable. We utilize the following dual grouping policy for purposes of determining the unit of account for testing impairment of the site rental contracts and tenant relationships:</w:t>
      </w:r>
    </w:p>
    <w:p>
      <w:pPr>
        <w:spacing w:after="0" w:line="93" w:lineRule="exact"/>
        <w:rPr>
          <w:sz w:val="20"/>
          <w:szCs w:val="20"/>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pool site rental contracts and tenant relationships intangible assets and property and equipment into portfolio groups, and</w:t>
      </w:r>
    </w:p>
    <w:p>
      <w:pPr>
        <w:spacing w:after="0" w:line="23"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separately pool site rental contracts and tenant relationships by significant tenant or by tenant grouping for individually insignificant tenants, as appropriate.</w:t>
      </w:r>
    </w:p>
    <w:p>
      <w:pPr>
        <w:spacing w:after="0" w:line="13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first pool site rental contracts and tenant relationships intangible assets and property and equipment into portfolio groups for purposes of determining the unit of account for impairment testing, because we view sites as portfolios and sites in a given portfolio and its related tenant contracts are not largely independent of the other sites in the portfolio. We re-evaluate the appropriateness of the pooled groups at least annually. This use of grouping is based in part on (1) our limitations regarding disposal of sites, (2) the interdependencies of site portfolios and (3) the manner in which sites are traded in the marketplace. The vast majority of our site rental contracts and tenant relationships intangible assets and property and equipment are pooled into the U.S. owned communications infrastructure group. Secondly, and separately, we pool site rental contracts and tenant relationships by significant tenant or by tenant grouping (for individually insignificant tenants), as appropriate, for purposes of determining the unit of account for impairment testing because we associate the value ascribed to site rental contracts and tenant relationships intangible assets to the underlying contracts and related tenant relationships acquired.</w:t>
      </w:r>
    </w:p>
    <w:p>
      <w:pPr>
        <w:spacing w:after="0" w:line="11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determination that an adverse event or change in circumstance has occurred that indicates that the carrying amounts may not be recoverable will generally involve (1) a deterioration in an asset's financial performance compared to historical results, (2) a shortfall in an asset's financial performance compared to forecasted results or (3) changes affecting the utility and estimated future demands for the asset. When considering the utility of our assets, we consider events that would meaningfully impact (1) our sites or (2) our tenant relationships. For example, consideration would be given to events that impact</w:t>
      </w:r>
    </w:p>
    <w:p>
      <w:pPr>
        <w:spacing w:after="0" w:line="2" w:lineRule="exact"/>
        <w:rPr>
          <w:sz w:val="20"/>
          <w:szCs w:val="20"/>
          <w:color w:val="auto"/>
        </w:rPr>
      </w:pPr>
    </w:p>
    <w:p>
      <w:pPr>
        <w:jc w:val="both"/>
        <w:ind w:firstLine="8"/>
        <w:spacing w:after="0" w:line="302" w:lineRule="auto"/>
        <w:tabs>
          <w:tab w:leader="none" w:pos="25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structural integrity and longevity of our sites or (2) our ability to derive benefit from our existing tenant relationships, including events such as tenant's bankruptcy or insolvency or loss of a significant tenant. During the periods presented, there were no events or circumstances that caused us to review the carrying value of our intangible assets or property and equipment due in part to our assets performing consistently with or better than our expectations.</w:t>
      </w:r>
    </w:p>
    <w:p>
      <w:pPr>
        <w:spacing w:after="0" w:line="10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If the sum of the estimated future cash flows (undiscounted) from an asset, or portfolio group, significant tenant or tenant group (for individually insignificant tenants), as applicable, is less than its carrying amount, an impairment loss may be recognized. If the carrying value were to exceed the undiscounted cash flows, measurement of an impairment loss would be based on the fair value of the asset, which is based on an estimate of discounted future cash flows. The most important estimates for such calculations of undiscounted cash flows are (1) the expected additions of new tenants and equipment on our communications infrastructure and (2) estimates regarding tenant cancellations and renewals of contracts. We could record impairments in the future if changes in long-term market conditions, expected future operating results, or the utility of the assets results in changes for our impairment test calculations, which negatively impact the fair value of our property and equipment and intangible assets, or if we changed our unit of account in the future.</w:t>
      </w:r>
    </w:p>
    <w:p>
      <w:pPr>
        <w:spacing w:after="0" w:line="11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grouping assets into pools for purposes of impairment evaluation, we also consider individual sites within a grouping for which we currently have no tenants. Approximately 3% of our total towers currently have no tenants. We continue to pay operating expenses on these towers in anticipation of obtaining tenants on these towers in the future, primarily because of the individual tower site demographics. We estimate, based on current visibility, potential tenants on approximately half of these towers. To the extent we do not believe there are long-term prospects of obtaining tenants on an individual sites and all other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30"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possible avenues for recovering the carrying value has been exhausted, including sale of the asset, we appropriately reduce the carrying value of such assets.</w:t>
      </w:r>
    </w:p>
    <w:p>
      <w:pPr>
        <w:spacing w:after="0" w:line="1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Accounting for Goodwill—Impairment Evaluation. </w:t>
      </w:r>
      <w:r>
        <w:rPr>
          <w:rFonts w:ascii="Arial" w:cs="Arial" w:eastAsia="Arial" w:hAnsi="Arial"/>
          <w:sz w:val="18"/>
          <w:szCs w:val="18"/>
          <w:color w:val="auto"/>
        </w:rPr>
        <w:t>We test goodwill for impairment on an annual basis, regardless of whether adverse events or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circumstances have occurred. The annual test begins with goodwill and all intangible assets being allocated to applicable reporting units. We then perform a qualitative assessment to determine whether it is “more likely than not” that the fair value of the reporting unit is less than its carrying amount. If we conclude that it is “more likely than not” that the fair value of a reporting unit is less than its carrying amount, we would be required to perform the two-step goodwill impairment test. Otherwise, the two-step goodwill impairment test is not required. We have one reporting unit for goodwill impairment testing. We performed our annual goodwill impairment test as of October 1, 2018, which resulted in (1) the fair value of our reporting unit substantially exceeding the carrying value and (2) no impairments.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2 to our consolidated financial statements.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Effective January 1, 2019, we adopted new lease accounting guidance on the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presentation and disclosure of leases. See note 2 to our consolidated financial statements.</w:t>
      </w:r>
    </w:p>
    <w:p>
      <w:pPr>
        <w:spacing w:after="0" w:line="3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Our primary exposures to market risks are related to changes in interest rates, which may adversely affect our results of operations and financial position, including as a result of refinancing our existing debt or issuing incremental debt. We seek to manage exposure to changes in interest rates where economically prudent to do so by utilizing fixed rate debt. Currently, all of our debt is fixed rate. See </w:t>
      </w:r>
      <w:r>
        <w:rPr>
          <w:rFonts w:ascii="Arial" w:cs="Arial" w:eastAsia="Arial" w:hAnsi="Arial"/>
          <w:sz w:val="18"/>
          <w:szCs w:val="18"/>
          <w:i w:val="1"/>
          <w:iCs w:val="1"/>
          <w:color w:val="auto"/>
        </w:rPr>
        <w:t>"Item 7. MD&amp;A—Contractual Cash Obligations"</w:t>
      </w:r>
      <w:r>
        <w:rPr>
          <w:rFonts w:ascii="Arial" w:cs="Arial" w:eastAsia="Arial" w:hAnsi="Arial"/>
          <w:sz w:val="18"/>
          <w:szCs w:val="18"/>
          <w:color w:val="auto"/>
        </w:rPr>
        <w:t xml:space="preserve"> and note 5 to our consolidated financial statements for a discussion of our debt maturity.</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of December 31, 2018, we have no interest rate swaps hedging any refinancings. We typically do not hedge our exposure to interest rates on potential future borrowings of incremental debt for a substantial period prior to issuance. See </w:t>
      </w:r>
      <w:r>
        <w:rPr>
          <w:rFonts w:ascii="Arial" w:cs="Arial" w:eastAsia="Arial" w:hAnsi="Arial"/>
          <w:sz w:val="18"/>
          <w:szCs w:val="18"/>
          <w:i w:val="1"/>
          <w:iCs w:val="1"/>
          <w:color w:val="auto"/>
        </w:rPr>
        <w:t>"Item 7. MD&amp;A—Liquidity and Capital Resources"</w:t>
      </w:r>
      <w:r>
        <w:rPr>
          <w:rFonts w:ascii="Arial" w:cs="Arial" w:eastAsia="Arial" w:hAnsi="Arial"/>
          <w:sz w:val="18"/>
          <w:szCs w:val="18"/>
          <w:color w:val="auto"/>
        </w:rPr>
        <w:t xml:space="preserve"> regarding our liquidity strategy.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30" w:right="239" w:bottom="1440" w:gutter="0" w:footer="0" w:header="0"/>
        </w:sectPr>
      </w:pPr>
    </w:p>
    <w:bookmarkStart w:id="19" w:name="page20"/>
    <w:bookmarkEnd w:id="19"/>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gridSpan w:val="3"/>
          </w:tcPr>
          <w:p>
            <w:pPr>
              <w:jc w:val="center"/>
              <w:ind w:left="871"/>
              <w:spacing w:after="0"/>
              <w:rPr>
                <w:sz w:val="20"/>
                <w:szCs w:val="20"/>
                <w:color w:val="auto"/>
              </w:rPr>
            </w:pPr>
            <w:r>
              <w:rPr>
                <w:rFonts w:ascii="Arial" w:cs="Arial" w:eastAsia="Arial" w:hAnsi="Arial"/>
                <w:sz w:val="16"/>
                <w:szCs w:val="16"/>
                <w:b w:val="1"/>
                <w:bCs w:val="1"/>
                <w:color w:val="auto"/>
                <w:w w:val="88"/>
              </w:rPr>
              <w:t>Page</w:t>
            </w:r>
          </w:p>
        </w:tc>
      </w:tr>
      <w:tr>
        <w:trPr>
          <w:trHeight w:val="236"/>
        </w:trPr>
        <w:tc>
          <w:tcPr>
            <w:tcW w:w="4220" w:type="dxa"/>
            <w:vAlign w:val="bottom"/>
            <w:gridSpan w:val="2"/>
          </w:tcPr>
          <w:p>
            <w:pPr>
              <w:spacing w:after="0"/>
              <w:rPr>
                <w:sz w:val="20"/>
                <w:szCs w:val="20"/>
                <w:color w:val="auto"/>
              </w:rPr>
            </w:pPr>
            <w:r>
              <w:rPr>
                <w:rFonts w:ascii="Arial" w:cs="Arial" w:eastAsia="Arial" w:hAnsi="Arial"/>
                <w:sz w:val="18"/>
                <w:szCs w:val="18"/>
                <w:color w:val="auto"/>
                <w:w w:val="91"/>
              </w:rPr>
              <w:t>Report of Independent Registered Public Accounting Firm</w:t>
            </w:r>
          </w:p>
        </w:tc>
        <w:tc>
          <w:tcPr>
            <w:tcW w:w="5580" w:type="dxa"/>
            <w:vAlign w:val="bottom"/>
            <w:gridSpan w:val="6"/>
          </w:tcPr>
          <w:p>
            <w:pPr>
              <w:spacing w:after="0"/>
              <w:rPr>
                <w:sz w:val="20"/>
                <w:szCs w:val="20"/>
                <w:color w:val="auto"/>
              </w:rPr>
            </w:pPr>
          </w:p>
        </w:tc>
        <w:tc>
          <w:tcPr>
            <w:tcW w:w="1220" w:type="dxa"/>
            <w:vAlign w:val="bottom"/>
            <w:gridSpan w:val="2"/>
          </w:tcPr>
          <w:p>
            <w:pPr>
              <w:jc w:val="center"/>
              <w:ind w:left="951"/>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80" w:type="dxa"/>
            <w:vAlign w:val="bottom"/>
          </w:tcPr>
          <w:p>
            <w:pPr>
              <w:spacing w:after="0"/>
              <w:rPr>
                <w:sz w:val="20"/>
                <w:szCs w:val="20"/>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580" w:type="dxa"/>
            <w:vAlign w:val="bottom"/>
            <w:gridSpan w:val="3"/>
          </w:tcPr>
          <w:p>
            <w:pPr>
              <w:spacing w:after="0"/>
              <w:rPr>
                <w:sz w:val="20"/>
                <w:szCs w:val="20"/>
                <w:color w:val="auto"/>
              </w:rPr>
            </w:pPr>
            <w:r>
              <w:rPr>
                <w:rFonts w:ascii="Arial" w:cs="Arial" w:eastAsia="Arial" w:hAnsi="Arial"/>
                <w:sz w:val="18"/>
                <w:szCs w:val="18"/>
                <w:color w:val="auto"/>
                <w:w w:val="88"/>
              </w:rPr>
              <w:t>Consolidated Balance Sheet as of December 31, 2018 and 2017</w:t>
            </w:r>
          </w:p>
        </w:tc>
        <w:tc>
          <w:tcPr>
            <w:tcW w:w="5220" w:type="dxa"/>
            <w:vAlign w:val="bottom"/>
            <w:gridSpan w:val="5"/>
          </w:tcPr>
          <w:p>
            <w:pPr>
              <w:spacing w:after="0"/>
              <w:rPr>
                <w:sz w:val="21"/>
                <w:szCs w:val="21"/>
                <w:color w:val="auto"/>
              </w:rPr>
            </w:pPr>
          </w:p>
        </w:tc>
        <w:tc>
          <w:tcPr>
            <w:tcW w:w="1220" w:type="dxa"/>
            <w:vAlign w:val="bottom"/>
            <w:gridSpan w:val="2"/>
          </w:tcPr>
          <w:p>
            <w:pPr>
              <w:jc w:val="center"/>
              <w:ind w:left="951"/>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800" w:type="dxa"/>
            <w:vAlign w:val="bottom"/>
            <w:gridSpan w:val="8"/>
          </w:tcPr>
          <w:p>
            <w:pPr>
              <w:spacing w:after="0"/>
              <w:rPr>
                <w:sz w:val="20"/>
                <w:szCs w:val="20"/>
                <w:color w:val="auto"/>
              </w:rPr>
            </w:pPr>
            <w:r>
              <w:rPr>
                <w:rFonts w:ascii="Arial" w:cs="Arial" w:eastAsia="Arial" w:hAnsi="Arial"/>
                <w:sz w:val="18"/>
                <w:szCs w:val="18"/>
                <w:color w:val="auto"/>
              </w:rPr>
              <w:t>Consolidated Statement of Operations for each of the three years in the period ended December 31, 2018</w:t>
            </w:r>
          </w:p>
        </w:tc>
        <w:tc>
          <w:tcPr>
            <w:tcW w:w="1220" w:type="dxa"/>
            <w:vAlign w:val="bottom"/>
            <w:gridSpan w:val="2"/>
          </w:tcPr>
          <w:p>
            <w:pPr>
              <w:jc w:val="center"/>
              <w:ind w:left="951"/>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44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800" w:type="dxa"/>
            <w:vAlign w:val="bottom"/>
            <w:gridSpan w:val="8"/>
          </w:tcPr>
          <w:p>
            <w:pPr>
              <w:spacing w:after="0"/>
              <w:rPr>
                <w:sz w:val="20"/>
                <w:szCs w:val="20"/>
                <w:color w:val="auto"/>
              </w:rPr>
            </w:pPr>
            <w:r>
              <w:rPr>
                <w:rFonts w:ascii="Arial" w:cs="Arial" w:eastAsia="Arial" w:hAnsi="Arial"/>
                <w:sz w:val="18"/>
                <w:szCs w:val="18"/>
                <w:color w:val="auto"/>
              </w:rPr>
              <w:t>Consolidated Statement of Cash Flows for each of the three years in the period ended December 31, 2018</w:t>
            </w:r>
          </w:p>
        </w:tc>
        <w:tc>
          <w:tcPr>
            <w:tcW w:w="1220" w:type="dxa"/>
            <w:vAlign w:val="bottom"/>
            <w:gridSpan w:val="2"/>
          </w:tcPr>
          <w:p>
            <w:pPr>
              <w:jc w:val="center"/>
              <w:ind w:left="951"/>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4420" w:type="dxa"/>
            <w:vAlign w:val="bottom"/>
            <w:gridSpan w:val="4"/>
            <w:shd w:val="clear" w:color="auto" w:fill="000000"/>
          </w:tcPr>
          <w:p>
            <w:pPr>
              <w:spacing w:after="0" w:line="20" w:lineRule="exact"/>
              <w:rPr>
                <w:sz w:val="1"/>
                <w:szCs w:val="1"/>
                <w:color w:val="auto"/>
              </w:rPr>
            </w:pPr>
          </w:p>
        </w:tc>
        <w:tc>
          <w:tcPr>
            <w:tcW w:w="10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800" w:type="dxa"/>
            <w:vAlign w:val="bottom"/>
            <w:gridSpan w:val="8"/>
          </w:tcPr>
          <w:p>
            <w:pPr>
              <w:spacing w:after="0"/>
              <w:rPr>
                <w:sz w:val="20"/>
                <w:szCs w:val="20"/>
                <w:color w:val="auto"/>
              </w:rPr>
            </w:pPr>
            <w:r>
              <w:rPr>
                <w:rFonts w:ascii="Arial" w:cs="Arial" w:eastAsia="Arial" w:hAnsi="Arial"/>
                <w:sz w:val="18"/>
                <w:szCs w:val="18"/>
                <w:color w:val="auto"/>
                <w:w w:val="99"/>
              </w:rPr>
              <w:t>Consolidated Statement of Changes in Member's Equity for each of the three years in the period ended December 31, 2018</w:t>
            </w:r>
          </w:p>
        </w:tc>
        <w:tc>
          <w:tcPr>
            <w:tcW w:w="1220" w:type="dxa"/>
            <w:vAlign w:val="bottom"/>
            <w:gridSpan w:val="2"/>
          </w:tcPr>
          <w:p>
            <w:pPr>
              <w:jc w:val="center"/>
              <w:ind w:left="951"/>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4420" w:type="dxa"/>
            <w:vAlign w:val="bottom"/>
            <w:gridSpan w:val="4"/>
            <w:shd w:val="clear" w:color="auto" w:fill="000000"/>
          </w:tcPr>
          <w:p>
            <w:pPr>
              <w:spacing w:after="0" w:line="20" w:lineRule="exact"/>
              <w:rPr>
                <w:sz w:val="1"/>
                <w:szCs w:val="1"/>
                <w:color w:val="auto"/>
              </w:rPr>
            </w:pPr>
          </w:p>
        </w:tc>
        <w:tc>
          <w:tcPr>
            <w:tcW w:w="10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840" w:type="dxa"/>
            <w:vAlign w:val="bottom"/>
            <w:gridSpan w:val="7"/>
          </w:tcPr>
          <w:p>
            <w:pPr>
              <w:spacing w:after="0"/>
              <w:rPr>
                <w:sz w:val="20"/>
                <w:szCs w:val="20"/>
                <w:color w:val="auto"/>
              </w:rPr>
            </w:pPr>
            <w:r>
              <w:rPr>
                <w:rFonts w:ascii="Arial" w:cs="Arial" w:eastAsia="Arial" w:hAnsi="Arial"/>
                <w:sz w:val="18"/>
                <w:szCs w:val="18"/>
                <w:color w:val="auto"/>
              </w:rPr>
              <w:t>Notes to Consolidated Financial Statements</w:t>
            </w:r>
          </w:p>
        </w:tc>
        <w:tc>
          <w:tcPr>
            <w:tcW w:w="960" w:type="dxa"/>
            <w:vAlign w:val="bottom"/>
          </w:tcPr>
          <w:p>
            <w:pPr>
              <w:spacing w:after="0"/>
              <w:rPr>
                <w:sz w:val="21"/>
                <w:szCs w:val="21"/>
                <w:color w:val="auto"/>
              </w:rPr>
            </w:pPr>
          </w:p>
        </w:tc>
        <w:tc>
          <w:tcPr>
            <w:tcW w:w="1220" w:type="dxa"/>
            <w:vAlign w:val="bottom"/>
            <w:gridSpan w:val="2"/>
          </w:tcPr>
          <w:p>
            <w:pPr>
              <w:jc w:val="center"/>
              <w:ind w:left="951"/>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560" w:type="dxa"/>
            <w:vAlign w:val="bottom"/>
            <w:gridSpan w:val="5"/>
          </w:tcPr>
          <w:p>
            <w:pPr>
              <w:spacing w:after="0"/>
              <w:rPr>
                <w:sz w:val="20"/>
                <w:szCs w:val="20"/>
                <w:color w:val="auto"/>
              </w:rPr>
            </w:pPr>
            <w:r>
              <w:rPr>
                <w:rFonts w:ascii="Arial" w:cs="Arial" w:eastAsia="Arial" w:hAnsi="Arial"/>
                <w:sz w:val="18"/>
                <w:szCs w:val="18"/>
                <w:color w:val="auto"/>
                <w:w w:val="90"/>
              </w:rPr>
              <w:t>Schedule II - Valuation and Qualifying Accounts for the years ended December 31, 2018, 2017 and 2016</w:t>
            </w:r>
          </w:p>
        </w:tc>
        <w:tc>
          <w:tcPr>
            <w:tcW w:w="2240" w:type="dxa"/>
            <w:vAlign w:val="bottom"/>
            <w:gridSpan w:val="3"/>
          </w:tcPr>
          <w:p>
            <w:pPr>
              <w:spacing w:after="0"/>
              <w:rPr>
                <w:sz w:val="21"/>
                <w:szCs w:val="21"/>
                <w:color w:val="auto"/>
              </w:rPr>
            </w:pPr>
          </w:p>
        </w:tc>
        <w:tc>
          <w:tcPr>
            <w:tcW w:w="1220" w:type="dxa"/>
            <w:vAlign w:val="bottom"/>
            <w:gridSpan w:val="2"/>
          </w:tcPr>
          <w:p>
            <w:pPr>
              <w:jc w:val="center"/>
              <w:ind w:left="951"/>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80" w:type="dxa"/>
            <w:vAlign w:val="bottom"/>
          </w:tcPr>
          <w:p>
            <w:pPr>
              <w:spacing w:after="0"/>
              <w:rPr>
                <w:sz w:val="21"/>
                <w:szCs w:val="21"/>
                <w:color w:val="auto"/>
              </w:rPr>
            </w:pPr>
          </w:p>
        </w:tc>
      </w:tr>
      <w:tr>
        <w:trPr>
          <w:trHeight w:val="20"/>
        </w:trPr>
        <w:tc>
          <w:tcPr>
            <w:tcW w:w="7560" w:type="dxa"/>
            <w:vAlign w:val="bottom"/>
            <w:gridSpan w:val="5"/>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620" w:type="dxa"/>
            <w:vAlign w:val="bottom"/>
            <w:gridSpan w:val="6"/>
          </w:tcPr>
          <w:p>
            <w:pPr>
              <w:spacing w:after="0"/>
              <w:rPr>
                <w:sz w:val="20"/>
                <w:szCs w:val="20"/>
                <w:color w:val="auto"/>
              </w:rPr>
            </w:pPr>
            <w:r>
              <w:rPr>
                <w:rFonts w:ascii="Arial" w:cs="Arial" w:eastAsia="Arial" w:hAnsi="Arial"/>
                <w:sz w:val="18"/>
                <w:szCs w:val="18"/>
                <w:color w:val="auto"/>
                <w:w w:val="89"/>
              </w:rPr>
              <w:t>Schedule III - Schedule of Real Estate and Accumulated Depreciation for the years ended December 31, 2018 and 2017</w:t>
            </w:r>
          </w:p>
        </w:tc>
        <w:tc>
          <w:tcPr>
            <w:tcW w:w="1180" w:type="dxa"/>
            <w:vAlign w:val="bottom"/>
            <w:gridSpan w:val="2"/>
          </w:tcPr>
          <w:p>
            <w:pPr>
              <w:spacing w:after="0"/>
              <w:rPr>
                <w:sz w:val="21"/>
                <w:szCs w:val="21"/>
                <w:color w:val="auto"/>
              </w:rPr>
            </w:pPr>
          </w:p>
        </w:tc>
        <w:tc>
          <w:tcPr>
            <w:tcW w:w="1220" w:type="dxa"/>
            <w:vAlign w:val="bottom"/>
            <w:gridSpan w:val="2"/>
          </w:tcPr>
          <w:p>
            <w:pPr>
              <w:jc w:val="center"/>
              <w:ind w:left="951"/>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Financial statements of certain of CC Holdings GS V LLC's wholly-owned subsidiaries are included pursuant to Rule 3-16 of Regulation S-X in financial statement schedules in a separate section of this Annual Report on Form 10-K (beginning on page S-1 following Part IV).</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Holdings GS V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audited the accompanying consolidated balance sheets of CC Holdings GS V LLC and its subsidiaries (the “Company”) as of December 31, 2018 and 2017, and the related consolidated statements of operations, cash flows and changes in member’s equity for each of the three years in the period ended December 31, 2018, including the related notes and financial statement schedules listed in the accompanying index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0"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30,771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Receivables, net of allowance of $1,601 and $1,300, respectively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4,327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2,581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24,300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26,460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24,638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73,203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82,757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343,740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333,164</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1,017,767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1,041,157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1,338,730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1,338,730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Site rental contracts and tenant relationships,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789,974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902,667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19,859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39,669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38,154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3,621,436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3,756,488</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8800" w:type="dxa"/>
            <w:vAlign w:val="bottom"/>
            <w:tcBorders>
              <w:bottom w:val="single" w:sz="8" w:color="CCEEFF"/>
            </w:tcBorders>
            <w:shd w:val="clear" w:color="auto" w:fill="CCEEFF"/>
          </w:tcPr>
          <w:p>
            <w:pPr>
              <w:ind w:left="33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8,126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8,126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11,586</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8,866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8,828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31,458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30,341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Debt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994,047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992,663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ground lease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112,832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107,673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50,108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49,340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1,188,445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1,180,017</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Commitments and contingencies (note 9)</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Member's equity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2,432,991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2,576,471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member's equity</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2,432,991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2,576,471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3,621,436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3,756,488</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ind w:left="3660" w:right="3640" w:firstLine="979"/>
        <w:spacing w:after="0" w:line="276" w:lineRule="auto"/>
        <w:tabs>
          <w:tab w:leader="none" w:pos="494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HOLDINGS GS V LLC CONSOLIDATED STATEMENT OF OPERATIONS</w:t>
      </w:r>
    </w:p>
    <w:p>
      <w:pPr>
        <w:ind w:left="478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659,490</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616,897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611,639</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4"/>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149,748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149,764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151,812</w:t>
            </w:r>
          </w:p>
        </w:tc>
      </w:tr>
      <w:tr>
        <w:trPr>
          <w:trHeight w:val="270"/>
        </w:trPr>
        <w:tc>
          <w:tcPr>
            <w:tcW w:w="674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40,981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36,655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33,901</w:t>
            </w:r>
          </w:p>
        </w:tc>
      </w:tr>
      <w:tr>
        <w:trPr>
          <w:trHeight w:val="25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190,729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186,419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185,713</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48,520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46,946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45,433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4,851</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210,072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210,607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209,361</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449,914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445,358</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209,576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172,744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166,281</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(49,515)</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Gains (losses) on retirement of debt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(10,273)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169,898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133,157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106,251</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668</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169,482</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133,771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106,919</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ind w:left="3600" w:right="3620" w:firstLine="999"/>
        <w:spacing w:after="0" w:line="276" w:lineRule="auto"/>
        <w:tabs>
          <w:tab w:leader="none" w:pos="4895"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HOLDINGS GS V LLC CONSOLIDATED STATEMENT OF CASH FLOWS</w:t>
      </w:r>
    </w:p>
    <w:p>
      <w:pPr>
        <w:ind w:left="474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169,482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133,771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106,919</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210,072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210,607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209,361</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2,427</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Asset write-down charges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4,851</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(Gains) losses on retirement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10,273</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Increase (decrease) in accounts payable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257</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3,678</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Decrease (increase) in receivables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458</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2"/>
              </w:rPr>
              <w:t>Decrease (increase) in other current assets, deferred site rental receivable, long-term prepaid rent and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9"/>
        </w:trPr>
        <w:tc>
          <w:tcPr>
            <w:tcW w:w="73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(4,643)</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372,048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357,317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333,052</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(71,150)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(49,551)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(53,409)</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(53,409)</w:t>
            </w:r>
          </w:p>
        </w:tc>
      </w:tr>
      <w:tr>
        <w:trPr>
          <w:trHeight w:val="231"/>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and redemptions of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(508,472)</w:t>
            </w: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Equity contribution related to debt repayment</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508,472</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Distributions to member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(312,962)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(296,545)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(280,494)</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(312,962)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(296,545)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(280,494)</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w:t>
            </w:r>
          </w:p>
        </w:tc>
      </w:tr>
      <w:tr>
        <w:trPr>
          <w:trHeight w:val="237"/>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30,771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19,550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20,401</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18,707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30,771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19,550</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80" w:top="580"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76,410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2,404,348</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Equity contribution related to debt repayment (note 5)</w:t>
            </w:r>
          </w:p>
        </w:tc>
        <w:tc>
          <w:tcPr>
            <w:tcW w:w="1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508,472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508,472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(97,165)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(183,329)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(280,494)</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106,919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106,919</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2,739,245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2,739,245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(162,774)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(133,771)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(296,545)</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133,771</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133,771</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December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2,576,471</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2,576,471</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(143,480)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(169,482)</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(312,962)</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169,482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169,482</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2,432,991</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2,432,991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or "Crown Castle"). CCL is a Delaware limited liability company ("LLC") that is a holding company and an issuer of the Company's debt. Intercompany accounts, transactions and profits have been eliminated. As used herein, the term "including," and any variation thereof means "including without limitations." The use of the word "or" herein is not exclusive.</w:t>
      </w:r>
    </w:p>
    <w:p>
      <w:pPr>
        <w:spacing w:after="0" w:line="13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is organized specifically to own, lease and manage approximately 7,600 towers and other structures (collectively, "towers"), and to a lesser extent, interests in land under third party and related party towers in various forms ("land interests") (collectively, "communications infrastructure" or "sites") that are geographically dispersed across the United States ("U.S"). The Company's core business is providing access, including space or capacity, to its sites via long-term contracts in various forms, including lease, license and sublease agreements (collectively, "contracts"). The Company's existing customers on its communication infrastructure are referred to herein as "tenants." Management services related to the Company's sites are performed by Crown Castle USA Inc. ("CCUSA"), an affiliate of the Company, under the Management Agreement (as defined below), as the Company has no employees.</w:t>
      </w:r>
    </w:p>
    <w:p>
      <w:pPr>
        <w:spacing w:after="0" w:line="1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Approximately 68% of the Company's sites are leased or subleased or operated and managed for an initial period of 32 years (through May 2037) under master lease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notes 2 and 8.</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those estimates.</w:t>
      </w:r>
    </w:p>
    <w:p>
      <w:pPr>
        <w:spacing w:after="0" w:line="305" w:lineRule="exact"/>
        <w:rPr>
          <w:sz w:val="20"/>
          <w:szCs w:val="20"/>
          <w:color w:val="auto"/>
        </w:rPr>
      </w:pPr>
    </w:p>
    <w:p>
      <w:pPr>
        <w:ind w:left="420" w:right="7620" w:hanging="412"/>
        <w:spacing w:after="0" w:line="440" w:lineRule="auto"/>
        <w:tabs>
          <w:tab w:leader="none" w:pos="4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Receivables Allowance</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 of operations,” and deductions from the allowance are recorded when specific accounts receivable are written off as uncollectible.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w:t>
      </w:r>
      <w:r>
        <w:rPr>
          <w:rFonts w:ascii="Arial" w:cs="Arial" w:eastAsia="Arial" w:hAnsi="Arial"/>
          <w:sz w:val="18"/>
          <w:szCs w:val="18"/>
          <w:i w:val="1"/>
          <w:iCs w:val="1"/>
          <w:color w:val="auto"/>
        </w:rPr>
        <w:t>Costs of Operations</w:t>
      </w:r>
      <w:r>
        <w:rPr>
          <w:rFonts w:ascii="Arial" w:cs="Arial" w:eastAsia="Arial" w:hAnsi="Arial"/>
          <w:sz w:val="18"/>
          <w:szCs w:val="18"/>
          <w:color w:val="auto"/>
        </w:rPr>
        <w:t>"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a portion of space on a tower) and for which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not objectively determinable, then such lease is accounted for as an operating lease. As applicable, operating leases are recognized on a straight-line basis as discussed under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Effective January 1, 2019, the Company adopted new lease accounting guidance on the recognition, measurement, presentation and disclosure of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below for further discussion.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straight-line method at rates based upon the estimated useful lives of the various classes of assets. Depreciation of communications infrastructure is generally computed with a useful life equal to the shorter of 20 years or the term of the underlying ground lease (including optional renewal periods). Additions, renewals or improvements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3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Abandonments and write-offs of property and equipment are recorded to "asset write-down charges" on the Company's consolidated statement of operations and were $0.3 million, $0.2 million and $4.9 million for the years ended December 31, 2018, 2017 and 2016, respectively.</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its ground lease and easement agreements, the Company records obligations to perform asset retirement activities, including requirements to remove communications infrastructure or remediate the land upon which the Company's communications infrastructure resides. With respect to the Sprint Sites, the Company does not have retirement obligations to the extent such retirement would occur beyond the period for which it has a contract term. Asset retirement obligations are included in "above-market leases and other liabilities" on the Company's consolidated balance sheet. The liability accretes as a result of the passage of time and the related accretion expense is included in "depreciation, amortization and accretion" expense on the Company's consolidated statement of operations. The associated asset retirement costs are capitalized as an additional carrying amount of the related long-lived asset and depreciated over the useful life of such asset.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any impairment if there is an indication from the first step that one exists. The Company's measurement of the fair value for goodwill is based on an estimate of discounted expected future cash flows of the reporting unit. The Company has one reporting unit for goodwill impairment testing. The Company performed its most recent annual goodwill impairment test as of October 1, 2018,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Intangible assets are included in "site rental contracts and tenant relationship, net" and "other intangible assets, net" on the Company's consolidated balance sheet and predominately consist of the estimated fair value of the following items recorded in conjunction with acquisitions: (1) site rental contracts and tenant relationships or (2) below-market leases for land interests under the acquired towers classified as "other intangible assets, net." The site rental contracts and tenant relationships intangible assets are comprised of (1) the current term of the existing contracts, (2) the expected exercise of the renewal provisions contained within the existing contracts, which automatically occur under contractual provisions or (3) any associated relationships that are expected to generate value following the expiration of all renewal periods under existing contracts.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useful lives of intangible assets are estimated based on the period over which the intangible asset is expected to benefit the Company, which is calculated on an individual tenant basis, considering, among other things, the contractual provisions with the tenant and gives consideration to the expected useful life of other assets to which the useful life may relate. Amortization expense for intangible assets is computed using the straight-line method over the estimated useful life of each of the intangible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assets. The useful life of the site rental contracts and tenant relationships intangible asset is limited by the maximum depreciable life of the tower (20 years), as a result of the interdependency of the tower and site rental contracts and tenant relationships. In contrast, the site rental contracts and tenant relationships are estimated to provide economic benefits for several decades because of the low rate of tenant cancellations and high rate of renewals experienced to date. Thus, while site rental contracts and tenant relationships are valued based upon the fair value, which includes assumptions regarding both (1) tenants' exercise of optional renewals contained in the acquired contracts and (2) renewals of the acquired contracts past the contractual term including exercisable options, the site rental contracts and tenant relationships are amortized over a period not to exceed 20 years as a result of the useful life being limited by the depreciable life of the sites.</w:t>
      </w:r>
    </w:p>
    <w:p>
      <w:pPr>
        <w:spacing w:after="0" w:line="13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tenant relationships intangible assets. First, the Company pools the site rental contracts and tenant relationships with the related tower assets into portfolio groups for purposes of determining the unit of account for impairment testing. Second and separately, the Company evaluates the site rental contracts and tenant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Above-market Leases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Above-market leases consist of the estimated fair value of above-market leases for land interests under the Company's towers. Above-market leases for land interests are amortized to costs of operations over their respective estimated remaining contract term at the acquisition date.</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Third-party costs incurred to obtain financing are deferred and are included as a direct deduction from the carrying amount of the related debt liability in "debt" on the Company's consolidated balance sheet.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Site rental revenues from the Company's contracts are recognized on a straight-line, ratable basis over the fixed, non-cancelable term of the relevant contract, which generally ranges from five to 15 years, regardless of whether the payments from the tenant are received in equal monthly amounts during the life of the contract. The Company's contracts contain fixed escalation clauses (such as fixed dollar or fixed percentage increases) or inflation-based escalation clauses (such as those tied to the consumer price index ("CPI")). If the payment terms call for fixed escalations, upfront payments, or rent-free periods, the revenue is recognized on a straight-line basis over the fixed, non-cancelable term of the agreement. When calculating straight-line rental revenues, the Company considers all fixed elements of tenant contractual escalation provisions. The Company's assets related to straight-line site rental revenues are included in "deferred site rental receivables." Amounts billed or received prior to being earned are deferred and reflected in "deferred revenues" on the Company's consolidated balance sheet.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of Operations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excess of three-fourths of the Company's site rental cost of operations consists of ground lease expenses, and the remainder includes repairs and maintenance expenses, utilities, property taxes or insurance.</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Generally, the ground lease agreements are specific to each site, are for an initial term of five years and are renewable for pre-determined periods. The Company also enters into term easements and ground leases in which it prepays the entire term in advance. Ground lease expense is recognized on a ratable basis, regardless of whether the contract payment terms require the Company to make payments annually, quarterly, monthly or for the entire term in advance. The Company's ground leases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ground lease expense using a time period that equals or exceeds the remaining depreciable life of the communications infrastructure asset. Further, when a tenant has exercisable renewal options that would compel the Company to exercise existing ground lease renewal options, the Company has straight-lined the ground lease expense over a sufficient portion of such ground lease renewals to coincide with the final termination of the tenant's renewal options. The Company's policy is to record ground lease agreements with affiliates under the same or similar economic terms as the contract for the land that existed prior to the purchase of such land by the affiliate.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Company's current liability related to straight-line ground lease expense is included in "other accrued liabilities" on the Company's consolidated balance sheet and was $2.3 million and $1.9 million as of December 31, 2018 and 2017, respectively. The Company's non-current liability related to straight-line ground lease expense is included in "deferred ground lease payable" on the Company's consolidated balance sheet. The Company's assets related to prepaid ground leases is included in "prepaid expenses" and "long-term prepaid rent and other assets, net" on the Company's consolidated balance sheet. The Company's current liability related to accrued property taxes is included in "other accrued liabilities" on the Company's consolidated balance sheet and was $5.5 million and $5.7 million as of December 31, 2018 and 2017, respectively.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Fee</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is charged a management fee by CCUSA, a wholly-owned indirect subsidiary of CCIC, relating to management services, which include those functions reasonably necessary to maintain, market, operate, manage and administer the sites. The management fee is equal to 7.5% of the Company's revenues, excluding the revenues related to the accounting for leases with fixed escalators as required by the applicable accounting standards. See note 6.</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CCIC operates as a REIT for U.S. federal income tax purposes. The Company is an indirect subsidiary of CCIC and for U.S. federal income taxes purposes the Company's assets and operations are part of the CCIC REIT. As a REIT, CCIC is generally entitled to a deduction for dividends that it pays and therefore is not subject to U.S. federal corporate income tax on its taxable income that is currently distributed to its stockholders. CCIC also may be subject to certain federal, state, local and foreign taxes on its income and assets, including (1) taxes on any undistributed income, (2) taxes related to the CCIC's taxable REIT subsidiaries, (3) franchise taxes, (4) property taxes and (5) transfer taxes. In addition, CCIC could in certain circumstances be required to pay an excise or penalty tax, which could be significant in amount, in order to utilize one or more relief provisions under the Internal Revenue Code of 1986, as amended to maintain qualification for taxation as a REIT.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 The Company evaluates fair value hierarchy level classifications quarterly, and transfers between levels are effective at the end of the quarterly period.</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cash and cash equivalents approximates the carrying value. The Company determines fair value of its debt securities based on indicative quotes (that is non-binding quotes) from brokers that require judgment to interpret market information including implied credit spreads for similar borrowings on recent trades or bid/ask prices or quotes from active markets if applicable. There were no changes since December 31, 2017 in the Company's valuation techniques used to measure fair values. See note 7.</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operating segment.</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January 2017, the FASB issued new guidance which clarifies the definition of a business in order to assist companies in evaluating whether transactions should be accounted for as acquisitions or disposals of assets or businesses. The Company adopted the guidance on January 1, 2018, and the adoption of this guidance did not have a material impact on its consolidated financial statements.</w:t>
      </w:r>
    </w:p>
    <w:p>
      <w:pPr>
        <w:spacing w:after="0" w:line="12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May 2014, the FASB released updated guidance regarding the recognition of revenue from contracts with customers not otherwise addressed by specific guidance (commonly referred to as "ASC 606" or "the revenue recognition standard").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the customer; (2) identify the performance obligations in the contract; (3) determine the contract price; (4) allocate the transaction price to the performance obligations in the contract; and (5) recognize revenue when (or as) the entity satisfies a performance obligation. This guidance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was effective for the Company on January 1, 2018. The Company's site rental revenues are within the scope of lease accounting and were not impacted by this guidance.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31"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This guidance was effective for, and adopted by, the Company as of January 1, 2019, and is required to be adopted using a modified retrospective approach, which after certain additional updates in July 2018, allows the Company to apply the new guidance either (1) as of the beginning of the earliest period presented, or (2) as of the effective date (i.e., January 1, 2019), without adjusting the comparative periods.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adopted the new guidance using a modified retrospective approach as of the effective date (i.e, January 1, 2019), without adjusting the comparative periods. The Company's adoption of the new guidance did not result in a cumulative-effect adjustment being recognized to the opening balance of retained earnings. The Company elected the package of practical expedients upon adoption and thus will not reassess the classification or lease term of leases existing prior to January 1, 2019.</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its first quarter 2019 results are reported, the Company expects that (1) its lessor and lessee arrangements will continue to be classified as operating leases under the new guidance; (2) this guidance will result in a lease liability ranging between $500 million to $1.5 billion (which primarily consist of ground leases under the Company's towers) and a corresponding right-of-use asset; and (3) there will not be a material impact to its consolidated statement of operations and consolidated statement of cash flows. CCIC is in the process of updating certain of its existing information technology systems to integrate the new lease guidance requirements.</w:t>
      </w:r>
    </w:p>
    <w:p>
      <w:pPr>
        <w:spacing w:after="0" w:line="346"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Estimated Useful Lives</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72,665</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73,214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Towers</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1-20 years</w:t>
            </w: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1,933,497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1,872,975</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23,505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14,514</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2,029,667</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1,960,703</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(1,011,900)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(919,546)</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1,017,767</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1,041,157</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pacing w:after="0" w:line="16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Depreciation expense for the years ended December 31, 2018, 2017 and 2016 was $93.8 million, $94.3 million and $93.5 million, respectively. As discussed in notes 1 and 2, the Company has certain prepaid capital leases and associated leasehold improvements, which have related gross property and equipment and accumulated depreciation of $1.0 billion and $604.5 million, respectively, as of December 31, 2018.</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Above-market 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Company's intangible assets.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2018</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83"/>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contracts and tenant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2,102,864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(1,312,890)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789,974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2,102,005</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(1,199,338)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902,667</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51,102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(32,749)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18,353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50,999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(31,140)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19,859</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2,153,966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(1,345,639)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808,327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2,153,004</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(1,230,478)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922,526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expense related to intangible assets is classified as follows on the Company's consolidated statement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w w:val="93"/>
              </w:rPr>
              <w:t>For Years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113,655</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113,635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113,621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1,591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1,677</w:t>
            </w:r>
          </w:p>
        </w:tc>
      </w:tr>
      <w:tr>
        <w:trPr>
          <w:trHeight w:val="33"/>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115,169</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115,226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115,298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 of operations") for the years ending December 31, 2019 to 2023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115,150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115,120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115,027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114,973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114,971</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See note 2 for a further discussion of above-market leases for land interests under the Company's towers recorded in connection with acquisitions. For the years ended December 31, 2018, 2017 and 2016, the Company recorded $1.7 million, $1.7 million and $1.8 million, respectively, as a decrease to "site rental cost of operations." The following is a summary of the Company's above-market leases.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2018</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65"/>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Above-market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41,185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(24,720)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16,465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41,538</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18,275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annual amortization expense related to above-market leases for land interests under the Company's towers for the years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to 2023 is as follows: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1,587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1,377</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231F20"/>
        </w:rPr>
        <w:t>2012 Secured Notes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December 24, 2012, CCL and Crown Castle GS III Corp. ("Co-Issuer" and, together with CCL, "Issuers") issued (1) $500.0 million aggregate principal amount of 2.381% senior secured notes due December 2017 ("2.381% Secured Notes") and (2) $1.0 billion aggregate principal amount of 3.849% senior secured notes due April 2023 ("3.849% Secured Notes" and together with the 2.381% Secured Notes, "2012 Secured Notes"). The 2012 Secured Notes were issued pursuant to an indenture dated as of December 24, 2012 ("Indenture"), by and among the Issuers, the Guarantors (as defined below) and The Bank of New York</w:t>
      </w:r>
    </w:p>
    <w:p>
      <w:pPr>
        <w:sectPr>
          <w:pgSz w:w="11900" w:h="16838" w:orient="portrait"/>
          <w:cols w:equalWidth="0" w:num="1">
            <w:col w:w="11420"/>
          </w:cols>
          <w:pgMar w:left="240" w:top="337"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37"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Mellon Trust Company, N.A., as trustee ("Trustee"). The Issuers and the Guarantors are indirect wholly-owned subsidiaries of CCIC. The Company used the net proceeds from the issuance of the 2012 Secured Notes to (1) repurchase and redeem a portion of the previously outstanding 7.75% senior secured notes due 2017 ("7.75% Secured Notes") and (2) distribute cash to CCIC to fund the repurchase and redemption of a portion of CCIC's senior notes.</w:t>
      </w:r>
    </w:p>
    <w:p>
      <w:pPr>
        <w:spacing w:after="0" w:line="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outstanding balance of the 2012 Secured Notes as of December 31, 2018 and December 31, 2017 was $994.0 million and $993.0 million, respectively. See below for discussion related to the repayment of the previously outstanding 2.381% Secured Notes. The stated interest rate of the 2012 Secured Notes as of </w:t>
      </w:r>
      <w:r>
        <w:rPr>
          <w:rFonts w:ascii="Arial" w:cs="Arial" w:eastAsia="Arial" w:hAnsi="Arial"/>
          <w:sz w:val="18"/>
          <w:szCs w:val="18"/>
          <w:color w:val="231F20"/>
        </w:rPr>
        <w:t>December 31, 2018 was 3.849% per annum.</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3.849% Secured Notes are payable semi-annually in cash in arrears on April 15 and October 15 of each year, beginning on April 15, 2013. CCL, at its option, may redeem the 3.849% Secured Notes in whole or in part at any time by paying 100% of the principal amount of such 3.849% Secured Notes, together with accrued and unpaid interest, if any, plus a "make-whole" premium (as defined in the Indenture).</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3.849% Secured Notes are guaranteed by the direct and indirect wholly-owned subsidiaries of CCL, other than the Co-Issuer (collectively, "Guarantors"). The 3.849% Secured Notes will be paid solely from the cash flows generated from operation of the towers held directly or indirectly by CCL and the Guarantors.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Concurrently with the issuance of the 2012 Secured Notes, CCL and certain of its subsidiaries entered into a pledge and security agreement with the Trustee. Pursuant to the terms of such pledge and security agreement, the 3.849% Secured Notes are secured on a first-priority basis by a pledge of the equity interests of the Guarantors.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Indenture limits, among other things, the ability of CCL and its subsidiaries to incur indebtedness, incur liens, enter into certain mergers or certain change of control transactions and enter into related party transactions, in each case subject to a number of exceptions and qualifications set forth in the Indenture.</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Management Agreement. </w:t>
      </w:r>
      <w:r>
        <w:rPr>
          <w:rFonts w:ascii="Arial" w:cs="Arial" w:eastAsia="Arial" w:hAnsi="Arial"/>
          <w:sz w:val="18"/>
          <w:szCs w:val="18"/>
          <w:color w:val="auto"/>
        </w:rPr>
        <w:t>On December 24, 2012, CCL and the Guarantors entered into a management agreement ("Management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CCUSA, an indirect wholly-owned subsidiary of CCIC ("Manager"). The Management Agreement replaced the previous management agreement that existed among the parties. Pursuant to the Management Agreement, the Manager will continue to perform, on behalf of CCL and the Guarantors, those functions reasonably necessary to maintain, market, operate, manage and administer their respective sites. The Management Agreement requires that the Company maintain cash sufficient to operate the business, including sufficient cash to pay expenses for the following month (including any interest payment due during the next month pursuant to the Indenture).</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Debt Restrictions. </w:t>
      </w:r>
      <w:r>
        <w:rPr>
          <w:rFonts w:ascii="Arial" w:cs="Arial" w:eastAsia="Arial" w:hAnsi="Arial"/>
          <w:sz w:val="18"/>
          <w:szCs w:val="18"/>
          <w:color w:val="auto"/>
        </w:rPr>
        <w:t>The Indenture does not contain financial maintenance covenants but it does contain restrictive negative covenants, subject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related to the Company's ability to incur indebtedness, incur liens, enter into certain mergers or change of control transactions, sell or issue equity interests and enter into related party transactions. With respect to the restriction regarding the issuance of debt, the Company may not issue debt other than (1) certain permitted refinancings of the 3.849% Secured Notes, (2) unsecured trade payables in the ordinary course of business and financing of equipment, land or other property up to an aggregate of $100.0 million or (3) unsecured debt or additional notes under the Indenture provided that the Debt to Adjusted Consolidated Cash Flow Ratio (as defined in the Indenture) at the time of incurrence, and after giving effect to such incurrence, would have been no greater than 3.5 to 1. As of December 31, 2018, the Company's Debt to Adjusted Consolidated Cash Flow Ratio is 2.3 to 1, and, as a result, the Company is not restricted in its ability to incur additional indebtedness. Further, the Company is not restricted in its ability to distribute cash to affiliates or issue dividends to its member.</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Maturities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the scheduled contractual maturities of total debt outstanding at December 31,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4"/>
              </w:rPr>
              <w:t>Years Ending December 31,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Total Cash</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6"/>
              </w:rPr>
              <w:t>Unamortized</w:t>
            </w:r>
          </w:p>
        </w:tc>
        <w:tc>
          <w:tcPr>
            <w:tcW w:w="140" w:type="dxa"/>
            <w:vAlign w:val="bottom"/>
          </w:tcPr>
          <w:p>
            <w:pPr>
              <w:spacing w:after="0"/>
              <w:rPr>
                <w:sz w:val="12"/>
                <w:szCs w:val="12"/>
                <w:color w:val="auto"/>
              </w:rPr>
            </w:pPr>
          </w:p>
        </w:tc>
        <w:tc>
          <w:tcPr>
            <w:tcW w:w="98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w w:val="93"/>
              </w:rPr>
              <w:t>Total Debt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6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6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58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600" w:type="dxa"/>
            <w:vAlign w:val="bottom"/>
            <w:vMerge w:val="restart"/>
          </w:tcPr>
          <w:p>
            <w:pPr>
              <w:jc w:val="right"/>
              <w:ind w:right="6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Thereafter</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Deferred</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Obligations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Financing Costs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Scheduled contractual maturities</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994,047</w:t>
            </w:r>
          </w:p>
        </w:tc>
        <w:tc>
          <w:tcPr>
            <w:tcW w:w="0" w:type="dxa"/>
            <w:vAlign w:val="bottom"/>
          </w:tcPr>
          <w:p>
            <w:pPr>
              <w:spacing w:after="0"/>
              <w:rPr>
                <w:sz w:val="1"/>
                <w:szCs w:val="1"/>
                <w:color w:val="auto"/>
              </w:rPr>
            </w:pPr>
          </w:p>
        </w:tc>
      </w:tr>
      <w:tr>
        <w:trPr>
          <w:trHeight w:val="33"/>
        </w:trPr>
        <w:tc>
          <w:tcPr>
            <w:tcW w:w="26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Previously Outstanding Debt</w:t>
      </w:r>
    </w:p>
    <w:p>
      <w:pPr>
        <w:spacing w:after="0" w:line="171"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7"/>
          <w:szCs w:val="17"/>
          <w:color w:val="auto"/>
        </w:rPr>
        <w:t>In September 2016, CCIC issued $700 million aggregate principal amount of 2.250% senior unsecured notes ("September 2016 Senior Notes"). CCIC used a portion of the net proceeds from the September 2016 Senior Notes offering to repay in full the previously outstanding 2.381% Secured Notes. The Company recorded an equity contribution related to the repayment of the previously outstanding 2.381% Secured Notes for the year ended December 31, 2016. As a result of the repayment of the previously outstanding 2.381% Secured Notes, the Company recorded a loss on retirement of debt of $10.3 million for the year ended December 31, 2016, which was inclusive of $1.8 million related to the write off of deferred financing costs.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components of "interest expense and amortization of deferred financing costs" are as follows: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Years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3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on debt obligations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38,490</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38,490</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47,088</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1,384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1,384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2,427</w:t>
            </w:r>
          </w:p>
        </w:tc>
      </w:tr>
      <w:tr>
        <w:trPr>
          <w:trHeight w:val="33"/>
        </w:trPr>
        <w:tc>
          <w:tcPr>
            <w:tcW w:w="6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39,874</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39,874</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49,515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discussed in note 5, the Company and the Guarantors entered into a Management Agreement with CCUSA, which replaced a previous management agreement among the same parties. 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majority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but is not limited to real estate and personal property taxes, ground lease and easement payments, and insurance premiums. In addition, in connection with its role as Manager, CCUSA may make certain modifications to the Company's towers. The management fee charged by CCUSA for the years ended December 31, 2018, 2017 and 2016 totaled $48.5 million, $46.9 million and $45.4 million, respectively.</w:t>
      </w:r>
    </w:p>
    <w:p>
      <w:pPr>
        <w:spacing w:after="0" w:line="12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addition, CCUSA may perform installation services on the Company's towers for which the Company is not a party to any agreement and for which no operating results are reflected herein.</w:t>
      </w:r>
    </w:p>
    <w:p>
      <w:pPr>
        <w:spacing w:after="0" w:line="11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part of the CCIC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contract for the land that existed prior to the purchase of such land by the affiliate. As of December 31, 2018, approximately 30% of the Company's towers were located on land which was controlled by an affiliate. Rent expense to affiliates totaled $41.0 million, $36.7 million and $33.9 million for the years ended December 31, 2018, 2017 and 2016, respectively. Also, the Company receives site rental revenue from affiliates for land owned by the Company on which affiliates have towers and pays ground rent expense to affiliates for land owned by affiliates on which the Company has towers. For the years ended December 31, 2018, 2017 and 2016, rent revenue from affiliates totaled $1.0 million, $1.0 million and $1.0 million, respectively.</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For the years ended December 31, 2018 and 2017, the Company recorded an equity distribution of $313.0 million and $296.5 million, respectively, reflecting distributions to its member. For the year ended December 31 2016, the Company recorded a net equity contribution of $228.0 million, which was inclusive of (1) an equity contribution from CCIC of $508.5 million related to the repayment of the previously outstanding 2.381% Secured Notes (see note 5) and (2) an equity distribution of $280.5 million, reflecting distributions to its member. Cash on-hand above the amount that is required by the Management Agreement has been, and is expected to continue to be, distributed to the Company's parent company. As of December 31, 2018 and 2017, the Company had no material related party assets or liabilities on its consolidated balance sheet.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ind w:right="440" w:firstLine="405"/>
        <w:spacing w:after="0" w:line="302" w:lineRule="auto"/>
        <w:rPr>
          <w:sz w:val="20"/>
          <w:szCs w:val="20"/>
          <w:color w:val="auto"/>
        </w:rPr>
      </w:pPr>
      <w:r>
        <w:rPr>
          <w:rFonts w:ascii="Arial" w:cs="Arial" w:eastAsia="Arial" w:hAnsi="Arial"/>
          <w:sz w:val="16"/>
          <w:szCs w:val="16"/>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applicable. The estimated fair values of the Company's financial instruments, along with the carrying amounts of the related assets and liabilities, are as follows: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Level in Fair</w:t>
            </w: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36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0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88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6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Hierarchy</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88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r>
      <w:tr>
        <w:trPr>
          <w:trHeight w:val="250"/>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6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18,707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18,707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30,771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30,771</w:t>
            </w:r>
          </w:p>
        </w:tc>
      </w:tr>
      <w:tr>
        <w:trPr>
          <w:trHeight w:val="33"/>
        </w:trPr>
        <w:tc>
          <w:tcPr>
            <w:tcW w:w="5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360" w:type="dxa"/>
            <w:vAlign w:val="bottom"/>
          </w:tcPr>
          <w:p>
            <w:pPr>
              <w:ind w:left="160"/>
              <w:spacing w:after="0"/>
              <w:rPr>
                <w:sz w:val="20"/>
                <w:szCs w:val="20"/>
                <w:color w:val="auto"/>
              </w:rPr>
            </w:pPr>
            <w:r>
              <w:rPr>
                <w:rFonts w:ascii="Arial" w:cs="Arial" w:eastAsia="Arial" w:hAnsi="Arial"/>
                <w:sz w:val="16"/>
                <w:szCs w:val="16"/>
                <w:color w:val="auto"/>
              </w:rPr>
              <w:t>Debt</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994,047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990,600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992,663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1,032,530</w:t>
            </w:r>
          </w:p>
        </w:tc>
      </w:tr>
    </w:tbl>
    <w:p>
      <w:pPr>
        <w:spacing w:after="0" w:line="393"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For the year ended December 31, 2018, the Company had a provision for income taxes of $0.4 million, which consisted of state taxes. For the years ended December 31, </w:t>
      </w:r>
      <w:r>
        <w:rPr>
          <w:rFonts w:ascii="Arial" w:cs="Arial" w:eastAsia="Arial" w:hAnsi="Arial"/>
          <w:sz w:val="18"/>
          <w:szCs w:val="18"/>
          <w:color w:val="000000"/>
        </w:rPr>
        <w:t>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 xml:space="preserve">, the Company had benefits for income taxes of $0.6 million and $0.7 million, respectively, which consisted of the reduction of unrecognized tax benefits as a result of the lapse of the statute of limitations partially offset by state taxes. The Company's effective tax rate for the years ended December 31, 2018, </w:t>
      </w:r>
      <w:r>
        <w:rPr>
          <w:rFonts w:ascii="Arial" w:cs="Arial" w:eastAsia="Arial" w:hAnsi="Arial"/>
          <w:sz w:val="18"/>
          <w:szCs w:val="18"/>
          <w:color w:val="000000"/>
        </w:rPr>
        <w:t>2017</w:t>
      </w:r>
      <w:r>
        <w:rPr>
          <w:rFonts w:ascii="Arial" w:cs="Arial" w:eastAsia="Arial" w:hAnsi="Arial"/>
          <w:sz w:val="18"/>
          <w:szCs w:val="18"/>
          <w:color w:val="231F20"/>
        </w:rPr>
        <w:t xml:space="preserve"> and </w:t>
      </w:r>
      <w:r>
        <w:rPr>
          <w:rFonts w:ascii="Arial" w:cs="Arial" w:eastAsia="Arial" w:hAnsi="Arial"/>
          <w:sz w:val="18"/>
          <w:szCs w:val="18"/>
          <w:color w:val="000000"/>
        </w:rPr>
        <w:t>2016 differed from the federal statutory rate predominately due to CCIC's REIT status, including the dividends</w:t>
      </w:r>
      <w:r>
        <w:rPr>
          <w:rFonts w:ascii="Arial" w:cs="Arial" w:eastAsia="Arial" w:hAnsi="Arial"/>
          <w:sz w:val="18"/>
          <w:szCs w:val="18"/>
          <w:color w:val="231F20"/>
        </w:rPr>
        <w:t xml:space="preserve"> </w:t>
      </w:r>
      <w:r>
        <w:rPr>
          <w:rFonts w:ascii="Arial" w:cs="Arial" w:eastAsia="Arial" w:hAnsi="Arial"/>
          <w:sz w:val="18"/>
          <w:szCs w:val="18"/>
          <w:color w:val="000000"/>
        </w:rPr>
        <w:t>paid deduction (see notes 1 and 2) and the aforementioned impacts described above</w:t>
      </w:r>
      <w:r>
        <w:rPr>
          <w:rFonts w:ascii="Arial" w:cs="Arial" w:eastAsia="Arial" w:hAnsi="Arial"/>
          <w:sz w:val="18"/>
          <w:szCs w:val="18"/>
          <w:color w:val="231F20"/>
        </w:rPr>
        <w:t>.</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2018</w:t>
      </w:r>
      <w:r>
        <w:rPr>
          <w:rFonts w:ascii="Arial" w:cs="Arial" w:eastAsia="Arial" w:hAnsi="Arial"/>
          <w:sz w:val="18"/>
          <w:szCs w:val="18"/>
          <w:color w:val="231F20"/>
        </w:rPr>
        <w:t>, there were no unrecognized tax benefits that would impact the effective tax rate, if recognized.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From time to time, the Company is subject to examinations by various tax authorities in jurisdictions in which the Company has business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The Company regularly assesses the likelihood of additional assessments in each of the tax jurisdictions resulting from these examinations. At this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CCIC is not subject to an Internal Revenue Service examination.</w:t>
      </w:r>
    </w:p>
    <w:p>
      <w:pPr>
        <w:spacing w:after="0" w:line="369"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w:t>
      </w:r>
      <w:r>
        <w:rPr>
          <w:rFonts w:ascii="Arial" w:cs="Arial" w:eastAsia="Arial" w:hAnsi="Arial"/>
          <w:sz w:val="18"/>
          <w:szCs w:val="18"/>
          <w:color w:val="000000"/>
        </w:rPr>
        <w:t>See note 10 for a discussion of the operating lease commitments. In addition, see note 1 for a discussion of the</w:t>
      </w:r>
      <w:r>
        <w:rPr>
          <w:rFonts w:ascii="Arial" w:cs="Arial" w:eastAsia="Arial" w:hAnsi="Arial"/>
          <w:sz w:val="18"/>
          <w:szCs w:val="18"/>
          <w:color w:val="231F20"/>
        </w:rPr>
        <w:t xml:space="preserve"> </w:t>
      </w:r>
      <w:r>
        <w:rPr>
          <w:rFonts w:ascii="Arial" w:cs="Arial" w:eastAsia="Arial" w:hAnsi="Arial"/>
          <w:sz w:val="18"/>
          <w:szCs w:val="18"/>
          <w:color w:val="000000"/>
        </w:rPr>
        <w:t>CCIC's option to purchase approximately 68% of the Company's towers at the end of their respective contract terms. CCIC has no obligation to exercise the purchase option.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Pursuant to its ground lease and easement agreements, the Company has the obligation to perform certain asset retirement activities, including requirements upon contract or easement termination to remove communications infrastructure or remediate the land upon which communications infrastructure resides. Accretion expense related to liabilities for retirement obligations amounted to $2.6 million, $2.6 million and $2.3 million for the years ended December 31, 2018, 2017 and 2016, respectively. As of December 31, 2018 and 2017, liabilities for retirement obligations amounted to $33.4 million and $30.9 million, respectively, representing the net present value of the estimated expected future cash outlay. As of December 31, 2018, the estimated undiscounted future cash outlay for asset retirement obligations was approximately $133.0 million. See note 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p>
      <w:pPr>
        <w:ind w:left="420" w:right="9660" w:hanging="412"/>
        <w:spacing w:after="0" w:line="528" w:lineRule="auto"/>
        <w:tabs>
          <w:tab w:leader="none" w:pos="420"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Leases </w:t>
      </w:r>
      <w:r>
        <w:rPr>
          <w:rFonts w:ascii="Arial" w:cs="Arial" w:eastAsia="Arial" w:hAnsi="Arial"/>
          <w:sz w:val="15"/>
          <w:szCs w:val="15"/>
          <w:b w:val="1"/>
          <w:bCs w:val="1"/>
          <w:i w:val="1"/>
          <w:iCs w:val="1"/>
          <w:color w:val="auto"/>
        </w:rPr>
        <w:t>Tenant Leases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following table is a summary of the rental cash payments owed to the Company, as a lessor, by tenants pursuant to contractual agreements in effect as of December 31, 2018. Generally, the Company's leases with its tenants provide for (1) annual escalations, (2) multiple renewal periods at the tenant's option and (3) only limited termination rights at the applicable tenant's option through the current term. As of December 31, 2018, the weighted-average remaining term (calculated by weighting the remaining term for each lease by the related site rental revenue) of tenant leases is approximately six years, exclusive of renewals at the tenant's option. The tenants' rental payments included in the table below are through the current terms with a maximum current term of 20 years and do not assume exercise of tenant renewal options.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Tenant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642,156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639,136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633,544</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607,653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430,162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1,343,859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4,296,510</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following table is a summary of rental cash payments owed by the Company, as lessee, to landlords pursuant to contractual agreements in effect as of December 31, 2018. The Company is obligated under non-cancelable operating leases for land interests under approximately 90% of its towers. The majority of these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tower located on the leased land interest. More than 80% and more than 50% of the Company's sites are under the Company's control for greater than ten and 20 years, respectively, including renewals at the Company's option. The operating lease payments included in the table below include payments for certain renewal periods at the Company's option that are reasonably assured to be exercised and an estimate of contingent payments based on revenues and gross margins derived from existing tenant leases. See also note 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142,671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144,069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144,390</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142,144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140,193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1,697,442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2,410,909</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Rental expense from operating leases was $152.1 million, $148.6 million and $144.6 million for the years ended December 31, 2018, 2017 and 2016, respectively. The rental expense was inclusive of contingent payments based on revenues or gross margin derived from the tower located on the leased land of $30.7 million, $29.6 million and $29.0 million for the years ended December 31, 2018, 2017 and 2016, respectively.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Effective January 1, 2019, the Company adopted new lease accounting guidance on the recognition, measurement, presentation and disclosure of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further discussion.</w:t>
      </w:r>
    </w:p>
    <w:p>
      <w:pPr>
        <w:spacing w:after="0" w:line="369"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are primarily cash and cash equivalents and trade receivables. The Company mitigates its risk with respect to cash and cash equivalents by maintaining such deposits at high credit quality financial institutions and monitoring the credit ratings of those institutions. See note 2.</w:t>
      </w:r>
    </w:p>
    <w:p>
      <w:pPr>
        <w:spacing w:after="0" w:line="12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derives the largest portion of its revenues from tenants in the wireless industry. The Company also has a concentration in its volume of business with Sprint, AT&amp;T, T-Mobile and Verizon Wireless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contracts with contractually determinable payment terms and proactive management of past due balances.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Major Tenants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percentage of the Company's revenues for those tenants accounting for more than 10% of the Company's revenues.</w:t>
      </w:r>
    </w:p>
    <w:p>
      <w:pPr>
        <w:spacing w:after="0" w:line="18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23495</wp:posOffset>
            </wp:positionV>
            <wp:extent cx="3027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r>
      <w:tr>
        <w:trPr>
          <w:trHeight w:val="23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Sprint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AT&amp;T</w:t>
            </w:r>
          </w:p>
        </w:tc>
        <w:tc>
          <w:tcPr>
            <w:tcW w:w="4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T-Mobile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Verizon Wireless</w:t>
            </w: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is a summary of the supplemental cash flow information during the years ended December 31, 2018, 2017 and 2016.</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For Years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2016</w:t>
            </w: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Interest paid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38,490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38,490</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47,617</w:t>
            </w:r>
          </w:p>
        </w:tc>
      </w:tr>
    </w:tbl>
    <w:p>
      <w:pPr>
        <w:spacing w:after="0" w:line="393"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Subsidiaries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CCL has no independent assets or operations. The 3.849% Secured Notes are guaranteed by all subsidiaries of CCL, each of which is a wholly-owned subsidiary of CCL, other than Crown Castle GS III Corp., which is a co-issuer of the 2012 Secured Notes and a wholly-owned finance subsidiary. Such guarantees are full and unconditional and joint and several. Subject to the provisions of the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Indenture or (4) upon the discharge of the Indenture in accordance with its terms.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6" w:name="page37"/>
    <w:bookmarkEnd w:id="36"/>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 Conclusion Regarding the Effectiveness of Disclosure Controls and Procedures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connection with the preparation of this Annual Report on Form 10-K, as of December 31, 2018, the Company's management conducted an evaluation, under the supervision and with the participation of the Company's Chief Executive Officer ("CEO") and Chief Financial Officer ("CFO"), of the effectiveness of the Company's disclosure controls and procedures (as defined in Rules 13a-15(e) and 15d-15(e) under the Exchange Act). Based upon their evaluation, the CEO and CFO concluded that the Company's disclosure controls and procedures, as of December 31, 2018, were effective to provide reasonable assurance that information required to be disclosed by the Company in the reports filed or submitted by it under the Exchange Act is recorded, processed, summarized and reported within the time periods specified in the SEC's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Rules 13a-15(f) and 15d-15(f) under the Exchange Act) for the Company. Under the supervision and with the participation of the Company's CEO and CFO, management assessed the effectiveness of the Company's internal control over financial reporting based on the framework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The Company's internal control over financial reporting is a</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designed to provide reasonable assurance regarding the reliability of financial reporting and the preparation of financial statements for external purposes in accordance with U.S. generally accepted accounting principles. The Company's internal control over financial reporting includes those policies and procedures that:</w:t>
      </w:r>
    </w:p>
    <w:p>
      <w:pPr>
        <w:spacing w:after="0" w:line="135" w:lineRule="exact"/>
        <w:rPr>
          <w:sz w:val="20"/>
          <w:szCs w:val="20"/>
          <w:color w:val="auto"/>
        </w:rPr>
      </w:pPr>
    </w:p>
    <w:p>
      <w:pPr>
        <w:ind w:left="820" w:hanging="407"/>
        <w:spacing w:after="0" w:line="258"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820" w:hanging="407"/>
        <w:spacing w:after="0" w:line="250"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 of management and directors of the Company; and</w:t>
      </w:r>
    </w:p>
    <w:p>
      <w:pPr>
        <w:spacing w:after="0" w:line="1"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acquisitions, use or disposition of the Company's assets that could have a material effect on the financial statements.</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December 31, 2018. Based on the Company's assessment, management has concluded that the Company's internal control over financial reporting was effective as of December 31, 2018 to provide reasonable assurance regarding the reliability of financial reporting and the preparation of financial statements for external reporting purposes in accordance with U.S. generally accepted accounting principles.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the annual report.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 Limitations on the Effectiveness of Controls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the Company's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an indirect wholly-owned subsidiary of CCIC, our principal accounting fees and services are subject to Crown Castle's Audit Committee pre-approval procedures described in its Proxy Statement. This Proxy Statement can be located at CCIC's website (www.crowncastle.com), under Investors, Proxy Statement. Other than these procedures, the information contained at that website is not incorporated by reference in this filing. During 2018, all services provided by the external auditor were pre-approved by CCIC's Audit Committee in accordance with such policies.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Fees for professional services provided by our auditors include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6"/>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(a)</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258,000</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249,000</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Audit-related fees</w:t>
            </w:r>
          </w:p>
        </w:tc>
        <w:tc>
          <w:tcPr>
            <w:tcW w:w="3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fees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All other fees</w:t>
            </w:r>
          </w:p>
        </w:tc>
        <w:tc>
          <w:tcPr>
            <w:tcW w:w="3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258,000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249,000</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111760</wp:posOffset>
            </wp:positionV>
            <wp:extent cx="114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Audit fees principally includes audit and review of financial statements and subsidiary audits, and consents.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(a)(1) Financial Statements: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list of financial statements filed as part of this report is submitted as a separate section, the index to which is located on page 18.</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(a)(2) Financial Statement Schedules: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II—Valuation and Qualifying Accounts.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III—Schedule of Real Estate and Accumulated Depreciation.</w:t>
      </w:r>
    </w:p>
    <w:p>
      <w:pPr>
        <w:spacing w:after="0" w:line="171" w:lineRule="exact"/>
        <w:rPr>
          <w:sz w:val="20"/>
          <w:szCs w:val="20"/>
          <w:color w:val="auto"/>
        </w:rPr>
      </w:pPr>
    </w:p>
    <w:p>
      <w:pPr>
        <w:ind w:left="420" w:firstLine="405"/>
        <w:spacing w:after="0" w:line="277" w:lineRule="auto"/>
        <w:rPr>
          <w:sz w:val="20"/>
          <w:szCs w:val="20"/>
          <w:color w:val="auto"/>
        </w:rPr>
      </w:pPr>
      <w:r>
        <w:rPr>
          <w:rFonts w:ascii="Arial" w:cs="Arial" w:eastAsia="Arial" w:hAnsi="Arial"/>
          <w:sz w:val="18"/>
          <w:szCs w:val="18"/>
          <w:color w:val="auto"/>
        </w:rPr>
        <w:t>All other schedules are omitted because they are not applicable or because the required information is contained in the financial statements or notes thereto included in this Annual Report on Form 10-K.</w:t>
      </w:r>
    </w:p>
    <w:p>
      <w:pPr>
        <w:spacing w:after="0" w:line="116" w:lineRule="exact"/>
        <w:rPr>
          <w:sz w:val="20"/>
          <w:szCs w:val="20"/>
          <w:color w:val="auto"/>
        </w:rPr>
      </w:pPr>
    </w:p>
    <w:p>
      <w:pPr>
        <w:ind w:left="420" w:firstLine="405"/>
        <w:spacing w:after="0" w:line="277" w:lineRule="auto"/>
        <w:rPr>
          <w:sz w:val="20"/>
          <w:szCs w:val="20"/>
          <w:color w:val="auto"/>
        </w:rPr>
      </w:pPr>
      <w:r>
        <w:rPr>
          <w:rFonts w:ascii="Arial" w:cs="Arial" w:eastAsia="Arial" w:hAnsi="Arial"/>
          <w:sz w:val="18"/>
          <w:szCs w:val="18"/>
          <w:color w:val="auto"/>
        </w:rPr>
        <w:t>Financial statements of certain of CC Holdings GS V LLC's wholly-owned subsidiaries are included pursuant to Rule 3-16 of Regulation S-X in financial statement schedules in a separate section of this Form 10-K (beginning on page S-1 following Part IV).</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ind w:left="420"/>
        <w:spacing w:after="0"/>
        <w:rPr>
          <w:sz w:val="20"/>
          <w:szCs w:val="20"/>
          <w:color w:val="auto"/>
        </w:rPr>
      </w:pPr>
      <w:r>
        <w:rPr>
          <w:rFonts w:ascii="Arial" w:cs="Arial" w:eastAsia="Arial" w:hAnsi="Arial"/>
          <w:sz w:val="18"/>
          <w:szCs w:val="18"/>
          <w:b w:val="1"/>
          <w:bCs w:val="1"/>
          <w:color w:val="auto"/>
        </w:rPr>
        <w:t>(a)(3) Exhibits: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74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60" w:type="dxa"/>
            <w:vAlign w:val="bottom"/>
            <w:vMerge w:val="restart"/>
          </w:tcPr>
          <w:p>
            <w:pPr>
              <w:spacing w:after="0"/>
              <w:rPr>
                <w:sz w:val="13"/>
                <w:szCs w:val="13"/>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3"/>
                <w:szCs w:val="13"/>
                <w:color w:val="auto"/>
              </w:rPr>
            </w:pPr>
          </w:p>
        </w:tc>
        <w:tc>
          <w:tcPr>
            <w:tcW w:w="1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16"/>
                <w:szCs w:val="16"/>
                <w:color w:val="auto"/>
              </w:rPr>
            </w:pPr>
          </w:p>
        </w:tc>
        <w:tc>
          <w:tcPr>
            <w:tcW w:w="5740" w:type="dxa"/>
            <w:vAlign w:val="bottom"/>
            <w:tcBorders>
              <w:bottom w:val="single" w:sz="8" w:color="auto"/>
            </w:tcBorders>
            <w:gridSpan w:val="1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2"/>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3"/>
            <w:shd w:val="clear" w:color="auto" w:fill="CCEEFF"/>
          </w:tcPr>
          <w:p>
            <w:pPr>
              <w:spacing w:after="0" w:line="202" w:lineRule="exact"/>
              <w:rPr>
                <w:rFonts w:ascii="Arial" w:cs="Arial" w:eastAsia="Arial" w:hAnsi="Arial"/>
                <w:sz w:val="18"/>
                <w:szCs w:val="18"/>
                <w:color w:val="0000FF"/>
                <w:w w:val="97"/>
              </w:rPr>
            </w:pPr>
            <w:hyperlink r:id="rId15">
              <w:r>
                <w:rPr>
                  <w:rFonts w:ascii="Arial" w:cs="Arial" w:eastAsia="Arial" w:hAnsi="Arial"/>
                  <w:sz w:val="18"/>
                  <w:szCs w:val="18"/>
                  <w:color w:val="0000FF"/>
                  <w:w w:val="97"/>
                </w:rPr>
                <w:t>Amended and Restated Certificate of Formation of CC Holdings GS V LLC</w:t>
              </w:r>
            </w:hyperlink>
          </w:p>
        </w:tc>
        <w:tc>
          <w:tcPr>
            <w:tcW w:w="7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S-4</w:t>
            </w:r>
          </w:p>
        </w:tc>
        <w:tc>
          <w:tcPr>
            <w:tcW w:w="1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333-187970</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April 17, 2013</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202"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Second Amended and Restated Limited Liability Company Agreement of CC</w:t>
              </w:r>
            </w:hyperlink>
          </w:p>
        </w:tc>
        <w:tc>
          <w:tcPr>
            <w:tcW w:w="80" w:type="dxa"/>
            <w:vAlign w:val="bottom"/>
            <w:gridSpan w:val="2"/>
          </w:tcPr>
          <w:p>
            <w:pPr>
              <w:spacing w:after="0"/>
              <w:rPr>
                <w:sz w:val="17"/>
                <w:szCs w:val="17"/>
                <w:color w:val="auto"/>
              </w:rPr>
            </w:pPr>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S-4</w:t>
            </w:r>
          </w:p>
        </w:tc>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333-187970</w:t>
            </w:r>
          </w:p>
        </w:tc>
        <w:tc>
          <w:tcPr>
            <w:tcW w:w="100" w:type="dxa"/>
            <w:vAlign w:val="bottom"/>
          </w:tcPr>
          <w:p>
            <w:pPr>
              <w:spacing w:after="0"/>
              <w:rPr>
                <w:sz w:val="17"/>
                <w:szCs w:val="17"/>
                <w:color w:val="auto"/>
              </w:rPr>
            </w:pP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April 17, 2013</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13"/>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Holdings GS V LLC</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1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3"/>
            <w:shd w:val="clear" w:color="auto" w:fill="CCEEFF"/>
          </w:tcPr>
          <w:p>
            <w:pPr>
              <w:spacing w:after="0" w:line="202" w:lineRule="exact"/>
              <w:rPr>
                <w:rFonts w:ascii="Arial" w:cs="Arial" w:eastAsia="Arial" w:hAnsi="Arial"/>
                <w:sz w:val="18"/>
                <w:szCs w:val="18"/>
                <w:color w:val="0000FF"/>
                <w:w w:val="94"/>
              </w:rPr>
            </w:pPr>
            <w:hyperlink r:id="rId17">
              <w:r>
                <w:rPr>
                  <w:rFonts w:ascii="Arial" w:cs="Arial" w:eastAsia="Arial" w:hAnsi="Arial"/>
                  <w:sz w:val="18"/>
                  <w:szCs w:val="18"/>
                  <w:color w:val="0000FF"/>
                  <w:w w:val="94"/>
                </w:rPr>
                <w:t>Indenture dated as of December 24, 2012, by and among CC Holdings GS V</w:t>
              </w:r>
            </w:hyperlink>
          </w:p>
        </w:tc>
        <w:tc>
          <w:tcPr>
            <w:tcW w:w="7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6"/>
              </w:rPr>
              <w:t>December 28, 2012</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CCEEFF"/>
            </w:tcBorders>
            <w:gridSpan w:val="2"/>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LLC, Crown Castle GS III Corp., each of the guarantors party thereto and The</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6"/>
              </w:rPr>
            </w:pPr>
            <w:hyperlink r:id="rId17">
              <w:r>
                <w:rPr>
                  <w:rFonts w:ascii="Arial" w:cs="Arial" w:eastAsia="Arial" w:hAnsi="Arial"/>
                  <w:sz w:val="18"/>
                  <w:szCs w:val="18"/>
                  <w:color w:val="0000FF"/>
                  <w:w w:val="96"/>
                </w:rPr>
                <w:t>Bank of New York Mellon Trust Company, N.A., as Trustee, relating to the</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2.</w:t>
              </w:r>
              <w:r>
                <w:rPr>
                  <w:rFonts w:ascii="Arial" w:cs="Arial" w:eastAsia="Arial" w:hAnsi="Arial"/>
                  <w:sz w:val="18"/>
                  <w:szCs w:val="18"/>
                  <w:u w:val="single" w:color="auto"/>
                  <w:color w:val="0000FF"/>
                  <w:w w:val="89"/>
                </w:rPr>
                <w:t>381%</w:t>
              </w:r>
              <w:r>
                <w:rPr>
                  <w:rFonts w:ascii="Arial" w:cs="Arial" w:eastAsia="Arial" w:hAnsi="Arial"/>
                  <w:sz w:val="18"/>
                  <w:szCs w:val="18"/>
                  <w:color w:val="0000FF"/>
                  <w:w w:val="89"/>
                </w:rPr>
                <w:t xml:space="preserve"> Senior Secured Notes due 2017 and the 3.849% Senior Secured Notes</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3"/>
            <w:shd w:val="clear" w:color="auto" w:fill="CCEEFF"/>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due 2023</w:t>
              </w:r>
            </w:hyperlink>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202" w:lineRule="exact"/>
              <w:rPr>
                <w:rFonts w:ascii="Arial" w:cs="Arial" w:eastAsia="Arial" w:hAnsi="Arial"/>
                <w:sz w:val="18"/>
                <w:szCs w:val="18"/>
                <w:color w:val="0000FF"/>
                <w:w w:val="98"/>
              </w:rPr>
            </w:pPr>
            <w:hyperlink r:id="rId18">
              <w:r>
                <w:rPr>
                  <w:rFonts w:ascii="Arial" w:cs="Arial" w:eastAsia="Arial" w:hAnsi="Arial"/>
                  <w:sz w:val="18"/>
                  <w:szCs w:val="18"/>
                  <w:color w:val="0000FF"/>
                  <w:w w:val="98"/>
                </w:rPr>
                <w:t>Pledge and Security Agreement dated as of December 24, 2012, by and</w:t>
              </w:r>
            </w:hyperlink>
          </w:p>
        </w:tc>
        <w:tc>
          <w:tcPr>
            <w:tcW w:w="80" w:type="dxa"/>
            <w:vAlign w:val="bottom"/>
            <w:gridSpan w:val="2"/>
          </w:tcPr>
          <w:p>
            <w:pPr>
              <w:spacing w:after="0"/>
              <w:rPr>
                <w:sz w:val="17"/>
                <w:szCs w:val="17"/>
                <w:color w:val="auto"/>
              </w:rPr>
            </w:pPr>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S-4</w:t>
            </w:r>
          </w:p>
        </w:tc>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333-187970</w:t>
            </w:r>
          </w:p>
        </w:tc>
        <w:tc>
          <w:tcPr>
            <w:tcW w:w="100" w:type="dxa"/>
            <w:vAlign w:val="bottom"/>
          </w:tcPr>
          <w:p>
            <w:pPr>
              <w:spacing w:after="0"/>
              <w:rPr>
                <w:sz w:val="17"/>
                <w:szCs w:val="17"/>
                <w:color w:val="auto"/>
              </w:rPr>
            </w:pP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April 17, 2013</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196" w:lineRule="exact"/>
              <w:rPr>
                <w:rFonts w:ascii="Arial" w:cs="Arial" w:eastAsia="Arial" w:hAnsi="Arial"/>
                <w:sz w:val="18"/>
                <w:szCs w:val="18"/>
                <w:color w:val="0000FF"/>
                <w:w w:val="96"/>
              </w:rPr>
            </w:pPr>
            <w:hyperlink r:id="rId18">
              <w:r>
                <w:rPr>
                  <w:rFonts w:ascii="Arial" w:cs="Arial" w:eastAsia="Arial" w:hAnsi="Arial"/>
                  <w:sz w:val="18"/>
                  <w:szCs w:val="18"/>
                  <w:color w:val="0000FF"/>
                  <w:w w:val="96"/>
                </w:rPr>
                <w:t>among CC Holdings GS V LLC, Pinnacle Towers LLC, Pinnacle Towers III</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LLC, Pinnacle Towers V Inc. and The Bank of New York Mellon Trust</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Company, N.A., as Trustee, relating to the 2.381% Senior Secured Notes due</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13"/>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2017 and the 3.849% Senior Secured Notes due 2023</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202"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Agreement to Contribute, Lease and Sublease, dated as February 14, 2005,</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February 17, 2005</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among Sprint Corporation, the Sprint subsidiaries named therein and Global</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Signal Inc.</w:t>
              </w:r>
            </w:hyperlink>
          </w:p>
        </w:tc>
        <w:tc>
          <w:tcPr>
            <w:tcW w:w="5020" w:type="dxa"/>
            <w:vAlign w:val="bottom"/>
            <w:tcBorders>
              <w:bottom w:val="single" w:sz="8" w:color="CCEEFF"/>
            </w:tcBorders>
            <w:gridSpan w:val="10"/>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202"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Master Lease and Sublease, dated as of May 26, 2005, by and among STC</w:t>
              </w:r>
            </w:hyperlink>
          </w:p>
        </w:tc>
        <w:tc>
          <w:tcPr>
            <w:tcW w:w="80" w:type="dxa"/>
            <w:vAlign w:val="bottom"/>
            <w:gridSpan w:val="2"/>
          </w:tcPr>
          <w:p>
            <w:pPr>
              <w:spacing w:after="0"/>
              <w:rPr>
                <w:sz w:val="17"/>
                <w:szCs w:val="17"/>
                <w:color w:val="auto"/>
              </w:rPr>
            </w:pPr>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Pr>
          <w:p>
            <w:pPr>
              <w:spacing w:after="0"/>
              <w:rPr>
                <w:sz w:val="17"/>
                <w:szCs w:val="17"/>
                <w:color w:val="auto"/>
              </w:rPr>
            </w:pP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20">
              <w:r>
                <w:rPr>
                  <w:rFonts w:ascii="Arial" w:cs="Arial" w:eastAsia="Arial" w:hAnsi="Arial"/>
                  <w:sz w:val="18"/>
                  <w:szCs w:val="18"/>
                  <w:color w:val="0000FF"/>
                  <w:w w:val="93"/>
                </w:rPr>
                <w:t>One LLC, as lessor, Sprint Telephony PCS L.P., as Sprint Collocator, Global</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13"/>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Signal Acquisitions II LLC, as lessee, and Global Signal Inc.</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1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202" w:lineRule="exact"/>
              <w:rPr>
                <w:rFonts w:ascii="Arial" w:cs="Arial" w:eastAsia="Arial" w:hAnsi="Arial"/>
                <w:sz w:val="18"/>
                <w:szCs w:val="18"/>
                <w:color w:val="0000FF"/>
                <w:w w:val="94"/>
              </w:rPr>
            </w:pPr>
            <w:hyperlink r:id="rId21">
              <w:r>
                <w:rPr>
                  <w:rFonts w:ascii="Arial" w:cs="Arial" w:eastAsia="Arial" w:hAnsi="Arial"/>
                  <w:sz w:val="18"/>
                  <w:szCs w:val="18"/>
                  <w:color w:val="0000FF"/>
                  <w:w w:val="94"/>
                </w:rPr>
                <w:t>Master Lease and Sublease, dated as of May 26, 2005, by and among STC</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9"/>
              </w:rPr>
            </w:pPr>
            <w:hyperlink r:id="rId21">
              <w:r>
                <w:rPr>
                  <w:rFonts w:ascii="Arial" w:cs="Arial" w:eastAsia="Arial" w:hAnsi="Arial"/>
                  <w:sz w:val="18"/>
                  <w:szCs w:val="18"/>
                  <w:color w:val="0000FF"/>
                  <w:w w:val="99"/>
                </w:rPr>
                <w:t>Two LLC, as lessor, SprintCom, Inc., as Sprint Collocator, Global Signal</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3"/>
            <w:shd w:val="clear" w:color="auto" w:fill="CCEEFF"/>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Acquisitions II LLC, as lessee, and Global Signal Inc.</w:t>
              </w:r>
            </w:hyperlink>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72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218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202" w:lineRule="exact"/>
              <w:rPr>
                <w:rFonts w:ascii="Arial" w:cs="Arial" w:eastAsia="Arial" w:hAnsi="Arial"/>
                <w:sz w:val="18"/>
                <w:szCs w:val="18"/>
                <w:color w:val="0000FF"/>
                <w:w w:val="94"/>
              </w:rPr>
            </w:pPr>
            <w:hyperlink r:id="rId22">
              <w:r>
                <w:rPr>
                  <w:rFonts w:ascii="Arial" w:cs="Arial" w:eastAsia="Arial" w:hAnsi="Arial"/>
                  <w:sz w:val="18"/>
                  <w:szCs w:val="18"/>
                  <w:color w:val="0000FF"/>
                  <w:w w:val="94"/>
                </w:rPr>
                <w:t>Master Lease and Sublease, dated as of May 26, 2005, by and among STC</w:t>
              </w:r>
            </w:hyperlink>
          </w:p>
        </w:tc>
        <w:tc>
          <w:tcPr>
            <w:tcW w:w="80" w:type="dxa"/>
            <w:vAlign w:val="bottom"/>
            <w:gridSpan w:val="2"/>
          </w:tcPr>
          <w:p>
            <w:pPr>
              <w:spacing w:after="0"/>
              <w:rPr>
                <w:sz w:val="17"/>
                <w:szCs w:val="17"/>
                <w:color w:val="auto"/>
              </w:rPr>
            </w:pPr>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Pr>
          <w:p>
            <w:pPr>
              <w:spacing w:after="0"/>
              <w:rPr>
                <w:sz w:val="17"/>
                <w:szCs w:val="17"/>
                <w:color w:val="auto"/>
              </w:rPr>
            </w:pP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Three LLC, as lessor, American PCS Communications, LLC, as Sprint</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196" w:lineRule="exact"/>
              <w:rPr>
                <w:rFonts w:ascii="Arial" w:cs="Arial" w:eastAsia="Arial" w:hAnsi="Arial"/>
                <w:sz w:val="18"/>
                <w:szCs w:val="18"/>
                <w:color w:val="0000FF"/>
                <w:w w:val="96"/>
              </w:rPr>
            </w:pPr>
            <w:hyperlink r:id="rId22">
              <w:r>
                <w:rPr>
                  <w:rFonts w:ascii="Arial" w:cs="Arial" w:eastAsia="Arial" w:hAnsi="Arial"/>
                  <w:sz w:val="18"/>
                  <w:szCs w:val="18"/>
                  <w:color w:val="0000FF"/>
                  <w:w w:val="96"/>
                </w:rPr>
                <w:t>Collocator, Global Signal Acquisitions II LLC, as lessee, and Global Signal</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13"/>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Inc.</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202" w:lineRule="exact"/>
              <w:rPr>
                <w:rFonts w:ascii="Arial" w:cs="Arial" w:eastAsia="Arial" w:hAnsi="Arial"/>
                <w:sz w:val="18"/>
                <w:szCs w:val="18"/>
                <w:color w:val="0000FF"/>
                <w:w w:val="94"/>
              </w:rPr>
            </w:pPr>
            <w:hyperlink r:id="rId23">
              <w:r>
                <w:rPr>
                  <w:rFonts w:ascii="Arial" w:cs="Arial" w:eastAsia="Arial" w:hAnsi="Arial"/>
                  <w:sz w:val="18"/>
                  <w:szCs w:val="18"/>
                  <w:color w:val="0000FF"/>
                  <w:w w:val="94"/>
                </w:rPr>
                <w:t>Master Lease and Sublease, dated as of May 26, 2005, by and among STC</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Four LLC, as lessor, PhillieCo, L.P., as Sprint Collocator, Global Signal</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3"/>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Acquisitions II LLC, as lessee, and Global Signal Inc.</w:t>
              </w:r>
            </w:hyperlink>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72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218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10.6</w:t>
            </w: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202" w:lineRule="exact"/>
              <w:rPr>
                <w:rFonts w:ascii="Arial" w:cs="Arial" w:eastAsia="Arial" w:hAnsi="Arial"/>
                <w:sz w:val="18"/>
                <w:szCs w:val="18"/>
                <w:color w:val="0000FF"/>
                <w:w w:val="94"/>
              </w:rPr>
            </w:pPr>
            <w:hyperlink r:id="rId24">
              <w:r>
                <w:rPr>
                  <w:rFonts w:ascii="Arial" w:cs="Arial" w:eastAsia="Arial" w:hAnsi="Arial"/>
                  <w:sz w:val="18"/>
                  <w:szCs w:val="18"/>
                  <w:color w:val="0000FF"/>
                  <w:w w:val="94"/>
                </w:rPr>
                <w:t>Master Lease and Sublease, dated as of May 26, 2005, by and among STC</w:t>
              </w:r>
            </w:hyperlink>
          </w:p>
        </w:tc>
        <w:tc>
          <w:tcPr>
            <w:tcW w:w="80" w:type="dxa"/>
            <w:vAlign w:val="bottom"/>
            <w:gridSpan w:val="2"/>
          </w:tcPr>
          <w:p>
            <w:pPr>
              <w:spacing w:after="0"/>
              <w:rPr>
                <w:sz w:val="17"/>
                <w:szCs w:val="17"/>
                <w:color w:val="auto"/>
              </w:rPr>
            </w:pPr>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Pr>
          <w:p>
            <w:pPr>
              <w:spacing w:after="0"/>
              <w:rPr>
                <w:sz w:val="17"/>
                <w:szCs w:val="17"/>
                <w:color w:val="auto"/>
              </w:rPr>
            </w:pP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Five LLC, as lessor, Sprint Spectrum L.P., as Sprint Collocator, Global Signal</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1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Acquisitions II LLC, as lessee, and Global Signal Inc.</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1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10.7</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202" w:lineRule="exact"/>
              <w:rPr>
                <w:rFonts w:ascii="Arial" w:cs="Arial" w:eastAsia="Arial" w:hAnsi="Arial"/>
                <w:sz w:val="18"/>
                <w:szCs w:val="18"/>
                <w:color w:val="0000FF"/>
                <w:w w:val="89"/>
              </w:rPr>
            </w:pPr>
            <w:hyperlink r:id="rId25">
              <w:r>
                <w:rPr>
                  <w:rFonts w:ascii="Arial" w:cs="Arial" w:eastAsia="Arial" w:hAnsi="Arial"/>
                  <w:sz w:val="18"/>
                  <w:szCs w:val="18"/>
                  <w:color w:val="0000FF"/>
                  <w:w w:val="89"/>
                </w:rPr>
                <w:t>Master Lease and Sublease, dated as of May 26, 2005, by and among STC Six</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8"/>
              </w:rPr>
            </w:pPr>
            <w:hyperlink r:id="rId25">
              <w:r>
                <w:rPr>
                  <w:rFonts w:ascii="Arial" w:cs="Arial" w:eastAsia="Arial" w:hAnsi="Arial"/>
                  <w:sz w:val="18"/>
                  <w:szCs w:val="18"/>
                  <w:color w:val="0000FF"/>
                  <w:w w:val="98"/>
                </w:rPr>
                <w:t>Company,  Sprint  Spectrum  L.P.,  as  Sprint  Collocator,  Global  Signal</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3"/>
            <w:shd w:val="clear" w:color="auto" w:fill="CCEEFF"/>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Acquisitions II LLC, as lessee, and Global Signal Inc.</w:t>
              </w:r>
            </w:hyperlink>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72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218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10.8</w:t>
            </w: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202" w:lineRule="exact"/>
              <w:rPr>
                <w:rFonts w:ascii="Arial" w:cs="Arial" w:eastAsia="Arial" w:hAnsi="Arial"/>
                <w:sz w:val="18"/>
                <w:szCs w:val="18"/>
                <w:color w:val="0000FF"/>
                <w:w w:val="97"/>
              </w:rPr>
            </w:pPr>
            <w:hyperlink r:id="rId26">
              <w:r>
                <w:rPr>
                  <w:rFonts w:ascii="Arial" w:cs="Arial" w:eastAsia="Arial" w:hAnsi="Arial"/>
                  <w:sz w:val="18"/>
                  <w:szCs w:val="18"/>
                  <w:color w:val="0000FF"/>
                  <w:w w:val="97"/>
                </w:rPr>
                <w:t>Management Agreement, dated as of December 24, 2012, by and among</w:t>
              </w:r>
            </w:hyperlink>
          </w:p>
        </w:tc>
        <w:tc>
          <w:tcPr>
            <w:tcW w:w="80" w:type="dxa"/>
            <w:vAlign w:val="bottom"/>
            <w:gridSpan w:val="2"/>
          </w:tcPr>
          <w:p>
            <w:pPr>
              <w:spacing w:after="0"/>
              <w:rPr>
                <w:sz w:val="17"/>
                <w:szCs w:val="17"/>
                <w:color w:val="auto"/>
              </w:rPr>
            </w:pPr>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S-4</w:t>
            </w:r>
          </w:p>
        </w:tc>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333-187970</w:t>
            </w:r>
          </w:p>
        </w:tc>
        <w:tc>
          <w:tcPr>
            <w:tcW w:w="100" w:type="dxa"/>
            <w:vAlign w:val="bottom"/>
          </w:tcPr>
          <w:p>
            <w:pPr>
              <w:spacing w:after="0"/>
              <w:rPr>
                <w:sz w:val="17"/>
                <w:szCs w:val="17"/>
                <w:color w:val="auto"/>
              </w:rPr>
            </w:pP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April 17, 2013</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196" w:lineRule="exact"/>
              <w:rPr>
                <w:rFonts w:ascii="Arial" w:cs="Arial" w:eastAsia="Arial" w:hAnsi="Arial"/>
                <w:sz w:val="18"/>
                <w:szCs w:val="18"/>
                <w:color w:val="0000FF"/>
                <w:w w:val="97"/>
              </w:rPr>
            </w:pPr>
            <w:hyperlink r:id="rId26">
              <w:r>
                <w:rPr>
                  <w:rFonts w:ascii="Arial" w:cs="Arial" w:eastAsia="Arial" w:hAnsi="Arial"/>
                  <w:sz w:val="18"/>
                  <w:szCs w:val="18"/>
                  <w:color w:val="0000FF"/>
                  <w:w w:val="97"/>
                </w:rPr>
                <w:t>Crown Castle USA Inc., as Manager, and CC Holdings GS V LLC, Global</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Signal Acquisitions LLC, Global Signal Acquisitions II LLC, Pinnacle</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Towers LLC and the direct and indirect subsidiaries of Pinnacle Towers LLC,</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13"/>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collectively, as Owners</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202" w:lineRule="exact"/>
              <w:rPr>
                <w:rFonts w:ascii="Arial" w:cs="Arial" w:eastAsia="Arial" w:hAnsi="Arial"/>
                <w:sz w:val="18"/>
                <w:szCs w:val="18"/>
                <w:color w:val="0000FF"/>
                <w:w w:val="99"/>
              </w:rPr>
            </w:pPr>
            <w:hyperlink r:id="rId27">
              <w:r>
                <w:rPr>
                  <w:rFonts w:ascii="Arial" w:cs="Arial" w:eastAsia="Arial" w:hAnsi="Arial"/>
                  <w:sz w:val="18"/>
                  <w:szCs w:val="18"/>
                  <w:color w:val="0000FF"/>
                  <w:w w:val="99"/>
                </w:rPr>
                <w:t>Registration Rights Agreement, dated as of December 24, 2012, by and</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6"/>
              </w:rPr>
              <w:t>December 28, 2012</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among CC Holdings GS V LLC, Crown Castle GS III Corp., each of the</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3"/>
            <w:shd w:val="clear" w:color="auto" w:fill="CCEEFF"/>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guarantors  party  thereto  and  Merrill  Lynch,  Pierce,  Fenner  &amp;  Smith</w:t>
              </w:r>
            </w:hyperlink>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520" w:type="dxa"/>
            <w:vAlign w:val="bottom"/>
            <w:gridSpan w:val="9"/>
            <w:shd w:val="clear" w:color="auto" w:fill="0000FF"/>
          </w:tcPr>
          <w:p>
            <w:pPr>
              <w:spacing w:after="0" w:line="20" w:lineRule="exact"/>
              <w:rPr>
                <w:sz w:val="1"/>
                <w:szCs w:val="1"/>
                <w:color w:val="auto"/>
              </w:rPr>
            </w:pPr>
          </w:p>
        </w:tc>
        <w:tc>
          <w:tcPr>
            <w:tcW w:w="1200" w:type="dxa"/>
            <w:vAlign w:val="bottom"/>
            <w:tcBorders>
              <w:right w:val="single" w:sz="8" w:color="CCEEFF"/>
            </w:tcBorders>
            <w:gridSpan w:val="2"/>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3"/>
              </w:rPr>
            </w:pPr>
            <w:hyperlink r:id="rId27">
              <w:r>
                <w:rPr>
                  <w:rFonts w:ascii="Arial" w:cs="Arial" w:eastAsia="Arial" w:hAnsi="Arial"/>
                  <w:sz w:val="18"/>
                  <w:szCs w:val="18"/>
                  <w:color w:val="0000FF"/>
                  <w:w w:val="93"/>
                </w:rPr>
                <w:t>Incorporated, Barclays Capital Inc., J.P. Morgan Securities LLC and Morgan</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3"/>
            <w:shd w:val="clear" w:color="auto" w:fill="CCEEFF"/>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Stanley &amp; Co. LLC, as representatives of the initial purchasers</w:t>
              </w:r>
            </w:hyperlink>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796"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3"/>
                <w:szCs w:val="13"/>
                <w:color w:val="auto"/>
              </w:rPr>
            </w:pPr>
          </w:p>
        </w:tc>
        <w:tc>
          <w:tcPr>
            <w:tcW w:w="56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3"/>
                <w:szCs w:val="13"/>
                <w:color w:val="auto"/>
              </w:rPr>
            </w:pPr>
          </w:p>
        </w:tc>
        <w:tc>
          <w:tcPr>
            <w:tcW w:w="1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8"/>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43"/>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0" w:type="dxa"/>
            <w:vAlign w:val="bottom"/>
            <w:gridSpan w:val="9"/>
          </w:tcPr>
          <w:p>
            <w:pPr>
              <w:spacing w:after="0"/>
              <w:rPr>
                <w:sz w:val="20"/>
                <w:szCs w:val="20"/>
                <w:color w:val="auto"/>
              </w:rPr>
            </w:pPr>
            <w:r>
              <w:rPr>
                <w:rFonts w:ascii="Arial" w:cs="Arial" w:eastAsia="Arial" w:hAnsi="Arial"/>
                <w:sz w:val="18"/>
                <w:szCs w:val="18"/>
                <w:color w:val="auto"/>
              </w:rPr>
              <w:t>Power of Attorney (included on signature page of this annual report)</w:t>
            </w: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58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1"/>
              </w:rPr>
            </w:pPr>
            <w:hyperlink w:anchor="page89">
              <w:r>
                <w:rPr>
                  <w:rFonts w:ascii="Arial" w:cs="Arial" w:eastAsia="Arial" w:hAnsi="Arial"/>
                  <w:sz w:val="18"/>
                  <w:szCs w:val="18"/>
                  <w:color w:val="0000FF"/>
                  <w:w w:val="91"/>
                </w:rPr>
                <w:t>Certification of Chief Executive Officer pursuant to Section 302 of Sarbanes-</w:t>
              </w:r>
            </w:hyperlink>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0" w:type="dxa"/>
            <w:vAlign w:val="bottom"/>
            <w:gridSpan w:val="9"/>
            <w:shd w:val="clear" w:color="auto" w:fill="CCEEFF"/>
          </w:tcPr>
          <w:p>
            <w:pPr>
              <w:spacing w:after="0" w:line="196" w:lineRule="exact"/>
              <w:rPr>
                <w:rFonts w:ascii="Arial" w:cs="Arial" w:eastAsia="Arial" w:hAnsi="Arial"/>
                <w:sz w:val="18"/>
                <w:szCs w:val="18"/>
                <w:color w:val="0000FF"/>
              </w:rPr>
            </w:pPr>
            <w:hyperlink w:anchor="page89">
              <w:r>
                <w:rPr>
                  <w:rFonts w:ascii="Arial" w:cs="Arial" w:eastAsia="Arial" w:hAnsi="Arial"/>
                  <w:sz w:val="18"/>
                  <w:szCs w:val="18"/>
                  <w:color w:val="0000FF"/>
                </w:rPr>
                <w:t>Oxley Act of 2002</w:t>
              </w:r>
            </w:hyperlink>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0" w:type="dxa"/>
            <w:vAlign w:val="bottom"/>
            <w:gridSpan w:val="9"/>
          </w:tcPr>
          <w:p>
            <w:pPr>
              <w:spacing w:after="0" w:line="202" w:lineRule="exact"/>
              <w:rPr>
                <w:rFonts w:ascii="Arial" w:cs="Arial" w:eastAsia="Arial" w:hAnsi="Arial"/>
                <w:sz w:val="18"/>
                <w:szCs w:val="18"/>
                <w:color w:val="0000FF"/>
                <w:w w:val="96"/>
              </w:rPr>
            </w:pPr>
            <w:hyperlink w:anchor="page90">
              <w:r>
                <w:rPr>
                  <w:rFonts w:ascii="Arial" w:cs="Arial" w:eastAsia="Arial" w:hAnsi="Arial"/>
                  <w:sz w:val="18"/>
                  <w:szCs w:val="18"/>
                  <w:color w:val="0000FF"/>
                  <w:w w:val="96"/>
                </w:rPr>
                <w:t>Certification of Chief Financial Officer pursuant to Section 302 of Sarbanes-</w:t>
              </w:r>
            </w:hyperlink>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90">
              <w:r>
                <w:rPr>
                  <w:rFonts w:ascii="Arial" w:cs="Arial" w:eastAsia="Arial" w:hAnsi="Arial"/>
                  <w:sz w:val="18"/>
                  <w:szCs w:val="18"/>
                  <w:color w:val="0000FF"/>
                </w:rPr>
                <w:t>Oxley Act of 2002</w:t>
              </w:r>
            </w:hyperlink>
          </w:p>
        </w:tc>
        <w:tc>
          <w:tcPr>
            <w:tcW w:w="28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0" w:type="dxa"/>
            <w:vAlign w:val="bottom"/>
            <w:gridSpan w:val="9"/>
            <w:shd w:val="clear" w:color="auto" w:fill="CCEEFF"/>
          </w:tcPr>
          <w:p>
            <w:pPr>
              <w:spacing w:after="0" w:line="202" w:lineRule="exact"/>
              <w:rPr>
                <w:rFonts w:ascii="Arial" w:cs="Arial" w:eastAsia="Arial" w:hAnsi="Arial"/>
                <w:sz w:val="18"/>
                <w:szCs w:val="18"/>
                <w:color w:val="0000FF"/>
                <w:w w:val="97"/>
              </w:rPr>
            </w:pPr>
            <w:hyperlink w:anchor="page91">
              <w:r>
                <w:rPr>
                  <w:rFonts w:ascii="Arial" w:cs="Arial" w:eastAsia="Arial" w:hAnsi="Arial"/>
                  <w:sz w:val="18"/>
                  <w:szCs w:val="18"/>
                  <w:color w:val="0000FF"/>
                  <w:w w:val="97"/>
                </w:rPr>
                <w:t>Certification of Chief Executive Officer and Chief Financial Officer pursuant</w:t>
              </w:r>
            </w:hyperlink>
          </w:p>
        </w:tc>
        <w:tc>
          <w:tcPr>
            <w:tcW w:w="7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34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90"/>
              </w:rPr>
            </w:pPr>
            <w:hyperlink w:anchor="page91">
              <w:r>
                <w:rPr>
                  <w:rFonts w:ascii="Arial" w:cs="Arial" w:eastAsia="Arial" w:hAnsi="Arial"/>
                  <w:sz w:val="18"/>
                  <w:szCs w:val="18"/>
                  <w:color w:val="0000FF"/>
                  <w:w w:val="90"/>
                </w:rPr>
                <w:t>to Section 906 of Sarbanes-Oxley Act of 2002</w:t>
              </w:r>
            </w:hyperlink>
          </w:p>
        </w:tc>
        <w:tc>
          <w:tcPr>
            <w:tcW w:w="222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24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1"/>
                <w:szCs w:val="21"/>
                <w:color w:val="auto"/>
              </w:rPr>
            </w:pPr>
          </w:p>
        </w:tc>
        <w:tc>
          <w:tcPr>
            <w:tcW w:w="58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1"/>
                <w:szCs w:val="21"/>
                <w:color w:val="auto"/>
              </w:rPr>
            </w:pPr>
          </w:p>
        </w:tc>
        <w:tc>
          <w:tcPr>
            <w:tcW w:w="58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1"/>
                <w:szCs w:val="21"/>
                <w:color w:val="auto"/>
              </w:rPr>
            </w:pPr>
          </w:p>
        </w:tc>
        <w:tc>
          <w:tcPr>
            <w:tcW w:w="58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1460" w:type="dxa"/>
            <w:vAlign w:val="bottom"/>
            <w:gridSpan w:val="4"/>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580" w:type="dxa"/>
            <w:vAlign w:val="bottom"/>
            <w:gridSpan w:val="7"/>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760" w:type="dxa"/>
            <w:vAlign w:val="bottom"/>
            <w:gridSpan w:val="12"/>
          </w:tcPr>
          <w:p>
            <w:pPr>
              <w:ind w:left="40"/>
              <w:spacing w:after="0"/>
              <w:rPr>
                <w:sz w:val="20"/>
                <w:szCs w:val="20"/>
                <w:color w:val="auto"/>
              </w:rPr>
            </w:pPr>
            <w:r>
              <w:rPr>
                <w:rFonts w:ascii="Arial" w:cs="Arial" w:eastAsia="Arial" w:hAnsi="Arial"/>
                <w:sz w:val="18"/>
                <w:szCs w:val="18"/>
                <w:color w:val="auto"/>
              </w:rPr>
              <w:t>Filed herewith.</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760" w:type="dxa"/>
            <w:vAlign w:val="bottom"/>
            <w:gridSpan w:val="12"/>
          </w:tcPr>
          <w:p>
            <w:pPr>
              <w:ind w:left="120"/>
              <w:spacing w:after="0"/>
              <w:rPr>
                <w:sz w:val="20"/>
                <w:szCs w:val="20"/>
                <w:color w:val="auto"/>
              </w:rPr>
            </w:pPr>
            <w:r>
              <w:rPr>
                <w:rFonts w:ascii="Arial" w:cs="Arial" w:eastAsia="Arial" w:hAnsi="Arial"/>
                <w:sz w:val="18"/>
                <w:szCs w:val="18"/>
                <w:color w:val="auto"/>
              </w:rPr>
              <w:t>Furnished herewith.</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on this 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2019.</w:t>
      </w:r>
    </w:p>
    <w:p>
      <w:pPr>
        <w:spacing w:after="0" w:line="200" w:lineRule="exact"/>
        <w:rPr>
          <w:sz w:val="20"/>
          <w:szCs w:val="20"/>
          <w:color w:val="auto"/>
        </w:rPr>
      </w:pP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CC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GS V LLC</w:t>
      </w:r>
    </w:p>
    <w:p>
      <w:pPr>
        <w:spacing w:after="0" w:line="33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ANIEL</w:t>
      </w:r>
      <w:r>
        <w:rPr>
          <w:rFonts w:ascii="Arial" w:cs="Arial" w:eastAsia="Arial" w:hAnsi="Arial"/>
          <w:sz w:val="18"/>
          <w:szCs w:val="18"/>
          <w:color w:val="auto"/>
        </w:rPr>
        <w:t xml:space="preserve"> K. S</w:t>
      </w:r>
      <w:r>
        <w:rPr>
          <w:rFonts w:ascii="Arial" w:cs="Arial" w:eastAsia="Arial" w:hAnsi="Arial"/>
          <w:sz w:val="14"/>
          <w:szCs w:val="14"/>
          <w:color w:val="auto"/>
        </w:rPr>
        <w:t>CHLANGER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22860</wp:posOffset>
            </wp:positionV>
            <wp:extent cx="3027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4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Daniel K. Schlanger</w:t>
      </w:r>
    </w:p>
    <w:p>
      <w:pPr>
        <w:spacing w:after="0" w:line="7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7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(Principal Financial Officer)</w:t>
      </w:r>
    </w:p>
    <w:p>
      <w:pPr>
        <w:spacing w:after="0" w:line="342" w:lineRule="exact"/>
        <w:rPr>
          <w:sz w:val="20"/>
          <w:szCs w:val="20"/>
          <w:color w:val="auto"/>
        </w:rPr>
      </w:pPr>
    </w:p>
    <w:p>
      <w:pPr>
        <w:ind w:left="6280"/>
        <w:spacing w:after="0"/>
        <w:tabs>
          <w:tab w:leader="none" w:pos="8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S. C</w:t>
      </w:r>
      <w:r>
        <w:rPr>
          <w:rFonts w:ascii="Arial" w:cs="Arial" w:eastAsia="Arial" w:hAnsi="Arial"/>
          <w:sz w:val="14"/>
          <w:szCs w:val="14"/>
          <w:color w:val="auto"/>
        </w:rPr>
        <w:t>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Robert S. Collins</w:t>
      </w:r>
    </w:p>
    <w:p>
      <w:pPr>
        <w:spacing w:after="0" w:line="7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Vice President and Controller</w:t>
      </w:r>
    </w:p>
    <w:p>
      <w:pPr>
        <w:spacing w:after="0" w:line="7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(Principal Accounting Officer)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Jay A. Brown and Kenneth J. Simon and each of them, as his true and lawful attorneys-in-fact and agents with full power of substitution and re-substitution for him and in his name, place and stead, in any and all capacities, to sign any and all documents relating to the Annual Report on Form 10-K, including any and all amendments and supplements thereto, for the year ended December 31, 2018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as he might or could do in person, hereby ratifying and confirming all that said attorneys-in-fact and agents or their substitute or substitutes may lawfully do or cause to be done by virtue hereof.</w:t>
      </w:r>
    </w:p>
    <w:p>
      <w:pPr>
        <w:spacing w:after="0" w:line="113" w:lineRule="exact"/>
        <w:rPr>
          <w:sz w:val="20"/>
          <w:szCs w:val="20"/>
          <w:color w:val="auto"/>
        </w:rPr>
      </w:pPr>
    </w:p>
    <w:p>
      <w:pPr>
        <w:jc w:val="both"/>
        <w:ind w:right="20" w:firstLine="405"/>
        <w:spacing w:after="0" w:line="303"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this Annual Report on Form 10-K has been signed below by the following persons on behalf of the Registrant and in the capacities indicated below on this 25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February, 2019.</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6"/>
                <w:szCs w:val="16"/>
                <w:b w:val="1"/>
                <w:bCs w:val="1"/>
                <w:color w:val="auto"/>
                <w:w w:val="91"/>
              </w:rPr>
              <w:t>Name</w:t>
            </w:r>
          </w:p>
        </w:tc>
        <w:tc>
          <w:tcPr>
            <w:tcW w:w="20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60" w:type="dxa"/>
            <w:vAlign w:val="bottom"/>
            <w:gridSpan w:val="4"/>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AY</w:t>
            </w:r>
            <w:r>
              <w:rPr>
                <w:rFonts w:ascii="Arial" w:cs="Arial" w:eastAsia="Arial" w:hAnsi="Arial"/>
                <w:sz w:val="18"/>
                <w:szCs w:val="18"/>
                <w:color w:val="auto"/>
              </w:rPr>
              <w:t xml:space="preserve"> A. B</w:t>
            </w:r>
            <w:r>
              <w:rPr>
                <w:rFonts w:ascii="Arial" w:cs="Arial" w:eastAsia="Arial" w:hAnsi="Arial"/>
                <w:sz w:val="14"/>
                <w:szCs w:val="14"/>
                <w:color w:val="auto"/>
              </w:rPr>
              <w:t>ROWN</w:t>
            </w:r>
          </w:p>
        </w:tc>
        <w:tc>
          <w:tcPr>
            <w:tcW w:w="5100" w:type="dxa"/>
            <w:vAlign w:val="bottom"/>
            <w:gridSpan w:val="3"/>
          </w:tcPr>
          <w:p>
            <w:pPr>
              <w:ind w:left="82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100" w:type="dxa"/>
            <w:vAlign w:val="bottom"/>
            <w:gridSpan w:val="3"/>
            <w:vMerge w:val="restart"/>
          </w:tcPr>
          <w:p>
            <w:pPr>
              <w:ind w:left="8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290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2"/>
              </w:rPr>
              <w:t>Jay A. Brown</w:t>
            </w:r>
          </w:p>
        </w:tc>
        <w:tc>
          <w:tcPr>
            <w:tcW w:w="5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60" w:type="dxa"/>
            <w:vAlign w:val="bottom"/>
          </w:tcPr>
          <w:p>
            <w:pPr>
              <w:ind w:left="1200"/>
              <w:spacing w:after="0"/>
              <w:rPr>
                <w:sz w:val="20"/>
                <w:szCs w:val="20"/>
                <w:color w:val="auto"/>
              </w:rPr>
            </w:pPr>
            <w:r>
              <w:rPr>
                <w:rFonts w:ascii="Arial" w:cs="Arial" w:eastAsia="Arial" w:hAnsi="Arial"/>
                <w:sz w:val="18"/>
                <w:szCs w:val="18"/>
                <w:color w:val="auto"/>
              </w:rPr>
              <w:t>/s/</w:t>
            </w:r>
          </w:p>
        </w:tc>
        <w:tc>
          <w:tcPr>
            <w:tcW w:w="2900" w:type="dxa"/>
            <w:vAlign w:val="bottom"/>
            <w:gridSpan w:val="3"/>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K. S</w:t>
            </w:r>
            <w:r>
              <w:rPr>
                <w:rFonts w:ascii="Arial" w:cs="Arial" w:eastAsia="Arial" w:hAnsi="Arial"/>
                <w:sz w:val="14"/>
                <w:szCs w:val="14"/>
                <w:color w:val="auto"/>
              </w:rPr>
              <w:t>CHLANGER</w:t>
            </w:r>
          </w:p>
        </w:tc>
        <w:tc>
          <w:tcPr>
            <w:tcW w:w="5100" w:type="dxa"/>
            <w:vAlign w:val="bottom"/>
            <w:gridSpan w:val="3"/>
          </w:tcPr>
          <w:p>
            <w:pPr>
              <w:ind w:left="820"/>
              <w:spacing w:after="0"/>
              <w:rPr>
                <w:sz w:val="20"/>
                <w:szCs w:val="20"/>
                <w:color w:val="auto"/>
              </w:rPr>
            </w:pPr>
            <w:r>
              <w:rPr>
                <w:rFonts w:ascii="Arial" w:cs="Arial" w:eastAsia="Arial" w:hAnsi="Arial"/>
                <w:sz w:val="18"/>
                <w:szCs w:val="18"/>
                <w:color w:val="auto"/>
                <w:w w:val="91"/>
              </w:rPr>
              <w:t>Senior Vice President, Chief Financial Officer and 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100" w:type="dxa"/>
            <w:vAlign w:val="bottom"/>
            <w:gridSpan w:val="3"/>
            <w:vMerge w:val="restart"/>
          </w:tcPr>
          <w:p>
            <w:pPr>
              <w:ind w:left="8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23"/>
        </w:trPr>
        <w:tc>
          <w:tcPr>
            <w:tcW w:w="4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Daniel K. Schlanger</w:t>
            </w:r>
          </w:p>
        </w:tc>
        <w:tc>
          <w:tcPr>
            <w:tcW w:w="5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60" w:type="dxa"/>
            <w:vAlign w:val="bottom"/>
          </w:tcPr>
          <w:p>
            <w:pPr>
              <w:ind w:left="1420"/>
              <w:spacing w:after="0"/>
              <w:rPr>
                <w:sz w:val="20"/>
                <w:szCs w:val="20"/>
                <w:color w:val="auto"/>
              </w:rPr>
            </w:pPr>
            <w:r>
              <w:rPr>
                <w:rFonts w:ascii="Arial" w:cs="Arial" w:eastAsia="Arial" w:hAnsi="Arial"/>
                <w:sz w:val="14"/>
                <w:szCs w:val="14"/>
                <w:color w:val="auto"/>
                <w:w w:val="80"/>
              </w:rPr>
              <w:t>/s/</w:t>
            </w:r>
          </w:p>
        </w:tc>
        <w:tc>
          <w:tcPr>
            <w:tcW w:w="2900" w:type="dxa"/>
            <w:vAlign w:val="bottom"/>
            <w:gridSpan w:val="3"/>
          </w:tcPr>
          <w:p>
            <w:pPr>
              <w:ind w:left="1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J</w:t>
            </w:r>
            <w:r>
              <w:rPr>
                <w:rFonts w:ascii="Arial" w:cs="Arial" w:eastAsia="Arial" w:hAnsi="Arial"/>
                <w:sz w:val="14"/>
                <w:szCs w:val="14"/>
                <w:color w:val="auto"/>
              </w:rPr>
              <w:t>.</w:t>
            </w:r>
            <w:r>
              <w:rPr>
                <w:rFonts w:ascii="Arial" w:cs="Arial" w:eastAsia="Arial" w:hAnsi="Arial"/>
                <w:sz w:val="18"/>
                <w:szCs w:val="18"/>
                <w:color w:val="auto"/>
              </w:rPr>
              <w:t xml:space="preserve"> S</w:t>
            </w:r>
            <w:r>
              <w:rPr>
                <w:rFonts w:ascii="Arial" w:cs="Arial" w:eastAsia="Arial" w:hAnsi="Arial"/>
                <w:sz w:val="14"/>
                <w:szCs w:val="14"/>
                <w:color w:val="auto"/>
              </w:rPr>
              <w:t>IMON</w:t>
            </w:r>
          </w:p>
        </w:tc>
        <w:tc>
          <w:tcPr>
            <w:tcW w:w="5100" w:type="dxa"/>
            <w:vAlign w:val="bottom"/>
            <w:gridSpan w:val="3"/>
          </w:tcPr>
          <w:p>
            <w:pPr>
              <w:ind w:left="820"/>
              <w:spacing w:after="0"/>
              <w:rPr>
                <w:sz w:val="20"/>
                <w:szCs w:val="20"/>
                <w:color w:val="auto"/>
              </w:rPr>
            </w:pPr>
            <w:r>
              <w:rPr>
                <w:rFonts w:ascii="Arial" w:cs="Arial" w:eastAsia="Arial" w:hAnsi="Arial"/>
                <w:sz w:val="18"/>
                <w:szCs w:val="18"/>
                <w:color w:val="auto"/>
              </w:rPr>
              <w:t>Senior Vice President, General Counsel and Director</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60" w:type="dxa"/>
            <w:vAlign w:val="bottom"/>
          </w:tcPr>
          <w:p>
            <w:pPr>
              <w:spacing w:after="0"/>
              <w:rPr>
                <w:sz w:val="18"/>
                <w:szCs w:val="18"/>
                <w:color w:val="auto"/>
              </w:rPr>
            </w:pPr>
          </w:p>
        </w:tc>
        <w:tc>
          <w:tcPr>
            <w:tcW w:w="2900" w:type="dxa"/>
            <w:vAlign w:val="bottom"/>
            <w:gridSpan w:val="3"/>
          </w:tcPr>
          <w:p>
            <w:pPr>
              <w:jc w:val="center"/>
              <w:ind w:right="1540"/>
              <w:spacing w:after="0"/>
              <w:rPr>
                <w:sz w:val="20"/>
                <w:szCs w:val="20"/>
                <w:color w:val="auto"/>
              </w:rPr>
            </w:pPr>
            <w:r>
              <w:rPr>
                <w:rFonts w:ascii="Arial" w:cs="Arial" w:eastAsia="Arial" w:hAnsi="Arial"/>
                <w:sz w:val="16"/>
                <w:szCs w:val="16"/>
                <w:b w:val="1"/>
                <w:bCs w:val="1"/>
                <w:color w:val="auto"/>
                <w:w w:val="91"/>
              </w:rPr>
              <w:t>Kenneth J. Simon</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60" w:type="dxa"/>
            <w:vAlign w:val="bottom"/>
          </w:tcPr>
          <w:p>
            <w:pPr>
              <w:ind w:left="1340"/>
              <w:spacing w:after="0"/>
              <w:rPr>
                <w:sz w:val="20"/>
                <w:szCs w:val="20"/>
                <w:color w:val="auto"/>
              </w:rPr>
            </w:pPr>
            <w:r>
              <w:rPr>
                <w:rFonts w:ascii="Arial" w:cs="Arial" w:eastAsia="Arial" w:hAnsi="Arial"/>
                <w:sz w:val="18"/>
                <w:szCs w:val="18"/>
                <w:color w:val="auto"/>
              </w:rPr>
              <w:t>/s/</w:t>
            </w:r>
          </w:p>
        </w:tc>
        <w:tc>
          <w:tcPr>
            <w:tcW w:w="2900" w:type="dxa"/>
            <w:vAlign w:val="bottom"/>
            <w:gridSpan w:val="3"/>
          </w:tcPr>
          <w:p>
            <w:pPr>
              <w:ind w:left="1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S. C</w:t>
            </w:r>
            <w:r>
              <w:rPr>
                <w:rFonts w:ascii="Arial" w:cs="Arial" w:eastAsia="Arial" w:hAnsi="Arial"/>
                <w:sz w:val="14"/>
                <w:szCs w:val="14"/>
                <w:color w:val="auto"/>
              </w:rPr>
              <w:t>OLLINS</w:t>
            </w:r>
          </w:p>
        </w:tc>
        <w:tc>
          <w:tcPr>
            <w:tcW w:w="5100" w:type="dxa"/>
            <w:vAlign w:val="bottom"/>
            <w:gridSpan w:val="3"/>
          </w:tcPr>
          <w:p>
            <w:pPr>
              <w:ind w:left="820"/>
              <w:spacing w:after="0"/>
              <w:rPr>
                <w:sz w:val="20"/>
                <w:szCs w:val="20"/>
                <w:color w:val="auto"/>
              </w:rPr>
            </w:pPr>
            <w:r>
              <w:rPr>
                <w:rFonts w:ascii="Arial" w:cs="Arial" w:eastAsia="Arial" w:hAnsi="Arial"/>
                <w:sz w:val="18"/>
                <w:szCs w:val="18"/>
                <w:color w:val="auto"/>
              </w:rPr>
              <w:t>Vice President and Controller</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100" w:type="dxa"/>
            <w:vAlign w:val="bottom"/>
            <w:gridSpan w:val="3"/>
            <w:vMerge w:val="restart"/>
          </w:tcPr>
          <w:p>
            <w:pPr>
              <w:ind w:left="8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290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1"/>
              </w:rPr>
              <w:t>Robert S. Collins</w:t>
            </w:r>
          </w:p>
        </w:tc>
        <w:tc>
          <w:tcPr>
            <w:tcW w:w="5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720" w:type="dxa"/>
            <w:vAlign w:val="bottom"/>
          </w:tcPr>
          <w:p>
            <w:pPr>
              <w:ind w:left="116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1" w:name="page42"/>
    <w:bookmarkEnd w:id="41"/>
    <w:p>
      <w:pPr>
        <w:ind w:left="4640"/>
        <w:spacing w:after="0"/>
        <w:rPr>
          <w:sz w:val="20"/>
          <w:szCs w:val="20"/>
          <w:color w:val="auto"/>
        </w:rPr>
      </w:pPr>
      <w:r>
        <w:rPr>
          <w:rFonts w:ascii="Arial" w:cs="Arial" w:eastAsia="Arial" w:hAnsi="Arial"/>
          <w:sz w:val="18"/>
          <w:szCs w:val="18"/>
          <w:b w:val="1"/>
          <w:bCs w:val="1"/>
          <w:color w:val="auto"/>
        </w:rPr>
        <w:t>CC HOLDINGS GS V LLC</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Additions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w w:val="91"/>
              </w:rPr>
              <w:t>Deletions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4"/>
              </w:rPr>
              <w:t>Balance at</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Charged to</w:t>
            </w:r>
          </w:p>
        </w:tc>
        <w:tc>
          <w:tcPr>
            <w:tcW w:w="140" w:type="dxa"/>
            <w:vAlign w:val="bottom"/>
          </w:tcPr>
          <w:p>
            <w:pPr>
              <w:spacing w:after="0"/>
              <w:rPr>
                <w:sz w:val="12"/>
                <w:szCs w:val="12"/>
                <w:color w:val="auto"/>
              </w:rPr>
            </w:pP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Credited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9"/>
              <w:spacing w:after="0" w:line="13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Written Off</w:t>
            </w: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of Year</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Operations</w:t>
            </w:r>
          </w:p>
        </w:tc>
        <w:tc>
          <w:tcPr>
            <w:tcW w:w="14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Operations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jc w:val="right"/>
              <w:ind w:right="1790"/>
              <w:spacing w:after="0"/>
              <w:rPr>
                <w:sz w:val="20"/>
                <w:szCs w:val="20"/>
                <w:color w:val="auto"/>
              </w:rPr>
            </w:pPr>
            <w:r>
              <w:rPr>
                <w:rFonts w:ascii="Arial" w:cs="Arial" w:eastAsia="Arial" w:hAnsi="Arial"/>
                <w:sz w:val="18"/>
                <w:szCs w:val="18"/>
                <w:color w:val="auto"/>
                <w:w w:val="93"/>
              </w:rPr>
              <w:t>Allowance for Doubtful Accounts Receivable: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tcPr>
          <w:p>
            <w:pPr>
              <w:jc w:val="right"/>
              <w:ind w:right="431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62"/>
        </w:trPr>
        <w:tc>
          <w:tcPr>
            <w:tcW w:w="5260" w:type="dxa"/>
            <w:vAlign w:val="bottom"/>
            <w:tcBorders>
              <w:bottom w:val="single" w:sz="8" w:color="CCEEFF"/>
            </w:tcBorders>
            <w:shd w:val="clear" w:color="auto" w:fill="CCEEFF"/>
          </w:tcPr>
          <w:p>
            <w:pPr>
              <w:jc w:val="right"/>
              <w:ind w:right="4310"/>
              <w:spacing w:after="0" w:line="203" w:lineRule="exact"/>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jc w:val="right"/>
              <w:ind w:right="4310"/>
              <w:spacing w:after="0"/>
              <w:rPr>
                <w:sz w:val="20"/>
                <w:szCs w:val="20"/>
                <w:color w:val="auto"/>
              </w:rPr>
            </w:pPr>
            <w:r>
              <w:rPr>
                <w:rFonts w:ascii="Arial" w:cs="Arial" w:eastAsia="Arial" w:hAnsi="Arial"/>
                <w:sz w:val="18"/>
                <w:szCs w:val="18"/>
                <w:color w:val="auto"/>
              </w:rPr>
              <w:t>2016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6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558"/>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2" w:name="page43"/>
    <w:bookmarkEnd w:id="42"/>
    <w:p>
      <w:pPr>
        <w:ind w:left="4640"/>
        <w:spacing w:after="0"/>
        <w:rPr>
          <w:sz w:val="20"/>
          <w:szCs w:val="20"/>
          <w:color w:val="auto"/>
        </w:rPr>
      </w:pPr>
      <w:r>
        <w:rPr>
          <w:rFonts w:ascii="Arial" w:cs="Arial" w:eastAsia="Arial" w:hAnsi="Arial"/>
          <w:sz w:val="18"/>
          <w:szCs w:val="18"/>
          <w:b w:val="1"/>
          <w:bCs w:val="1"/>
          <w:color w:val="auto"/>
        </w:rPr>
        <w:t>CC HOLDINGS GS V LLC</w:t>
      </w:r>
    </w:p>
    <w:p>
      <w:pPr>
        <w:spacing w:after="0" w:line="171"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SCHEDULE III—SCHEDULE OF REAL ESTATE AND ACCUMULATED DEPRECIATION</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9"/>
              </w:rPr>
              <w:t>Life on Which</w:t>
            </w:r>
          </w:p>
        </w:tc>
      </w:tr>
      <w:tr>
        <w:trPr>
          <w:trHeight w:val="135"/>
        </w:trPr>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Depreciation in</w:t>
            </w:r>
          </w:p>
        </w:tc>
      </w:tr>
      <w:tr>
        <w:trPr>
          <w:trHeight w:val="135"/>
        </w:trPr>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jc w:val="center"/>
              <w:ind w:left="2"/>
              <w:spacing w:after="0" w:line="135" w:lineRule="exact"/>
              <w:rPr>
                <w:sz w:val="20"/>
                <w:szCs w:val="20"/>
                <w:color w:val="auto"/>
              </w:rPr>
            </w:pPr>
            <w:r>
              <w:rPr>
                <w:rFonts w:ascii="Arial" w:cs="Arial" w:eastAsia="Arial" w:hAnsi="Arial"/>
                <w:sz w:val="13"/>
                <w:szCs w:val="13"/>
                <w:b w:val="1"/>
                <w:bCs w:val="1"/>
                <w:color w:val="auto"/>
                <w:w w:val="88"/>
              </w:rPr>
              <w:t>Cost Capitalized</w:t>
            </w:r>
          </w:p>
        </w:tc>
        <w:tc>
          <w:tcPr>
            <w:tcW w:w="180" w:type="dxa"/>
            <w:vAlign w:val="bottom"/>
          </w:tcPr>
          <w:p>
            <w:pPr>
              <w:spacing w:after="0"/>
              <w:rPr>
                <w:sz w:val="11"/>
                <w:szCs w:val="11"/>
                <w:color w:val="auto"/>
              </w:rPr>
            </w:pPr>
          </w:p>
        </w:tc>
        <w:tc>
          <w:tcPr>
            <w:tcW w:w="1140" w:type="dxa"/>
            <w:vAlign w:val="bottom"/>
          </w:tcPr>
          <w:p>
            <w:pPr>
              <w:jc w:val="center"/>
              <w:ind w:right="214"/>
              <w:spacing w:after="0" w:line="135" w:lineRule="exact"/>
              <w:rPr>
                <w:sz w:val="20"/>
                <w:szCs w:val="20"/>
                <w:color w:val="auto"/>
              </w:rPr>
            </w:pPr>
            <w:r>
              <w:rPr>
                <w:rFonts w:ascii="Arial" w:cs="Arial" w:eastAsia="Arial" w:hAnsi="Arial"/>
                <w:sz w:val="13"/>
                <w:szCs w:val="13"/>
                <w:b w:val="1"/>
                <w:bCs w:val="1"/>
                <w:color w:val="auto"/>
                <w:w w:val="86"/>
              </w:rPr>
              <w:t>Gross Amount</w:t>
            </w:r>
          </w:p>
        </w:tc>
        <w:tc>
          <w:tcPr>
            <w:tcW w:w="300" w:type="dxa"/>
            <w:vAlign w:val="bottom"/>
          </w:tcPr>
          <w:p>
            <w:pPr>
              <w:spacing w:after="0"/>
              <w:rPr>
                <w:sz w:val="11"/>
                <w:szCs w:val="11"/>
                <w:color w:val="auto"/>
              </w:rPr>
            </w:pPr>
          </w:p>
        </w:tc>
        <w:tc>
          <w:tcPr>
            <w:tcW w:w="1220" w:type="dxa"/>
            <w:vAlign w:val="bottom"/>
          </w:tcPr>
          <w:p>
            <w:pPr>
              <w:jc w:val="center"/>
              <w:ind w:right="134"/>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Latest Income</w:t>
            </w:r>
          </w:p>
        </w:tc>
      </w:tr>
      <w:tr>
        <w:trPr>
          <w:trHeight w:val="135"/>
        </w:trPr>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Initial Cost to</w:t>
            </w:r>
          </w:p>
        </w:tc>
        <w:tc>
          <w:tcPr>
            <w:tcW w:w="1120" w:type="dxa"/>
            <w:vAlign w:val="bottom"/>
          </w:tcPr>
          <w:p>
            <w:pPr>
              <w:jc w:val="center"/>
              <w:ind w:left="22"/>
              <w:spacing w:after="0" w:line="135" w:lineRule="exact"/>
              <w:rPr>
                <w:sz w:val="20"/>
                <w:szCs w:val="20"/>
                <w:color w:val="auto"/>
              </w:rPr>
            </w:pPr>
            <w:r>
              <w:rPr>
                <w:rFonts w:ascii="Arial" w:cs="Arial" w:eastAsia="Arial" w:hAnsi="Arial"/>
                <w:sz w:val="13"/>
                <w:szCs w:val="13"/>
                <w:b w:val="1"/>
                <w:bCs w:val="1"/>
                <w:color w:val="auto"/>
                <w:w w:val="84"/>
              </w:rPr>
              <w:t>Subsequent to</w:t>
            </w:r>
          </w:p>
        </w:tc>
        <w:tc>
          <w:tcPr>
            <w:tcW w:w="1320" w:type="dxa"/>
            <w:vAlign w:val="bottom"/>
            <w:gridSpan w:val="2"/>
          </w:tcPr>
          <w:p>
            <w:pPr>
              <w:jc w:val="center"/>
              <w:ind w:right="34"/>
              <w:spacing w:after="0" w:line="135" w:lineRule="exact"/>
              <w:rPr>
                <w:sz w:val="20"/>
                <w:szCs w:val="20"/>
                <w:color w:val="auto"/>
              </w:rPr>
            </w:pPr>
            <w:r>
              <w:rPr>
                <w:rFonts w:ascii="Arial" w:cs="Arial" w:eastAsia="Arial" w:hAnsi="Arial"/>
                <w:sz w:val="13"/>
                <w:szCs w:val="13"/>
                <w:b w:val="1"/>
                <w:bCs w:val="1"/>
                <w:color w:val="auto"/>
                <w:w w:val="88"/>
              </w:rPr>
              <w:t>Carried at Close of</w:t>
            </w:r>
          </w:p>
        </w:tc>
        <w:tc>
          <w:tcPr>
            <w:tcW w:w="1520" w:type="dxa"/>
            <w:vAlign w:val="bottom"/>
            <w:gridSpan w:val="2"/>
          </w:tcPr>
          <w:p>
            <w:pPr>
              <w:jc w:val="center"/>
              <w:ind w:left="33"/>
              <w:spacing w:after="0" w:line="135" w:lineRule="exact"/>
              <w:rPr>
                <w:sz w:val="20"/>
                <w:szCs w:val="20"/>
                <w:color w:val="auto"/>
              </w:rPr>
            </w:pPr>
            <w:r>
              <w:rPr>
                <w:rFonts w:ascii="Arial" w:cs="Arial" w:eastAsia="Arial" w:hAnsi="Arial"/>
                <w:sz w:val="13"/>
                <w:szCs w:val="13"/>
                <w:b w:val="1"/>
                <w:bCs w:val="1"/>
                <w:color w:val="auto"/>
                <w:w w:val="85"/>
              </w:rPr>
              <w:t>Depreciation at Close</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Date of</w:t>
            </w:r>
          </w:p>
        </w:tc>
        <w:tc>
          <w:tcPr>
            <w:tcW w:w="118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Statement is</w:t>
            </w:r>
          </w:p>
        </w:tc>
      </w:tr>
      <w:tr>
        <w:trPr>
          <w:trHeight w:val="172"/>
        </w:trPr>
        <w:tc>
          <w:tcPr>
            <w:tcW w:w="1240" w:type="dxa"/>
            <w:vAlign w:val="bottom"/>
          </w:tcPr>
          <w:p>
            <w:pPr>
              <w:jc w:val="center"/>
              <w:ind w:left="73"/>
              <w:spacing w:after="0"/>
              <w:rPr>
                <w:sz w:val="20"/>
                <w:szCs w:val="20"/>
                <w:color w:val="auto"/>
              </w:rPr>
            </w:pPr>
            <w:r>
              <w:rPr>
                <w:rFonts w:ascii="Arial" w:cs="Arial" w:eastAsia="Arial" w:hAnsi="Arial"/>
                <w:sz w:val="13"/>
                <w:szCs w:val="13"/>
                <w:b w:val="1"/>
                <w:bCs w:val="1"/>
                <w:color w:val="auto"/>
                <w:w w:val="86"/>
              </w:rPr>
              <w:t>Description</w:t>
            </w:r>
          </w:p>
        </w:tc>
        <w:tc>
          <w:tcPr>
            <w:tcW w:w="320" w:type="dxa"/>
            <w:vAlign w:val="bottom"/>
          </w:tcPr>
          <w:p>
            <w:pPr>
              <w:spacing w:after="0"/>
              <w:rPr>
                <w:sz w:val="14"/>
                <w:szCs w:val="14"/>
                <w:color w:val="auto"/>
              </w:rPr>
            </w:pPr>
          </w:p>
        </w:tc>
        <w:tc>
          <w:tcPr>
            <w:tcW w:w="1100" w:type="dxa"/>
            <w:vAlign w:val="bottom"/>
          </w:tcPr>
          <w:p>
            <w:pPr>
              <w:jc w:val="right"/>
              <w:ind w:right="173"/>
              <w:spacing w:after="0"/>
              <w:rPr>
                <w:sz w:val="20"/>
                <w:szCs w:val="20"/>
                <w:color w:val="auto"/>
              </w:rPr>
            </w:pPr>
            <w:r>
              <w:rPr>
                <w:rFonts w:ascii="Arial" w:cs="Arial" w:eastAsia="Arial" w:hAnsi="Arial"/>
                <w:sz w:val="13"/>
                <w:szCs w:val="13"/>
                <w:b w:val="1"/>
                <w:bCs w:val="1"/>
                <w:color w:val="auto"/>
                <w:w w:val="90"/>
              </w:rPr>
              <w:t>Encumbrances</w:t>
            </w:r>
          </w:p>
        </w:tc>
        <w:tc>
          <w:tcPr>
            <w:tcW w:w="3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7"/>
              </w:rPr>
              <w:t>Company</w:t>
            </w:r>
          </w:p>
        </w:tc>
        <w:tc>
          <w:tcPr>
            <w:tcW w:w="1120" w:type="dxa"/>
            <w:vAlign w:val="bottom"/>
          </w:tcPr>
          <w:p>
            <w:pPr>
              <w:jc w:val="center"/>
              <w:ind w:left="2"/>
              <w:spacing w:after="0"/>
              <w:rPr>
                <w:sz w:val="20"/>
                <w:szCs w:val="20"/>
                <w:color w:val="auto"/>
              </w:rPr>
            </w:pPr>
            <w:r>
              <w:rPr>
                <w:rFonts w:ascii="Arial" w:cs="Arial" w:eastAsia="Arial" w:hAnsi="Arial"/>
                <w:sz w:val="13"/>
                <w:szCs w:val="13"/>
                <w:b w:val="1"/>
                <w:bCs w:val="1"/>
                <w:color w:val="auto"/>
                <w:w w:val="87"/>
              </w:rPr>
              <w:t>Acquisition</w:t>
            </w:r>
          </w:p>
        </w:tc>
        <w:tc>
          <w:tcPr>
            <w:tcW w:w="180" w:type="dxa"/>
            <w:vAlign w:val="bottom"/>
          </w:tcPr>
          <w:p>
            <w:pPr>
              <w:spacing w:after="0"/>
              <w:rPr>
                <w:sz w:val="14"/>
                <w:szCs w:val="14"/>
                <w:color w:val="auto"/>
              </w:rPr>
            </w:pPr>
          </w:p>
        </w:tc>
        <w:tc>
          <w:tcPr>
            <w:tcW w:w="1140" w:type="dxa"/>
            <w:vAlign w:val="bottom"/>
          </w:tcPr>
          <w:p>
            <w:pPr>
              <w:jc w:val="center"/>
              <w:ind w:right="214"/>
              <w:spacing w:after="0"/>
              <w:rPr>
                <w:sz w:val="20"/>
                <w:szCs w:val="20"/>
                <w:color w:val="auto"/>
              </w:rPr>
            </w:pPr>
            <w:r>
              <w:rPr>
                <w:rFonts w:ascii="Arial" w:cs="Arial" w:eastAsia="Arial" w:hAnsi="Arial"/>
                <w:sz w:val="13"/>
                <w:szCs w:val="13"/>
                <w:b w:val="1"/>
                <w:bCs w:val="1"/>
                <w:color w:val="auto"/>
                <w:w w:val="90"/>
              </w:rPr>
              <w:t>Current Period</w:t>
            </w:r>
          </w:p>
        </w:tc>
        <w:tc>
          <w:tcPr>
            <w:tcW w:w="300" w:type="dxa"/>
            <w:vAlign w:val="bottom"/>
          </w:tcPr>
          <w:p>
            <w:pPr>
              <w:spacing w:after="0"/>
              <w:rPr>
                <w:sz w:val="14"/>
                <w:szCs w:val="14"/>
                <w:color w:val="auto"/>
              </w:rPr>
            </w:pPr>
          </w:p>
        </w:tc>
        <w:tc>
          <w:tcPr>
            <w:tcW w:w="1220" w:type="dxa"/>
            <w:vAlign w:val="bottom"/>
          </w:tcPr>
          <w:p>
            <w:pPr>
              <w:jc w:val="center"/>
              <w:ind w:right="154"/>
              <w:spacing w:after="0"/>
              <w:rPr>
                <w:sz w:val="20"/>
                <w:szCs w:val="20"/>
                <w:color w:val="auto"/>
              </w:rPr>
            </w:pPr>
            <w:r>
              <w:rPr>
                <w:rFonts w:ascii="Arial" w:cs="Arial" w:eastAsia="Arial" w:hAnsi="Arial"/>
                <w:sz w:val="13"/>
                <w:szCs w:val="13"/>
                <w:b w:val="1"/>
                <w:bCs w:val="1"/>
                <w:color w:val="auto"/>
                <w:w w:val="89"/>
              </w:rPr>
              <w:t>of Current Period</w:t>
            </w:r>
          </w:p>
        </w:tc>
        <w:tc>
          <w:tcPr>
            <w:tcW w:w="1020" w:type="dxa"/>
            <w:vAlign w:val="bottom"/>
          </w:tcPr>
          <w:p>
            <w:pPr>
              <w:jc w:val="center"/>
              <w:ind w:right="14"/>
              <w:spacing w:after="0"/>
              <w:rPr>
                <w:sz w:val="20"/>
                <w:szCs w:val="20"/>
                <w:color w:val="auto"/>
              </w:rPr>
            </w:pPr>
            <w:r>
              <w:rPr>
                <w:rFonts w:ascii="Arial" w:cs="Arial" w:eastAsia="Arial" w:hAnsi="Arial"/>
                <w:sz w:val="13"/>
                <w:szCs w:val="13"/>
                <w:b w:val="1"/>
                <w:bCs w:val="1"/>
                <w:color w:val="auto"/>
                <w:w w:val="86"/>
              </w:rPr>
              <w:t>Construction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8"/>
              </w:rPr>
              <w:t>Date Acquired</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7"/>
              </w:rPr>
              <w:t>Computed</w:t>
            </w:r>
          </w:p>
        </w:tc>
      </w:tr>
      <w:tr>
        <w:trPr>
          <w:trHeight w:val="278"/>
        </w:trPr>
        <w:tc>
          <w:tcPr>
            <w:tcW w:w="1240" w:type="dxa"/>
            <w:vAlign w:val="bottom"/>
            <w:shd w:val="clear" w:color="auto" w:fill="CCEEFF"/>
          </w:tcPr>
          <w:p>
            <w:pPr>
              <w:jc w:val="center"/>
              <w:ind w:left="93"/>
              <w:spacing w:after="0"/>
              <w:rPr>
                <w:sz w:val="20"/>
                <w:szCs w:val="20"/>
                <w:color w:val="auto"/>
              </w:rPr>
            </w:pPr>
            <w:r>
              <w:rPr>
                <w:rFonts w:ascii="Arial" w:cs="Arial" w:eastAsia="Arial" w:hAnsi="Arial"/>
                <w:sz w:val="14"/>
                <w:szCs w:val="14"/>
                <w:color w:val="auto"/>
                <w:w w:val="92"/>
              </w:rPr>
              <w:t>7,555 sites</w:t>
            </w:r>
            <w:r>
              <w:rPr>
                <w:rFonts w:ascii="Arial" w:cs="Arial" w:eastAsia="Arial" w:hAnsi="Arial"/>
                <w:sz w:val="8"/>
                <w:szCs w:val="8"/>
                <w:color w:val="auto"/>
                <w:w w:val="92"/>
              </w:rPr>
              <w:t>(1)</w:t>
            </w: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994,047</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(2)</w:t>
            </w:r>
          </w:p>
        </w:tc>
        <w:tc>
          <w:tcPr>
            <w:tcW w:w="1020" w:type="dxa"/>
            <w:vAlign w:val="bottom"/>
            <w:shd w:val="clear" w:color="auto" w:fill="CCEEFF"/>
          </w:tcPr>
          <w:p>
            <w:pPr>
              <w:jc w:val="right"/>
              <w:ind w:right="403"/>
              <w:spacing w:after="0"/>
              <w:rPr>
                <w:sz w:val="20"/>
                <w:szCs w:val="20"/>
                <w:color w:val="auto"/>
              </w:rPr>
            </w:pPr>
            <w:r>
              <w:rPr>
                <w:rFonts w:ascii="Arial" w:cs="Arial" w:eastAsia="Arial" w:hAnsi="Arial"/>
                <w:sz w:val="9"/>
                <w:szCs w:val="9"/>
                <w:color w:val="auto"/>
              </w:rPr>
              <w:t>(3)</w:t>
            </w:r>
          </w:p>
        </w:tc>
        <w:tc>
          <w:tcPr>
            <w:tcW w:w="1120" w:type="dxa"/>
            <w:vAlign w:val="bottom"/>
            <w:shd w:val="clear" w:color="auto" w:fill="CCEEFF"/>
          </w:tcPr>
          <w:p>
            <w:pPr>
              <w:jc w:val="right"/>
              <w:ind w:right="442"/>
              <w:spacing w:after="0"/>
              <w:rPr>
                <w:sz w:val="20"/>
                <w:szCs w:val="20"/>
                <w:color w:val="auto"/>
              </w:rPr>
            </w:pPr>
            <w:r>
              <w:rPr>
                <w:rFonts w:ascii="Arial" w:cs="Arial" w:eastAsia="Arial" w:hAnsi="Arial"/>
                <w:sz w:val="9"/>
                <w:szCs w:val="9"/>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4"/>
                <w:szCs w:val="14"/>
                <w:color w:val="auto"/>
              </w:rPr>
              <w:t>2,029,667</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(1,011,900)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Up to 20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 single site exceeds 5% of the aggregate gross amounts at which the assets were carried at the close of the period set forth in the table above.</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December 31, 2018, all of the Company's debt is secured by a pledge of the equity interests in each applicable Guarantor.</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 has omitted this information, as it would be impracticable to compile such information on a site-by-site basis.</w:t>
      </w:r>
    </w:p>
    <w:p>
      <w:pPr>
        <w:spacing w:after="0" w:line="200" w:lineRule="exact"/>
        <w:rPr>
          <w:sz w:val="20"/>
          <w:szCs w:val="20"/>
          <w:color w:val="auto"/>
        </w:rPr>
      </w:pP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at beginning</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1,960,703</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1,917,553</w:t>
            </w: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Additions during period:</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2"/>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Acquisitions through foreclosure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640" w:type="dxa"/>
            <w:vAlign w:val="bottom"/>
          </w:tcPr>
          <w:p>
            <w:pPr>
              <w:ind w:left="580"/>
              <w:spacing w:after="0"/>
              <w:rPr>
                <w:sz w:val="20"/>
                <w:szCs w:val="20"/>
                <w:color w:val="auto"/>
              </w:rPr>
            </w:pPr>
            <w:r>
              <w:rPr>
                <w:rFonts w:ascii="Arial" w:cs="Arial" w:eastAsia="Arial" w:hAnsi="Arial"/>
                <w:sz w:val="14"/>
                <w:szCs w:val="14"/>
                <w:color w:val="auto"/>
              </w:rPr>
              <w:t>Other acquisitions</w:t>
            </w:r>
          </w:p>
        </w:tc>
        <w:tc>
          <w:tcPr>
            <w:tcW w:w="3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Communications infrastructure construction and improvements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63,590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40,051</w:t>
            </w:r>
          </w:p>
        </w:tc>
      </w:tr>
      <w:tr>
        <w:trPr>
          <w:trHeight w:val="210"/>
        </w:trPr>
        <w:tc>
          <w:tcPr>
            <w:tcW w:w="8640" w:type="dxa"/>
            <w:vAlign w:val="bottom"/>
          </w:tcPr>
          <w:p>
            <w:pPr>
              <w:ind w:left="580"/>
              <w:spacing w:after="0"/>
              <w:rPr>
                <w:sz w:val="20"/>
                <w:szCs w:val="20"/>
                <w:color w:val="auto"/>
              </w:rPr>
            </w:pPr>
            <w:r>
              <w:rPr>
                <w:rFonts w:ascii="Arial" w:cs="Arial" w:eastAsia="Arial" w:hAnsi="Arial"/>
                <w:sz w:val="14"/>
                <w:szCs w:val="14"/>
                <w:color w:val="auto"/>
              </w:rPr>
              <w:t>Purchase of land interests</w:t>
            </w:r>
          </w:p>
        </w:tc>
        <w:tc>
          <w:tcPr>
            <w:tcW w:w="3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Sustaining capital expenditures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7,560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9,500</w:t>
            </w:r>
          </w:p>
        </w:tc>
      </w:tr>
      <w:tr>
        <w:trPr>
          <w:trHeight w:val="210"/>
        </w:trPr>
        <w:tc>
          <w:tcPr>
            <w:tcW w:w="864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additions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71,150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49,551</w:t>
            </w: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Deductions during period:</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9"/>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Cost of real estate sold or disposed</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(6,401)</w:t>
            </w:r>
          </w:p>
        </w:tc>
      </w:tr>
      <w:tr>
        <w:trPr>
          <w:trHeight w:val="210"/>
        </w:trPr>
        <w:tc>
          <w:tcPr>
            <w:tcW w:w="864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deductions:</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(2,186)</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(6,401)</w:t>
            </w:r>
          </w:p>
        </w:tc>
      </w:tr>
      <w:tr>
        <w:trPr>
          <w:trHeight w:val="216"/>
        </w:trPr>
        <w:tc>
          <w:tcPr>
            <w:tcW w:w="8640" w:type="dxa"/>
            <w:vAlign w:val="bottom"/>
          </w:tcPr>
          <w:p>
            <w:pPr>
              <w:ind w:left="20"/>
              <w:spacing w:after="0"/>
              <w:rPr>
                <w:sz w:val="20"/>
                <w:szCs w:val="20"/>
                <w:color w:val="auto"/>
              </w:rPr>
            </w:pPr>
            <w:r>
              <w:rPr>
                <w:rFonts w:ascii="Arial" w:cs="Arial" w:eastAsia="Arial" w:hAnsi="Arial"/>
                <w:sz w:val="14"/>
                <w:szCs w:val="14"/>
                <w:color w:val="auto"/>
              </w:rPr>
              <w:t>Balance at end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2,029,667</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1,960,703</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20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of accumulated depreciation at beginning</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(919,546)</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(828,670)</w:t>
            </w: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Additions during period:</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3"/>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Depreciation</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(93,790)</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(94,348)</w:t>
            </w:r>
          </w:p>
        </w:tc>
      </w:tr>
      <w:tr>
        <w:trPr>
          <w:trHeight w:val="196"/>
        </w:trPr>
        <w:tc>
          <w:tcPr>
            <w:tcW w:w="8640" w:type="dxa"/>
            <w:vAlign w:val="bottom"/>
          </w:tcPr>
          <w:p>
            <w:pPr>
              <w:ind w:left="20"/>
              <w:spacing w:after="0"/>
              <w:rPr>
                <w:sz w:val="20"/>
                <w:szCs w:val="20"/>
                <w:color w:val="auto"/>
              </w:rPr>
            </w:pPr>
            <w:r>
              <w:rPr>
                <w:rFonts w:ascii="Arial" w:cs="Arial" w:eastAsia="Arial" w:hAnsi="Arial"/>
                <w:sz w:val="14"/>
                <w:szCs w:val="14"/>
                <w:color w:val="auto"/>
              </w:rPr>
              <w:t>Total additions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(93,790)</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(94,348)</w:t>
            </w:r>
          </w:p>
        </w:tc>
      </w:tr>
      <w:tr>
        <w:trPr>
          <w:trHeight w:val="27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Deductions during period:</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10"/>
        </w:trPr>
        <w:tc>
          <w:tcPr>
            <w:tcW w:w="8640" w:type="dxa"/>
            <w:vAlign w:val="bottom"/>
          </w:tcPr>
          <w:p>
            <w:pPr>
              <w:ind w:left="580"/>
              <w:spacing w:after="0"/>
              <w:rPr>
                <w:sz w:val="20"/>
                <w:szCs w:val="20"/>
                <w:color w:val="auto"/>
              </w:rPr>
            </w:pPr>
            <w:r>
              <w:rPr>
                <w:rFonts w:ascii="Arial" w:cs="Arial" w:eastAsia="Arial" w:hAnsi="Arial"/>
                <w:sz w:val="14"/>
                <w:szCs w:val="14"/>
                <w:color w:val="auto"/>
              </w:rPr>
              <w:t>Amount for assets sold or disposed</w:t>
            </w:r>
          </w:p>
        </w:tc>
        <w:tc>
          <w:tcPr>
            <w:tcW w:w="3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1,436</w:t>
            </w:r>
          </w:p>
        </w:tc>
        <w:tc>
          <w:tcPr>
            <w:tcW w:w="30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3,472</w:t>
            </w:r>
          </w:p>
        </w:tc>
      </w:tr>
      <w:tr>
        <w:trPr>
          <w:trHeight w:val="216"/>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deductions</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1,436</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3,472</w:t>
            </w:r>
          </w:p>
        </w:tc>
      </w:tr>
      <w:tr>
        <w:trPr>
          <w:trHeight w:val="202"/>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(1,011,900)</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(919,546)</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Other Financial Statements of CC Holdings GS V LLC's Subsidiaries: Global Signal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Acquisitions LLC, Global Signal Acquisitions II LLC and Pinnacle Towers LLC</w:t>
      </w:r>
    </w:p>
    <w:p>
      <w:pPr>
        <w:spacing w:after="0" w:line="1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financial statements for CC Holdings GS V LLC's wholly-owned subsidiaries, Global Signal Acquisitions LLC, Global Signal Acquisitions II LLC and Pinnacle Towers LLC, are included pursuant to Regulation S-X, Rule 3-16, "Financial Statements of Affiliates Whose Securities Collateralize an Issue Registered or Being Registered."</w:t>
      </w:r>
    </w:p>
    <w:p>
      <w:pPr>
        <w:spacing w:after="0" w:line="12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Global Signal Acquisitions LLC</w:t>
      </w:r>
    </w:p>
    <w:p>
      <w:pPr>
        <w:spacing w:after="0" w:line="17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Global Signal Acquisitions LLC Financial Statements</w:t>
      </w:r>
    </w:p>
    <w:p>
      <w:pPr>
        <w:spacing w:after="0" w:line="2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Years Ended December 31, 2018, 2017 and 2016</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Report of Independent Registered Public Accounting Firm</w:t>
            </w:r>
          </w:p>
        </w:tc>
        <w:tc>
          <w:tcPr>
            <w:tcW w:w="6520" w:type="dxa"/>
            <w:vAlign w:val="bottom"/>
            <w:gridSpan w:val="8"/>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S-3</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Balance Sheet as of December 31, 2018 and 2017</w:t>
            </w:r>
          </w:p>
        </w:tc>
        <w:tc>
          <w:tcPr>
            <w:tcW w:w="7180" w:type="dxa"/>
            <w:vAlign w:val="bottom"/>
            <w:gridSpan w:val="10"/>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S-4</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Statement of Operations for each of the three years in the period ended December 31, 2018</w:t>
            </w:r>
          </w:p>
        </w:tc>
        <w:tc>
          <w:tcPr>
            <w:tcW w:w="420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S-5</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Statement of Cash Flows for each of the three years in the period ended December 31, 2018</w:t>
            </w:r>
          </w:p>
        </w:tc>
        <w:tc>
          <w:tcPr>
            <w:tcW w:w="40" w:type="dxa"/>
            <w:vAlign w:val="bottom"/>
          </w:tcPr>
          <w:p>
            <w:pPr>
              <w:spacing w:after="0"/>
              <w:rPr>
                <w:sz w:val="21"/>
                <w:szCs w:val="21"/>
                <w:color w:val="auto"/>
              </w:rPr>
            </w:pPr>
          </w:p>
        </w:tc>
        <w:tc>
          <w:tcPr>
            <w:tcW w:w="260" w:type="dxa"/>
            <w:vAlign w:val="bottom"/>
            <w:vMerge w:val="restart"/>
          </w:tcPr>
          <w:p>
            <w:pPr>
              <w:jc w:val="cente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S-6</w:t>
              </w:r>
            </w:hyperlink>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0000EE"/>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Statement of Changes in Member's Equity for each of the three years in the period ended December 31, 2018</w:t>
            </w:r>
          </w:p>
        </w:tc>
        <w:tc>
          <w:tcPr>
            <w:tcW w:w="40" w:type="dxa"/>
            <w:vAlign w:val="bottom"/>
          </w:tcPr>
          <w:p>
            <w:pPr>
              <w:spacing w:after="0"/>
              <w:rPr>
                <w:sz w:val="21"/>
                <w:szCs w:val="21"/>
                <w:color w:val="auto"/>
              </w:rPr>
            </w:pPr>
          </w:p>
        </w:tc>
        <w:tc>
          <w:tcPr>
            <w:tcW w:w="260" w:type="dxa"/>
            <w:vAlign w:val="bottom"/>
            <w:vMerge w:val="restart"/>
          </w:tcPr>
          <w:p>
            <w:pPr>
              <w:jc w:val="cente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S-7</w:t>
              </w:r>
            </w:hyperlink>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0000EE"/>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Notes to Financial Statements</w:t>
            </w:r>
          </w:p>
        </w:tc>
        <w:tc>
          <w:tcPr>
            <w:tcW w:w="40" w:type="dxa"/>
            <w:vAlign w:val="bottom"/>
          </w:tcPr>
          <w:p>
            <w:pPr>
              <w:spacing w:after="0"/>
              <w:rPr>
                <w:sz w:val="21"/>
                <w:szCs w:val="21"/>
                <w:color w:val="auto"/>
              </w:rPr>
            </w:pPr>
          </w:p>
        </w:tc>
        <w:tc>
          <w:tcPr>
            <w:tcW w:w="300" w:type="dxa"/>
            <w:vAlign w:val="bottom"/>
            <w:gridSpan w:val="2"/>
          </w:tcPr>
          <w:p>
            <w:pPr>
              <w:jc w:val="center"/>
              <w:ind w:right="40"/>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S-8</w:t>
              </w:r>
            </w:hyperlink>
          </w:p>
        </w:tc>
        <w:tc>
          <w:tcPr>
            <w:tcW w:w="0" w:type="dxa"/>
            <w:vAlign w:val="bottom"/>
          </w:tcPr>
          <w:p>
            <w:pPr>
              <w:spacing w:after="0"/>
              <w:rPr>
                <w:sz w:val="1"/>
                <w:szCs w:val="1"/>
                <w:color w:val="auto"/>
              </w:rPr>
            </w:pPr>
          </w:p>
        </w:tc>
      </w:tr>
      <w:tr>
        <w:trPr>
          <w:trHeight w:val="426"/>
        </w:trPr>
        <w:tc>
          <w:tcPr>
            <w:tcW w:w="21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8"/>
          </w:tcPr>
          <w:p>
            <w:pPr>
              <w:jc w:val="center"/>
              <w:ind w:right="3240"/>
              <w:spacing w:after="0"/>
              <w:rPr>
                <w:sz w:val="20"/>
                <w:szCs w:val="20"/>
                <w:color w:val="auto"/>
              </w:rPr>
            </w:pPr>
            <w:r>
              <w:rPr>
                <w:rFonts w:ascii="Arial" w:cs="Arial" w:eastAsia="Arial" w:hAnsi="Arial"/>
                <w:sz w:val="18"/>
                <w:szCs w:val="18"/>
                <w:b w:val="1"/>
                <w:bCs w:val="1"/>
                <w:color w:val="auto"/>
                <w:w w:val="93"/>
              </w:rPr>
              <w:t>Global Signal Acquisitions II LLC</w:t>
            </w:r>
          </w:p>
        </w:tc>
        <w:tc>
          <w:tcPr>
            <w:tcW w:w="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80" w:type="dxa"/>
            <w:vAlign w:val="bottom"/>
            <w:gridSpan w:val="10"/>
          </w:tcPr>
          <w:p>
            <w:pPr>
              <w:jc w:val="center"/>
              <w:ind w:right="2580"/>
              <w:spacing w:after="0"/>
              <w:rPr>
                <w:sz w:val="20"/>
                <w:szCs w:val="20"/>
                <w:color w:val="auto"/>
              </w:rPr>
            </w:pPr>
            <w:r>
              <w:rPr>
                <w:rFonts w:ascii="Arial" w:cs="Arial" w:eastAsia="Arial" w:hAnsi="Arial"/>
                <w:sz w:val="18"/>
                <w:szCs w:val="18"/>
                <w:color w:val="auto"/>
                <w:w w:val="93"/>
              </w:rPr>
              <w:t>Global Signal Acquisitions II LLC Financial Statements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80" w:type="dxa"/>
            <w:vAlign w:val="bottom"/>
            <w:gridSpan w:val="10"/>
          </w:tcPr>
          <w:p>
            <w:pPr>
              <w:jc w:val="center"/>
              <w:ind w:right="2580"/>
              <w:spacing w:after="0"/>
              <w:rPr>
                <w:sz w:val="20"/>
                <w:szCs w:val="20"/>
                <w:color w:val="auto"/>
              </w:rPr>
            </w:pPr>
            <w:r>
              <w:rPr>
                <w:rFonts w:ascii="Arial" w:cs="Arial" w:eastAsia="Arial" w:hAnsi="Arial"/>
                <w:sz w:val="18"/>
                <w:szCs w:val="18"/>
                <w:color w:val="auto"/>
                <w:w w:val="88"/>
              </w:rPr>
              <w:t>Years Ended December 31, 2018, 2017 and 2016</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Report of Independent Registered Public Accounting Firm</w:t>
            </w:r>
          </w:p>
        </w:tc>
        <w:tc>
          <w:tcPr>
            <w:tcW w:w="6520" w:type="dxa"/>
            <w:vAlign w:val="bottom"/>
            <w:gridSpan w:val="8"/>
          </w:tcPr>
          <w:p>
            <w:pPr>
              <w:spacing w:after="0"/>
              <w:rPr>
                <w:sz w:val="20"/>
                <w:szCs w:val="20"/>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S-18</w:t>
              </w:r>
            </w:hyperlink>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Balance Sheet as of December 31, 2018 and 2017</w:t>
            </w:r>
          </w:p>
        </w:tc>
        <w:tc>
          <w:tcPr>
            <w:tcW w:w="7180" w:type="dxa"/>
            <w:vAlign w:val="bottom"/>
            <w:gridSpan w:val="10"/>
          </w:tcPr>
          <w:p>
            <w:pPr>
              <w:spacing w:after="0"/>
              <w:rPr>
                <w:sz w:val="21"/>
                <w:szCs w:val="21"/>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S-19</w:t>
              </w:r>
            </w:hyperlink>
          </w:p>
        </w:tc>
        <w:tc>
          <w:tcPr>
            <w:tcW w:w="0" w:type="dxa"/>
            <w:vAlign w:val="bottom"/>
          </w:tcPr>
          <w:p>
            <w:pPr>
              <w:spacing w:after="0"/>
              <w:rPr>
                <w:sz w:val="1"/>
                <w:szCs w:val="1"/>
                <w:color w:val="auto"/>
              </w:rPr>
            </w:pPr>
          </w:p>
        </w:tc>
      </w:tr>
      <w:tr>
        <w:trPr>
          <w:trHeight w:val="250"/>
        </w:trPr>
        <w:tc>
          <w:tcPr>
            <w:tcW w:w="65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Statement of Operations for each of the three years in the period ended December 31, 2018</w:t>
            </w:r>
          </w:p>
        </w:tc>
        <w:tc>
          <w:tcPr>
            <w:tcW w:w="4200" w:type="dxa"/>
            <w:vAlign w:val="bottom"/>
            <w:gridSpan w:val="6"/>
          </w:tcPr>
          <w:p>
            <w:pPr>
              <w:spacing w:after="0"/>
              <w:rPr>
                <w:sz w:val="21"/>
                <w:szCs w:val="21"/>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S-20</w:t>
              </w:r>
            </w:hyperlink>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Statement of Cash Flows for each of the three years in the period ended December 31, 2018</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S-21</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Statement of Changes in Member's Equity for each of the three years in the period ended December 31, 2018</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S-22</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Notes to Financial Statements</w:t>
            </w:r>
          </w:p>
        </w:tc>
        <w:tc>
          <w:tcPr>
            <w:tcW w:w="340" w:type="dxa"/>
            <w:vAlign w:val="bottom"/>
            <w:gridSpan w:val="3"/>
          </w:tcPr>
          <w:p>
            <w:pPr>
              <w:jc w:val="cente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S-23</w:t>
              </w:r>
            </w:hyperlink>
          </w:p>
        </w:tc>
        <w:tc>
          <w:tcPr>
            <w:tcW w:w="0" w:type="dxa"/>
            <w:vAlign w:val="bottom"/>
          </w:tcPr>
          <w:p>
            <w:pPr>
              <w:spacing w:after="0"/>
              <w:rPr>
                <w:sz w:val="1"/>
                <w:szCs w:val="1"/>
                <w:color w:val="auto"/>
              </w:rPr>
            </w:pPr>
          </w:p>
        </w:tc>
      </w:tr>
      <w:tr>
        <w:trPr>
          <w:trHeight w:val="426"/>
        </w:trPr>
        <w:tc>
          <w:tcPr>
            <w:tcW w:w="21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gridSpan w:val="7"/>
          </w:tcPr>
          <w:p>
            <w:pPr>
              <w:jc w:val="center"/>
              <w:ind w:right="3580"/>
              <w:spacing w:after="0"/>
              <w:rPr>
                <w:sz w:val="20"/>
                <w:szCs w:val="20"/>
                <w:color w:val="auto"/>
              </w:rPr>
            </w:pPr>
            <w:r>
              <w:rPr>
                <w:rFonts w:ascii="Arial" w:cs="Arial" w:eastAsia="Arial" w:hAnsi="Arial"/>
                <w:sz w:val="18"/>
                <w:szCs w:val="18"/>
                <w:b w:val="1"/>
                <w:bCs w:val="1"/>
                <w:color w:val="auto"/>
                <w:w w:val="92"/>
              </w:rPr>
              <w:t>Pinnacle Towers LLC</w:t>
            </w: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8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Pinnacle Towers LLC Consolidated Financial Statements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80" w:type="dxa"/>
            <w:vAlign w:val="bottom"/>
            <w:gridSpan w:val="10"/>
          </w:tcPr>
          <w:p>
            <w:pPr>
              <w:jc w:val="center"/>
              <w:ind w:right="2580"/>
              <w:spacing w:after="0"/>
              <w:rPr>
                <w:sz w:val="20"/>
                <w:szCs w:val="20"/>
                <w:color w:val="auto"/>
              </w:rPr>
            </w:pPr>
            <w:r>
              <w:rPr>
                <w:rFonts w:ascii="Arial" w:cs="Arial" w:eastAsia="Arial" w:hAnsi="Arial"/>
                <w:sz w:val="18"/>
                <w:szCs w:val="18"/>
                <w:color w:val="auto"/>
                <w:w w:val="88"/>
              </w:rPr>
              <w:t>Years Ended December 31, 2018, 2017 and 2016</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36"/>
        </w:trPr>
        <w:tc>
          <w:tcPr>
            <w:tcW w:w="42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Report of Independent Registered Public Accounting Firm</w:t>
            </w:r>
          </w:p>
        </w:tc>
        <w:tc>
          <w:tcPr>
            <w:tcW w:w="6540" w:type="dxa"/>
            <w:vAlign w:val="bottom"/>
            <w:gridSpan w:val="9"/>
          </w:tcPr>
          <w:p>
            <w:pPr>
              <w:spacing w:after="0"/>
              <w:rPr>
                <w:sz w:val="20"/>
                <w:szCs w:val="20"/>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S-33</w:t>
              </w:r>
            </w:hyperlink>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Consolidated Balance Sheet as of December 31, 2018 and 2017</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S-34</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Consolidated Statement of Operations for each of the three years in the period ended December 31, 2018</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S-35</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Consolidated Statement of Cash Flows for each of the three years in the period ended December 31, 2018</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S-36</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Consolidated Statement of Changes in Member's Equity for each of the three years in the period ended December 31, 2018</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S-37</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Notes to Consolidated Financial Statements</w:t>
            </w:r>
          </w:p>
        </w:tc>
        <w:tc>
          <w:tcPr>
            <w:tcW w:w="340" w:type="dxa"/>
            <w:vAlign w:val="bottom"/>
            <w:gridSpan w:val="3"/>
          </w:tcPr>
          <w:p>
            <w:pPr>
              <w:jc w:val="cente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S-38</w:t>
              </w:r>
            </w:hyperlink>
          </w:p>
        </w:tc>
        <w:tc>
          <w:tcPr>
            <w:tcW w:w="0" w:type="dxa"/>
            <w:vAlign w:val="bottom"/>
          </w:tcPr>
          <w:p>
            <w:pPr>
              <w:spacing w:after="0"/>
              <w:rPr>
                <w:sz w:val="1"/>
                <w:szCs w:val="1"/>
                <w:color w:val="auto"/>
              </w:rPr>
            </w:pPr>
          </w:p>
        </w:tc>
      </w:tr>
      <w:tr>
        <w:trPr>
          <w:trHeight w:val="885"/>
        </w:trPr>
        <w:tc>
          <w:tcPr>
            <w:tcW w:w="2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gridSpan w:val="7"/>
          </w:tcPr>
          <w:p>
            <w:pPr>
              <w:ind w:left="960"/>
              <w:spacing w:after="0"/>
              <w:rPr>
                <w:sz w:val="20"/>
                <w:szCs w:val="20"/>
                <w:color w:val="auto"/>
              </w:rPr>
            </w:pPr>
            <w:r>
              <w:rPr>
                <w:rFonts w:ascii="Arial" w:cs="Arial" w:eastAsia="Arial" w:hAnsi="Arial"/>
                <w:sz w:val="18"/>
                <w:szCs w:val="18"/>
                <w:color w:val="auto"/>
              </w:rPr>
              <w:t>S-1</w:t>
            </w: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Years Ended December 31, 2018, 2017 and 2016</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9019"/>
          </w:cols>
          <w:pgMar w:left="1440" w:top="580" w:right="1440"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Holdings GS V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audited the accompanying balance sheets of Global Signal Acquisitions LLC (the “Company”) as of December 31, 2018 and 2017, and the related statements of operations, cash flows and changes in member’s equity for each of the three years in the period ended December 31, 2018, including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58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Receivables, net of allowance of $131 and $82, respectively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364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1,895</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18,576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18,118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61,165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62,595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68,841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68,841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contracts and tenant relationships,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47,637</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2,970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2,973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w:t>
            </w:r>
          </w:p>
        </w:tc>
      </w:tr>
      <w:tr>
        <w:trPr>
          <w:trHeight w:val="284"/>
        </w:trPr>
        <w:tc>
          <w:tcPr>
            <w:tcW w:w="88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197,198</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203,594</w:t>
            </w:r>
          </w:p>
        </w:tc>
      </w:tr>
      <w:tr>
        <w:trPr>
          <w:trHeight w:val="217"/>
        </w:trPr>
        <w:tc>
          <w:tcPr>
            <w:tcW w:w="8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8800" w:type="dxa"/>
            <w:vAlign w:val="bottom"/>
          </w:tcPr>
          <w:p>
            <w:pPr>
              <w:ind w:left="33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Deferred ground lease payable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3,086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3,135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2,822</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7,274</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6,900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Commitments and contingencies (note 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Member's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189,924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196,694</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earnings (deficit)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189,924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196,694</w:t>
            </w:r>
          </w:p>
        </w:tc>
      </w:tr>
      <w:tr>
        <w:trPr>
          <w:trHeight w:val="244"/>
        </w:trPr>
        <w:tc>
          <w:tcPr>
            <w:tcW w:w="8800" w:type="dxa"/>
            <w:vAlign w:val="bottom"/>
          </w:tcPr>
          <w:p>
            <w:pPr>
              <w:ind w:left="60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197,198</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203,594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58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3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revenues—third parties</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31,092</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29,143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28,497</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Site rental revenues—related parties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2,322</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revenues—total</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33,518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31,501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30,819</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4"/>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5,322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5,127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5,454</w:t>
            </w:r>
          </w:p>
        </w:tc>
      </w:tr>
      <w:tr>
        <w:trPr>
          <w:trHeight w:val="270"/>
        </w:trPr>
        <w:tc>
          <w:tcPr>
            <w:tcW w:w="674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990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901</w:t>
            </w:r>
          </w:p>
        </w:tc>
      </w:tr>
      <w:tr>
        <w:trPr>
          <w:trHeight w:val="25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6,423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6,355</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2,478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2,394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2,258</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10,481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10,435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10,277</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19,394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19,000</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14,124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12,555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11,819</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14,130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12,571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11,814</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920" w:type="dxa"/>
            <w:vAlign w:val="bottom"/>
            <w:tcBorders>
              <w:top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14,125</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12,608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11,858</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580" w:right="23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14,125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12,608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11,858</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10,481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10,435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10,277</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Asset write-down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Decrease (increase) in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20"/>
        </w:trPr>
        <w:tc>
          <w:tcPr>
            <w:tcW w:w="7380" w:type="dxa"/>
            <w:vAlign w:val="bottom"/>
          </w:tcPr>
          <w:p>
            <w:pPr>
              <w:ind w:left="700"/>
              <w:spacing w:after="0"/>
              <w:rPr>
                <w:sz w:val="20"/>
                <w:szCs w:val="20"/>
                <w:color w:val="auto"/>
              </w:rPr>
            </w:pPr>
            <w:r>
              <w:rPr>
                <w:rFonts w:ascii="Arial" w:cs="Arial" w:eastAsia="Arial" w:hAnsi="Arial"/>
                <w:sz w:val="16"/>
                <w:szCs w:val="16"/>
                <w:color w:val="auto"/>
                <w:w w:val="92"/>
              </w:rPr>
              <w:t>Decrease (increase) in other current assets, deferred site rental receivable, long-term prepaid rent and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7380" w:type="dxa"/>
            <w:vAlign w:val="bottom"/>
          </w:tcPr>
          <w:p>
            <w:pPr>
              <w:ind w:left="86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(677)</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23,390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21,600</w:t>
            </w:r>
          </w:p>
        </w:tc>
      </w:tr>
      <w:tr>
        <w:trPr>
          <w:trHeight w:val="231"/>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(2,506)</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(2,506)</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Distributions to member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(21,268)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(19,094)</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(19,094)</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r>
      <w:tr>
        <w:trPr>
          <w:trHeight w:val="244"/>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60"/>
          </w:cols>
          <w:pgMar w:left="280" w:top="580"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204,889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7,701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212,590</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(19,094)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(19,094)</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11,858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11,858</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December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204,889</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465</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205,354</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(13,073)</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(21,268)</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12,608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12,608</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196,694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196,694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(20,895)</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14,125</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14,125</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December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189,924</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189,924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580" w:right="239" w:bottom="1440" w:gutter="0" w:footer="0" w:header="0"/>
        </w:sectPr>
      </w:pPr>
    </w:p>
    <w:bookmarkStart w:id="50" w:name="page51"/>
    <w:bookmarkEnd w:id="50"/>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accompanying financial statements reflect the financial position, results of operations and cash flows of Global Signal Acquisitions LLC ("Company"). The Company is a wholly-owned subsidiary of CC Holdings GS V LLC ("CCL"), which is an indirect, wholly-owned subsidiary of Crown Castle International Corp., a Delaware corporation ("CCIC" or "Crown Castle"). As used herein, the term "including," and any variation thereof means "including without limitations." The use of the word "or" herein is not exclusive.</w:t>
      </w:r>
    </w:p>
    <w:p>
      <w:pPr>
        <w:spacing w:after="0" w:line="13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is organized specifically to own, lease and manage towers and other structures (collectively, "towers") and to a lesser extent, interests in land under third party and related party towers in various forms ("land interests") (collectively, "communications infrastructure" or "sites") that are geographically dispersed across the United States ("U.S."). The Company's core business is providing access, including space or capacity, to its sites via long-term contracts in various forms, including lease, license and sublease agreements (collectively, "contracts"). The Company's existing customers on its communication infrastructure are referred to herein as "tenants." Management services related to communications towers and other communication sites are performed by Crown Castle USA Inc. ("CCUSA"), an affiliate of the Company, under a management agreement, as the Company has no employees.</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notes 2 and 7.</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those estimates.</w:t>
      </w:r>
    </w:p>
    <w:p>
      <w:pPr>
        <w:spacing w:after="0" w:line="305" w:lineRule="exact"/>
        <w:rPr>
          <w:sz w:val="20"/>
          <w:szCs w:val="20"/>
          <w:color w:val="auto"/>
        </w:rPr>
      </w:pPr>
    </w:p>
    <w:p>
      <w:pPr>
        <w:ind w:left="420" w:right="7620" w:hanging="412"/>
        <w:spacing w:after="0" w:line="440" w:lineRule="auto"/>
        <w:tabs>
          <w:tab w:leader="none" w:pos="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Receivables Allowance</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 of operations" and deductions from the allowance are recorded when specific accounts receivable are written off as uncollectible.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w:t>
      </w:r>
      <w:r>
        <w:rPr>
          <w:rFonts w:ascii="Arial" w:cs="Arial" w:eastAsia="Arial" w:hAnsi="Arial"/>
          <w:sz w:val="18"/>
          <w:szCs w:val="18"/>
          <w:i w:val="1"/>
          <w:iCs w:val="1"/>
          <w:color w:val="auto"/>
        </w:rPr>
        <w:t>"Costs of Operations"</w:t>
      </w:r>
      <w:r>
        <w:rPr>
          <w:rFonts w:ascii="Arial" w:cs="Arial" w:eastAsia="Arial" w:hAnsi="Arial"/>
          <w:sz w:val="18"/>
          <w:szCs w:val="18"/>
          <w:color w:val="auto"/>
        </w:rPr>
        <w:t xml:space="preserve">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a portion of space on a tower) and for which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objectively determinable, then such lease is accounted for as an operating lease. As applicable, operating leases are recognized on a straight-line basis as discussed under </w:t>
      </w:r>
      <w:r>
        <w:rPr>
          <w:rFonts w:ascii="Arial" w:cs="Arial" w:eastAsia="Arial" w:hAnsi="Arial"/>
          <w:sz w:val="18"/>
          <w:szCs w:val="18"/>
          <w:i w:val="1"/>
          <w:iCs w:val="1"/>
          <w:color w:val="auto"/>
        </w:rPr>
        <w:t>"Revenue Recognition."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Effective January 1, 2019, the Company adopted new lease accounting guidance on the recognition, measurement, presentation and disclosure of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below for further discussion.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straight-line method at rates based upon the estimated useful lives of the various classes of assets. Depreciation of communications infrastructure is generally computed with a useful life equal to the shorter of 20 years or the term of the underlying ground lease (including optional renewal periods). Additions, renewals or improvements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38" w:lineRule="exact"/>
        <w:rPr>
          <w:sz w:val="20"/>
          <w:szCs w:val="20"/>
          <w:color w:val="auto"/>
        </w:rPr>
      </w:pPr>
    </w:p>
    <w:p>
      <w:pPr>
        <w:ind w:left="420" w:right="660"/>
        <w:spacing w:after="0" w:line="438" w:lineRule="auto"/>
        <w:rPr>
          <w:sz w:val="20"/>
          <w:szCs w:val="20"/>
          <w:color w:val="auto"/>
        </w:rPr>
      </w:pPr>
      <w:r>
        <w:rPr>
          <w:rFonts w:ascii="Arial" w:cs="Arial" w:eastAsia="Arial" w:hAnsi="Arial"/>
          <w:sz w:val="18"/>
          <w:szCs w:val="18"/>
          <w:color w:val="auto"/>
        </w:rPr>
        <w:t xml:space="preserve">Abandonments and write-offs of property and equipment are recorded to "asset write-down charges" on the Company's statement of operations. </w:t>
      </w:r>
      <w:r>
        <w:rPr>
          <w:rFonts w:ascii="Arial" w:cs="Arial" w:eastAsia="Arial" w:hAnsi="Arial"/>
          <w:sz w:val="18"/>
          <w:szCs w:val="18"/>
          <w:b w:val="1"/>
          <w:bCs w:val="1"/>
          <w:i w:val="1"/>
          <w:iCs w:val="1"/>
          <w:color w:val="auto"/>
        </w:rPr>
        <w:t>Asset Retirement Obligations</w:t>
      </w:r>
    </w:p>
    <w:p>
      <w:pPr>
        <w:spacing w:after="0" w:line="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Pursuant to its ground lease and easement agreements, the Company records obligations to perform asset retirement activities, including requirements to remove communications infrastructure or remediate the land upon which the Company's communications infrastructure resides. Asset retirement obligations are included in "above-market leases and other liabilities" on the Company's balance sheet. The liability accretes as a result of the passage of time and the related accretion expense is included in "depreciation, amortization and accretion" expense on the Company's statement of operations. The associated asset retirement costs are capitalized as an additional carrying amount of the related long-lived asset and depreciated over the useful life of such asset.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any impairment if there is an indication from the first step that one exists. The Company's measurement of the fair value for goodwill is based on an estimate of discounted expected future cash flows of the reporting unit. The Company has one reporting unit for goodwill impairment testing. The Company performed its most recent annual goodwill impairment test as of October 1, 2018,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Intangible assets are included in "site rental contracts and tenant relationships, net" and "other intangible assets, net" on the Company's balance sheet and predominately consist of the estimated fair value of site rental contracts and tenant relationships recorded in conjunction with acquisitions. The site rental contracts and tenant relationships intangible assets are comprised of (1) the current term of the existing contracts, (2) the expected exercise of the renewal provisions contained within the existing contracts, which automatically occur under contractual provisions or (3) any associated relationships that are expected to generate value following the expiration of all renewal periods under existing contracts.</w:t>
      </w:r>
    </w:p>
    <w:p>
      <w:pPr>
        <w:spacing w:after="0" w:line="11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useful lives of intangible assets are estimated based on the period over which the intangible asset is expected to benefit the Company, which is calculated on an individual tenant basis, considering, among other things, the contractual provisions with the tenant and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tenant relationships intangible asset is limited by the maximum depreciable life of the tower (20 years), as a result of the interdependency of the tower and site rental contracts and tenant relationships. In contrast, the site rental contracts and tenant relationships are estimated to provide economic benefits for several decades because of the low rate of tenant cancellations and high rate of renewals experienced to date. Thus, while site rental contracts and tenant relationships are valued based upon the fair value, which includes assumptions regarding both (1) tenants' exercise of optional renewals contained in the acquired contracts and (2) renewals of the acquired contracts past the contractual term including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33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exercisable options, the site rental contracts and tenant relationships are amortized over a period not to exceed 20 years as a result of the useful life being limited by the depreciable life of the sites.</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tenant relationships intangible assets. First, the Company pools the site rental contracts and tenant relationships with the related tower assets into portfolio groups for purposes of determining the unit of account for impairment testing. Second and separately, the Company evaluates the site rental contracts and tenant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Above-market Leases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Above-market leases consist of the estimated fair value of above-market leases for land interests under the Company's towers. Above-market leases for land interests are amortized to costs of operations over their respective estimated remaining contract term at the acquisition date.</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Site rental revenues from the Company's contracts are recognized on a straight-line, ratable basis over the fixed, non-cancelable term of the relevant contract, which generally ranges from five to 15 years, regardless of whether the payments from the tenant are received in equal monthly amounts during the life of the contract. The Company's contracts contain fixed escalation clauses (such as fixed dollar or fixed percentage increases) or inflation-based escalation clauses (such as those tied to the consumer price index ("CPI")). If the payment terms call for fixed escalations, upfront payments, or rent-free periods, the revenue is recognized on a straight-line basis over the fixed, non-cancelable term of the agreement. When calculating straight-line rental revenues, the Company considers all fixed elements of tenant contractual escalation provisions. The Company's assets related to straight-line site rental revenues are included in "deferred site rental receivables." Amounts billed or received prior to being earned are deferred and reflected in "deferred revenues" on the Company's balance sheet.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of Operations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excess of four-fifths of the Company's site rental cost of operations consists of ground lease expenses, and the remainder includes repairs and maintenance expenses, utilities, property taxes or insurance.</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Generally, the ground lease agreements are specific to each site, are for an initial term of five years and are renewable for pre-determined periods. The Company also enters into term easements and ground leases in which it prepays the entire term in advance. Ground lease expense is recognized on a ratable basis, regardless of whether the contract payment terms require the Company to make payments annually, quarterly, monthly or for the entire term in advance. The Company's ground leases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ground lease expense using a time period that equals or exceeds the remaining depreciable life of the communications infrastructure asset. Further, when a tenant has exercisable renewal options that would compel the Company to exercise existing ground lease renewal options, the Company has straight-lined the ground lease expense over a sufficient portion of such ground lease renewals to coincide with the final termination of the tenant's renewal options. The Company's policy is to record ground lease agreements with affiliates under the same or similar economic terms as the contract for the land that existed prior to the purchase of such land by the affiliate.</w:t>
      </w:r>
    </w:p>
    <w:p>
      <w:pPr>
        <w:spacing w:after="0" w:line="11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Company's current liability related to straight-line ground lease expense is included in "other accrued liabilities" on the Company's balance sheet and was $0.2 million and $0.1 million as of December 31, 2018 and 2017, respectively. The Company's non-current liability related to straight-line ground lease expense is included in "deferred ground lease payable" on the Company's balance sheet. The Company's assets related to prepaid ground leases is included in "prepaid expenses" and "long-term prepaid rent and other assets, net" on the Company's balance sheet. The Company's current liability related to accrued property taxes is included in "other accrued liabilities" on the Company's balance sheet and was $0.3 million and $0.2 million as of December 31, 2018 and 2017, respectively.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Fee</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is charged a management fee by CCUSA, a wholly-owned, indirect subsidiary of CCIC, relating to management services, which include those functions reasonably necessary to maintain, market, operate, manage and administer the sites. The management fee is equal to 7.5% of the Company's revenues, excluding the revenues related to the accounting for leases with fixed escalators as required by the applicable accounting standards. See note 6.</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CCIC operates as a REIT for U.S. federal income tax purposes. The Company is an indirect subsidiary of CCIC and for U.S. federal income taxes purposes the Company's assets and operations are part of the CCIC REIT. </w:t>
      </w:r>
      <w:r>
        <w:rPr>
          <w:rFonts w:ascii="Arial" w:cs="Arial" w:eastAsia="Arial" w:hAnsi="Arial"/>
          <w:sz w:val="18"/>
          <w:szCs w:val="18"/>
          <w:color w:val="000000"/>
        </w:rPr>
        <w:t>As a REIT, CCIC is generally entitled to a deduction for dividends that it pays and</w:t>
      </w:r>
      <w:r>
        <w:rPr>
          <w:rFonts w:ascii="Arial" w:cs="Arial" w:eastAsia="Arial" w:hAnsi="Arial"/>
          <w:sz w:val="18"/>
          <w:szCs w:val="18"/>
          <w:color w:val="231F20"/>
        </w:rPr>
        <w:t xml:space="preserve"> </w:t>
      </w:r>
      <w:r>
        <w:rPr>
          <w:rFonts w:ascii="Arial" w:cs="Arial" w:eastAsia="Arial" w:hAnsi="Arial"/>
          <w:sz w:val="18"/>
          <w:szCs w:val="18"/>
          <w:color w:val="000000"/>
        </w:rPr>
        <w:t>therefore is not subject to U.S. federal corporate income tax on its taxable income that is currently distributed to its stockholders. CCIC also may be subject to certain federal, state, local and foreign taxes on its income and assets, including (1) taxes on any undistributed income, (2) taxes related to the CCIC's taxable REIT subsidiaries, (3) franchise taxes, (4) property taxes and (5) transfer taxes. In addition, CCIC could in certain circumstances be required to pay an excise or penalty tax, which could be significant in amount, in order to utilize one or more relief provisions under the Internal Revenue Code of 1986, as amended to maintain qualification for taxation as a REIT.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operating segment.</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January 2017, the FASB issued new guidance which clarifies the definition of a business in order to assist companies in evaluating whether transactions should be accounted for as acquisitions or disposals of assets or businesses. The Company adopted the guidance on January 1, 2018, and the adoption of this guidance did not have a material impact on its financial statements.</w:t>
      </w:r>
    </w:p>
    <w:p>
      <w:pPr>
        <w:spacing w:after="0" w:line="12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May 2014, the FASB released updated guidance regarding the recognition of revenue from contracts with customers not otherwise addressed by specific guidance (commonly referred to as "ASC 606" or "the revenue recognition standard").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the customer; (2) identify the performance obligations in the contract; (3) determine the contract price; (4) allocate the transaction price to the performance obligations in the contract; and (5) recognize revenue when (or as) the entity satisfies a performance obligation. This guidance was effective for the Company on January 1, 2018. The Company's site rental revenues are within the scope of lease accounting and were not impacted by this guidance.</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31"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This guidance was effective for, and adopted by, the Company as of January 1, 2019, and is required to be adopted using a modified retrospective approach, which after certain additional updates in July 2018, allows the Company to apply the new guidance either (1) as of the beginning of the earliest period presented, or (2) as of the effective date (i.e., January 1, 2019), without adjusting the comparative periods.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adopted the new guidance using a modified retrospective approach as of the effective date (i.e, January 1, 2019), without adjusting the comparative periods. The Company's adoption of the new guidance did not result in a cumulative-effect adjustment being recognized to the opening balance of retained earnings. The Company elected the package of practical expedients upon adoption and thus will not reassess the classification or lease term of leases existing prior to January 1, 2019.</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expects that (1) its lessor and lessee arrangements will continue to be classified as operating leases under the new guidance; (2) this guidance will result in a lease liability (which primarily consist of ground leases under the Company's towers) and a corresponding right-of-use asset; and (3) there will not be a material impact to its statement of operations and statement of cash flows. CCIC is in the process of updating certain of its existing information technology systems to integrate the new lease guidance requirements.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Estimated Useful Lives</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15,401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15,401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Towers</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1-20 years</w:t>
            </w: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92,012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89,712</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352</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108,450</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105,465</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(47,285)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(42,870)</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61,165</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62,595</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for the years ended December 31, 2018, 2017 and 2016 was $4.6 million, $4.6 million and $4.5 million, respectively.</w:t>
      </w:r>
    </w:p>
    <w:p>
      <w:pPr>
        <w:spacing w:after="0" w:line="395"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Above-market 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following is a summary of the Company's intangible assets.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2018</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83"/>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contracts and tenant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108,020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(65,955)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42,065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108,020</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47,637</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4,514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(1,544)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2,970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2,973</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112,534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(67,499)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45,035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112,370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50,610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Amortization expense related to intangible assets is classified as follows on the Company's statement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w w:val="93"/>
              </w:rPr>
              <w:t>For Years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5,675</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5,674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5,674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22</w:t>
            </w:r>
          </w:p>
        </w:tc>
      </w:tr>
      <w:tr>
        <w:trPr>
          <w:trHeight w:val="33"/>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5,687</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5,696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 of operations") for the years ending December 31, 2019 to 2023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5,691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5,691</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See note 2 for a further discussion of above-market leases for land interests under the Company's towers recorded in connection with acquisitions. For each of the years ended December 31, 2018, 2017 and 2016, the Company recorded $0.1 million as a decrease to "site rental cost of operations." The following is a summary of the Company's above-market leases.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2018</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65"/>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Above-market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2,303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(1,412)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891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S-12</w:t>
      </w:r>
    </w:p>
    <w:p>
      <w:pPr>
        <w:sectPr>
          <w:pgSz w:w="11900" w:h="16838" w:orient="portrait"/>
          <w:cols w:equalWidth="0" w:num="1">
            <w:col w:w="11420"/>
          </w:cols>
          <w:pgMar w:left="240" w:top="337"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annual amortization expense related to above-market leases for land interests under the Company's towers for the years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to 2023 is as follows: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73</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December 2012, CCL and Crown Castle GS III Corp. (a subsidiary of CCL) issued $1.5 billion aggregate principal amount of senior secured notes ("2012 Secured Notes"), which are guaranteed by certain subsidiaries of CCL, including the Company. In addition, the 2012 Secured Notes are secured on a first-priority basis by certain subsidiaries of CCL, including a pledge of the equity interests of the Company. In September 2016, CCIC issued $700 million aggregate principal amount of 2.250% senior unsecured notes. CCIC used a portion of the net proceeds to repay $500 million of the 2012 Secured Notes.</w:t>
      </w:r>
    </w:p>
    <w:p>
      <w:pPr>
        <w:spacing w:after="0" w:line="10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The 2012 Secured Notes do not contain financial maintenance covenants but they do contain restrictive covenants, subject to certain exceptions, related to the Company's ability to incur indebtedness, incur liens, enter into certain mergers or change of control transactions, sell or issue equity interests, and enter into related party transactions. With respect to the restriction regarding the issuance of debt, CCL and its subsidiaries including the Company may not issue debt other than (1) certain permitted refinancings of the 2012 Secured Notes, (2) unsecured trade payables in the ordinary course of business and financing of equipment, land or other property up to an aggregate of $100.0 million or (3) unsecured debt or additional notes under the 2012 Secured Notes indenture provided that the Debt to Adjusted Consolidated Cash Flow Ratio (as defined in the indenture governing the 2012 Secured Notes) at the time of incurrence, and after giving effect to such incurrence, would have been no greater than 3.5 to 1. As of December 31, 2018, CCL's Debt to Adjusted Consolidated Cash Flow Ratio was </w:t>
      </w:r>
      <w:r>
        <w:rPr>
          <w:rFonts w:ascii="Arial" w:cs="Arial" w:eastAsia="Arial" w:hAnsi="Arial"/>
          <w:sz w:val="17"/>
          <w:szCs w:val="17"/>
          <w:color w:val="231F20"/>
        </w:rPr>
        <w:t>2.3</w:t>
      </w:r>
      <w:r>
        <w:rPr>
          <w:rFonts w:ascii="Arial" w:cs="Arial" w:eastAsia="Arial" w:hAnsi="Arial"/>
          <w:sz w:val="17"/>
          <w:szCs w:val="17"/>
          <w:color w:val="auto"/>
        </w:rPr>
        <w:t xml:space="preserve"> to 1, and, as a result, the </w:t>
      </w:r>
      <w:r>
        <w:rPr>
          <w:rFonts w:ascii="Arial" w:cs="Arial" w:eastAsia="Arial" w:hAnsi="Arial"/>
          <w:sz w:val="17"/>
          <w:szCs w:val="17"/>
          <w:color w:val="231F20"/>
        </w:rPr>
        <w:t>Company is not restricted in its ability to incur additional indebtedness. Further, the Company is not restricted in</w:t>
      </w:r>
      <w:r>
        <w:rPr>
          <w:rFonts w:ascii="Arial" w:cs="Arial" w:eastAsia="Arial" w:hAnsi="Arial"/>
          <w:sz w:val="17"/>
          <w:szCs w:val="17"/>
          <w:color w:val="auto"/>
        </w:rPr>
        <w:t xml:space="preserve"> </w:t>
      </w:r>
      <w:r>
        <w:rPr>
          <w:rFonts w:ascii="Arial" w:cs="Arial" w:eastAsia="Arial" w:hAnsi="Arial"/>
          <w:sz w:val="17"/>
          <w:szCs w:val="17"/>
          <w:color w:val="231F20"/>
        </w:rPr>
        <w:t>its ability to distribute cash to affiliates or issue dividends to its member.</w:t>
      </w:r>
    </w:p>
    <w:p>
      <w:pPr>
        <w:spacing w:after="0" w:line="340"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In December 2012, CCL, the Company, and other subsidiaries of CCL entered into a management agreement ("Management Agreement") with CCUSA, which replaced a previous management agreement among the same parties. </w:t>
      </w:r>
      <w:r>
        <w:rPr>
          <w:rFonts w:ascii="Arial" w:cs="Arial" w:eastAsia="Arial" w:hAnsi="Arial"/>
          <w:sz w:val="16"/>
          <w:szCs w:val="16"/>
          <w:color w:val="231F20"/>
        </w:rPr>
        <w:t>The Company is charged a management fee by CCUSA under the</w:t>
      </w:r>
      <w:r>
        <w:rPr>
          <w:rFonts w:ascii="Arial" w:cs="Arial" w:eastAsia="Arial" w:hAnsi="Arial"/>
          <w:sz w:val="16"/>
          <w:szCs w:val="16"/>
          <w:color w:val="auto"/>
        </w:rPr>
        <w:t xml:space="preserve"> </w:t>
      </w:r>
      <w:r>
        <w:rPr>
          <w:rFonts w:ascii="Arial" w:cs="Arial" w:eastAsia="Arial" w:hAnsi="Arial"/>
          <w:sz w:val="16"/>
          <w:szCs w:val="16"/>
          <w:color w:val="231F20"/>
        </w:rPr>
        <w:t xml:space="preserve">Management Agreement whereby CCUSA has agreed to employ, supervise and pay at all times a sufficient number of capable employees as may be necessary to perform services in accordance with the operation standards defined in the Management Agreement. </w:t>
      </w:r>
      <w:r>
        <w:rPr>
          <w:rFonts w:ascii="Arial" w:cs="Arial" w:eastAsia="Arial" w:hAnsi="Arial"/>
          <w:sz w:val="16"/>
          <w:szCs w:val="16"/>
          <w:color w:val="000000"/>
        </w:rPr>
        <w:t>CCUSA currently acts as the manager of the</w:t>
      </w:r>
      <w:r>
        <w:rPr>
          <w:rFonts w:ascii="Arial" w:cs="Arial" w:eastAsia="Arial" w:hAnsi="Arial"/>
          <w:sz w:val="16"/>
          <w:szCs w:val="16"/>
          <w:color w:val="231F20"/>
        </w:rPr>
        <w:t xml:space="preserve"> </w:t>
      </w:r>
      <w:r>
        <w:rPr>
          <w:rFonts w:ascii="Arial" w:cs="Arial" w:eastAsia="Arial" w:hAnsi="Arial"/>
          <w:sz w:val="16"/>
          <w:szCs w:val="16"/>
          <w:color w:val="000000"/>
        </w:rPr>
        <w:t xml:space="preserve">majority of the sites held by subsidiaries of CCIC. </w:t>
      </w:r>
      <w:r>
        <w:rPr>
          <w:rFonts w:ascii="Arial" w:cs="Arial" w:eastAsia="Arial" w:hAnsi="Arial"/>
          <w:sz w:val="16"/>
          <w:szCs w:val="16"/>
          <w:color w:val="231F20"/>
        </w:rPr>
        <w:t>The management fee is equal to 7.5% of the Company's "Operating Revenues," as defined in the</w:t>
      </w:r>
      <w:r>
        <w:rPr>
          <w:rFonts w:ascii="Arial" w:cs="Arial" w:eastAsia="Arial" w:hAnsi="Arial"/>
          <w:sz w:val="16"/>
          <w:szCs w:val="16"/>
          <w:color w:val="000000"/>
        </w:rPr>
        <w:t xml:space="preserve"> </w:t>
      </w:r>
      <w:r>
        <w:rPr>
          <w:rFonts w:ascii="Arial" w:cs="Arial" w:eastAsia="Arial" w:hAnsi="Arial"/>
          <w:sz w:val="16"/>
          <w:szCs w:val="16"/>
          <w:color w:val="231F20"/>
        </w:rPr>
        <w:t xml:space="preserve">Management Agreement, </w:t>
      </w:r>
      <w:r>
        <w:rPr>
          <w:rFonts w:ascii="Arial" w:cs="Arial" w:eastAsia="Arial" w:hAnsi="Arial"/>
          <w:sz w:val="16"/>
          <w:szCs w:val="16"/>
          <w:color w:val="000000"/>
        </w:rPr>
        <w:t>which are based on the Company’s reported revenues adjusted to exclude certain items including revenues related to the accounting</w:t>
      </w:r>
      <w:r>
        <w:rPr>
          <w:rFonts w:ascii="Arial" w:cs="Arial" w:eastAsia="Arial" w:hAnsi="Arial"/>
          <w:sz w:val="16"/>
          <w:szCs w:val="16"/>
          <w:color w:val="231F20"/>
        </w:rPr>
        <w:t xml:space="preserve"> </w:t>
      </w:r>
      <w:r>
        <w:rPr>
          <w:rFonts w:ascii="Arial" w:cs="Arial" w:eastAsia="Arial" w:hAnsi="Arial"/>
          <w:sz w:val="16"/>
          <w:szCs w:val="16"/>
          <w:color w:val="000000"/>
        </w:rPr>
        <w:t xml:space="preserve">for leases with fixed escalators. </w:t>
      </w:r>
      <w:r>
        <w:rPr>
          <w:rFonts w:ascii="Arial" w:cs="Arial" w:eastAsia="Arial" w:hAnsi="Arial"/>
          <w:sz w:val="16"/>
          <w:szCs w:val="16"/>
          <w:color w:val="231F20"/>
        </w:rPr>
        <w:t>The fee is compensation for those functions reasonably necessary to maintain, market, operate, manage and administer the</w:t>
      </w:r>
      <w:r>
        <w:rPr>
          <w:rFonts w:ascii="Arial" w:cs="Arial" w:eastAsia="Arial" w:hAnsi="Arial"/>
          <w:sz w:val="16"/>
          <w:szCs w:val="16"/>
          <w:color w:val="000000"/>
        </w:rPr>
        <w:t xml:space="preserve"> </w:t>
      </w:r>
      <w:r>
        <w:rPr>
          <w:rFonts w:ascii="Arial" w:cs="Arial" w:eastAsia="Arial" w:hAnsi="Arial"/>
          <w:sz w:val="16"/>
          <w:szCs w:val="16"/>
          <w:color w:val="231F20"/>
        </w:rPr>
        <w:t xml:space="preserve">sites, other than the operating expenses, which includes but is not limited to real estate and personal property taxes, ground lease and easement payments, and insurance premiums. In addition, in connection with its role as manager, CCUSA may make certain modifications to the Company's sites. The management fee charged from CCUSA for the years ended December 31, 2018, 2017 and 2016 totaled </w:t>
      </w:r>
      <w:r>
        <w:rPr>
          <w:rFonts w:ascii="Arial" w:cs="Arial" w:eastAsia="Arial" w:hAnsi="Arial"/>
          <w:sz w:val="16"/>
          <w:szCs w:val="16"/>
          <w:color w:val="000000"/>
        </w:rPr>
        <w:t>$2.5 million</w:t>
      </w:r>
      <w:r>
        <w:rPr>
          <w:rFonts w:ascii="Arial" w:cs="Arial" w:eastAsia="Arial" w:hAnsi="Arial"/>
          <w:sz w:val="16"/>
          <w:szCs w:val="16"/>
          <w:color w:val="231F20"/>
        </w:rPr>
        <w:t xml:space="preserve">, </w:t>
      </w:r>
      <w:r>
        <w:rPr>
          <w:rFonts w:ascii="Arial" w:cs="Arial" w:eastAsia="Arial" w:hAnsi="Arial"/>
          <w:sz w:val="16"/>
          <w:szCs w:val="16"/>
          <w:color w:val="000000"/>
        </w:rPr>
        <w:t>$2.4 million</w:t>
      </w:r>
      <w:r>
        <w:rPr>
          <w:rFonts w:ascii="Arial" w:cs="Arial" w:eastAsia="Arial" w:hAnsi="Arial"/>
          <w:sz w:val="16"/>
          <w:szCs w:val="16"/>
          <w:color w:val="231F20"/>
        </w:rPr>
        <w:t xml:space="preserve"> and </w:t>
      </w:r>
      <w:r>
        <w:rPr>
          <w:rFonts w:ascii="Arial" w:cs="Arial" w:eastAsia="Arial" w:hAnsi="Arial"/>
          <w:sz w:val="16"/>
          <w:szCs w:val="16"/>
          <w:color w:val="000000"/>
        </w:rPr>
        <w:t>$2.3 million</w:t>
      </w:r>
      <w:r>
        <w:rPr>
          <w:rFonts w:ascii="Arial" w:cs="Arial" w:eastAsia="Arial" w:hAnsi="Arial"/>
          <w:sz w:val="16"/>
          <w:szCs w:val="16"/>
          <w:color w:val="231F20"/>
        </w:rPr>
        <w:t>, respectively.</w:t>
      </w:r>
    </w:p>
    <w:p>
      <w:pPr>
        <w:spacing w:after="0" w:line="1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In addition, CCUSA may perform installation services on the Company's towers for which the Company is not a party to any such agreement and for which no operating results are reflected herein.</w:t>
      </w:r>
    </w:p>
    <w:p>
      <w:pPr>
        <w:spacing w:after="0" w:line="11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231F20"/>
        </w:rPr>
        <w:t xml:space="preserve">As part of CCIC's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contract for the land that existed prior to the purchase of such land by the affiliate. As of December 31, 2018, approximately 20% of the Company's towers were located on land which was controlled by an affiliate. Rent expense to affiliates totaled </w:t>
      </w:r>
      <w:r>
        <w:rPr>
          <w:rFonts w:ascii="Arial" w:cs="Arial" w:eastAsia="Arial" w:hAnsi="Arial"/>
          <w:sz w:val="16"/>
          <w:szCs w:val="16"/>
          <w:color w:val="000000"/>
        </w:rPr>
        <w:t>$1.1 million</w:t>
      </w:r>
      <w:r>
        <w:rPr>
          <w:rFonts w:ascii="Arial" w:cs="Arial" w:eastAsia="Arial" w:hAnsi="Arial"/>
          <w:sz w:val="16"/>
          <w:szCs w:val="16"/>
          <w:color w:val="231F20"/>
        </w:rPr>
        <w:t xml:space="preserve">, </w:t>
      </w:r>
      <w:r>
        <w:rPr>
          <w:rFonts w:ascii="Arial" w:cs="Arial" w:eastAsia="Arial" w:hAnsi="Arial"/>
          <w:sz w:val="16"/>
          <w:szCs w:val="16"/>
          <w:color w:val="000000"/>
        </w:rPr>
        <w:t>$1.0</w:t>
      </w:r>
      <w:r>
        <w:rPr>
          <w:rFonts w:ascii="Arial" w:cs="Arial" w:eastAsia="Arial" w:hAnsi="Arial"/>
          <w:sz w:val="16"/>
          <w:szCs w:val="16"/>
          <w:color w:val="231F20"/>
        </w:rPr>
        <w:t xml:space="preserve"> </w:t>
      </w:r>
      <w:r>
        <w:rPr>
          <w:rFonts w:ascii="Arial" w:cs="Arial" w:eastAsia="Arial" w:hAnsi="Arial"/>
          <w:sz w:val="16"/>
          <w:szCs w:val="16"/>
          <w:color w:val="000000"/>
        </w:rPr>
        <w:t xml:space="preserve">million </w:t>
      </w:r>
      <w:r>
        <w:rPr>
          <w:rFonts w:ascii="Arial" w:cs="Arial" w:eastAsia="Arial" w:hAnsi="Arial"/>
          <w:sz w:val="16"/>
          <w:szCs w:val="16"/>
          <w:color w:val="231F20"/>
        </w:rPr>
        <w:t>and</w:t>
      </w:r>
      <w:r>
        <w:rPr>
          <w:rFonts w:ascii="Arial" w:cs="Arial" w:eastAsia="Arial" w:hAnsi="Arial"/>
          <w:sz w:val="16"/>
          <w:szCs w:val="16"/>
          <w:color w:val="000000"/>
        </w:rPr>
        <w:t xml:space="preserve"> $0.9 million </w:t>
      </w:r>
      <w:r>
        <w:rPr>
          <w:rFonts w:ascii="Arial" w:cs="Arial" w:eastAsia="Arial" w:hAnsi="Arial"/>
          <w:sz w:val="16"/>
          <w:szCs w:val="16"/>
          <w:color w:val="231F20"/>
        </w:rPr>
        <w:t>for the years ended December 31, 2018, 2017 and 2016, respectively. The Company receives site rental revenue from affiliates for</w:t>
      </w:r>
      <w:r>
        <w:rPr>
          <w:rFonts w:ascii="Arial" w:cs="Arial" w:eastAsia="Arial" w:hAnsi="Arial"/>
          <w:sz w:val="16"/>
          <w:szCs w:val="16"/>
          <w:color w:val="000000"/>
        </w:rPr>
        <w:t xml:space="preserve"> </w:t>
      </w:r>
      <w:r>
        <w:rPr>
          <w:rFonts w:ascii="Arial" w:cs="Arial" w:eastAsia="Arial" w:hAnsi="Arial"/>
          <w:sz w:val="16"/>
          <w:szCs w:val="16"/>
          <w:color w:val="231F20"/>
        </w:rPr>
        <w:t xml:space="preserve">land owned by the Company on which affiliates have towers and pays ground rent expense to affiliates for land owned by affiliates on which the Company has towers. For the years ended December 31, 2018, 2017 and 2016, rent revenue from affiliates totaled </w:t>
      </w:r>
      <w:r>
        <w:rPr>
          <w:rFonts w:ascii="Arial" w:cs="Arial" w:eastAsia="Arial" w:hAnsi="Arial"/>
          <w:sz w:val="16"/>
          <w:szCs w:val="16"/>
          <w:color w:val="000000"/>
        </w:rPr>
        <w:t>$2.4 million</w:t>
      </w:r>
      <w:r>
        <w:rPr>
          <w:rFonts w:ascii="Arial" w:cs="Arial" w:eastAsia="Arial" w:hAnsi="Arial"/>
          <w:sz w:val="16"/>
          <w:szCs w:val="16"/>
          <w:color w:val="231F20"/>
        </w:rPr>
        <w:t xml:space="preserve">, </w:t>
      </w:r>
      <w:r>
        <w:rPr>
          <w:rFonts w:ascii="Arial" w:cs="Arial" w:eastAsia="Arial" w:hAnsi="Arial"/>
          <w:sz w:val="16"/>
          <w:szCs w:val="16"/>
          <w:color w:val="000000"/>
        </w:rPr>
        <w:t>$2.4 million</w:t>
      </w:r>
      <w:r>
        <w:rPr>
          <w:rFonts w:ascii="Arial" w:cs="Arial" w:eastAsia="Arial" w:hAnsi="Arial"/>
          <w:sz w:val="16"/>
          <w:szCs w:val="16"/>
          <w:color w:val="231F20"/>
        </w:rPr>
        <w:t xml:space="preserve"> and </w:t>
      </w:r>
      <w:r>
        <w:rPr>
          <w:rFonts w:ascii="Arial" w:cs="Arial" w:eastAsia="Arial" w:hAnsi="Arial"/>
          <w:sz w:val="16"/>
          <w:szCs w:val="16"/>
          <w:color w:val="000000"/>
        </w:rPr>
        <w:t>$2.3 million</w:t>
      </w:r>
      <w:r>
        <w:rPr>
          <w:rFonts w:ascii="Arial" w:cs="Arial" w:eastAsia="Arial" w:hAnsi="Arial"/>
          <w:sz w:val="16"/>
          <w:szCs w:val="16"/>
          <w:color w:val="231F20"/>
        </w:rPr>
        <w:t>, respectively. As of December 31, 2018, approximately 25% of the Company's sites consist of land interests under towers owned by affiliates.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33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recorded equity distributions of </w:t>
      </w:r>
      <w:r>
        <w:rPr>
          <w:rFonts w:ascii="Arial" w:cs="Arial" w:eastAsia="Arial" w:hAnsi="Arial"/>
          <w:sz w:val="18"/>
          <w:szCs w:val="18"/>
          <w:color w:val="000000"/>
        </w:rPr>
        <w:t>$20.9 million</w:t>
      </w:r>
      <w:r>
        <w:rPr>
          <w:rFonts w:ascii="Arial" w:cs="Arial" w:eastAsia="Arial" w:hAnsi="Arial"/>
          <w:sz w:val="18"/>
          <w:szCs w:val="18"/>
          <w:color w:val="231F20"/>
        </w:rPr>
        <w:t xml:space="preserve">, </w:t>
      </w:r>
      <w:r>
        <w:rPr>
          <w:rFonts w:ascii="Arial" w:cs="Arial" w:eastAsia="Arial" w:hAnsi="Arial"/>
          <w:sz w:val="18"/>
          <w:szCs w:val="18"/>
          <w:color w:val="000000"/>
        </w:rPr>
        <w:t>$21.3 million</w:t>
      </w:r>
      <w:r>
        <w:rPr>
          <w:rFonts w:ascii="Arial" w:cs="Arial" w:eastAsia="Arial" w:hAnsi="Arial"/>
          <w:sz w:val="18"/>
          <w:szCs w:val="18"/>
          <w:color w:val="231F20"/>
        </w:rPr>
        <w:t xml:space="preserve"> and </w:t>
      </w:r>
      <w:r>
        <w:rPr>
          <w:rFonts w:ascii="Arial" w:cs="Arial" w:eastAsia="Arial" w:hAnsi="Arial"/>
          <w:sz w:val="18"/>
          <w:szCs w:val="18"/>
          <w:color w:val="000000"/>
        </w:rPr>
        <w:t>$19.1 million</w:t>
      </w:r>
      <w:r>
        <w:rPr>
          <w:rFonts w:ascii="Arial" w:cs="Arial" w:eastAsia="Arial" w:hAnsi="Arial"/>
          <w:sz w:val="18"/>
          <w:szCs w:val="18"/>
          <w:color w:val="231F20"/>
        </w:rPr>
        <w:t xml:space="preserve"> for the years ended December 31, 2018, 2017 and 2016, respectively, reflecting distributions to its member. Cash on-hand above the amount that is required by the Management Agreement has been, and is expected to continue to be, distributed to the Company's parent company, CCL. </w:t>
      </w:r>
      <w:r>
        <w:rPr>
          <w:rFonts w:ascii="Arial" w:cs="Arial" w:eastAsia="Arial" w:hAnsi="Arial"/>
          <w:sz w:val="18"/>
          <w:szCs w:val="18"/>
          <w:color w:val="000000"/>
        </w:rPr>
        <w:t>As of December 31, 2018 and 2017, the Company had no material related party assets</w:t>
      </w:r>
      <w:r>
        <w:rPr>
          <w:rFonts w:ascii="Arial" w:cs="Arial" w:eastAsia="Arial" w:hAnsi="Arial"/>
          <w:sz w:val="18"/>
          <w:szCs w:val="18"/>
          <w:color w:val="231F20"/>
        </w:rPr>
        <w:t xml:space="preserve"> </w:t>
      </w:r>
      <w:r>
        <w:rPr>
          <w:rFonts w:ascii="Arial" w:cs="Arial" w:eastAsia="Arial" w:hAnsi="Arial"/>
          <w:sz w:val="18"/>
          <w:szCs w:val="18"/>
          <w:color w:val="000000"/>
        </w:rPr>
        <w:t>or liabilities on its consolidated balance sheet.</w:t>
      </w:r>
    </w:p>
    <w:p>
      <w:pPr>
        <w:spacing w:after="0" w:line="345"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For the year ended December 31, 2018, the provision for income taxes relates to state taxes. For the years ended December 31, 2017 and 2016, the Company had benefits for income taxes, which </w:t>
      </w:r>
      <w:r>
        <w:rPr>
          <w:rFonts w:ascii="Arial" w:cs="Arial" w:eastAsia="Arial" w:hAnsi="Arial"/>
          <w:sz w:val="16"/>
          <w:szCs w:val="16"/>
          <w:color w:val="231F20"/>
        </w:rPr>
        <w:t>consisted of the reduction of unrecognized tax benefits as a result of the lapse of the statute of limitations</w:t>
      </w:r>
      <w:r>
        <w:rPr>
          <w:rFonts w:ascii="Arial" w:cs="Arial" w:eastAsia="Arial" w:hAnsi="Arial"/>
          <w:sz w:val="16"/>
          <w:szCs w:val="16"/>
          <w:color w:val="auto"/>
        </w:rPr>
        <w:t xml:space="preserve"> </w:t>
      </w:r>
      <w:r>
        <w:rPr>
          <w:rFonts w:ascii="Arial" w:cs="Arial" w:eastAsia="Arial" w:hAnsi="Arial"/>
          <w:sz w:val="16"/>
          <w:szCs w:val="16"/>
          <w:color w:val="231F20"/>
        </w:rPr>
        <w:t xml:space="preserve">partially offset by state taxes. </w:t>
      </w:r>
      <w:r>
        <w:rPr>
          <w:rFonts w:ascii="Arial" w:cs="Arial" w:eastAsia="Arial" w:hAnsi="Arial"/>
          <w:sz w:val="16"/>
          <w:szCs w:val="16"/>
          <w:color w:val="000000"/>
        </w:rPr>
        <w:t>The Company's effective tax rate for the years ended December 31, 2018, 2017 and 2016 differed from the federal statutory rate</w:t>
      </w:r>
      <w:r>
        <w:rPr>
          <w:rFonts w:ascii="Arial" w:cs="Arial" w:eastAsia="Arial" w:hAnsi="Arial"/>
          <w:sz w:val="16"/>
          <w:szCs w:val="16"/>
          <w:color w:val="231F20"/>
        </w:rPr>
        <w:t xml:space="preserve"> </w:t>
      </w:r>
      <w:r>
        <w:rPr>
          <w:rFonts w:ascii="Arial" w:cs="Arial" w:eastAsia="Arial" w:hAnsi="Arial"/>
          <w:sz w:val="16"/>
          <w:szCs w:val="16"/>
          <w:color w:val="000000"/>
        </w:rPr>
        <w:t>predominately due to CCIC's REIT status, including the dividends paid deduction (see notes 1 and 2), and the aforementioned impacts described above.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As of December 31, 2018, there were no unrecognized tax benefits that would impact the effective tax rate, if recognized.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From time to time, the Company is subject to examinations by various tax authorities in jurisdictions in which the Company has business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The Company regularly assesses the likelihood of additional assessments in each of the tax jurisdictions resulting from these examinations. At this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CCIC is not subject to an Internal Revenue Service examination.</w:t>
      </w:r>
    </w:p>
    <w:p>
      <w:pPr>
        <w:spacing w:after="0" w:line="369" w:lineRule="exact"/>
        <w:rPr>
          <w:sz w:val="20"/>
          <w:szCs w:val="20"/>
          <w:color w:val="auto"/>
        </w:rPr>
      </w:pPr>
    </w:p>
    <w:p>
      <w:pPr>
        <w:ind w:left="420" w:hanging="412"/>
        <w:spacing w:after="0"/>
        <w:tabs>
          <w:tab w:leader="none" w:pos="4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financial position or results of operations. </w:t>
      </w:r>
      <w:r>
        <w:rPr>
          <w:rFonts w:ascii="Arial" w:cs="Arial" w:eastAsia="Arial" w:hAnsi="Arial"/>
          <w:sz w:val="18"/>
          <w:szCs w:val="18"/>
          <w:color w:val="000000"/>
        </w:rPr>
        <w:t>See note 9 for a discussion of the operating lease commitments.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Asset Retirement Obligations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Pursuant to its ground lease and easement agreements, the Company has the obligation to perform certain asset retirement activities, including requirements upon contract or easement termination to remove communications infrastructure or remediate the land upon which communications infrastructure resides. Accretion expense related to liabilities for retirement obligations amounted to $0.2 million, $0.2 million and $0.1 million for the years ended December 31, 2018, 2017 and 2016, respectively. As of December 31, 2018 and 2017, liabilities for retirement obligations amounted to $1.9 million and $1.8 million, respectively, representing the net present value of the estimated expected future cash outlay. As of December 31, 2018, the estimated undiscounted future cash outlay for asset retirement obligations was approximately $18 million. See note 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33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right="9660" w:hanging="412"/>
        <w:spacing w:after="0" w:line="528" w:lineRule="auto"/>
        <w:tabs>
          <w:tab w:leader="none" w:pos="42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Leases </w:t>
      </w:r>
      <w:r>
        <w:rPr>
          <w:rFonts w:ascii="Arial" w:cs="Arial" w:eastAsia="Arial" w:hAnsi="Arial"/>
          <w:sz w:val="15"/>
          <w:szCs w:val="15"/>
          <w:b w:val="1"/>
          <w:bCs w:val="1"/>
          <w:i w:val="1"/>
          <w:iCs w:val="1"/>
          <w:color w:val="231F20"/>
        </w:rPr>
        <w:t>Tenant Leases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The following table is a summary of the rental cash payments owed to the Company, as a lessor, by tenants pursuant to contractual agreements in effect as of December 31, 2018. Generally, the Company's leases with its tenants provide for (1) annual escalations, (2) multiple renewal periods at the tenant's option and (3) only limited termination rights at the applicable tenant's option through the current term. As of December 31, 2018, the weighted-average remaining term (calculated by weighting the remaining term for each lease by the related site rental revenue) of tenant leases is approximately six years, exclusive of renewals at the tenant's option. The tenants' rental payments included in the table below are through the current terms with a maximum current term of 20 years and do not assume exercise of tenant renewal options.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Tenant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33,543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34,153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34,335</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22,627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80,236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237,330</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Leases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231F20"/>
        </w:rPr>
        <w:t xml:space="preserve">The following table is a summary of rental cash payments owed by the Company, as lessee, to landlords pursuant to contractual agreements in effect as of December 31, 2018. The Company is obligated under non-cancelable operating leases for land interests under approximately 85% of its towers. The majority of these operating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tower located on the leased land interest. More than 95% and more than 75% the Company's </w:t>
      </w:r>
      <w:r>
        <w:rPr>
          <w:rFonts w:ascii="Arial" w:cs="Arial" w:eastAsia="Arial" w:hAnsi="Arial"/>
          <w:sz w:val="17"/>
          <w:szCs w:val="17"/>
          <w:color w:val="000000"/>
        </w:rPr>
        <w:t>sites are under the Company's</w:t>
      </w:r>
      <w:r>
        <w:rPr>
          <w:rFonts w:ascii="Arial" w:cs="Arial" w:eastAsia="Arial" w:hAnsi="Arial"/>
          <w:sz w:val="17"/>
          <w:szCs w:val="17"/>
          <w:color w:val="231F20"/>
        </w:rPr>
        <w:t xml:space="preserve"> </w:t>
      </w:r>
      <w:r>
        <w:rPr>
          <w:rFonts w:ascii="Arial" w:cs="Arial" w:eastAsia="Arial" w:hAnsi="Arial"/>
          <w:sz w:val="17"/>
          <w:szCs w:val="17"/>
          <w:color w:val="000000"/>
        </w:rPr>
        <w:t xml:space="preserve">control for greater than 10 and 20 years, respectively, including renewals at the Company's option. </w:t>
      </w:r>
      <w:r>
        <w:rPr>
          <w:rFonts w:ascii="Arial" w:cs="Arial" w:eastAsia="Arial" w:hAnsi="Arial"/>
          <w:sz w:val="17"/>
          <w:szCs w:val="17"/>
          <w:color w:val="231F20"/>
        </w:rPr>
        <w:t>The operating lease payments included in the table below</w:t>
      </w:r>
      <w:r>
        <w:rPr>
          <w:rFonts w:ascii="Arial" w:cs="Arial" w:eastAsia="Arial" w:hAnsi="Arial"/>
          <w:sz w:val="17"/>
          <w:szCs w:val="17"/>
          <w:color w:val="000000"/>
        </w:rPr>
        <w:t xml:space="preserve"> </w:t>
      </w:r>
      <w:r>
        <w:rPr>
          <w:rFonts w:ascii="Arial" w:cs="Arial" w:eastAsia="Arial" w:hAnsi="Arial"/>
          <w:sz w:val="17"/>
          <w:szCs w:val="17"/>
          <w:color w:val="231F20"/>
        </w:rPr>
        <w:t>include payments for certain renewal periods at the Company's option that are reasonably assured to be exercised and an estimate of contingent payments based on revenues and gross margins derived from existing tenant leases. See also note 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5,280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71,037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96,886</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Rental expense from operating leases was </w:t>
      </w:r>
      <w:r>
        <w:rPr>
          <w:rFonts w:ascii="Arial" w:cs="Arial" w:eastAsia="Arial" w:hAnsi="Arial"/>
          <w:sz w:val="18"/>
          <w:szCs w:val="18"/>
          <w:color w:val="000000"/>
        </w:rPr>
        <w:t>$5.2 million</w:t>
      </w:r>
      <w:r>
        <w:rPr>
          <w:rFonts w:ascii="Arial" w:cs="Arial" w:eastAsia="Arial" w:hAnsi="Arial"/>
          <w:sz w:val="18"/>
          <w:szCs w:val="18"/>
          <w:color w:val="231F20"/>
        </w:rPr>
        <w:t xml:space="preserve">, </w:t>
      </w:r>
      <w:r>
        <w:rPr>
          <w:rFonts w:ascii="Arial" w:cs="Arial" w:eastAsia="Arial" w:hAnsi="Arial"/>
          <w:sz w:val="18"/>
          <w:szCs w:val="18"/>
          <w:color w:val="000000"/>
        </w:rPr>
        <w:t>$5.0 million</w:t>
      </w:r>
      <w:r>
        <w:rPr>
          <w:rFonts w:ascii="Arial" w:cs="Arial" w:eastAsia="Arial" w:hAnsi="Arial"/>
          <w:sz w:val="18"/>
          <w:szCs w:val="18"/>
          <w:color w:val="231F20"/>
        </w:rPr>
        <w:t xml:space="preserve"> and </w:t>
      </w:r>
      <w:r>
        <w:rPr>
          <w:rFonts w:ascii="Arial" w:cs="Arial" w:eastAsia="Arial" w:hAnsi="Arial"/>
          <w:sz w:val="18"/>
          <w:szCs w:val="18"/>
          <w:color w:val="000000"/>
        </w:rPr>
        <w:t>$4.9 million</w:t>
      </w:r>
      <w:r>
        <w:rPr>
          <w:rFonts w:ascii="Arial" w:cs="Arial" w:eastAsia="Arial" w:hAnsi="Arial"/>
          <w:sz w:val="18"/>
          <w:szCs w:val="18"/>
          <w:color w:val="231F20"/>
        </w:rPr>
        <w:t xml:space="preserve"> for the years ended December 31, 2018, 2017 and 2016, respectively. The rental expense was inclusive of contingent payments based on revenues or gross margin derived from the tower located on the leased land of </w:t>
      </w:r>
      <w:r>
        <w:rPr>
          <w:rFonts w:ascii="Arial" w:cs="Arial" w:eastAsia="Arial" w:hAnsi="Arial"/>
          <w:sz w:val="18"/>
          <w:szCs w:val="18"/>
          <w:color w:val="000000"/>
        </w:rPr>
        <w:t>$1.2 million</w:t>
      </w:r>
      <w:r>
        <w:rPr>
          <w:rFonts w:ascii="Arial" w:cs="Arial" w:eastAsia="Arial" w:hAnsi="Arial"/>
          <w:sz w:val="18"/>
          <w:szCs w:val="18"/>
          <w:color w:val="231F20"/>
        </w:rPr>
        <w:t>,</w:t>
      </w:r>
      <w:r>
        <w:rPr>
          <w:rFonts w:ascii="Arial" w:cs="Arial" w:eastAsia="Arial" w:hAnsi="Arial"/>
          <w:sz w:val="18"/>
          <w:szCs w:val="18"/>
          <w:color w:val="000000"/>
        </w:rPr>
        <w:t xml:space="preserve"> $1.2 million </w:t>
      </w:r>
      <w:r>
        <w:rPr>
          <w:rFonts w:ascii="Arial" w:cs="Arial" w:eastAsia="Arial" w:hAnsi="Arial"/>
          <w:sz w:val="18"/>
          <w:szCs w:val="18"/>
          <w:color w:val="231F20"/>
        </w:rPr>
        <w:t>and</w:t>
      </w:r>
      <w:r>
        <w:rPr>
          <w:rFonts w:ascii="Arial" w:cs="Arial" w:eastAsia="Arial" w:hAnsi="Arial"/>
          <w:sz w:val="18"/>
          <w:szCs w:val="18"/>
          <w:color w:val="000000"/>
        </w:rPr>
        <w:t xml:space="preserve"> $1.1 million </w:t>
      </w:r>
      <w:r>
        <w:rPr>
          <w:rFonts w:ascii="Arial" w:cs="Arial" w:eastAsia="Arial" w:hAnsi="Arial"/>
          <w:sz w:val="18"/>
          <w:szCs w:val="18"/>
          <w:color w:val="231F20"/>
        </w:rPr>
        <w:t>for the years ended December 31, 2018, 2017 and 2016,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Effective January 1, 2019, the Company adopted new lease accounting guidance on the recognition, measurement, presentation and disclosure of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further discussion.</w:t>
      </w:r>
    </w:p>
    <w:p>
      <w:pPr>
        <w:spacing w:after="0" w:line="369"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financial instrument that potentially subjects the Company to concentrations of credit risk is primarily trade receivables.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The Company derives the largest portion of its revenues from tenants in the wireless industry. The Company also has a concentration in its volume of business with T-Mobile, AT&amp;T, Sprint and Verizon Wireless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contracts with contractually determinable payment terms and proactive management of past due balances.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337"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Major Tenants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percentage of the Company's revenues for those tenants accounting for more than 10% of the Company's revenues.</w:t>
      </w:r>
    </w:p>
    <w:p>
      <w:pPr>
        <w:spacing w:after="0" w:line="18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23495</wp:posOffset>
            </wp:positionV>
            <wp:extent cx="3027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r>
      <w:tr>
        <w:trPr>
          <w:trHeight w:val="23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T-Mobile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AT&amp;T</w:t>
            </w: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Sprint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Verizon Wireless</w:t>
            </w: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337"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Years Ended December 31, 2018, 2017 and 2016</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9019"/>
          </w:cols>
          <w:pgMar w:left="1440" w:top="580" w:right="144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Holdings GS V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audited the accompanying balance sheets of Global Signal Acquisitions II LLC (the “Company”) as of December 31, 2018 and 2017, and the related statements of operations, cash flows and changes in member’s equity for each of the three years in the period ended December 31, 2018, including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58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30,771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Receivables, net of allowance of $508 and $289, respectively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938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21,710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18,561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16,951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58,495</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70,491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245,968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238,401</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621,652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635,135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642,545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642,545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Site rental contracts and tenant relationships,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362,010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419,374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14,512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31,470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30,049</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1,975,395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2,050,507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8800" w:type="dxa"/>
            <w:vAlign w:val="bottom"/>
            <w:tcBorders>
              <w:bottom w:val="single" w:sz="8" w:color="CCEEFF"/>
            </w:tcBorders>
            <w:shd w:val="clear" w:color="auto" w:fill="CCEEFF"/>
          </w:tcPr>
          <w:p>
            <w:pPr>
              <w:ind w:left="33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revenues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7,086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6,451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5,362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5,662</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13,741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13,186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ground lease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101,781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96,828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36,455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35,948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151,977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145,962</w:t>
            </w:r>
          </w:p>
        </w:tc>
      </w:tr>
      <w:tr>
        <w:trPr>
          <w:trHeight w:val="231"/>
        </w:trPr>
        <w:tc>
          <w:tcPr>
            <w:tcW w:w="880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Member's equity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1,823,418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1,904,545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member's equity</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1,823,418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1,904,545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1,975,395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2,050,507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58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442,888</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411,669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409,102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4"/>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109,489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109,956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109,227</w:t>
            </w:r>
          </w:p>
        </w:tc>
      </w:tr>
      <w:tr>
        <w:trPr>
          <w:trHeight w:val="270"/>
        </w:trPr>
        <w:tc>
          <w:tcPr>
            <w:tcW w:w="674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37,351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33,498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31,080</w:t>
            </w:r>
          </w:p>
        </w:tc>
      </w:tr>
      <w:tr>
        <w:trPr>
          <w:trHeight w:val="25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146,840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143,454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140,307</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32,522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31,438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30,459</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2,072</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121,656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122,513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122,444</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301,056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295,282</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141,832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114,264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113,820</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141,750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114,693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113,683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141,414</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115,150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114,088</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580" w:right="23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141,414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115,150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114,088</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121,656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122,513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122,444</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Asset write-down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2,072</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3,970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4,322</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Decrease (increase) in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r>
      <w:tr>
        <w:trPr>
          <w:trHeight w:val="220"/>
        </w:trPr>
        <w:tc>
          <w:tcPr>
            <w:tcW w:w="7380" w:type="dxa"/>
            <w:vAlign w:val="bottom"/>
          </w:tcPr>
          <w:p>
            <w:pPr>
              <w:ind w:left="700"/>
              <w:spacing w:after="0"/>
              <w:rPr>
                <w:sz w:val="20"/>
                <w:szCs w:val="20"/>
                <w:color w:val="auto"/>
              </w:rPr>
            </w:pPr>
            <w:r>
              <w:rPr>
                <w:rFonts w:ascii="Arial" w:cs="Arial" w:eastAsia="Arial" w:hAnsi="Arial"/>
                <w:sz w:val="16"/>
                <w:szCs w:val="16"/>
                <w:color w:val="auto"/>
                <w:w w:val="92"/>
              </w:rPr>
              <w:t>Decrease (increase) in other current assets, deferred site rental receivable, long-term prepaid rent and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7380" w:type="dxa"/>
            <w:vAlign w:val="bottom"/>
          </w:tcPr>
          <w:p>
            <w:pPr>
              <w:ind w:left="86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6,219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(2,735)</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259,669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245,975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239,909</w:t>
            </w:r>
          </w:p>
        </w:tc>
      </w:tr>
      <w:tr>
        <w:trPr>
          <w:trHeight w:val="231"/>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(29,364)</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(49,192)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(31,975)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(29,364)</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Distributions to member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(222,541)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(202,779)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(211,396)</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(222,541)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(202,779)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(211,396)</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(12,064)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11,221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(851)</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30,771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20,401</w:t>
            </w:r>
          </w:p>
        </w:tc>
      </w:tr>
      <w:tr>
        <w:trPr>
          <w:trHeight w:val="244"/>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18,707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30,771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19,550</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60"/>
          </w:cols>
          <w:pgMar w:left="280" w:top="580" w:right="2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2,083,747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5,735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2,089,482</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(91,573)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(119,823)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(211,396)</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114,088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114,088</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December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1,992,174</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1,992,174</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(87,629)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(115,150)</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(202,779)</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115,150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115,150</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1,904,545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1,904,545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(81,127)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(141,414)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(222,541)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141,414</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141,414</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December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1,823,418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1,823,418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58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accompanying financial statements reflect the financial position, results of operations and cash flows of Global Signal Acquisitions II LLC ("Company"). The Company is a wholly-owned subsidiary of CC Holdings GS V LLC ("CCL"), which is an indirect, wholly-owned subsidiary of Crown Castle International Corp., a Delaware corporation ("CCIC" or "Crown Castle"). As used herein, the term "including," and any variation thereof means "including without limitations." The use of the word "or" herein is not exclusive.</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is organized specifically to own, lease and manage towers and other structures (collectively, "towers") and to a lesser extent, interests in land under third party and related party towers in various forms ("land interests") (collectively, "communications infrastructure" or "sites") that are geographically dispersed across the United States ("U.S."). The Company's core business is providing access, including space or capacity, to its sites via long-term contracts in various forms, including lease, license and sublease agreements (collectively, "contracts"). The Company's existing customers on its communication infrastructure are referred to herein as "tenants."</w:t>
      </w:r>
    </w:p>
    <w:p>
      <w:pPr>
        <w:spacing w:after="0" w:line="13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Virtually all of the Company's sites are leased or subleased or operated or managed for an initial period under master lease and sublease agreements, including the master lease and sublease agreements, and other agreements with Sprint ("Sprint Sites"). In 2037, CCIC, through its subsidiaries (including the Company), has the option to purchase all (but not less than all) of the leased and subleased Sprint towers from Sprint for approximately $2.3 billion. CCIC has no obligation to exercise the purchase option. Management services related to communications towers and other communication sites are performed by Crown Castle USA Inc. ("CCUSA"), an affiliate of the Company, under a management agreement, as the Company has no employees.</w:t>
      </w:r>
    </w:p>
    <w:p>
      <w:pPr>
        <w:spacing w:after="0" w:line="10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notes 2 and 7.</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those estimates.</w:t>
      </w:r>
    </w:p>
    <w:p>
      <w:pPr>
        <w:spacing w:after="0" w:line="305" w:lineRule="exact"/>
        <w:rPr>
          <w:sz w:val="20"/>
          <w:szCs w:val="20"/>
          <w:color w:val="auto"/>
        </w:rPr>
      </w:pPr>
    </w:p>
    <w:p>
      <w:pPr>
        <w:ind w:left="420" w:right="7620" w:hanging="412"/>
        <w:spacing w:after="0" w:line="440" w:lineRule="auto"/>
        <w:tabs>
          <w:tab w:leader="none" w:pos="4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Receivables Allowance</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 of operations" and deductions from the allowance are recorded when specific accounts receivable are written off as uncollectible.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w:t>
      </w:r>
      <w:r>
        <w:rPr>
          <w:rFonts w:ascii="Arial" w:cs="Arial" w:eastAsia="Arial" w:hAnsi="Arial"/>
          <w:sz w:val="18"/>
          <w:szCs w:val="18"/>
          <w:i w:val="1"/>
          <w:iCs w:val="1"/>
          <w:color w:val="auto"/>
        </w:rPr>
        <w:t>"Costs of Operations"</w:t>
      </w:r>
      <w:r>
        <w:rPr>
          <w:rFonts w:ascii="Arial" w:cs="Arial" w:eastAsia="Arial" w:hAnsi="Arial"/>
          <w:sz w:val="18"/>
          <w:szCs w:val="18"/>
          <w:color w:val="auto"/>
        </w:rPr>
        <w:t xml:space="preserve">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with respect to a portion of space on a tower)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fair value is not objectively determinable, then such lease is accounted for as an operating lease. As applicable, operating leases are recognized on a straight-line basis as discussed under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Effective January 1, 2019, the Company adopted new lease accounting guidance on the recognition, measurement, presentation and disclosure of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ee also</w:t>
      </w:r>
      <w:r>
        <w:rPr>
          <w:rFonts w:ascii="Arial" w:cs="Arial" w:eastAsia="Arial" w:hAnsi="Arial"/>
          <w:sz w:val="18"/>
          <w:szCs w:val="18"/>
          <w:i w:val="1"/>
          <w:iCs w:val="1"/>
          <w:color w:val="auto"/>
        </w:rPr>
        <w:t xml:space="preserve"> "Recent Accounting Pronouncements Not Yet Adopted" </w:t>
      </w:r>
      <w:r>
        <w:rPr>
          <w:rFonts w:ascii="Arial" w:cs="Arial" w:eastAsia="Arial" w:hAnsi="Arial"/>
          <w:sz w:val="18"/>
          <w:szCs w:val="18"/>
          <w:color w:val="auto"/>
        </w:rPr>
        <w:t>below for further discussion.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straight-line method at rates based upon the estimated useful lives of the various classes of assets. Depreciation of communications infrastructure is generally computed with a useful life equal to the shorter of 20 years or the term of the underlying ground lease (including optional renewal periods). Additions, renewals or improvements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Abandonments and write-offs of property and equipment are recorded to "asset write-down charges" on the Company's statement of operations and were $0, $0 and $1.9 million for the years ended December 31, 2018, 2017 and 2016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its ground lease and easement agreements, the Company records obligations to perform asset retirement activities, including requirements to remove communications infrastructure or remediate the land upon which the Company's communications infrastructure resides. With respect to Sprint Sites, the Company does not have retirement obligations to the extent such retirement would occur beyond the period for which it has a contract term. Asset retirement obligations are included in "above-market leases and other liabilities" on the Company's balance sheet. The liability accretes as a result of the passage of time and the related accretion expense is included in "depreciation, amortization and accretion" expense on the Company's statement of operations. The associated asset retirement costs are capitalized as an additional carrying amount of the related long-lived asset and depreciated over the useful life of such asset.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any impairment if there is an indication from the first step that one exists. The Company's measurement of the fair value for goodwill is based on an estimate of discounted expected future cash flows of the reporting unit. The Company has one reporting unit for goodwill impairment testing. The Company performed its most recent annual goodwill impairment test as of October 1, 2018,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Intangible assets are included in "site rental contracts and tenant relationships, net" and "other intangible assets, net" on the Company's balance sheet and predominately consist of the estimated fair value of the following items recorded in conjunction with acquisitions: (1) site rental contracts and tenant relationships or (2) below-market leases for land interests under the acquired towers classified as "other intangible assets, net." The site rental contracts and tenant relationships intangible assets are comprised of (1) the current term of the existing contracts, (2) the expected exercise of the renewal provisions contained within the existing contracts, which automatically occur under contractual provisions or (3) any associated relationships that are expected to generate value following the expiration of all renewal periods under existing contracts.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useful lives of intangible assets are estimated based on the period over which the intangible asset is expected to benefit the Company, which is calculated on an individual tenant basis, considering, among other things, the contractual provisions with the tenant and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tenant relationships intangible asset is limited by the maximum depreciable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33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life of the tower (20 years), as a result of the interdependency of the tower and site rental contracts and tenant relationships. In contrast, the site rental contracts and tenant relationships are estimated to provide economic benefits for several decades because of the low rate of tenant cancellations and high rate of renewals experienced to date. Thus, while site rental contracts and tenant relationships are valued based upon the fair value, which includes assumptions regarding both (1) tenants' exercise of optional renewals contained in the acquired contracts and (2) renewals of the acquired contracts past the contractual term including exercisable options, the site rental contracts and tenant relationships are amortized over a period not to exceed 20 years as a result of the useful life being limited by the depreciable life of the sites.</w:t>
      </w:r>
    </w:p>
    <w:p>
      <w:pPr>
        <w:spacing w:after="0" w:line="13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tenant relationships intangible assets. First, the Company pools the site rental contracts and tenant relationships with the related tower assets into portfolio groups for purposes of determining the unit of account for impairment testing. Second and separately, the Company evaluates the site rental contracts and tenant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Above-market Leases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Above-market leases consist of the estimated fair value of above-market leases for land interests under the Company's towers. Above-market leases for land interests are amortized to costs of operations over their respective estimated remaining contract term at the acquisition date.</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Site rental revenues from the Company's contracts are recognized on a straight-line, ratable basis over the fixed, non-cancelable term of the relevant contract, which generally ranges from five to 15 years, regardless of whether the payments from the tenant are received in equal monthly amounts during the life of the contract. The Company's contracts contain fixed escalation clauses (such as fixed dollar or fixed percentage increases) or inflation-based escalation clauses (such as those tied to the consumer price index ("CPI")). If the payment terms call for fixed escalations, upfront payments, or rent-free periods, the revenue is recognized on a straight-line basis over the fixed, non-cancelable term of the agreement. When calculating straight-line rental revenues, the Company considers all fixed elements of tenant contractual escalation provisions. The Company's assets related to straight-line site rental revenues are included in "deferred site rental receivables." Amounts billed or received prior to being earned are deferred and reflected in "deferred revenues" on the Company's balance sheet.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of Operations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excess of four-fifths of the Company's site rental cost of operations consists of ground lease expenses, and the remainder includes repairs and maintenance expenses, utilities, property taxes or insurance.</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Generally, the ground lease agreements are specific to each site, are for an initial term of five years and are renewable for pre-determined periods. The Company also enters into term easements and ground leases in which it prepays the entire term in advance. Ground lease expense is recognized on a ratable basis, regardless of whether the contract payment terms require the Company to make payments annually, quarterly, monthly or for the entire term in advance. The Company's ground leases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ground lease expense using a time period that equals or exceeds the remaining depreciable life of the communications infrastructure asset. Further, when a tenant has exercisable renewal options that would compel the Company to exercise existing ground lease renewal options, the Company has straight-lined the ground lease expense over a sufficient portion of such ground lease renewals to coincide with the final termination of the tenant's renewal options. The Company's policy is to record ground lease agreements with affiliates under the same or similar economic terms as the contract for the land that existed prior to the purchase of such land by the affiliate.</w:t>
      </w:r>
    </w:p>
    <w:p>
      <w:pPr>
        <w:spacing w:after="0" w:line="1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current liability related to straight-line ground lease expense is included in "other accrued liabilities" on the Company's balance sheet and was $1.9 million and $1.6 million as of December 31, 2018 and 2017, respectively. The Company's non-current liability related to straight-line ground lease expense is included in "deferred ground lease payable" on the Company's balance sheet. The Company's assets related to prepaid ground leases is included in "prepaid expenses" and "long-term prepaid rent and other assets, net" on the Company's balance sheet. The Company's current liability related to accrued property taxes 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33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included in "other accrued liabilities" on the Company's balance sheet and was $3.3 million and $3.9 million as of December 31, 2018 and 2017, respectively.</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Fee</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is charged a management fee by CCUSA, a wholly-owned, indirect subsidiary of CCIC, relating to management services, which include those functions reasonably necessary to maintain, market, operate, manage and administer the sites. The management fee is equal to 7.5% of the Company's revenues excluding the revenues related to the accounting for leases with fixed escalators as required by the applicable accounting standards. See note 6.</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CCIC operates as a REIT for U.S. federal income tax purposes. The Company is an indirect subsidiary of CCIC and for U.S. federal income taxes purposes the Company's assets and operations are part of the CCIC REIT. </w:t>
      </w:r>
      <w:r>
        <w:rPr>
          <w:rFonts w:ascii="Arial" w:cs="Arial" w:eastAsia="Arial" w:hAnsi="Arial"/>
          <w:sz w:val="18"/>
          <w:szCs w:val="18"/>
          <w:color w:val="000000"/>
        </w:rPr>
        <w:t>As a REIT, CCIC is generally entitled to a deduction for dividends that it pays and</w:t>
      </w:r>
      <w:r>
        <w:rPr>
          <w:rFonts w:ascii="Arial" w:cs="Arial" w:eastAsia="Arial" w:hAnsi="Arial"/>
          <w:sz w:val="18"/>
          <w:szCs w:val="18"/>
          <w:color w:val="231F20"/>
        </w:rPr>
        <w:t xml:space="preserve"> </w:t>
      </w:r>
      <w:r>
        <w:rPr>
          <w:rFonts w:ascii="Arial" w:cs="Arial" w:eastAsia="Arial" w:hAnsi="Arial"/>
          <w:sz w:val="18"/>
          <w:szCs w:val="18"/>
          <w:color w:val="000000"/>
        </w:rPr>
        <w:t>therefore is not subject to U.S. federal corporate income tax on its taxable income that is currently distributed to its stockholders. CCIC also may be subject to certain federal, state, local and foreign taxes on its income and assets, including (1) taxes on any undistributed income, (2) taxes related to the CCIC's taxable REIT subsidiaries, (3) franchise taxes, (4) property taxes and (5) transfer taxes. In addition, CCIC could in certain circumstances be required to pay an excise or penalty tax, which could be significant in amount, in order to utilize one or more relief provisions under the Internal Revenue Code of 1986, as amended to maintain qualification for taxation as a REIT.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 The Company evaluates fair value hierarchy level classifications quarterly, and transfers between levels are effective at the end of the quarterly period.</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fair value of cash and cash equivalents approximates the carrying value. There were no changes since December 31, 2017 in the Company's valuation techniques used to measure fair values.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operating segment.</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January 2017, the FASB issued new guidance which clarifies the definition of a business in order to assist companies in evaluating whether transactions should be accounted for as acquisitions or disposals of assets or businesses. The Company adopted the guidance on January 1, 2018, and the adoption of this guidance did not have a material impact on its financial statements.</w:t>
      </w:r>
    </w:p>
    <w:p>
      <w:pPr>
        <w:spacing w:after="0" w:line="12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May 2014, the FASB released updated guidance regarding the recognition of revenue from contracts with customers not otherwise addressed by specific guidance (commonly referred to as "ASC 606" or "the revenue recognition standard").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the customer; (2) identify the performance obligations in the contract; (3) determine the contract price; (4) allocate the transaction price to the performance obligations in the contract; and (5) recognize revenue when (or as) the entity satisfies a performance obligation. This guidance was effective for the Company on January 1, 2018. The Company's site rental revenues are within the scope of lease accounting and were not impacted by this guidance.</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31"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337"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This guidance was effective for, and adopted by, the Company as of January 1, 2019, and is required to be adopted using a modified retrospective approach, which after certain additional updates in July 2018, allows the Company to apply the new guidance either (1) as of the beginning of the earliest period presented, or (2) as of the effective date (i.e., January 1, 2019), without adjusting the comparative periods.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adopted the new guidance using a modified retrospective approach as of the effective date (i.e, January 1, 2019), without adjusting the comparative periods. The Company's adoption of the new guidance did not result in a cumulative-effect adjustment being recognized to the opening balance of retained earnings. The Company elected the package of practical expedients upon adoption and thus will not reassess the classification or lease term of leases existing prior to January 1, 2019.</w:t>
      </w:r>
    </w:p>
    <w:p>
      <w:pPr>
        <w:spacing w:after="0" w:line="13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Company expects that (1) its lessor and lessee arrangements will continue to be classified as operating leases under the new guidance; (2) this guidance will result in a lease liability (which primarily consist of ground leases under the Company's towers) and a corresponding right-of-use asset; and (3) there will not be a material impact to its statement of operations and statement of cash flows. CCIC is in the process of updating certain of its existing information technology systems to integrate the new lease guidance requirements.</w:t>
      </w:r>
    </w:p>
    <w:p>
      <w:pPr>
        <w:spacing w:after="0" w:line="345"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Estimated Useful Lives</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1,622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1,618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Towers</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1-20 years</w:t>
            </w: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1,292,771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1,251,224</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14,552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7,966</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1,308,945</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1,260,808</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(687,293)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(625,673)</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621,652</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635,135</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pacing w:after="0" w:line="16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Depreciation expense for the years ended </w:t>
      </w:r>
      <w:r>
        <w:rPr>
          <w:rFonts w:ascii="Arial" w:cs="Arial" w:eastAsia="Arial" w:hAnsi="Arial"/>
          <w:sz w:val="18"/>
          <w:szCs w:val="18"/>
          <w:color w:val="231F20"/>
        </w:rPr>
        <w:t>December 31, 2018, 2017 and 2016</w:t>
      </w:r>
      <w:r>
        <w:rPr>
          <w:rFonts w:ascii="Arial" w:cs="Arial" w:eastAsia="Arial" w:hAnsi="Arial"/>
          <w:sz w:val="18"/>
          <w:szCs w:val="18"/>
          <w:color w:val="auto"/>
        </w:rPr>
        <w:t xml:space="preserve"> was $62.4 million, $63.3 million and $63.4 million, respectively. As discussed in notes 1 and 2, the Company has certain prepaid capital leases with Sprint, which have related gross property and equipment and accumulated depreciation of $1.0 billion and $604.5 million, respectively, as of </w:t>
      </w:r>
      <w:r>
        <w:rPr>
          <w:rFonts w:ascii="Arial" w:cs="Arial" w:eastAsia="Arial" w:hAnsi="Arial"/>
          <w:sz w:val="18"/>
          <w:szCs w:val="18"/>
          <w:color w:val="231F20"/>
        </w:rPr>
        <w:t>December 31, 2018</w:t>
      </w:r>
      <w:r>
        <w:rPr>
          <w:rFonts w:ascii="Arial" w:cs="Arial" w:eastAsia="Arial" w:hAnsi="Arial"/>
          <w:sz w:val="18"/>
          <w:szCs w:val="18"/>
          <w:color w:val="auto"/>
        </w:rPr>
        <w:t>.</w:t>
      </w:r>
    </w:p>
    <w:p>
      <w:pPr>
        <w:spacing w:after="0" w:line="339" w:lineRule="exact"/>
        <w:rPr>
          <w:sz w:val="20"/>
          <w:szCs w:val="20"/>
          <w:color w:val="auto"/>
        </w:rPr>
      </w:pPr>
    </w:p>
    <w:p>
      <w:pPr>
        <w:ind w:left="420" w:hanging="412"/>
        <w:spacing w:after="0"/>
        <w:tabs>
          <w:tab w:leader="none" w:pos="4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Above-market 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following is a summary of the Company's intangible assets.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2018</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83"/>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contracts and tenant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1,008,243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(646,233)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362,010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1,008,243</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(588,869)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419,374</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31,788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(18,533)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13,255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14,512</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1,040,031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(664,766)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375,265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1,040,031</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(606,145)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433,886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Amortization expense related to intangible assets is classified as follows on the Company's statement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w w:val="93"/>
              </w:rPr>
              <w:t>For Years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57,364</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57,364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57,364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1,308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1,375</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58,621</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58,672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58,739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 of operations") for the years ending December 31, 2019 to 2023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58,601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58,597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58,521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58,478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58,478</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See note 2 for a further discussion of above-market leases for land interests under the Company's towers recorded in connection with acquisitions. For the years ended December 31, 2018, 2017 and 2016, the Company recorded $1.2 million, $1.3 million and $1.4 million, respectively, as a decrease to "site rental cost of operations." The following is a summary of the Company's above-market leases.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2018</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65"/>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Above-market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30,826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(18,663)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12,163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13,549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annual amortization expense related to above-market leases for land interests under the Company's towers for the years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to 2023 is as follows: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1,186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1,025</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December 2012, CCL and Crown Castle GS III Corp. (a subsidiary of CCL) issued $1.5 billion aggregate principal amount of senior secured notes ("2012 Secured Notes"), which are guaranteed by certain subsidiaries of CCL, including the Company. In addition, the 2012 Secured Notes are secured on a first-priority basis by a pledge of the equity interests of certain subsidiaries of CCL, including a pledge of the equity interests of the Company. In September 2016, CCIC issued $700 million aggregate principal amount of 2.250% senior unsecured notes. CCIC used a portion of the net proceeds to repay $500 million of the 2012 Secured Notes.</w:t>
      </w:r>
    </w:p>
    <w:p>
      <w:pPr>
        <w:spacing w:after="0" w:line="13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The 2012 Secured Notes do not contain financial maintenance covenants but they do contain restrictive covenants, subject to certain exceptions, related to the Company's ability to incur indebtedness, incur liens, enter into certain mergers or change of control transactions, sell or issue equity interests and enter into related party transactions. With respect to the restriction regarding the issuance of debt, CCL and its subsidiaries including the Company may not issue debt other than (1) certain permitted refinancings of the 2012 Secured Notes, (2) unsecured trade payables in the ordinary course of business and financing of equipment, land or other property up to an aggregate of $100.0 million and (3) unsecured debt or additional notes under the 2012 Secured Notes indenture provided that the Debt to Adjusted Consolidated Cash Flow Ratio (as defined in the indenture governing the 2012 Secured Notes) at the time of incurrence, and after giving effect to such incurrence, would have been no greater than 3.5 to 1. As of December 31, 2018, CCL's Debt to Adjusted Consolidated Cash Flow Ratio was </w:t>
      </w:r>
      <w:r>
        <w:rPr>
          <w:rFonts w:ascii="Arial" w:cs="Arial" w:eastAsia="Arial" w:hAnsi="Arial"/>
          <w:sz w:val="17"/>
          <w:szCs w:val="17"/>
          <w:color w:val="231F20"/>
        </w:rPr>
        <w:t>2.3</w:t>
      </w:r>
      <w:r>
        <w:rPr>
          <w:rFonts w:ascii="Arial" w:cs="Arial" w:eastAsia="Arial" w:hAnsi="Arial"/>
          <w:sz w:val="17"/>
          <w:szCs w:val="17"/>
          <w:color w:val="auto"/>
        </w:rPr>
        <w:t xml:space="preserve"> to 1, and, as a result, </w:t>
      </w:r>
      <w:r>
        <w:rPr>
          <w:rFonts w:ascii="Arial" w:cs="Arial" w:eastAsia="Arial" w:hAnsi="Arial"/>
          <w:sz w:val="17"/>
          <w:szCs w:val="17"/>
          <w:color w:val="231F20"/>
        </w:rPr>
        <w:t>the Company is not restricted in its ability to incur additional indebtedness. Further, the Company is not restricted in</w:t>
      </w:r>
      <w:r>
        <w:rPr>
          <w:rFonts w:ascii="Arial" w:cs="Arial" w:eastAsia="Arial" w:hAnsi="Arial"/>
          <w:sz w:val="17"/>
          <w:szCs w:val="17"/>
          <w:color w:val="auto"/>
        </w:rPr>
        <w:t xml:space="preserve"> </w:t>
      </w:r>
      <w:r>
        <w:rPr>
          <w:rFonts w:ascii="Arial" w:cs="Arial" w:eastAsia="Arial" w:hAnsi="Arial"/>
          <w:sz w:val="17"/>
          <w:szCs w:val="17"/>
          <w:color w:val="231F20"/>
        </w:rPr>
        <w:t>its ability to distribute cash to affiliates or issue dividends to its member.</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S-28</w:t>
      </w:r>
    </w:p>
    <w:p>
      <w:pPr>
        <w:sectPr>
          <w:pgSz w:w="11900" w:h="16838" w:orient="portrait"/>
          <w:cols w:equalWidth="0" w:num="1">
            <w:col w:w="11420"/>
          </w:cols>
          <w:pgMar w:left="240" w:top="337"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In December 2012, CCL, the Company, and other subsidiaries of CCL entered into a management agreement (“Management Agreement”) with CCUSA, which replaced a previous management agreement among the same parties. </w:t>
      </w:r>
      <w:r>
        <w:rPr>
          <w:rFonts w:ascii="Arial" w:cs="Arial" w:eastAsia="Arial" w:hAnsi="Arial"/>
          <w:sz w:val="16"/>
          <w:szCs w:val="16"/>
          <w:color w:val="231F20"/>
        </w:rPr>
        <w:t>The Company is charged a management fee by CCUSA under the</w:t>
      </w:r>
      <w:r>
        <w:rPr>
          <w:rFonts w:ascii="Arial" w:cs="Arial" w:eastAsia="Arial" w:hAnsi="Arial"/>
          <w:sz w:val="16"/>
          <w:szCs w:val="16"/>
          <w:color w:val="auto"/>
        </w:rPr>
        <w:t xml:space="preserve"> </w:t>
      </w:r>
      <w:r>
        <w:rPr>
          <w:rFonts w:ascii="Arial" w:cs="Arial" w:eastAsia="Arial" w:hAnsi="Arial"/>
          <w:sz w:val="16"/>
          <w:szCs w:val="16"/>
          <w:color w:val="231F20"/>
        </w:rPr>
        <w:t xml:space="preserve">Management Agreement whereby CCUSA has agreed to employ, supervise and pay at all times a sufficient number of capable employees as may be necessary to perform services in accordance with the operation standards defined in the Management Agreement. </w:t>
      </w:r>
      <w:r>
        <w:rPr>
          <w:rFonts w:ascii="Arial" w:cs="Arial" w:eastAsia="Arial" w:hAnsi="Arial"/>
          <w:sz w:val="16"/>
          <w:szCs w:val="16"/>
          <w:color w:val="000000"/>
        </w:rPr>
        <w:t>CCUSA currently acts as the manager of the</w:t>
      </w:r>
      <w:r>
        <w:rPr>
          <w:rFonts w:ascii="Arial" w:cs="Arial" w:eastAsia="Arial" w:hAnsi="Arial"/>
          <w:sz w:val="16"/>
          <w:szCs w:val="16"/>
          <w:color w:val="231F20"/>
        </w:rPr>
        <w:t xml:space="preserve"> </w:t>
      </w:r>
      <w:r>
        <w:rPr>
          <w:rFonts w:ascii="Arial" w:cs="Arial" w:eastAsia="Arial" w:hAnsi="Arial"/>
          <w:sz w:val="16"/>
          <w:szCs w:val="16"/>
          <w:color w:val="000000"/>
        </w:rPr>
        <w:t xml:space="preserve">majority of the sites held by subsidiaries of CCIC. </w:t>
      </w:r>
      <w:r>
        <w:rPr>
          <w:rFonts w:ascii="Arial" w:cs="Arial" w:eastAsia="Arial" w:hAnsi="Arial"/>
          <w:sz w:val="16"/>
          <w:szCs w:val="16"/>
          <w:color w:val="231F20"/>
        </w:rPr>
        <w:t>The management fee is equal to 7.5% of the Company's "Operating Revenue," as defined in the</w:t>
      </w:r>
      <w:r>
        <w:rPr>
          <w:rFonts w:ascii="Arial" w:cs="Arial" w:eastAsia="Arial" w:hAnsi="Arial"/>
          <w:sz w:val="16"/>
          <w:szCs w:val="16"/>
          <w:color w:val="000000"/>
        </w:rPr>
        <w:t xml:space="preserve"> </w:t>
      </w:r>
      <w:r>
        <w:rPr>
          <w:rFonts w:ascii="Arial" w:cs="Arial" w:eastAsia="Arial" w:hAnsi="Arial"/>
          <w:sz w:val="16"/>
          <w:szCs w:val="16"/>
          <w:color w:val="231F20"/>
        </w:rPr>
        <w:t xml:space="preserve">Management Agreement, which are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but is not limited to real estate and personal property taxes, ground lease and easement payments, and insurance premiums. In addition, in connection with its role as manager, CCUSA may make certain modifications to the Company's sites. The management fee charged from CCUSA for the years ended December 31, 2018, 2017 and 2016 totaled </w:t>
      </w:r>
      <w:r>
        <w:rPr>
          <w:rFonts w:ascii="Arial" w:cs="Arial" w:eastAsia="Arial" w:hAnsi="Arial"/>
          <w:sz w:val="16"/>
          <w:szCs w:val="16"/>
          <w:color w:val="000000"/>
        </w:rPr>
        <w:t>$32.5 million</w:t>
      </w:r>
      <w:r>
        <w:rPr>
          <w:rFonts w:ascii="Arial" w:cs="Arial" w:eastAsia="Arial" w:hAnsi="Arial"/>
          <w:sz w:val="16"/>
          <w:szCs w:val="16"/>
          <w:color w:val="231F20"/>
        </w:rPr>
        <w:t xml:space="preserve">, </w:t>
      </w:r>
      <w:r>
        <w:rPr>
          <w:rFonts w:ascii="Arial" w:cs="Arial" w:eastAsia="Arial" w:hAnsi="Arial"/>
          <w:sz w:val="16"/>
          <w:szCs w:val="16"/>
          <w:color w:val="000000"/>
        </w:rPr>
        <w:t>$31.4 million</w:t>
      </w:r>
      <w:r>
        <w:rPr>
          <w:rFonts w:ascii="Arial" w:cs="Arial" w:eastAsia="Arial" w:hAnsi="Arial"/>
          <w:sz w:val="16"/>
          <w:szCs w:val="16"/>
          <w:color w:val="231F20"/>
        </w:rPr>
        <w:t xml:space="preserve"> and </w:t>
      </w:r>
      <w:r>
        <w:rPr>
          <w:rFonts w:ascii="Arial" w:cs="Arial" w:eastAsia="Arial" w:hAnsi="Arial"/>
          <w:sz w:val="16"/>
          <w:szCs w:val="16"/>
          <w:color w:val="000000"/>
        </w:rPr>
        <w:t>$30.5 million</w:t>
      </w:r>
      <w:r>
        <w:rPr>
          <w:rFonts w:ascii="Arial" w:cs="Arial" w:eastAsia="Arial" w:hAnsi="Arial"/>
          <w:sz w:val="16"/>
          <w:szCs w:val="16"/>
          <w:color w:val="231F20"/>
        </w:rPr>
        <w:t>, respectively.</w:t>
      </w:r>
    </w:p>
    <w:p>
      <w:pPr>
        <w:spacing w:after="0" w:line="1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In addition, CCUSA may perform installation services on the Company's towers for which the Company is not a party to any such agreement and for which no operating results are reflected herein.</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As part of CCIC's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contract for the land that existed prior to the purchase of such land by the affiliate. As of December 31, 2018, approximately 35% of the Company's towers were located on land which was controlled by an affiliate. The Company pays ground rent expense to affiliates for land owned by affiliates on which the Company has towers. Rent expense to affiliates totaled </w:t>
      </w:r>
      <w:r>
        <w:rPr>
          <w:rFonts w:ascii="Arial" w:cs="Arial" w:eastAsia="Arial" w:hAnsi="Arial"/>
          <w:sz w:val="18"/>
          <w:szCs w:val="18"/>
          <w:color w:val="000000"/>
        </w:rPr>
        <w:t>$37.4 million</w:t>
      </w:r>
      <w:r>
        <w:rPr>
          <w:rFonts w:ascii="Arial" w:cs="Arial" w:eastAsia="Arial" w:hAnsi="Arial"/>
          <w:sz w:val="18"/>
          <w:szCs w:val="18"/>
          <w:color w:val="231F20"/>
        </w:rPr>
        <w:t xml:space="preserve">, </w:t>
      </w:r>
      <w:r>
        <w:rPr>
          <w:rFonts w:ascii="Arial" w:cs="Arial" w:eastAsia="Arial" w:hAnsi="Arial"/>
          <w:sz w:val="18"/>
          <w:szCs w:val="18"/>
          <w:color w:val="000000"/>
        </w:rPr>
        <w:t>$33.5 million</w:t>
      </w:r>
      <w:r>
        <w:rPr>
          <w:rFonts w:ascii="Arial" w:cs="Arial" w:eastAsia="Arial" w:hAnsi="Arial"/>
          <w:sz w:val="18"/>
          <w:szCs w:val="18"/>
          <w:color w:val="231F20"/>
        </w:rPr>
        <w:t xml:space="preserve"> and </w:t>
      </w:r>
      <w:r>
        <w:rPr>
          <w:rFonts w:ascii="Arial" w:cs="Arial" w:eastAsia="Arial" w:hAnsi="Arial"/>
          <w:sz w:val="18"/>
          <w:szCs w:val="18"/>
          <w:color w:val="000000"/>
        </w:rPr>
        <w:t>$31.1 million</w:t>
      </w:r>
      <w:r>
        <w:rPr>
          <w:rFonts w:ascii="Arial" w:cs="Arial" w:eastAsia="Arial" w:hAnsi="Arial"/>
          <w:sz w:val="18"/>
          <w:szCs w:val="18"/>
          <w:color w:val="231F20"/>
        </w:rPr>
        <w:t xml:space="preserve"> for the years ended December 31, 2018, 2017 and 2016, respectively.</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recorded an equity distribution of $222.5 million, $202.8 million and $211.4 million for the years ended December 31, 2018, 2017 and 2016, respectively, reflecting distributions to its member. Cash on-hand above the amount that is required by the Management Agreement has been, and is expected to continue to be, distributed to the Company's parent company, CCL. </w:t>
      </w:r>
      <w:r>
        <w:rPr>
          <w:rFonts w:ascii="Arial" w:cs="Arial" w:eastAsia="Arial" w:hAnsi="Arial"/>
          <w:sz w:val="18"/>
          <w:szCs w:val="18"/>
          <w:color w:val="000000"/>
        </w:rPr>
        <w:t>As of December 31, 2018 and 2017, the Company had no material related</w:t>
      </w:r>
      <w:r>
        <w:rPr>
          <w:rFonts w:ascii="Arial" w:cs="Arial" w:eastAsia="Arial" w:hAnsi="Arial"/>
          <w:sz w:val="18"/>
          <w:szCs w:val="18"/>
          <w:color w:val="231F20"/>
        </w:rPr>
        <w:t xml:space="preserve"> </w:t>
      </w:r>
      <w:r>
        <w:rPr>
          <w:rFonts w:ascii="Arial" w:cs="Arial" w:eastAsia="Arial" w:hAnsi="Arial"/>
          <w:sz w:val="18"/>
          <w:szCs w:val="18"/>
          <w:color w:val="000000"/>
        </w:rPr>
        <w:t>party assets or liabilities on its consolidated balance sheet.</w:t>
      </w:r>
    </w:p>
    <w:p>
      <w:pPr>
        <w:spacing w:after="0" w:line="345"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For the year ended December 31, 2018, the Company had a provision for income taxes of $0.3 million, which relates to state taxes. For the years ended December 31, 2017 and 2016 the Company had benefits for income taxes of </w:t>
      </w:r>
      <w:r>
        <w:rPr>
          <w:rFonts w:ascii="Arial" w:cs="Arial" w:eastAsia="Arial" w:hAnsi="Arial"/>
          <w:sz w:val="18"/>
          <w:szCs w:val="18"/>
          <w:color w:val="231F20"/>
        </w:rPr>
        <w:t>$0.5 million and $0.4 million, respectively, which consisted of the reduction of</w:t>
      </w:r>
      <w:r>
        <w:rPr>
          <w:rFonts w:ascii="Arial" w:cs="Arial" w:eastAsia="Arial" w:hAnsi="Arial"/>
          <w:sz w:val="18"/>
          <w:szCs w:val="18"/>
          <w:color w:val="auto"/>
        </w:rPr>
        <w:t xml:space="preserve"> </w:t>
      </w:r>
      <w:r>
        <w:rPr>
          <w:rFonts w:ascii="Arial" w:cs="Arial" w:eastAsia="Arial" w:hAnsi="Arial"/>
          <w:sz w:val="18"/>
          <w:szCs w:val="18"/>
          <w:color w:val="231F20"/>
        </w:rPr>
        <w:t xml:space="preserve">unrecognized tax benefits as a result of the lapse of the statute of limitations partially offset by state taxes. The </w:t>
      </w:r>
      <w:r>
        <w:rPr>
          <w:rFonts w:ascii="Arial" w:cs="Arial" w:eastAsia="Arial" w:hAnsi="Arial"/>
          <w:sz w:val="18"/>
          <w:szCs w:val="18"/>
          <w:color w:val="000000"/>
        </w:rPr>
        <w:t>Company's effective tax rate for the years</w:t>
      </w:r>
      <w:r>
        <w:rPr>
          <w:rFonts w:ascii="Arial" w:cs="Arial" w:eastAsia="Arial" w:hAnsi="Arial"/>
          <w:sz w:val="18"/>
          <w:szCs w:val="18"/>
          <w:color w:val="231F20"/>
        </w:rPr>
        <w:t xml:space="preserve"> </w:t>
      </w:r>
      <w:r>
        <w:rPr>
          <w:rFonts w:ascii="Arial" w:cs="Arial" w:eastAsia="Arial" w:hAnsi="Arial"/>
          <w:sz w:val="18"/>
          <w:szCs w:val="18"/>
          <w:color w:val="000000"/>
        </w:rPr>
        <w:t>ended December 31, 2018, 2017 and 2016 differed from the federal statutory rate predominately due to CCIC's REIT status, including the dividends paid deduction (see notes 1 and 2), and the aforementioned impacts described above.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As of December 31, 2018, there were no unrecognized tax benefits that would impact the effective tax rate, if recognized.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From time to time, the Company is subject to examinations by various tax authorities in jurisdictions in which the Company has business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The Company regularly assesses the likelihood of additional assessments in each of the tax jurisdictions resulting from these examinations. At this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CCIC is not subject to an Internal Revenue Service examination.</w:t>
      </w:r>
    </w:p>
    <w:p>
      <w:pPr>
        <w:spacing w:after="0" w:line="369"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231F20"/>
        </w:rPr>
        <w:t xml:space="preserve">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financial position or results of operations. </w:t>
      </w:r>
      <w:r>
        <w:rPr>
          <w:rFonts w:ascii="Arial" w:cs="Arial" w:eastAsia="Arial" w:hAnsi="Arial"/>
          <w:sz w:val="16"/>
          <w:szCs w:val="16"/>
          <w:color w:val="000000"/>
        </w:rPr>
        <w:t>See note 9 for a discussion of the operating lease commitments. In addition, see note 1 for a discussion of CCIC's option to purchase</w:t>
      </w:r>
      <w:r>
        <w:rPr>
          <w:rFonts w:ascii="Arial" w:cs="Arial" w:eastAsia="Arial" w:hAnsi="Arial"/>
          <w:sz w:val="16"/>
          <w:szCs w:val="16"/>
          <w:color w:val="231F20"/>
        </w:rPr>
        <w:t xml:space="preserve"> </w:t>
      </w:r>
      <w:r>
        <w:rPr>
          <w:rFonts w:ascii="Arial" w:cs="Arial" w:eastAsia="Arial" w:hAnsi="Arial"/>
          <w:sz w:val="16"/>
          <w:szCs w:val="16"/>
          <w:color w:val="000000"/>
        </w:rPr>
        <w:t>nearly all of the Company's towers at the end of their respective contract terms. CCIC has no obligation to exercise the purchase option.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3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Asset Retirement Obligations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Pursuant to its ground lease and easement agreements, the Company has the obligation to perform certain asset retirement activities, including requirements upon contract or easement termination to remove communications infrastructure or remediate the land upon which communications infrastructure resides. Accretion expense related to liabilities for retirement obligations amounted to $1.9 million, $1.9 million and $1.7 million for the years ended December 31, 2018, 2017 and 2016, respectively. As of December 31, 2018 and 2017, liabilities for retirement obligations amounted to $24.3 million and $22.4 million, respectively, representing the net present value of the estimated expected future cash outlay. As of December 31, 2018, the estimated undiscounted future cash outlay for asset retirement obligations was approximately $50 million. See note 2.</w:t>
      </w:r>
    </w:p>
    <w:p>
      <w:pPr>
        <w:spacing w:after="0" w:line="337" w:lineRule="exact"/>
        <w:rPr>
          <w:sz w:val="20"/>
          <w:szCs w:val="20"/>
          <w:color w:val="auto"/>
        </w:rPr>
      </w:pPr>
    </w:p>
    <w:p>
      <w:pPr>
        <w:ind w:left="420" w:right="9660" w:hanging="412"/>
        <w:spacing w:after="0" w:line="528" w:lineRule="auto"/>
        <w:tabs>
          <w:tab w:leader="none" w:pos="42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Leases </w:t>
      </w:r>
      <w:r>
        <w:rPr>
          <w:rFonts w:ascii="Arial" w:cs="Arial" w:eastAsia="Arial" w:hAnsi="Arial"/>
          <w:sz w:val="15"/>
          <w:szCs w:val="15"/>
          <w:b w:val="1"/>
          <w:bCs w:val="1"/>
          <w:i w:val="1"/>
          <w:iCs w:val="1"/>
          <w:color w:val="231F20"/>
        </w:rPr>
        <w:t>Tenant Leases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The following table is a summary of the rental cash payments owed to the Company, as a lessor, by tenants pursuant to contractual agreements in effect as of December 31, 2018. Generally, the Company's leases with its tenants provide for (1) annual escalations, (2) multiple renewal periods at the tenant's option and (3) only limited termination rights at the applicable tenant's option through the current term. As of December 31, 2018, the weighted-average remaining term (calculated by weighting the remaining term for each lease by the related site rental revenue) of tenant leases is approximately six years, exclusive of renewals at the tenant's option. The tenants' rental payments included in the table below are through the current terms with a maximum current term of 20 years and do not assume exercise of tenant renewal options.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Tenant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437,514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442,324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442,762</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428,989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295,448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970,760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3,017,797</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Leases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231F20"/>
        </w:rPr>
        <w:t xml:space="preserve">The following table is a summary of rental cash payments owed by the Company, as lessee, to landlords pursuant to contractual agreements in effect as of December 31, 2018. The Company is obligated under non-cancelable operating leases for land interests under nearly all of its towers. The majority of these operating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tower located on the leased land interest. More than 80% and more than 50% of the Company's </w:t>
      </w:r>
      <w:r>
        <w:rPr>
          <w:rFonts w:ascii="Arial" w:cs="Arial" w:eastAsia="Arial" w:hAnsi="Arial"/>
          <w:sz w:val="17"/>
          <w:szCs w:val="17"/>
          <w:color w:val="000000"/>
        </w:rPr>
        <w:t>sites are under the Company's control for</w:t>
      </w:r>
      <w:r>
        <w:rPr>
          <w:rFonts w:ascii="Arial" w:cs="Arial" w:eastAsia="Arial" w:hAnsi="Arial"/>
          <w:sz w:val="17"/>
          <w:szCs w:val="17"/>
          <w:color w:val="231F20"/>
        </w:rPr>
        <w:t xml:space="preserve"> </w:t>
      </w:r>
      <w:r>
        <w:rPr>
          <w:rFonts w:ascii="Arial" w:cs="Arial" w:eastAsia="Arial" w:hAnsi="Arial"/>
          <w:sz w:val="17"/>
          <w:szCs w:val="17"/>
          <w:color w:val="000000"/>
        </w:rPr>
        <w:t xml:space="preserve">greater than 10 and 20 years, respectively, including renewals at the Company's option. </w:t>
      </w:r>
      <w:r>
        <w:rPr>
          <w:rFonts w:ascii="Arial" w:cs="Arial" w:eastAsia="Arial" w:hAnsi="Arial"/>
          <w:sz w:val="17"/>
          <w:szCs w:val="17"/>
          <w:color w:val="231F20"/>
        </w:rPr>
        <w:t>The operating lease payments included in the table below include</w:t>
      </w:r>
      <w:r>
        <w:rPr>
          <w:rFonts w:ascii="Arial" w:cs="Arial" w:eastAsia="Arial" w:hAnsi="Arial"/>
          <w:sz w:val="17"/>
          <w:szCs w:val="17"/>
          <w:color w:val="000000"/>
        </w:rPr>
        <w:t xml:space="preserve"> </w:t>
      </w:r>
      <w:r>
        <w:rPr>
          <w:rFonts w:ascii="Arial" w:cs="Arial" w:eastAsia="Arial" w:hAnsi="Arial"/>
          <w:sz w:val="17"/>
          <w:szCs w:val="17"/>
          <w:color w:val="231F20"/>
        </w:rPr>
        <w:t>payments for certain renewal periods at the Company's option that are reasonably assured to be exercised and an estimate of contingent payments based on revenues and gross margins derived from existing tenant leases. See also note 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115,277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116,971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117,823</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115,852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113,946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1,355,524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1,935,393</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Rental expense from operating leases was </w:t>
      </w:r>
      <w:r>
        <w:rPr>
          <w:rFonts w:ascii="Arial" w:cs="Arial" w:eastAsia="Arial" w:hAnsi="Arial"/>
          <w:sz w:val="17"/>
          <w:szCs w:val="17"/>
          <w:color w:val="000000"/>
        </w:rPr>
        <w:t>$123.0 million</w:t>
      </w:r>
      <w:r>
        <w:rPr>
          <w:rFonts w:ascii="Arial" w:cs="Arial" w:eastAsia="Arial" w:hAnsi="Arial"/>
          <w:sz w:val="17"/>
          <w:szCs w:val="17"/>
          <w:color w:val="231F20"/>
        </w:rPr>
        <w:t xml:space="preserve">, </w:t>
      </w:r>
      <w:r>
        <w:rPr>
          <w:rFonts w:ascii="Arial" w:cs="Arial" w:eastAsia="Arial" w:hAnsi="Arial"/>
          <w:sz w:val="17"/>
          <w:szCs w:val="17"/>
          <w:color w:val="000000"/>
        </w:rPr>
        <w:t>$120.0 million</w:t>
      </w:r>
      <w:r>
        <w:rPr>
          <w:rFonts w:ascii="Arial" w:cs="Arial" w:eastAsia="Arial" w:hAnsi="Arial"/>
          <w:sz w:val="17"/>
          <w:szCs w:val="17"/>
          <w:color w:val="231F20"/>
        </w:rPr>
        <w:t xml:space="preserve"> and </w:t>
      </w:r>
      <w:r>
        <w:rPr>
          <w:rFonts w:ascii="Arial" w:cs="Arial" w:eastAsia="Arial" w:hAnsi="Arial"/>
          <w:sz w:val="17"/>
          <w:szCs w:val="17"/>
          <w:color w:val="000000"/>
        </w:rPr>
        <w:t>$116.0 million</w:t>
      </w:r>
      <w:r>
        <w:rPr>
          <w:rFonts w:ascii="Arial" w:cs="Arial" w:eastAsia="Arial" w:hAnsi="Arial"/>
          <w:sz w:val="17"/>
          <w:szCs w:val="17"/>
          <w:color w:val="231F20"/>
        </w:rPr>
        <w:t xml:space="preserve"> for the years ended December 31, 2018, 2017 and 2016, respectively. The rental expense was inclusive of contingent payments based on revenues or gross margin derived from the tower located on the leased land of </w:t>
      </w:r>
      <w:r>
        <w:rPr>
          <w:rFonts w:ascii="Arial" w:cs="Arial" w:eastAsia="Arial" w:hAnsi="Arial"/>
          <w:sz w:val="17"/>
          <w:szCs w:val="17"/>
          <w:color w:val="000000"/>
        </w:rPr>
        <w:t>$19.7 million</w:t>
      </w:r>
      <w:r>
        <w:rPr>
          <w:rFonts w:ascii="Arial" w:cs="Arial" w:eastAsia="Arial" w:hAnsi="Arial"/>
          <w:sz w:val="17"/>
          <w:szCs w:val="17"/>
          <w:color w:val="231F20"/>
        </w:rPr>
        <w:t>,</w:t>
      </w:r>
      <w:r>
        <w:rPr>
          <w:rFonts w:ascii="Arial" w:cs="Arial" w:eastAsia="Arial" w:hAnsi="Arial"/>
          <w:sz w:val="17"/>
          <w:szCs w:val="17"/>
          <w:color w:val="000000"/>
        </w:rPr>
        <w:t xml:space="preserve"> $18.9 million </w:t>
      </w:r>
      <w:r>
        <w:rPr>
          <w:rFonts w:ascii="Arial" w:cs="Arial" w:eastAsia="Arial" w:hAnsi="Arial"/>
          <w:sz w:val="17"/>
          <w:szCs w:val="17"/>
          <w:color w:val="231F20"/>
        </w:rPr>
        <w:t>and</w:t>
      </w:r>
      <w:r>
        <w:rPr>
          <w:rFonts w:ascii="Arial" w:cs="Arial" w:eastAsia="Arial" w:hAnsi="Arial"/>
          <w:sz w:val="17"/>
          <w:szCs w:val="17"/>
          <w:color w:val="000000"/>
        </w:rPr>
        <w:t xml:space="preserve"> $18.6 million </w:t>
      </w:r>
      <w:r>
        <w:rPr>
          <w:rFonts w:ascii="Arial" w:cs="Arial" w:eastAsia="Arial" w:hAnsi="Arial"/>
          <w:sz w:val="17"/>
          <w:szCs w:val="17"/>
          <w:color w:val="231F20"/>
        </w:rPr>
        <w:t>for the years ended December 31, 2018, 2017 and 2016, respectively.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Effective January 1, 2019, the Company adopted new lease accounting guidance on the recognition, measurement, presentation and disclosure of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further discussion.</w:t>
      </w:r>
    </w:p>
    <w:p>
      <w:pPr>
        <w:spacing w:after="0" w:line="369" w:lineRule="exact"/>
        <w:rPr>
          <w:sz w:val="20"/>
          <w:szCs w:val="20"/>
          <w:color w:val="auto"/>
        </w:rPr>
      </w:pPr>
    </w:p>
    <w:p>
      <w:pPr>
        <w:ind w:left="420" w:hanging="412"/>
        <w:spacing w:after="0"/>
        <w:tabs>
          <w:tab w:leader="none" w:pos="4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Financial instruments that potentially subject the Company to concentrations of credit risk are primarily cash and cash equivalents and trade receivables. The Company mitigates its risk with respect to cash and cash equivalents by maintaining such deposits at high credit quality financial institutions and monitoring the credit ratings of those institutions. See note 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337"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The Company derives the largest portion of its revenues from tenants in the wireless industry. The Company also has a concentration in its volume of business with Sprint, AT&amp;T, T-Mobile and Verizon Wireless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contracts with contractually determinable payment terms and proactive management of past due balances. See note 1 for a discussion of the Sprint Sites.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Major Tenants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percentage of the Company's revenues for those tenants accounting for more than 10% of the Company's revenues.</w:t>
      </w:r>
    </w:p>
    <w:p>
      <w:pPr>
        <w:spacing w:after="0" w:line="18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23495</wp:posOffset>
            </wp:positionV>
            <wp:extent cx="30270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r>
      <w:tr>
        <w:trPr>
          <w:trHeight w:val="23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Sprint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AT&amp;T</w:t>
            </w:r>
          </w:p>
        </w:tc>
        <w:tc>
          <w:tcPr>
            <w:tcW w:w="4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T-Mobile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Verizon Wireless</w:t>
            </w: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33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Years Ended December 31, 2018, 2017 and 2016</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9019"/>
          </w:cols>
          <w:pgMar w:left="1440" w:top="580" w:right="14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Holdings GS V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Pinnacle Towers LLC and its subsidiaries (the “Company”) as of December 31, 2018 and 2017, and the related consolidated statements of operations, cash flows and changes in member’s equity for each of the three years in the period ended December 31, 2018,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580" w:right="2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Receivables, net of allowance of $962 and $929, respectively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2,474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2,225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12,638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10,370</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79,195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76,645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334,951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343,426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627,345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627,345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contracts and tenant relationships,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385,899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435,656</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2,374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6,687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6,569</w:t>
            </w:r>
          </w:p>
        </w:tc>
      </w:tr>
      <w:tr>
        <w:trPr>
          <w:trHeight w:val="284"/>
        </w:trPr>
        <w:tc>
          <w:tcPr>
            <w:tcW w:w="88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1,448,843</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1,502,385</w:t>
            </w:r>
          </w:p>
        </w:tc>
      </w:tr>
      <w:tr>
        <w:trPr>
          <w:trHeight w:val="217"/>
        </w:trPr>
        <w:tc>
          <w:tcPr>
            <w:tcW w:w="8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8800" w:type="dxa"/>
            <w:vAlign w:val="bottom"/>
          </w:tcPr>
          <w:p>
            <w:pPr>
              <w:ind w:left="33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658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2,981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2,651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8,145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Deferred ground lease payable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7,965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7,710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10,570</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26,922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26,167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Commitments and contingencies (note 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Member's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1,421,921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1,476,218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earnings (deficit)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1,421,921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1,476,218</w:t>
            </w:r>
          </w:p>
        </w:tc>
      </w:tr>
      <w:tr>
        <w:trPr>
          <w:trHeight w:val="244"/>
        </w:trPr>
        <w:tc>
          <w:tcPr>
            <w:tcW w:w="8800" w:type="dxa"/>
            <w:vAlign w:val="bottom"/>
          </w:tcPr>
          <w:p>
            <w:pPr>
              <w:ind w:left="60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1,448,843</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1,502,385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580"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185,346</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175,942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173,896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4"/>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34,927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34,681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37,129</w:t>
            </w:r>
          </w:p>
        </w:tc>
      </w:tr>
      <w:tr>
        <w:trPr>
          <w:trHeight w:val="270"/>
        </w:trPr>
        <w:tc>
          <w:tcPr>
            <w:tcW w:w="674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4,800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4,381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4,100</w:t>
            </w:r>
          </w:p>
        </w:tc>
      </w:tr>
      <w:tr>
        <w:trPr>
          <w:trHeight w:val="25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39,727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39,062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41,229</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13,690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13,280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12,880</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2,669</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77,936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77,659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76,640</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131,896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130,474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133,418</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53,450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45,468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40,478</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53,722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45,602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40,385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53,647</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45,722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40,604</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580" w:right="23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53,647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45,722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40,604</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77,936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77,659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76,640</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Asset write-down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2,669</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(389)</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Decrease (increase) in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1,082</w:t>
            </w:r>
          </w:p>
        </w:tc>
      </w:tr>
      <w:tr>
        <w:trPr>
          <w:trHeight w:val="220"/>
        </w:trPr>
        <w:tc>
          <w:tcPr>
            <w:tcW w:w="7380" w:type="dxa"/>
            <w:vAlign w:val="bottom"/>
          </w:tcPr>
          <w:p>
            <w:pPr>
              <w:ind w:left="700"/>
              <w:spacing w:after="0"/>
              <w:rPr>
                <w:sz w:val="20"/>
                <w:szCs w:val="20"/>
                <w:color w:val="auto"/>
              </w:rPr>
            </w:pPr>
            <w:r>
              <w:rPr>
                <w:rFonts w:ascii="Arial" w:cs="Arial" w:eastAsia="Arial" w:hAnsi="Arial"/>
                <w:sz w:val="16"/>
                <w:szCs w:val="16"/>
                <w:color w:val="auto"/>
                <w:w w:val="92"/>
              </w:rPr>
              <w:t>Decrease (increase) in other current assets, deferred site rental receivable, long-term prepaid rent and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7380" w:type="dxa"/>
            <w:vAlign w:val="bottom"/>
          </w:tcPr>
          <w:p>
            <w:pPr>
              <w:ind w:left="86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2,451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(1,667)</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126,683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126,393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118,734</w:t>
            </w:r>
          </w:p>
        </w:tc>
      </w:tr>
      <w:tr>
        <w:trPr>
          <w:trHeight w:val="231"/>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(21,209)</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(18,739)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(15,455)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(21,209)</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Distributions to member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(107,944)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(110,938)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(97,525)</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(107,944)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(97,525)</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r>
      <w:tr>
        <w:trPr>
          <w:trHeight w:val="244"/>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360"/>
          </w:cols>
          <w:pgMar w:left="280" w:top="580" w:right="2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1,540,422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57,933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1,598,355</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(97,525)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(97,525)</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40,604</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40,604</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December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1,540,422</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1,012</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1,541,434</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(64,204)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(46,734)</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(110,938)</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45,722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45,722</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1,476,218</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1,476,218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(54,297)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(53,647)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(107,944)</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53,647</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53,647</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December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1,421,921</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1,421,921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796"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Pinnacle Towers LLC and its consolidated wholly-owned subsidiaries (collectively, "Company"). The Company is a wholly-owned subsidiary of CC Holdings GS V LLC ("CCL"), which is an indirect, wholly-owned subsidiary of Crown Castle International Corp., a Delaware corporation ("CCIC" or "Crown Castle"). All significant inter-company accounts, transactions and profits have been eliminated. As used herein, the term "including," and any variation thereof means "including without limitations." The use of the word "or" herein is not exclusive.</w:t>
      </w:r>
    </w:p>
    <w:p>
      <w:pPr>
        <w:spacing w:after="0" w:line="13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is organized specifically to own, lease and manage towers and other structures (collectively, "towers") and to a lesser extent, interests in land under third party and related party towers in various forms ("land interests") (collectively, "communications infrastructure" or "sites") that are geographically dispersed across the United States ("U.S."). The Company's core business is providing access, including space or capacity, to its sites via long-term contracts in various forms, including lease, license and sublease agreements (collectively, "contracts"). The Company's existing customers on its communication infrastructure are referred to herein as "tenants." Management services related to communications towers and other communication sites are performed by Crown Castle USA Inc. ("CCUSA"), an affiliate of the Company, under a management agreement, as the Company has no employees.</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notes 2 and 7.</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those estimates.</w:t>
      </w:r>
    </w:p>
    <w:p>
      <w:pPr>
        <w:spacing w:after="0" w:line="305" w:lineRule="exact"/>
        <w:rPr>
          <w:sz w:val="20"/>
          <w:szCs w:val="20"/>
          <w:color w:val="auto"/>
        </w:rPr>
      </w:pPr>
    </w:p>
    <w:p>
      <w:pPr>
        <w:ind w:left="420" w:right="7620" w:hanging="412"/>
        <w:spacing w:after="0" w:line="440" w:lineRule="auto"/>
        <w:tabs>
          <w:tab w:leader="none" w:pos="4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Receivables Allowance</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 of operations" and deductions from the allowance are recorded when specific accounts receivable are written off as uncollectible.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w:t>
      </w:r>
      <w:r>
        <w:rPr>
          <w:rFonts w:ascii="Arial" w:cs="Arial" w:eastAsia="Arial" w:hAnsi="Arial"/>
          <w:sz w:val="18"/>
          <w:szCs w:val="18"/>
          <w:i w:val="1"/>
          <w:iCs w:val="1"/>
          <w:color w:val="auto"/>
        </w:rPr>
        <w:t>Costs of Operations</w:t>
      </w:r>
      <w:r>
        <w:rPr>
          <w:rFonts w:ascii="Arial" w:cs="Arial" w:eastAsia="Arial" w:hAnsi="Arial"/>
          <w:sz w:val="18"/>
          <w:szCs w:val="18"/>
          <w:color w:val="auto"/>
        </w:rPr>
        <w:t>"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with respect to a portion of space on a tower)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fair value is not objectively determinable, then such lease is accounted for as an operating lease. As applicable, operating leases are recognized on a straight-line basis as discussed under </w:t>
      </w:r>
      <w:r>
        <w:rPr>
          <w:rFonts w:ascii="Arial" w:cs="Arial" w:eastAsia="Arial" w:hAnsi="Arial"/>
          <w:sz w:val="18"/>
          <w:szCs w:val="18"/>
          <w:i w:val="1"/>
          <w:iCs w:val="1"/>
          <w:color w:val="auto"/>
        </w:rPr>
        <w:t>"Revenue Recognition."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Effective January 1, 2019, the Company adopted new lease accounting guidance on the recognition, measurement, presentation and disclosure of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below for further discussion.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337"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straight-line method at rates based upon the estimated useful lives of the various classes of assets. Depreciation of communications infrastructure is generally computed with a useful life equal to the shorter of 20 years or the term of the underlying ground lease (including optional renewal periods). Additions, renewals or improvements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3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Abandonments and write-offs of property and equipment are recorded to "asset write-down charges" on the Company's consolidated statement of operations and were $0.4 million, $0.4 million and $2.9 million for the years ended December 31, 2018, 2017 and 2016, respectively.</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its ground lease and easement agreements, the Company records obligations to perform asset retirement activities, including requirements to remove communications infrastructure or remediate the land upon which the Company's communications infrastructure resides. Asset retirement obligations are included in "above-market leases and other liabilities" on the Company's consolidated balance sheet. The liability accretes as a result of the passage of time and the related accretion expense is included in "depreciation, amortization and accretion" expense on the Company's consolidated statement of operations. The associated asset retirement costs are capitalized as an additional carrying amount of the related long-lived asset and depreciated over the useful life of such asset.</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any impairment if there is an indication from the first step that one exists. The Company's measurement of the fair value for goodwill is based on an estimate of discounted expected future cash flows of the reporting unit. The Company has one reporting unit for goodwill impairment testing. The Company performed its most recent annual goodwill impairment test as of October 1, 2018,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Intangible assets are included in "site rental contracts and tenant relationships, net" and "other intangible assets, net" on the Company's consolidated balance sheet and predominately consist of the estimated fair value of the following items recorded in conjunction with acquisitions: (1) site rental contracts and tenant relationships or (2) below-market leases for land interests under the acquired towers classified as "other intangible assets, net." The site rental contracts and tenant relationships intangible assets are comprised of (1) the current term of the existing contracts, (2) the expected exercise of the renewal provisions contained within the existing contracts, which automatically occur under contractual provisions or (3) any associated relationships that are expected to generate value following the expiration of all renewal periods under existing contracts.</w:t>
      </w:r>
    </w:p>
    <w:p>
      <w:pPr>
        <w:spacing w:after="0" w:line="12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useful lives of intangible assets are estimated based on the period over which the intangible asset is expected to benefit the Company, which is calculated on an individual tenant basis, considering, among other things, the contractual provisions with the tenant and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tenant relationships intangible asset is limited by the maximum depreciable life of the tower (20 years), as a result of the interdependency of the tower and site rental contracts and tenant relationships. In contrast, the site rental contracts and tenant relationships are estimated to provide economic benefits for several decades because of the low rate of tenant cancellations and high rate of renewals experienced to date. Thus, while site rental contracts and tenant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33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relationships are valued based upon the fair value, which includes assumptions regarding both (1) tenants' exercise of optional renewals contained in the acquired contracts and (2) renewals of the acquired contracts past the contractual term including exercisable options, the site rental contracts and tenant relationships are amortized over a period not to exceed 20 years as a result of the useful life being limited by the depreciable life of the sites.</w:t>
      </w:r>
    </w:p>
    <w:p>
      <w:pPr>
        <w:spacing w:after="0" w:line="11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tenant relationships intangible assets. First, the Company pools the site rental contracts and tenant relationships with the related tower assets into portfolio groups for purposes of determining the unit of account for impairment testing. Second and separately, the Company evaluates the site rental contracts and tenant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Above-market Leases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Above-market leases consist of the estimated fair value of above-market leases for land interests under the Company's towers. Above-market leases for land interests are amortized to costs of operations over their respective estimated remaining contract term at the acquisition date.</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Site rental revenues from the Company's contracts are recognized on a straight-line, ratable basis over the fixed, non-cancelable term of the relevant contract, which generally ranges from five to 15 years, regardless of whether the payments from the tenant are received in equal monthly amounts during the life of the contract. The Company's contracts contain fixed escalation clauses (such as fixed dollar or fixed percentage increases) or inflation-based escalation clauses (such as those tied to the consumer price index ("CPI")). If the payment terms call for fixed escalations, upfront payments, or rent-free periods, the revenue is recognized on a straight-line basis over the fixed, non-cancelable term of the agreement. When calculating straight-line rental revenues, the Company considers all fixed elements of tenant contractual escalation provisions.The Company's assets related to straight-line site rental revenues are included in "deferred site rental receivables." Amounts billed or received prior to being earned are deferred and reflected in "deferred revenues" on the Company's consolidated balance sheet.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of Operations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Approximately two-thirds of the Company's site rental cost of operations consists of ground lease expenses, and the remainder includes repairs and maintenance expenses, utilities, property taxes or insurance.</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Generally, the ground lease agreements are specific to each site, are for an initial term of five years and are renewable for pre-determined periods. The Company also enters into term easements and ground leases in which it prepays the entire term in advance. Ground lease expense is recognized on a ratable basis, regardless of whether the contract payment terms require the Company to make payments annually, quarterly, monthly or for the entire term in advance. The Company's ground leases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ground lease expense using a time period that equals or exceeds the remaining depreciable life of the communications infrastructure asset. Further, when a tenant has exercisable renewal options that would compel the Company to exercise existing ground lease renewal options, the Company has straight-lined the ground lease expense over a sufficient portion of such ground lease renewals to coincide with the final termination of the tenant's renewal options. The Company's policy is to record ground lease agreements with affiliates under the same or similar economic terms as the contract for the land that existed prior to the purchase of such land by the affiliate.</w:t>
      </w:r>
    </w:p>
    <w:p>
      <w:pPr>
        <w:spacing w:after="0" w:line="11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Company's non-current liability related to straight-line ground lease expense is included in "deferred ground lease payable" on the Company's consolidated balance sheet. The Company's assets related to prepaid ground leases is included in "prepaid expenses" and "long-term prepaid rent and other assets, net" on the Company's consolidated balance sheet. The Company's current liability related to accrued property taxes is included in "other accrued liabilities" on the Company's consolidated balance sheet and was $1.9 million and $1.6 million as of December 31, 2018 and 2017,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337"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Fee</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is charged a management fee by CCUSA, a wholly-owned, indirect subsidiary of CCIC, relating to management services, which include those functions reasonably necessary to maintain, market, operate, manage and administer the sites. The management fee is equal to 7.5% of the Company's revenues excluding the revenues related to the accounting for leases with fixed escalators as required by the applicable accounting standards. See note 6.</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CCIC operates as a REIT for U.S. federal income tax purposes. The Company is an indirect subsidiary of CCIC and for U.S. federal income taxes purposes the Company's assets and operations are part of the CCIC REIT. </w:t>
      </w:r>
      <w:r>
        <w:rPr>
          <w:rFonts w:ascii="Arial" w:cs="Arial" w:eastAsia="Arial" w:hAnsi="Arial"/>
          <w:sz w:val="18"/>
          <w:szCs w:val="18"/>
          <w:color w:val="000000"/>
        </w:rPr>
        <w:t>As a REIT, CCIC is generally entitled to a deduction for dividends that it pays and</w:t>
      </w:r>
      <w:r>
        <w:rPr>
          <w:rFonts w:ascii="Arial" w:cs="Arial" w:eastAsia="Arial" w:hAnsi="Arial"/>
          <w:sz w:val="18"/>
          <w:szCs w:val="18"/>
          <w:color w:val="231F20"/>
        </w:rPr>
        <w:t xml:space="preserve"> </w:t>
      </w:r>
      <w:r>
        <w:rPr>
          <w:rFonts w:ascii="Arial" w:cs="Arial" w:eastAsia="Arial" w:hAnsi="Arial"/>
          <w:sz w:val="18"/>
          <w:szCs w:val="18"/>
          <w:color w:val="000000"/>
        </w:rPr>
        <w:t>therefore is not subject to U.S. federal corporate income tax on its taxable income that is currently distributed to its stockholders. CCIC also may be subject to certain federal, state, local and foreign taxes on its income and assets, including (1) taxes on any undistributed income, (2) taxes related to the CCIC's taxable REIT subsidiaries, (3) franchise taxes, (4) property taxes and (5) transfer taxes. In addition, CCIC could in certain circumstances be required to pay an excise or penalty tax, which could be significant in amount, in order to utilize one or more relief provisions under the Internal Revenue Code of 1986, as amended to maintain qualification for taxation as a REIT.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operating segment.</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January 2017, the FASB issued new guidance which clarifies the definition of a business in order to assist companies in evaluating whether transactions should be accounted for as acquisitions or disposals of assets or businesses. The Company adopted the guidance on January 1, 2018, and the adoption of this guidance did not have a material impact on its consolidated financial statements.</w:t>
      </w:r>
    </w:p>
    <w:p>
      <w:pPr>
        <w:spacing w:after="0" w:line="12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May 2014, the FASB released updated guidance regarding the recognition of revenue from contracts with customers not otherwise addressed by specific guidance (commonly referred to as "ASC 606" or "the revenue recognition standard").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the customer; (2) identify the performance obligations in the contract; (3) determine the contract price; (4) allocate the transaction price to the performance obligations in the contract; and (5) recognize revenue when (or as) the entity satisfies a performance obligation. This guidance was effective for the Company on January 1, 2018. The Company's site rental revenues are within the scope of lease accounting and were not impacted by this guidance.</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31"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This guidance was effective for, and adopted by, the Company as of January 1, 2019, and is required to be adopted using a modified retrospective approach, which after certain additional updates in July 2018, allows the Company to apply the new guidance either (1) as of the beginning of the earliest period presented, or (2) as of the effective date (i.e., January 1, 2019), without adjusting the comparative periods.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adopted the new guidance using a modified retrospective approach as of the effective date (i.e, January 1, 2019), without adjusting the comparative periods. The Company's adoption of the new guidance did not result in a cumulative-effect adjustment being recognized to the opening balance of retained earnings. The Company elected the package of practical expedients upon adoption and thus will not reassess the classification or lease term of leases existing prior to January 1, 2019.</w:t>
      </w:r>
    </w:p>
    <w:p>
      <w:pPr>
        <w:spacing w:after="0" w:line="13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Company expects that (1) its lessor and lessee arrangements will continue to be classified as operating leases under the new guidance; (2) this guidance will result in a lease liability (which primarily consist of ground leases under the Company's towers) and a corresponding right-of-use asset; and (3) there will not be a material impact to its consolidated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337"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statement of operations and consolidated statement of cash flows. CCIC is in the process of updating certain of its existing information technology systems to integrate the new lease guidance requirements.</w:t>
      </w:r>
    </w:p>
    <w:p>
      <w:pPr>
        <w:spacing w:after="0" w:line="329" w:lineRule="exact"/>
        <w:rPr>
          <w:sz w:val="20"/>
          <w:szCs w:val="20"/>
          <w:color w:val="auto"/>
        </w:rPr>
      </w:pPr>
    </w:p>
    <w:p>
      <w:pPr>
        <w:ind w:left="420" w:hanging="412"/>
        <w:spacing w:after="0"/>
        <w:tabs>
          <w:tab w:leader="none" w:pos="4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Estimated Useful Lives</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55,642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56,195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Towers</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1-20 years</w:t>
            </w: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548,713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532,039</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7,917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6,196</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612,272</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594,430</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(277,321)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(251,004)</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334,951</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343,426</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for the years ended December 31, 2018, 2017 and 2016 was $26.7 million, $26.5 million and $25.6 million, respectively.</w:t>
      </w:r>
    </w:p>
    <w:p>
      <w:pPr>
        <w:spacing w:after="0" w:line="395"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Above-market 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following is a summary of the Company's intangible assets.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2018</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83"/>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contracts and tenant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986,601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(600,702)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385,899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985,741</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(550,085)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435,656</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6,400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(4,272)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2,128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2,374</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993,001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(604,974)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388,027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992,204</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(554,174)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438,030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Amortization expense related to intangible assets is classified as follows on the Company's consolidated statement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w w:val="93"/>
              </w:rPr>
              <w:t>For Years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50,616</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50,597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50,583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279</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50,861</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50,857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50,862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 of operations") for the years ending December 31, 2019 to 2023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50,859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50,833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50,816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50,804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50,803</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33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See note 2 for a further discussion of above-market leases for land interests under the Company's towers recorded in connection with acquisitions. For each of the years ended December 31, 2018, 2017 and 2016, the Company recorded $0.3 million as a decrease to "site rental cost of operations." The following is a summary of the Company's above-market leases.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December 31, 2018</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December 31, 2017</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Book Value</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Above-market leases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8,056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3,410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8,056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3,729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annual amortization expense related to above-market leases for land interests under the Company's towers for the years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to 2023 is as follows: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295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279</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December 2012, CCL and Crown Castle GS III Corp. (a subsidiary of CCL) issued $1.5 billion aggregate principal amount of senior secured notes ("2012 Secured Notes"), which are guaranteed by certain subsidiaries of CCL, including the Company. In addition, the 2012 Secured Notes are secured on a first priority basis by certain subsidiaries of CCL, including a pledge of the equity interests of the Company. In September 2016, CCIC issued $700 million aggregate principal amount of 2.250% senior unsecured notes. CCIC used a portion of the net proceeds to repay $500 million of the 2012 Secured Notes.</w:t>
      </w:r>
    </w:p>
    <w:p>
      <w:pPr>
        <w:spacing w:after="0" w:line="10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231F20"/>
        </w:rPr>
        <w:t>The 2012 Secured Notes do not contain financial maintenance covenants but they do contain restrictive covenants, subject to certain exceptions, related to the Company's ability to incur indebtedness, incur liens, enter into certain mergers or change of control transactions, sell or issue equity interests and enter into related party transactions. With respect to the restriction regarding the issuance of debt, CCL and its subsidiaries including the Company may not issue debt other than (1) certain permitted refinancings of the 2012 Secured Notes, (2) unsecured trade payables in the ordinary course of business and financing of equipment, land or other property up to an aggregate of $100.0 million and (3) unsecured debt or additional notes under the 2012 Secured Notes indenture provided that the Debt to Adjusted Consolidated Cash Flow Ratio (as defined in the indenture governing the 2012 Secured Notes) at the time of incurrence, and after giving effect to such incurrence, would have been no greater than 3.5 to 1. As of December 31, 2018, CCL's Debt to Adjusted Consolidated Cash Flow Ratio was 2.3 to 1, and, as a result, the Company is not restricted in its ability to incur additional indebtedness. Further, the Company is not restricted in its ability to distribute cash to affiliates or issue dividends to its member.</w:t>
      </w:r>
    </w:p>
    <w:p>
      <w:pPr>
        <w:spacing w:after="0" w:line="340" w:lineRule="exact"/>
        <w:rPr>
          <w:sz w:val="20"/>
          <w:szCs w:val="20"/>
          <w:color w:val="auto"/>
        </w:rPr>
      </w:pPr>
    </w:p>
    <w:p>
      <w:pPr>
        <w:ind w:left="420" w:hanging="412"/>
        <w:spacing w:after="0"/>
        <w:tabs>
          <w:tab w:leader="none" w:pos="4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In December 2012, CCL, the Company, and other subsidiaries of CCL entered into a management agreement ("Management Agreement") with CCUSA, which replaced a previous management agreement among the same parties. </w:t>
      </w:r>
      <w:r>
        <w:rPr>
          <w:rFonts w:ascii="Arial" w:cs="Arial" w:eastAsia="Arial" w:hAnsi="Arial"/>
          <w:sz w:val="16"/>
          <w:szCs w:val="16"/>
          <w:color w:val="231F20"/>
        </w:rPr>
        <w:t>The Company is charged a management fee by CCUSA under the</w:t>
      </w:r>
      <w:r>
        <w:rPr>
          <w:rFonts w:ascii="Arial" w:cs="Arial" w:eastAsia="Arial" w:hAnsi="Arial"/>
          <w:sz w:val="16"/>
          <w:szCs w:val="16"/>
          <w:color w:val="auto"/>
        </w:rPr>
        <w:t xml:space="preserve"> </w:t>
      </w:r>
      <w:r>
        <w:rPr>
          <w:rFonts w:ascii="Arial" w:cs="Arial" w:eastAsia="Arial" w:hAnsi="Arial"/>
          <w:sz w:val="16"/>
          <w:szCs w:val="16"/>
          <w:color w:val="231F20"/>
        </w:rPr>
        <w:t xml:space="preserve">Management Agreement whereby CCUSA has agreed to employ, supervise and pay at all times a sufficient number of capable employees as may be necessary to perform services in accordance with the operation standards defined in the Management Agreement. </w:t>
      </w:r>
      <w:r>
        <w:rPr>
          <w:rFonts w:ascii="Arial" w:cs="Arial" w:eastAsia="Arial" w:hAnsi="Arial"/>
          <w:sz w:val="16"/>
          <w:szCs w:val="16"/>
          <w:color w:val="000000"/>
        </w:rPr>
        <w:t>CCUSA currently acts as the manager of the</w:t>
      </w:r>
      <w:r>
        <w:rPr>
          <w:rFonts w:ascii="Arial" w:cs="Arial" w:eastAsia="Arial" w:hAnsi="Arial"/>
          <w:sz w:val="16"/>
          <w:szCs w:val="16"/>
          <w:color w:val="231F20"/>
        </w:rPr>
        <w:t xml:space="preserve"> </w:t>
      </w:r>
      <w:r>
        <w:rPr>
          <w:rFonts w:ascii="Arial" w:cs="Arial" w:eastAsia="Arial" w:hAnsi="Arial"/>
          <w:sz w:val="16"/>
          <w:szCs w:val="16"/>
          <w:color w:val="000000"/>
        </w:rPr>
        <w:t xml:space="preserve">majority of the sites held by subsidiaries of CCIC. </w:t>
      </w:r>
      <w:r>
        <w:rPr>
          <w:rFonts w:ascii="Arial" w:cs="Arial" w:eastAsia="Arial" w:hAnsi="Arial"/>
          <w:sz w:val="16"/>
          <w:szCs w:val="16"/>
          <w:color w:val="231F20"/>
        </w:rPr>
        <w:t>The management fee is equal to 7.5% of the Company's "Operating Revenue," as defined in the</w:t>
      </w:r>
      <w:r>
        <w:rPr>
          <w:rFonts w:ascii="Arial" w:cs="Arial" w:eastAsia="Arial" w:hAnsi="Arial"/>
          <w:sz w:val="16"/>
          <w:szCs w:val="16"/>
          <w:color w:val="000000"/>
        </w:rPr>
        <w:t xml:space="preserve"> </w:t>
      </w:r>
      <w:r>
        <w:rPr>
          <w:rFonts w:ascii="Arial" w:cs="Arial" w:eastAsia="Arial" w:hAnsi="Arial"/>
          <w:sz w:val="16"/>
          <w:szCs w:val="16"/>
          <w:color w:val="231F20"/>
        </w:rPr>
        <w:t xml:space="preserve">Management Agreement, </w:t>
      </w:r>
      <w:r>
        <w:rPr>
          <w:rFonts w:ascii="Arial" w:cs="Arial" w:eastAsia="Arial" w:hAnsi="Arial"/>
          <w:sz w:val="16"/>
          <w:szCs w:val="16"/>
          <w:color w:val="000000"/>
        </w:rPr>
        <w:t>which are based on the Company’s reported revenues adjusted to exclude certain items including revenues related to the accounting</w:t>
      </w:r>
      <w:r>
        <w:rPr>
          <w:rFonts w:ascii="Arial" w:cs="Arial" w:eastAsia="Arial" w:hAnsi="Arial"/>
          <w:sz w:val="16"/>
          <w:szCs w:val="16"/>
          <w:color w:val="231F20"/>
        </w:rPr>
        <w:t xml:space="preserve"> </w:t>
      </w:r>
      <w:r>
        <w:rPr>
          <w:rFonts w:ascii="Arial" w:cs="Arial" w:eastAsia="Arial" w:hAnsi="Arial"/>
          <w:sz w:val="16"/>
          <w:szCs w:val="16"/>
          <w:color w:val="000000"/>
        </w:rPr>
        <w:t xml:space="preserve">for leases with fixed escalators. </w:t>
      </w:r>
      <w:r>
        <w:rPr>
          <w:rFonts w:ascii="Arial" w:cs="Arial" w:eastAsia="Arial" w:hAnsi="Arial"/>
          <w:sz w:val="16"/>
          <w:szCs w:val="16"/>
          <w:color w:val="231F20"/>
        </w:rPr>
        <w:t>The fee is compensation for those functions reasonably necessary to maintain, market, operate, manage and administer the</w:t>
      </w:r>
      <w:r>
        <w:rPr>
          <w:rFonts w:ascii="Arial" w:cs="Arial" w:eastAsia="Arial" w:hAnsi="Arial"/>
          <w:sz w:val="16"/>
          <w:szCs w:val="16"/>
          <w:color w:val="000000"/>
        </w:rPr>
        <w:t xml:space="preserve"> </w:t>
      </w:r>
      <w:r>
        <w:rPr>
          <w:rFonts w:ascii="Arial" w:cs="Arial" w:eastAsia="Arial" w:hAnsi="Arial"/>
          <w:sz w:val="16"/>
          <w:szCs w:val="16"/>
          <w:color w:val="231F20"/>
        </w:rPr>
        <w:t xml:space="preserve">sites, other than the operating expenses, which includes but is not limited to real estate and personal property taxes, ground lease and easement payments, and insurance premiums. In addition, in connection with its role as manager, CCUSA may make certain modifications to the Company's sites. The management fee charged from CCUSA for the years ended December 31, 2018, 2017 and 2016 totaled </w:t>
      </w:r>
      <w:r>
        <w:rPr>
          <w:rFonts w:ascii="Arial" w:cs="Arial" w:eastAsia="Arial" w:hAnsi="Arial"/>
          <w:sz w:val="16"/>
          <w:szCs w:val="16"/>
          <w:color w:val="000000"/>
        </w:rPr>
        <w:t>$13.7 million</w:t>
      </w:r>
      <w:r>
        <w:rPr>
          <w:rFonts w:ascii="Arial" w:cs="Arial" w:eastAsia="Arial" w:hAnsi="Arial"/>
          <w:sz w:val="16"/>
          <w:szCs w:val="16"/>
          <w:color w:val="231F20"/>
        </w:rPr>
        <w:t xml:space="preserve">, </w:t>
      </w:r>
      <w:r>
        <w:rPr>
          <w:rFonts w:ascii="Arial" w:cs="Arial" w:eastAsia="Arial" w:hAnsi="Arial"/>
          <w:sz w:val="16"/>
          <w:szCs w:val="16"/>
          <w:color w:val="000000"/>
        </w:rPr>
        <w:t>$13.3 million</w:t>
      </w:r>
      <w:r>
        <w:rPr>
          <w:rFonts w:ascii="Arial" w:cs="Arial" w:eastAsia="Arial" w:hAnsi="Arial"/>
          <w:sz w:val="16"/>
          <w:szCs w:val="16"/>
          <w:color w:val="231F20"/>
        </w:rPr>
        <w:t xml:space="preserve"> and </w:t>
      </w:r>
      <w:r>
        <w:rPr>
          <w:rFonts w:ascii="Arial" w:cs="Arial" w:eastAsia="Arial" w:hAnsi="Arial"/>
          <w:sz w:val="16"/>
          <w:szCs w:val="16"/>
          <w:color w:val="000000"/>
        </w:rPr>
        <w:t>$12.9 million</w:t>
      </w:r>
      <w:r>
        <w:rPr>
          <w:rFonts w:ascii="Arial" w:cs="Arial" w:eastAsia="Arial" w:hAnsi="Arial"/>
          <w:sz w:val="16"/>
          <w:szCs w:val="16"/>
          <w:color w:val="231F20"/>
        </w:rPr>
        <w:t>, respectively.</w:t>
      </w:r>
    </w:p>
    <w:p>
      <w:pPr>
        <w:spacing w:after="0" w:line="1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In addition, CCUSA may perform installation services on the Company's towers for which the Company is not a party to any such agreement and for which no operating results are reflected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33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As part of CCIC's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contract for the land that existed prior to the purchase of such land by the affiliate. As of December 31, 2018, approximately 15% of the Company's towers were located on land which was controlled by an affiliate. Rent expense to affiliates totaled </w:t>
      </w:r>
      <w:r>
        <w:rPr>
          <w:rFonts w:ascii="Arial" w:cs="Arial" w:eastAsia="Arial" w:hAnsi="Arial"/>
          <w:sz w:val="18"/>
          <w:szCs w:val="18"/>
          <w:color w:val="000000"/>
        </w:rPr>
        <w:t>$4.8 million</w:t>
      </w:r>
      <w:r>
        <w:rPr>
          <w:rFonts w:ascii="Arial" w:cs="Arial" w:eastAsia="Arial" w:hAnsi="Arial"/>
          <w:sz w:val="18"/>
          <w:szCs w:val="18"/>
          <w:color w:val="231F20"/>
        </w:rPr>
        <w:t xml:space="preserve">, </w:t>
      </w:r>
      <w:r>
        <w:rPr>
          <w:rFonts w:ascii="Arial" w:cs="Arial" w:eastAsia="Arial" w:hAnsi="Arial"/>
          <w:sz w:val="18"/>
          <w:szCs w:val="18"/>
          <w:color w:val="000000"/>
        </w:rPr>
        <w:t>$4.4</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and</w:t>
      </w:r>
      <w:r>
        <w:rPr>
          <w:rFonts w:ascii="Arial" w:cs="Arial" w:eastAsia="Arial" w:hAnsi="Arial"/>
          <w:sz w:val="18"/>
          <w:szCs w:val="18"/>
          <w:color w:val="000000"/>
        </w:rPr>
        <w:t xml:space="preserve"> $4.1 million </w:t>
      </w:r>
      <w:r>
        <w:rPr>
          <w:rFonts w:ascii="Arial" w:cs="Arial" w:eastAsia="Arial" w:hAnsi="Arial"/>
          <w:sz w:val="18"/>
          <w:szCs w:val="18"/>
          <w:color w:val="231F20"/>
        </w:rPr>
        <w:t>for the years ended December 31, 2018, 2017 and</w:t>
      </w:r>
      <w:r>
        <w:rPr>
          <w:rFonts w:ascii="Arial" w:cs="Arial" w:eastAsia="Arial" w:hAnsi="Arial"/>
          <w:sz w:val="18"/>
          <w:szCs w:val="18"/>
          <w:color w:val="000000"/>
        </w:rPr>
        <w:t xml:space="preserve"> 2016</w:t>
      </w:r>
      <w:r>
        <w:rPr>
          <w:rFonts w:ascii="Arial" w:cs="Arial" w:eastAsia="Arial" w:hAnsi="Arial"/>
          <w:sz w:val="18"/>
          <w:szCs w:val="18"/>
          <w:color w:val="231F20"/>
        </w:rPr>
        <w:t>, respectively. The Company receives site rental revenue from affiliates for</w:t>
      </w:r>
      <w:r>
        <w:rPr>
          <w:rFonts w:ascii="Arial" w:cs="Arial" w:eastAsia="Arial" w:hAnsi="Arial"/>
          <w:sz w:val="18"/>
          <w:szCs w:val="18"/>
          <w:color w:val="000000"/>
        </w:rPr>
        <w:t xml:space="preserve"> </w:t>
      </w:r>
      <w:r>
        <w:rPr>
          <w:rFonts w:ascii="Arial" w:cs="Arial" w:eastAsia="Arial" w:hAnsi="Arial"/>
          <w:sz w:val="18"/>
          <w:szCs w:val="18"/>
          <w:color w:val="231F20"/>
        </w:rPr>
        <w:t xml:space="preserve">land owned by the Company on which affiliates have towers and pays ground rent expense to affiliates for land owned by affiliates on which the Company has towers. For the years ended December 31, 2018, 2017 and </w:t>
      </w:r>
      <w:r>
        <w:rPr>
          <w:rFonts w:ascii="Arial" w:cs="Arial" w:eastAsia="Arial" w:hAnsi="Arial"/>
          <w:sz w:val="18"/>
          <w:szCs w:val="18"/>
          <w:color w:val="000000"/>
        </w:rPr>
        <w:t>2016</w:t>
      </w:r>
      <w:r>
        <w:rPr>
          <w:rFonts w:ascii="Arial" w:cs="Arial" w:eastAsia="Arial" w:hAnsi="Arial"/>
          <w:sz w:val="18"/>
          <w:szCs w:val="18"/>
          <w:color w:val="231F20"/>
        </w:rPr>
        <w:t xml:space="preserve">, rent revenue from affiliates totaled </w:t>
      </w:r>
      <w:r>
        <w:rPr>
          <w:rFonts w:ascii="Arial" w:cs="Arial" w:eastAsia="Arial" w:hAnsi="Arial"/>
          <w:sz w:val="18"/>
          <w:szCs w:val="18"/>
          <w:color w:val="000000"/>
        </w:rPr>
        <w:t>$0.9 million</w:t>
      </w:r>
      <w:r>
        <w:rPr>
          <w:rFonts w:ascii="Arial" w:cs="Arial" w:eastAsia="Arial" w:hAnsi="Arial"/>
          <w:sz w:val="18"/>
          <w:szCs w:val="18"/>
          <w:color w:val="231F20"/>
        </w:rPr>
        <w:t xml:space="preserve">, </w:t>
      </w:r>
      <w:r>
        <w:rPr>
          <w:rFonts w:ascii="Arial" w:cs="Arial" w:eastAsia="Arial" w:hAnsi="Arial"/>
          <w:sz w:val="18"/>
          <w:szCs w:val="18"/>
          <w:color w:val="000000"/>
        </w:rPr>
        <w:t>$0.8 million</w:t>
      </w:r>
      <w:r>
        <w:rPr>
          <w:rFonts w:ascii="Arial" w:cs="Arial" w:eastAsia="Arial" w:hAnsi="Arial"/>
          <w:sz w:val="18"/>
          <w:szCs w:val="18"/>
          <w:color w:val="231F20"/>
        </w:rPr>
        <w:t xml:space="preserve"> and </w:t>
      </w:r>
      <w:r>
        <w:rPr>
          <w:rFonts w:ascii="Arial" w:cs="Arial" w:eastAsia="Arial" w:hAnsi="Arial"/>
          <w:sz w:val="18"/>
          <w:szCs w:val="18"/>
          <w:color w:val="000000"/>
        </w:rPr>
        <w:t>$0.8 million</w:t>
      </w:r>
      <w:r>
        <w:rPr>
          <w:rFonts w:ascii="Arial" w:cs="Arial" w:eastAsia="Arial" w:hAnsi="Arial"/>
          <w:sz w:val="18"/>
          <w:szCs w:val="18"/>
          <w:color w:val="231F20"/>
        </w:rPr>
        <w:t>, respectively.</w:t>
      </w:r>
    </w:p>
    <w:p>
      <w:pPr>
        <w:spacing w:after="0" w:line="13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recorded equity distributions of $107.9 million, </w:t>
      </w:r>
      <w:r>
        <w:rPr>
          <w:rFonts w:ascii="Arial" w:cs="Arial" w:eastAsia="Arial" w:hAnsi="Arial"/>
          <w:sz w:val="17"/>
          <w:szCs w:val="17"/>
          <w:color w:val="000000"/>
        </w:rPr>
        <w:t>$110.9 million</w:t>
      </w:r>
      <w:r>
        <w:rPr>
          <w:rFonts w:ascii="Arial" w:cs="Arial" w:eastAsia="Arial" w:hAnsi="Arial"/>
          <w:sz w:val="17"/>
          <w:szCs w:val="17"/>
          <w:color w:val="231F20"/>
        </w:rPr>
        <w:t xml:space="preserve"> and </w:t>
      </w:r>
      <w:r>
        <w:rPr>
          <w:rFonts w:ascii="Arial" w:cs="Arial" w:eastAsia="Arial" w:hAnsi="Arial"/>
          <w:sz w:val="17"/>
          <w:szCs w:val="17"/>
          <w:color w:val="000000"/>
        </w:rPr>
        <w:t>$97.5 million</w:t>
      </w:r>
      <w:r>
        <w:rPr>
          <w:rFonts w:ascii="Arial" w:cs="Arial" w:eastAsia="Arial" w:hAnsi="Arial"/>
          <w:sz w:val="17"/>
          <w:szCs w:val="17"/>
          <w:color w:val="231F20"/>
        </w:rPr>
        <w:t xml:space="preserve"> for the years ended December 31, 2018, 2017 and </w:t>
      </w:r>
      <w:r>
        <w:rPr>
          <w:rFonts w:ascii="Arial" w:cs="Arial" w:eastAsia="Arial" w:hAnsi="Arial"/>
          <w:sz w:val="17"/>
          <w:szCs w:val="17"/>
          <w:color w:val="000000"/>
        </w:rPr>
        <w:t>2016</w:t>
      </w:r>
      <w:r>
        <w:rPr>
          <w:rFonts w:ascii="Arial" w:cs="Arial" w:eastAsia="Arial" w:hAnsi="Arial"/>
          <w:sz w:val="17"/>
          <w:szCs w:val="17"/>
          <w:color w:val="231F20"/>
        </w:rPr>
        <w:t xml:space="preserve">, respectively, reflecting distributions to its member. Cash on-hand above the amount that is required by the Management Agreement has been, and is expected to continue to be, distributed to the Company's parent company, CCL. See note 7 for a discussion of the equity contribution related to income taxes. </w:t>
      </w:r>
      <w:r>
        <w:rPr>
          <w:rFonts w:ascii="Arial" w:cs="Arial" w:eastAsia="Arial" w:hAnsi="Arial"/>
          <w:sz w:val="17"/>
          <w:szCs w:val="17"/>
          <w:color w:val="000000"/>
        </w:rPr>
        <w:t>As of</w:t>
      </w:r>
      <w:r>
        <w:rPr>
          <w:rFonts w:ascii="Arial" w:cs="Arial" w:eastAsia="Arial" w:hAnsi="Arial"/>
          <w:sz w:val="17"/>
          <w:szCs w:val="17"/>
          <w:color w:val="231F20"/>
        </w:rPr>
        <w:t xml:space="preserve"> </w:t>
      </w:r>
      <w:r>
        <w:rPr>
          <w:rFonts w:ascii="Arial" w:cs="Arial" w:eastAsia="Arial" w:hAnsi="Arial"/>
          <w:sz w:val="17"/>
          <w:szCs w:val="17"/>
          <w:color w:val="000000"/>
        </w:rPr>
        <w:t>December 31, 2018 and 2017, the Company had no material related party assets or liabilities on its consolidated balance sheet.</w:t>
      </w:r>
    </w:p>
    <w:p>
      <w:pPr>
        <w:spacing w:after="0" w:line="330" w:lineRule="exact"/>
        <w:rPr>
          <w:sz w:val="20"/>
          <w:szCs w:val="20"/>
          <w:color w:val="auto"/>
        </w:rPr>
      </w:pPr>
    </w:p>
    <w:p>
      <w:pPr>
        <w:ind w:left="420" w:hanging="412"/>
        <w:spacing w:after="0"/>
        <w:tabs>
          <w:tab w:leader="none" w:pos="4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For the year ended December 31, 2018, the Company had a provision for income taxes of $0.1 million, which relates to state taxes. For the years ended December 31, 2017 and 2016, the Company had benefits for income taxes of </w:t>
      </w:r>
      <w:r>
        <w:rPr>
          <w:rFonts w:ascii="Arial" w:cs="Arial" w:eastAsia="Arial" w:hAnsi="Arial"/>
          <w:sz w:val="18"/>
          <w:szCs w:val="18"/>
          <w:color w:val="231F20"/>
        </w:rPr>
        <w:t>$0.1 million</w:t>
      </w:r>
      <w:r>
        <w:rPr>
          <w:rFonts w:ascii="Arial" w:cs="Arial" w:eastAsia="Arial" w:hAnsi="Arial"/>
          <w:sz w:val="18"/>
          <w:szCs w:val="18"/>
          <w:color w:val="auto"/>
        </w:rPr>
        <w:t xml:space="preserve"> and </w:t>
      </w:r>
      <w:r>
        <w:rPr>
          <w:rFonts w:ascii="Arial" w:cs="Arial" w:eastAsia="Arial" w:hAnsi="Arial"/>
          <w:sz w:val="18"/>
          <w:szCs w:val="18"/>
          <w:color w:val="231F20"/>
        </w:rPr>
        <w:t>$0.2 million</w:t>
      </w:r>
      <w:r>
        <w:rPr>
          <w:rFonts w:ascii="Arial" w:cs="Arial" w:eastAsia="Arial" w:hAnsi="Arial"/>
          <w:sz w:val="18"/>
          <w:szCs w:val="18"/>
          <w:color w:val="auto"/>
        </w:rPr>
        <w:t xml:space="preserve">, respectively, </w:t>
      </w:r>
      <w:r>
        <w:rPr>
          <w:rFonts w:ascii="Arial" w:cs="Arial" w:eastAsia="Arial" w:hAnsi="Arial"/>
          <w:sz w:val="18"/>
          <w:szCs w:val="18"/>
          <w:color w:val="231F20"/>
        </w:rPr>
        <w:t>which consisted of the reduction of</w:t>
      </w:r>
      <w:r>
        <w:rPr>
          <w:rFonts w:ascii="Arial" w:cs="Arial" w:eastAsia="Arial" w:hAnsi="Arial"/>
          <w:sz w:val="18"/>
          <w:szCs w:val="18"/>
          <w:color w:val="auto"/>
        </w:rPr>
        <w:t xml:space="preserve"> </w:t>
      </w:r>
      <w:r>
        <w:rPr>
          <w:rFonts w:ascii="Arial" w:cs="Arial" w:eastAsia="Arial" w:hAnsi="Arial"/>
          <w:sz w:val="18"/>
          <w:szCs w:val="18"/>
          <w:color w:val="231F20"/>
        </w:rPr>
        <w:t xml:space="preserve">unrecognized tax benefits as a result of the lapse of the statute of limitations. The </w:t>
      </w:r>
      <w:r>
        <w:rPr>
          <w:rFonts w:ascii="Arial" w:cs="Arial" w:eastAsia="Arial" w:hAnsi="Arial"/>
          <w:sz w:val="18"/>
          <w:szCs w:val="18"/>
          <w:color w:val="000000"/>
        </w:rPr>
        <w:t>Company's effective tax rate for the years ended December 31, 2018, 2017</w:t>
      </w:r>
      <w:r>
        <w:rPr>
          <w:rFonts w:ascii="Arial" w:cs="Arial" w:eastAsia="Arial" w:hAnsi="Arial"/>
          <w:sz w:val="18"/>
          <w:szCs w:val="18"/>
          <w:color w:val="231F20"/>
        </w:rPr>
        <w:t xml:space="preserve"> </w:t>
      </w:r>
      <w:r>
        <w:rPr>
          <w:rFonts w:ascii="Arial" w:cs="Arial" w:eastAsia="Arial" w:hAnsi="Arial"/>
          <w:sz w:val="18"/>
          <w:szCs w:val="18"/>
          <w:color w:val="000000"/>
        </w:rPr>
        <w:t>and 2016 differed from the federal statutory rate predominately due to CCIC's REIT status, including the dividends paid deduction (see notes 1 and 2), and the aforementioned impacts described above.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As of December 31, 2018, there were no unrecognized tax benefits that would impact the effective tax rate, if recognized.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From time to time, the Company is subject to examinations by various tax authorities in jurisdictions in which the Company has business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The Company regularly assesses the likelihood of additional assessments in each of the tax jurisdictions resulting from these examinations. At this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CCIC is not subject to an Internal Revenue Service examination.</w:t>
      </w:r>
    </w:p>
    <w:p>
      <w:pPr>
        <w:spacing w:after="0" w:line="369" w:lineRule="exact"/>
        <w:rPr>
          <w:sz w:val="20"/>
          <w:szCs w:val="20"/>
          <w:color w:val="auto"/>
        </w:rPr>
      </w:pPr>
    </w:p>
    <w:p>
      <w:pPr>
        <w:ind w:left="420" w:hanging="412"/>
        <w:spacing w:after="0"/>
        <w:tabs>
          <w:tab w:leader="none" w:pos="4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See note 9 for a discussion of the operating lease commitments.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Asset Retirement Obligations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Pursuant to its ground lease and easement agreements, the Company has the obligation to perform certain asset retirement activities, including requirements upon contract or easement termination to remove communications infrastructure or remediate the land upon which its communications infrastructure resides. Accretion expense related to liabilities for retirement obligations amounted to $0.6 million, $0.6 million and $0.5 million for the years ended December 31, 2018, 2017 and 2016, respectively. As of December 31, 2018 and 2017, liabilities for retirement obligations amounted to $7.2 million and $6.7 million, respectively, representing the net present value of the estimated expected future cash outlay. As of December 31, 2018, the estimated undiscounted future cash outlay for asset retirement obligations was approximately $65 million. See note 2.</w:t>
      </w:r>
    </w:p>
    <w:p>
      <w:pPr>
        <w:spacing w:after="0" w:line="337" w:lineRule="exact"/>
        <w:rPr>
          <w:sz w:val="20"/>
          <w:szCs w:val="20"/>
          <w:color w:val="auto"/>
        </w:rPr>
      </w:pPr>
    </w:p>
    <w:p>
      <w:pPr>
        <w:ind w:left="420" w:right="9660" w:hanging="412"/>
        <w:spacing w:after="0" w:line="528" w:lineRule="auto"/>
        <w:tabs>
          <w:tab w:leader="none" w:pos="420"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Leases </w:t>
      </w:r>
      <w:r>
        <w:rPr>
          <w:rFonts w:ascii="Arial" w:cs="Arial" w:eastAsia="Arial" w:hAnsi="Arial"/>
          <w:sz w:val="15"/>
          <w:szCs w:val="15"/>
          <w:b w:val="1"/>
          <w:bCs w:val="1"/>
          <w:i w:val="1"/>
          <w:iCs w:val="1"/>
          <w:color w:val="231F20"/>
        </w:rPr>
        <w:t>Tenant Leases</w:t>
      </w:r>
    </w:p>
    <w:p>
      <w:pPr>
        <w:spacing w:after="0" w:line="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following table is a summary of the rental cash payments owed to the Company, as a lessor, by tenants pursuant to contractual agreements in effect as of December 31, 2018. Generally, the Company's leases with its tenants provide for (1) annual escalations, (2) multiple renewal periods at the tenant's option and (3) only limited termination rights at the applicable tenant's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33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231F20"/>
        </w:rPr>
        <w:t>option through the current term. As of December 31, 2018, the weighted-average remaining term (calculated by weighting the remaining term for each lease by the related site rental revenue) of tenant leases is approximately five years, exclusive of renewals at the tenant's option. The tenants' rental payments included in the table below are through the current terms with a maximum current term of 20 years and do not assume exercise of tenant renewal options.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Tenant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173,358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164,918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158,707</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148,486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114,345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310,935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1,070,749</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Leases</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231F20"/>
        </w:rPr>
        <w:t xml:space="preserve">The following table is a summary of rental cash payments owed by the Company, as lessee, to landlords pursuant to contractual agreements in effect as of December 31, 2018. The Company is obligated under non-cancelable operating leases for land interests under approximately 65% of its towers. The majority of these operating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tower located on the leased land interest. More than 85% and more than 65% of the Company's </w:t>
      </w:r>
      <w:r>
        <w:rPr>
          <w:rFonts w:ascii="Arial" w:cs="Arial" w:eastAsia="Arial" w:hAnsi="Arial"/>
          <w:sz w:val="16"/>
          <w:szCs w:val="16"/>
          <w:color w:val="000000"/>
        </w:rPr>
        <w:t>sites are under the Company's</w:t>
      </w:r>
      <w:r>
        <w:rPr>
          <w:rFonts w:ascii="Arial" w:cs="Arial" w:eastAsia="Arial" w:hAnsi="Arial"/>
          <w:sz w:val="16"/>
          <w:szCs w:val="16"/>
          <w:color w:val="231F20"/>
        </w:rPr>
        <w:t xml:space="preserve"> </w:t>
      </w:r>
      <w:r>
        <w:rPr>
          <w:rFonts w:ascii="Arial" w:cs="Arial" w:eastAsia="Arial" w:hAnsi="Arial"/>
          <w:sz w:val="16"/>
          <w:szCs w:val="16"/>
          <w:color w:val="000000"/>
        </w:rPr>
        <w:t xml:space="preserve">control for greater than 10 and 20 years, respectively, including renewals at the Company's option. </w:t>
      </w:r>
      <w:r>
        <w:rPr>
          <w:rFonts w:ascii="Arial" w:cs="Arial" w:eastAsia="Arial" w:hAnsi="Arial"/>
          <w:sz w:val="16"/>
          <w:szCs w:val="16"/>
          <w:color w:val="231F20"/>
        </w:rPr>
        <w:t>The operating lease payments included in the table below</w:t>
      </w:r>
      <w:r>
        <w:rPr>
          <w:rFonts w:ascii="Arial" w:cs="Arial" w:eastAsia="Arial" w:hAnsi="Arial"/>
          <w:sz w:val="16"/>
          <w:szCs w:val="16"/>
          <w:color w:val="000000"/>
        </w:rPr>
        <w:t xml:space="preserve"> </w:t>
      </w:r>
      <w:r>
        <w:rPr>
          <w:rFonts w:ascii="Arial" w:cs="Arial" w:eastAsia="Arial" w:hAnsi="Arial"/>
          <w:sz w:val="16"/>
          <w:szCs w:val="16"/>
          <w:color w:val="231F20"/>
        </w:rPr>
        <w:t>include payments for certain renewal periods at the Company's option that are reasonably assured to be exercised and an estimate of contingent payments based on revenues and gross margins derived from existing tenant leases. See also note 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24,418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24,094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23,659</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23,476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23,478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289,082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408,207</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Rental expense from operating leases was </w:t>
      </w:r>
      <w:r>
        <w:rPr>
          <w:rFonts w:ascii="Arial" w:cs="Arial" w:eastAsia="Arial" w:hAnsi="Arial"/>
          <w:sz w:val="18"/>
          <w:szCs w:val="18"/>
          <w:color w:val="000000"/>
        </w:rPr>
        <w:t>$26.2 million</w:t>
      </w:r>
      <w:r>
        <w:rPr>
          <w:rFonts w:ascii="Arial" w:cs="Arial" w:eastAsia="Arial" w:hAnsi="Arial"/>
          <w:sz w:val="18"/>
          <w:szCs w:val="18"/>
          <w:color w:val="231F20"/>
        </w:rPr>
        <w:t xml:space="preserve">, </w:t>
      </w:r>
      <w:r>
        <w:rPr>
          <w:rFonts w:ascii="Arial" w:cs="Arial" w:eastAsia="Arial" w:hAnsi="Arial"/>
          <w:sz w:val="18"/>
          <w:szCs w:val="18"/>
          <w:color w:val="000000"/>
        </w:rPr>
        <w:t>$25.8 million</w:t>
      </w:r>
      <w:r>
        <w:rPr>
          <w:rFonts w:ascii="Arial" w:cs="Arial" w:eastAsia="Arial" w:hAnsi="Arial"/>
          <w:sz w:val="18"/>
          <w:szCs w:val="18"/>
          <w:color w:val="231F20"/>
        </w:rPr>
        <w:t xml:space="preserve"> and </w:t>
      </w:r>
      <w:r>
        <w:rPr>
          <w:rFonts w:ascii="Arial" w:cs="Arial" w:eastAsia="Arial" w:hAnsi="Arial"/>
          <w:sz w:val="18"/>
          <w:szCs w:val="18"/>
          <w:color w:val="000000"/>
        </w:rPr>
        <w:t>$25.8 million</w:t>
      </w:r>
      <w:r>
        <w:rPr>
          <w:rFonts w:ascii="Arial" w:cs="Arial" w:eastAsia="Arial" w:hAnsi="Arial"/>
          <w:sz w:val="18"/>
          <w:szCs w:val="18"/>
          <w:color w:val="231F20"/>
        </w:rPr>
        <w:t xml:space="preserve"> for the years ended December 31, 2018, 2017 and 2016, respectively. The rental expense was inclusive of contingent payments based on revenues or gross margin derived from the tower located on the leased land of </w:t>
      </w:r>
      <w:r>
        <w:rPr>
          <w:rFonts w:ascii="Arial" w:cs="Arial" w:eastAsia="Arial" w:hAnsi="Arial"/>
          <w:sz w:val="18"/>
          <w:szCs w:val="18"/>
          <w:color w:val="000000"/>
        </w:rPr>
        <w:t>$9.7 million</w:t>
      </w:r>
      <w:r>
        <w:rPr>
          <w:rFonts w:ascii="Arial" w:cs="Arial" w:eastAsia="Arial" w:hAnsi="Arial"/>
          <w:sz w:val="18"/>
          <w:szCs w:val="18"/>
          <w:color w:val="231F20"/>
        </w:rPr>
        <w:t>,</w:t>
      </w:r>
      <w:r>
        <w:rPr>
          <w:rFonts w:ascii="Arial" w:cs="Arial" w:eastAsia="Arial" w:hAnsi="Arial"/>
          <w:sz w:val="18"/>
          <w:szCs w:val="18"/>
          <w:color w:val="000000"/>
        </w:rPr>
        <w:t xml:space="preserve"> $9.5 million </w:t>
      </w:r>
      <w:r>
        <w:rPr>
          <w:rFonts w:ascii="Arial" w:cs="Arial" w:eastAsia="Arial" w:hAnsi="Arial"/>
          <w:sz w:val="18"/>
          <w:szCs w:val="18"/>
          <w:color w:val="231F20"/>
        </w:rPr>
        <w:t>and</w:t>
      </w:r>
      <w:r>
        <w:rPr>
          <w:rFonts w:ascii="Arial" w:cs="Arial" w:eastAsia="Arial" w:hAnsi="Arial"/>
          <w:sz w:val="18"/>
          <w:szCs w:val="18"/>
          <w:color w:val="000000"/>
        </w:rPr>
        <w:t xml:space="preserve"> $9.3 million </w:t>
      </w:r>
      <w:r>
        <w:rPr>
          <w:rFonts w:ascii="Arial" w:cs="Arial" w:eastAsia="Arial" w:hAnsi="Arial"/>
          <w:sz w:val="18"/>
          <w:szCs w:val="18"/>
          <w:color w:val="231F20"/>
        </w:rPr>
        <w:t>for the years ended December 31, 2018, 2017 and 2016,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Effective January 1, 2019, the Company adopted new lease accounting guidance on the recognition, measurement, presentation and disclosure of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further discussion.</w:t>
      </w:r>
    </w:p>
    <w:p>
      <w:pPr>
        <w:spacing w:after="0" w:line="369" w:lineRule="exact"/>
        <w:rPr>
          <w:sz w:val="20"/>
          <w:szCs w:val="20"/>
          <w:color w:val="auto"/>
        </w:rPr>
      </w:pPr>
    </w:p>
    <w:p>
      <w:pPr>
        <w:ind w:left="420" w:hanging="412"/>
        <w:spacing w:after="0"/>
        <w:tabs>
          <w:tab w:leader="none" w:pos="4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financial instrument that potentially subjects the Company to concentrations of credit risk is primarily trade receivables.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The Company derives the largest portion of its revenues from tenants in the wireless industry. The Company also has a concentration in its volume of business with AT&amp;T, Sprint, T-Mobile and Verizon Wireless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contracts with contractually determinable payment terms and proactive management of past due balances.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Major Tenants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percentage of the Company's revenues for those tenants accounting for more than 10% of the Company's revenues.</w:t>
      </w:r>
    </w:p>
    <w:p>
      <w:pPr>
        <w:spacing w:after="0" w:line="348"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23495</wp:posOffset>
            </wp:positionV>
            <wp:extent cx="3027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r>
      <w:tr>
        <w:trPr>
          <w:trHeight w:val="23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AT&amp;T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Sprint</w:t>
            </w: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T-Mobile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Verizon Wireless</w:t>
            </w: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33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2019</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2975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40"/>
          </w:cols>
          <w:pgMar w:left="240" w:top="580" w:right="31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2019</w:t>
      </w:r>
    </w:p>
    <w:p>
      <w:pPr>
        <w:spacing w:after="0" w:line="200" w:lineRule="exact"/>
        <w:rPr>
          <w:sz w:val="20"/>
          <w:szCs w:val="20"/>
          <w:color w:val="auto"/>
        </w:rPr>
      </w:pPr>
    </w:p>
    <w:p>
      <w:pPr>
        <w:spacing w:after="0" w:line="34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31750</wp:posOffset>
            </wp:positionV>
            <wp:extent cx="30702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40"/>
          </w:cols>
          <w:pgMar w:left="240" w:top="580" w:right="31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Annual Report on Form 10-K of CC Holdings GS V LLC, a Delaware Corporation (“Company”), for the period ending December 31, 2018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47"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December 31, 2018 (the last date of the period covered by the Report).</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February 25, 2019</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Senior Vice President and Chief Financial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February 25, 2019</w:t>
      </w:r>
    </w:p>
    <w:p>
      <w:pPr>
        <w:spacing w:after="0" w:line="19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x"/>
      <w:numFmt w:val="bullet"/>
      <w:start w:val="1"/>
    </w:lvl>
  </w:abstractNum>
  <w:abstractNum w:abstractNumId="1">
    <w:nsid w:val="51EAD36B"/>
    <w:multiLevelType w:val="hybridMultilevel"/>
    <w:lvl w:ilvl="0">
      <w:lvlJc w:val="left"/>
      <w:lvlText w:val="o"/>
      <w:numFmt w:val="bullet"/>
      <w:start w:val="1"/>
    </w:lvl>
  </w:abstractNum>
  <w:abstractNum w:abstractNumId="2">
    <w:nsid w:val="2D517796"/>
    <w:multiLevelType w:val="hybridMultilevel"/>
    <w:lvl w:ilvl="0">
      <w:lvlJc w:val="left"/>
      <w:lvlText w:val="(%1)"/>
      <w:numFmt w:val="decimal"/>
      <w:start w:val="5"/>
    </w:lvl>
  </w:abstractNum>
  <w:abstractNum w:abstractNumId="3">
    <w:nsid w:val="580BD78F"/>
    <w:multiLevelType w:val="hybridMultilevel"/>
    <w:lvl w:ilvl="0">
      <w:lvlJc w:val="left"/>
      <w:lvlText w:val="•"/>
      <w:numFmt w:val="bullet"/>
      <w:start w:val="1"/>
    </w:lvl>
    <w:lvl w:ilvl="1">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lvl w:ilvl="1">
      <w:lvlJc w:val="left"/>
      <w:lvlText w:val="◦"/>
      <w:numFmt w:val="bullet"/>
      <w:start w:val="1"/>
    </w:lvl>
  </w:abstractNum>
  <w:abstractNum w:abstractNumId="9">
    <w:nsid w:val="1D4ED43B"/>
    <w:multiLevelType w:val="hybridMultilevel"/>
    <w:lvl w:ilvl="0">
      <w:lvlJc w:val="left"/>
      <w:lvlText w:val="•"/>
      <w:numFmt w:val="bullet"/>
      <w:start w:val="1"/>
    </w:lvl>
    <w:lvl w:ilvl="1">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1)"/>
      <w:numFmt w:val="lowerLetter"/>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lvl w:ilvl="1">
      <w:lvlJc w:val="left"/>
      <w:lvlText w:val="(%2)"/>
      <w:numFmt w:val="decimal"/>
      <w:start w:val="4"/>
    </w:lvl>
  </w:abstractNum>
  <w:abstractNum w:abstractNumId="14">
    <w:nsid w:val="4B588F54"/>
    <w:multiLevelType w:val="hybridMultilevel"/>
    <w:lvl w:ilvl="0">
      <w:lvlJc w:val="left"/>
      <w:lvlText w:val="(%1)"/>
      <w:numFmt w:val="lowerLetter"/>
      <w:start w:val="1"/>
    </w:lvl>
    <w:lvl w:ilvl="1">
      <w:lvlJc w:val="left"/>
      <w:lvlText w:val="•"/>
      <w:numFmt w:val="bullet"/>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1)"/>
      <w:numFmt w:val="decimal"/>
      <w:start w:val="1"/>
    </w:lvl>
  </w:abstractNum>
  <w:abstractNum w:abstractNumId="17">
    <w:nsid w:val="38437FDB"/>
    <w:multiLevelType w:val="hybridMultilevel"/>
    <w:lvl w:ilvl="0">
      <w:lvlJc w:val="left"/>
      <w:lvlText w:val="(%1)"/>
      <w:numFmt w:val="decimal"/>
      <w:start w:val="1"/>
    </w:lvl>
  </w:abstractNum>
  <w:abstractNum w:abstractNumId="18">
    <w:nsid w:val="7644A45C"/>
    <w:multiLevelType w:val="hybridMultilevel"/>
    <w:lvl w:ilvl="0">
      <w:lvlJc w:val="left"/>
      <w:lvlText w:val="%1"/>
      <w:numFmt w:val="upperLetter"/>
      <w:start w:val="29"/>
    </w:lvl>
  </w:abstractNum>
  <w:abstractNum w:abstractNumId="19">
    <w:nsid w:val="32FFF902"/>
    <w:multiLevelType w:val="hybridMultilevel"/>
    <w:lvl w:ilvl="0">
      <w:lvlJc w:val="left"/>
      <w:lvlText w:val="(%1)"/>
      <w:numFmt w:val="lowerLetter"/>
      <w:start w:val="1"/>
    </w:lvl>
  </w:abstractNum>
  <w:abstractNum w:abstractNumId="20">
    <w:nsid w:val="684A481A"/>
    <w:multiLevelType w:val="hybridMultilevel"/>
    <w:lvl w:ilvl="0">
      <w:lvlJc w:val="left"/>
      <w:lvlText w:val="%1"/>
      <w:numFmt w:val="upperLetter"/>
      <w:start w:val="29"/>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decimal"/>
      <w:start w:val="2"/>
    </w:lvl>
  </w:abstractNum>
  <w:abstractNum w:abstractNumId="23">
    <w:nsid w:val="3DC240FB"/>
    <w:multiLevelType w:val="hybridMultilevel"/>
    <w:lvl w:ilvl="0">
      <w:lvlJc w:val="left"/>
      <w:lvlText w:val="%1."/>
      <w:numFmt w:val="decimal"/>
      <w:start w:val="3"/>
    </w:lvl>
  </w:abstractNum>
  <w:abstractNum w:abstractNumId="24">
    <w:nsid w:val="1BA026FA"/>
    <w:multiLevelType w:val="hybridMultilevel"/>
    <w:lvl w:ilvl="0">
      <w:lvlJc w:val="left"/>
      <w:lvlText w:val="(%1)"/>
      <w:numFmt w:val="lowerLetter"/>
      <w:start w:val="1"/>
    </w:lvl>
  </w:abstractNum>
  <w:abstractNum w:abstractNumId="25">
    <w:nsid w:val="79A1DEAA"/>
    <w:multiLevelType w:val="hybridMultilevel"/>
    <w:lvl w:ilvl="0">
      <w:lvlJc w:val="left"/>
      <w:lvlText w:val="%1."/>
      <w:numFmt w:val="decimal"/>
      <w:start w:val="4"/>
    </w:lvl>
  </w:abstractNum>
  <w:abstractNum w:abstractNumId="26">
    <w:nsid w:val="75C6C33A"/>
    <w:multiLevelType w:val="hybridMultilevel"/>
    <w:lvl w:ilvl="0">
      <w:lvlJc w:val="left"/>
      <w:lvlText w:val="%1."/>
      <w:numFmt w:val="decimal"/>
      <w:start w:val="5"/>
    </w:lvl>
  </w:abstractNum>
  <w:abstractNum w:abstractNumId="27">
    <w:nsid w:val="12E685FB"/>
    <w:multiLevelType w:val="hybridMultilevel"/>
    <w:lvl w:ilvl="0">
      <w:lvlJc w:val="left"/>
      <w:lvlText w:val="%1."/>
      <w:numFmt w:val="decimal"/>
      <w:start w:val="6"/>
    </w:lvl>
  </w:abstractNum>
  <w:abstractNum w:abstractNumId="28">
    <w:nsid w:val="70C6A529"/>
    <w:multiLevelType w:val="hybridMultilevel"/>
    <w:lvl w:ilvl="0">
      <w:lvlJc w:val="left"/>
      <w:lvlText w:val="%1."/>
      <w:numFmt w:val="decimal"/>
      <w:start w:val="7"/>
    </w:lvl>
  </w:abstractNum>
  <w:abstractNum w:abstractNumId="29">
    <w:nsid w:val="520EEDD1"/>
    <w:multiLevelType w:val="hybridMultilevel"/>
    <w:lvl w:ilvl="0">
      <w:lvlJc w:val="left"/>
      <w:lvlText w:val="%1."/>
      <w:numFmt w:val="decimal"/>
      <w:start w:val="8"/>
    </w:lvl>
  </w:abstractNum>
  <w:abstractNum w:abstractNumId="30">
    <w:nsid w:val="374A3FE6"/>
    <w:multiLevelType w:val="hybridMultilevel"/>
    <w:lvl w:ilvl="0">
      <w:lvlJc w:val="left"/>
      <w:lvlText w:val="%1."/>
      <w:numFmt w:val="decimal"/>
      <w:start w:val="9"/>
    </w:lvl>
  </w:abstractNum>
  <w:abstractNum w:abstractNumId="31">
    <w:nsid w:val="4F4EF005"/>
    <w:multiLevelType w:val="hybridMultilevel"/>
    <w:lvl w:ilvl="0">
      <w:lvlJc w:val="left"/>
      <w:lvlText w:val="%1."/>
      <w:numFmt w:val="decimal"/>
      <w:start w:val="10"/>
    </w:lvl>
  </w:abstractNum>
  <w:abstractNum w:abstractNumId="32">
    <w:nsid w:val="23F9C13C"/>
    <w:multiLevelType w:val="hybridMultilevel"/>
    <w:lvl w:ilvl="0">
      <w:lvlJc w:val="left"/>
      <w:lvlText w:val="%1."/>
      <w:numFmt w:val="decimal"/>
      <w:start w:val="11"/>
    </w:lvl>
  </w:abstractNum>
  <w:abstractNum w:abstractNumId="33">
    <w:nsid w:val="649BB77C"/>
    <w:multiLevelType w:val="hybridMultilevel"/>
    <w:lvl w:ilvl="0">
      <w:lvlJc w:val="left"/>
      <w:lvlText w:val="%1."/>
      <w:numFmt w:val="decimal"/>
      <w:start w:val="12"/>
    </w:lvl>
  </w:abstractNum>
  <w:abstractNum w:abstractNumId="34">
    <w:nsid w:val="275AC794"/>
    <w:multiLevelType w:val="hybridMultilevel"/>
    <w:lvl w:ilvl="0">
      <w:lvlJc w:val="left"/>
      <w:lvlText w:val="%1."/>
      <w:numFmt w:val="decimal"/>
      <w:start w:val="13"/>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1)"/>
      <w:numFmt w:val="lowerLetter"/>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1."/>
      <w:numFmt w:val="decimal"/>
      <w:start w:val="2"/>
    </w:lvl>
  </w:abstractNum>
  <w:abstractNum w:abstractNumId="41">
    <w:nsid w:val="15B5AF5C"/>
    <w:multiLevelType w:val="hybridMultilevel"/>
    <w:lvl w:ilvl="0">
      <w:lvlJc w:val="left"/>
      <w:lvlText w:val="%1."/>
      <w:numFmt w:val="decimal"/>
      <w:start w:val="3"/>
    </w:lvl>
  </w:abstractNum>
  <w:abstractNum w:abstractNumId="42">
    <w:nsid w:val="741226BB"/>
    <w:multiLevelType w:val="hybridMultilevel"/>
    <w:lvl w:ilvl="0">
      <w:lvlJc w:val="left"/>
      <w:lvlText w:val="(%1)"/>
      <w:numFmt w:val="lowerLetter"/>
      <w:start w:val="1"/>
    </w:lvl>
  </w:abstractNum>
  <w:abstractNum w:abstractNumId="43">
    <w:nsid w:val="D34B6A8"/>
    <w:multiLevelType w:val="hybridMultilevel"/>
    <w:lvl w:ilvl="0">
      <w:lvlJc w:val="left"/>
      <w:lvlText w:val="%1."/>
      <w:numFmt w:val="decimal"/>
      <w:start w:val="4"/>
    </w:lvl>
  </w:abstractNum>
  <w:abstractNum w:abstractNumId="44">
    <w:nsid w:val="10233C99"/>
    <w:multiLevelType w:val="hybridMultilevel"/>
    <w:lvl w:ilvl="0">
      <w:lvlJc w:val="left"/>
      <w:lvlText w:val="%1."/>
      <w:numFmt w:val="decimal"/>
      <w:start w:val="5"/>
    </w:lvl>
  </w:abstractNum>
  <w:abstractNum w:abstractNumId="45">
    <w:nsid w:val="3F6AB60F"/>
    <w:multiLevelType w:val="hybridMultilevel"/>
    <w:lvl w:ilvl="0">
      <w:lvlJc w:val="left"/>
      <w:lvlText w:val="%1."/>
      <w:numFmt w:val="decimal"/>
      <w:start w:val="6"/>
    </w:lvl>
  </w:abstractNum>
  <w:abstractNum w:abstractNumId="46">
    <w:nsid w:val="61574095"/>
    <w:multiLevelType w:val="hybridMultilevel"/>
    <w:lvl w:ilvl="0">
      <w:lvlJc w:val="left"/>
      <w:lvlText w:val="%1."/>
      <w:numFmt w:val="decimal"/>
      <w:start w:val="7"/>
    </w:lvl>
  </w:abstractNum>
  <w:abstractNum w:abstractNumId="47">
    <w:nsid w:val="7E0C57B1"/>
    <w:multiLevelType w:val="hybridMultilevel"/>
    <w:lvl w:ilvl="0">
      <w:lvlJc w:val="left"/>
      <w:lvlText w:val="%1."/>
      <w:numFmt w:val="decimal"/>
      <w:start w:val="8"/>
    </w:lvl>
  </w:abstractNum>
  <w:abstractNum w:abstractNumId="48">
    <w:nsid w:val="77AE35EB"/>
    <w:multiLevelType w:val="hybridMultilevel"/>
    <w:lvl w:ilvl="0">
      <w:lvlJc w:val="left"/>
      <w:lvlText w:val="%1."/>
      <w:numFmt w:val="decimal"/>
      <w:start w:val="9"/>
    </w:lvl>
  </w:abstractNum>
  <w:abstractNum w:abstractNumId="49">
    <w:nsid w:val="579BE4F1"/>
    <w:multiLevelType w:val="hybridMultilevel"/>
    <w:lvl w:ilvl="0">
      <w:lvlJc w:val="left"/>
      <w:lvlText w:val="%1."/>
      <w:numFmt w:val="decimal"/>
      <w:start w:val="10"/>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1."/>
      <w:numFmt w:val="decimal"/>
      <w:start w:val="2"/>
    </w:lvl>
  </w:abstractNum>
  <w:abstractNum w:abstractNumId="53">
    <w:nsid w:val="25A70BF7"/>
    <w:multiLevelType w:val="hybridMultilevel"/>
    <w:lvl w:ilvl="0">
      <w:lvlJc w:val="left"/>
      <w:lvlText w:val="%1."/>
      <w:numFmt w:val="decimal"/>
      <w:start w:val="3"/>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decimal"/>
      <w:start w:val="4"/>
    </w:lvl>
  </w:abstractNum>
  <w:abstractNum w:abstractNumId="56">
    <w:nsid w:val="1F48EAA1"/>
    <w:multiLevelType w:val="hybridMultilevel"/>
    <w:lvl w:ilvl="0">
      <w:lvlJc w:val="left"/>
      <w:lvlText w:val="%1."/>
      <w:numFmt w:val="decimal"/>
      <w:start w:val="5"/>
    </w:lvl>
  </w:abstractNum>
  <w:abstractNum w:abstractNumId="57">
    <w:nsid w:val="1381823A"/>
    <w:multiLevelType w:val="hybridMultilevel"/>
    <w:lvl w:ilvl="0">
      <w:lvlJc w:val="left"/>
      <w:lvlText w:val="%1."/>
      <w:numFmt w:val="decimal"/>
      <w:start w:val="6"/>
    </w:lvl>
  </w:abstractNum>
  <w:abstractNum w:abstractNumId="58">
    <w:nsid w:val="5DB70AE5"/>
    <w:multiLevelType w:val="hybridMultilevel"/>
    <w:lvl w:ilvl="0">
      <w:lvlJc w:val="left"/>
      <w:lvlText w:val="%1."/>
      <w:numFmt w:val="decimal"/>
      <w:start w:val="7"/>
    </w:lvl>
  </w:abstractNum>
  <w:abstractNum w:abstractNumId="59">
    <w:nsid w:val="100F8FCA"/>
    <w:multiLevelType w:val="hybridMultilevel"/>
    <w:lvl w:ilvl="0">
      <w:lvlJc w:val="left"/>
      <w:lvlText w:val="%1."/>
      <w:numFmt w:val="decimal"/>
      <w:start w:val="8"/>
    </w:lvl>
  </w:abstractNum>
  <w:abstractNum w:abstractNumId="60">
    <w:nsid w:val="6590700B"/>
    <w:multiLevelType w:val="hybridMultilevel"/>
    <w:lvl w:ilvl="0">
      <w:lvlJc w:val="left"/>
      <w:lvlText w:val="%1."/>
      <w:numFmt w:val="decimal"/>
      <w:start w:val="9"/>
    </w:lvl>
  </w:abstractNum>
  <w:abstractNum w:abstractNumId="61">
    <w:nsid w:val="15014ACB"/>
    <w:multiLevelType w:val="hybridMultilevel"/>
    <w:lvl w:ilvl="0">
      <w:lvlJc w:val="left"/>
      <w:lvlText w:val="%1."/>
      <w:numFmt w:val="decimal"/>
      <w:start w:val="10"/>
    </w:lvl>
  </w:abstractNum>
  <w:abstractNum w:abstractNumId="62">
    <w:nsid w:val="5F5E7FD0"/>
    <w:multiLevelType w:val="hybridMultilevel"/>
    <w:lvl w:ilvl="0">
      <w:lvlJc w:val="left"/>
      <w:lvlText w:val="(%1)"/>
      <w:numFmt w:val="lowerLetter"/>
      <w:start w:val="1"/>
    </w:lvl>
  </w:abstractNum>
  <w:abstractNum w:abstractNumId="63">
    <w:nsid w:val="98A3148"/>
    <w:multiLevelType w:val="hybridMultilevel"/>
    <w:lvl w:ilvl="0">
      <w:lvlJc w:val="left"/>
      <w:lvlText w:val="%1."/>
      <w:numFmt w:val="decimal"/>
      <w:start w:val="1"/>
    </w:lvl>
  </w:abstractNum>
  <w:abstractNum w:abstractNumId="64">
    <w:nsid w:val="799D0247"/>
    <w:multiLevelType w:val="hybridMultilevel"/>
    <w:lvl w:ilvl="0">
      <w:lvlJc w:val="left"/>
      <w:lvlText w:val="%1."/>
      <w:numFmt w:val="decimal"/>
      <w:start w:val="2"/>
    </w:lvl>
  </w:abstractNum>
  <w:abstractNum w:abstractNumId="65">
    <w:nsid w:val="6B94764"/>
    <w:multiLevelType w:val="hybridMultilevel"/>
    <w:lvl w:ilvl="0">
      <w:lvlJc w:val="left"/>
      <w:lvlText w:val="%1."/>
      <w:numFmt w:val="decimal"/>
      <w:start w:val="3"/>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decimal"/>
      <w:start w:val="4"/>
    </w:lvl>
  </w:abstractNum>
  <w:abstractNum w:abstractNumId="68">
    <w:nsid w:val="1EBA5D23"/>
    <w:multiLevelType w:val="hybridMultilevel"/>
    <w:lvl w:ilvl="0">
      <w:lvlJc w:val="left"/>
      <w:lvlText w:val="%1."/>
      <w:numFmt w:val="decimal"/>
      <w:start w:val="5"/>
    </w:lvl>
  </w:abstractNum>
  <w:abstractNum w:abstractNumId="69">
    <w:nsid w:val="661E3F1E"/>
    <w:multiLevelType w:val="hybridMultilevel"/>
    <w:lvl w:ilvl="0">
      <w:lvlJc w:val="left"/>
      <w:lvlText w:val="%1."/>
      <w:numFmt w:val="decimal"/>
      <w:start w:val="6"/>
    </w:lvl>
  </w:abstractNum>
  <w:abstractNum w:abstractNumId="70">
    <w:nsid w:val="5DC79EA8"/>
    <w:multiLevelType w:val="hybridMultilevel"/>
    <w:lvl w:ilvl="0">
      <w:lvlJc w:val="left"/>
      <w:lvlText w:val="%1."/>
      <w:numFmt w:val="decimal"/>
      <w:start w:val="7"/>
    </w:lvl>
  </w:abstractNum>
  <w:abstractNum w:abstractNumId="71">
    <w:nsid w:val="540A471C"/>
    <w:multiLevelType w:val="hybridMultilevel"/>
    <w:lvl w:ilvl="0">
      <w:lvlJc w:val="left"/>
      <w:lvlText w:val="%1."/>
      <w:numFmt w:val="decimal"/>
      <w:start w:val="8"/>
    </w:lvl>
  </w:abstractNum>
  <w:abstractNum w:abstractNumId="72">
    <w:nsid w:val="7BD3EE7B"/>
    <w:multiLevelType w:val="hybridMultilevel"/>
    <w:lvl w:ilvl="0">
      <w:lvlJc w:val="left"/>
      <w:lvlText w:val="%1."/>
      <w:numFmt w:val="decimal"/>
      <w:start w:val="9"/>
    </w:lvl>
  </w:abstractNum>
  <w:abstractNum w:abstractNumId="73">
    <w:nsid w:val="51D9C564"/>
    <w:multiLevelType w:val="hybridMultilevel"/>
    <w:lvl w:ilvl="0">
      <w:lvlJc w:val="left"/>
      <w:lvlText w:val="%1."/>
      <w:numFmt w:val="decimal"/>
      <w:start w:val="10"/>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15" Type="http://schemas.openxmlformats.org/officeDocument/2006/relationships/hyperlink" Target="http://www.sec.gov/Archives/edgar/data/1574211/000119312513158983/d519395dex31.htm" TargetMode="External"/><Relationship Id="rId16" Type="http://schemas.openxmlformats.org/officeDocument/2006/relationships/hyperlink" Target="http://www.sec.gov/Archives/edgar/data/1574211/000119312513158983/d519395dex32.htm" TargetMode="External"/><Relationship Id="rId17" Type="http://schemas.openxmlformats.org/officeDocument/2006/relationships/hyperlink" Target="http://www.sec.gov/Archives/edgar/data/1051470/000095015712000590/ex4-1.htm" TargetMode="External"/><Relationship Id="rId18" Type="http://schemas.openxmlformats.org/officeDocument/2006/relationships/hyperlink" Target="http://www.sec.gov/Archives/edgar/data/1574211/000119312513158983/d519395dex42.htm" TargetMode="External"/><Relationship Id="rId19" Type="http://schemas.openxmlformats.org/officeDocument/2006/relationships/hyperlink" Target="http://www.sec.gov/Archives/edgar/data/1278382/000095013605000880/file002.htm" TargetMode="External"/><Relationship Id="rId20" Type="http://schemas.openxmlformats.org/officeDocument/2006/relationships/hyperlink" Target="http://www.sec.gov/Archives/edgar/data/1278382/000095013605003148/file002.htm" TargetMode="External"/><Relationship Id="rId21" Type="http://schemas.openxmlformats.org/officeDocument/2006/relationships/hyperlink" Target="http://www.sec.gov/Archives/edgar/data/1278382/000095013605003148/file003.htm" TargetMode="External"/><Relationship Id="rId22" Type="http://schemas.openxmlformats.org/officeDocument/2006/relationships/hyperlink" Target="http://www.sec.gov/Archives/edgar/data/1278382/000095013605003148/file004.htm" TargetMode="External"/><Relationship Id="rId23" Type="http://schemas.openxmlformats.org/officeDocument/2006/relationships/hyperlink" Target="http://www.sec.gov/Archives/edgar/data/1278382/000095013605003148/file005.htm" TargetMode="External"/><Relationship Id="rId24" Type="http://schemas.openxmlformats.org/officeDocument/2006/relationships/hyperlink" Target="http://www.sec.gov/Archives/edgar/data/1278382/000095013605003148/file006.htm" TargetMode="External"/><Relationship Id="rId25" Type="http://schemas.openxmlformats.org/officeDocument/2006/relationships/hyperlink" Target="http://www.sec.gov/Archives/edgar/data/1278382/000095013605003148/file007.htm" TargetMode="External"/><Relationship Id="rId26" Type="http://schemas.openxmlformats.org/officeDocument/2006/relationships/hyperlink" Target="http://www.sec.gov/Archives/edgar/data/1574211/000119312513158983/d519395dex108.htm" TargetMode="External"/><Relationship Id="rId27" Type="http://schemas.openxmlformats.org/officeDocument/2006/relationships/hyperlink" Target="http://www.sec.gov/Archives/edgar/data/1051470/000095015712000590/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2019-12-28T16:14:43Z</dcterms:created>
  <dcterms:modified xsi:type="dcterms:W3CDTF">2019-12-28T16:14:43Z</dcterms:modified>
</cp:coreProperties>
</file>