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44" w:lineRule="exact"/>
        <w:rPr>
          <w:sz w:val="24"/>
          <w:szCs w:val="24"/>
          <w:color w:val="auto"/>
        </w:rPr>
      </w:pPr>
    </w:p>
    <w:p>
      <w:pPr>
        <w:ind w:left="1460" w:hanging="239"/>
        <w:spacing w:after="0"/>
        <w:tabs>
          <w:tab w:leader="none" w:pos="1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quarterly period ended June 30, 2017</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246" w:lineRule="exact"/>
        <w:rPr>
          <w:sz w:val="24"/>
          <w:szCs w:val="24"/>
          <w:color w:val="auto"/>
        </w:rPr>
      </w:pPr>
    </w:p>
    <w:p>
      <w:pPr>
        <w:ind w:left="1460" w:hanging="239"/>
        <w:spacing w:after="0"/>
        <w:tabs>
          <w:tab w:leader="none" w:pos="1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2" w:lineRule="exact"/>
        <w:rPr>
          <w:sz w:val="24"/>
          <w:szCs w:val="24"/>
          <w:color w:val="auto"/>
        </w:rPr>
      </w:pPr>
    </w:p>
    <w:p>
      <w:pPr>
        <w:ind w:left="4240"/>
        <w:spacing w:after="0"/>
        <w:tabs>
          <w:tab w:leader="none" w:pos="6480" w:val="left"/>
        </w:tabs>
        <w:rPr>
          <w:sz w:val="20"/>
          <w:szCs w:val="20"/>
          <w:color w:val="auto"/>
        </w:rPr>
      </w:pPr>
      <w:r>
        <w:rPr>
          <w:rFonts w:ascii="Times New Roman" w:cs="Times New Roman" w:eastAsia="Times New Roman" w:hAnsi="Times New Roman"/>
          <w:sz w:val="17"/>
          <w:szCs w:val="17"/>
          <w:color w:val="auto"/>
        </w:rPr>
        <w:t>For the transition period</w:t>
      </w:r>
      <w:r>
        <w:rPr>
          <w:sz w:val="20"/>
          <w:szCs w:val="20"/>
          <w:color w:val="auto"/>
        </w:rPr>
        <w:tab/>
      </w:r>
      <w:r>
        <w:rPr>
          <w:rFonts w:ascii="Times New Roman" w:cs="Times New Roman" w:eastAsia="Times New Roman" w:hAnsi="Times New Roman"/>
          <w:sz w:val="17"/>
          <w:szCs w:val="17"/>
          <w:color w:val="auto"/>
        </w:rPr>
        <w:t>to</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Number 333-187970</w:t>
      </w:r>
    </w:p>
    <w:p>
      <w:pPr>
        <w:spacing w:after="0" w:line="2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88" w:lineRule="exact"/>
        <w:rPr>
          <w:sz w:val="24"/>
          <w:szCs w:val="24"/>
          <w:color w:val="auto"/>
        </w:rPr>
      </w:pPr>
    </w:p>
    <w:tbl>
      <w:tblPr>
        <w:tblLayout w:type="fixed"/>
        <w:tblInd w:w="2720" w:type="dxa"/>
        <w:tblCellMar>
          <w:top w:w="0" w:type="dxa"/>
          <w:left w:w="0" w:type="dxa"/>
          <w:bottom w:w="0" w:type="dxa"/>
          <w:right w:w="0" w:type="dxa"/>
        </w:tblCellMar>
      </w:tblPr>
      <w:tr>
        <w:trPr>
          <w:trHeight w:val="226"/>
        </w:trPr>
        <w:tc>
          <w:tcPr>
            <w:tcW w:w="3200" w:type="dxa"/>
            <w:vAlign w:val="bottom"/>
          </w:tcPr>
          <w:p>
            <w:pPr>
              <w:jc w:val="center"/>
              <w:ind w:right="135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7"/>
                <w:szCs w:val="17"/>
                <w:b w:val="1"/>
                <w:bCs w:val="1"/>
                <w:color w:val="auto"/>
              </w:rPr>
              <w:t>20-4300339</w:t>
            </w:r>
          </w:p>
        </w:tc>
      </w:tr>
      <w:tr>
        <w:trPr>
          <w:trHeight w:val="171"/>
        </w:trPr>
        <w:tc>
          <w:tcPr>
            <w:tcW w:w="3200" w:type="dxa"/>
            <w:vAlign w:val="bottom"/>
          </w:tcPr>
          <w:p>
            <w:pPr>
              <w:jc w:val="center"/>
              <w:ind w:right="137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200" w:type="dxa"/>
            <w:vAlign w:val="bottom"/>
          </w:tcPr>
          <w:p>
            <w:pPr>
              <w:jc w:val="center"/>
              <w:ind w:right="1350"/>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1220 Augusta Drive, Suite 600, Houston, Texas 77057-2261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of principal executives office) (Zip Code)</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(713) 570-3000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9" w:lineRule="exact"/>
        <w:rPr>
          <w:sz w:val="24"/>
          <w:szCs w:val="24"/>
          <w:color w:val="auto"/>
        </w:rPr>
      </w:pPr>
    </w:p>
    <w:p>
      <w:pPr>
        <w:jc w:val="both"/>
        <w:ind w:right="20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jc w:val="both"/>
        <w:ind w:right="10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4"/>
          <w:szCs w:val="24"/>
          <w:color w:val="auto"/>
        </w:rPr>
      </w:pPr>
    </w:p>
    <w:p>
      <w:pPr>
        <w:jc w:val="both"/>
        <w:ind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t>
            </w:r>
          </w:p>
        </w:tc>
        <w:tc>
          <w:tcPr>
            <w:tcW w:w="3660" w:type="dxa"/>
            <w:vAlign w:val="bottom"/>
          </w:tcPr>
          <w:p>
            <w:pPr>
              <w:spacing w:after="0"/>
              <w:rPr>
                <w:sz w:val="19"/>
                <w:szCs w:val="19"/>
                <w:color w:val="auto"/>
              </w:rPr>
            </w:pPr>
          </w:p>
        </w:tc>
        <w:tc>
          <w:tcPr>
            <w:tcW w:w="2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w:t>
            </w: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r>
        <w:trPr>
          <w:trHeight w:val="268"/>
        </w:trPr>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bl>
    <w:p>
      <w:pPr>
        <w:spacing w:after="0" w:line="34" w:lineRule="exact"/>
        <w:rPr>
          <w:sz w:val="24"/>
          <w:szCs w:val="24"/>
          <w:color w:val="auto"/>
        </w:rPr>
      </w:pPr>
    </w:p>
    <w:p>
      <w:pPr>
        <w:ind w:left="1240" w:right="1420"/>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6" w:lineRule="exact"/>
        <w:rPr>
          <w:sz w:val="24"/>
          <w:szCs w:val="24"/>
          <w:color w:val="auto"/>
        </w:rPr>
      </w:pPr>
    </w:p>
    <w:p>
      <w:pPr>
        <w:ind w:left="340"/>
        <w:spacing w:after="0"/>
        <w:tabs>
          <w:tab w:leader="none" w:pos="8240" w:val="left"/>
          <w:tab w:leader="none" w:pos="88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Yes o</w:t>
        <w:tab/>
        <w:t>No x</w:t>
      </w:r>
    </w:p>
    <w:p>
      <w:pPr>
        <w:spacing w:after="0" w:line="16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As of June 30, 2017, the only member of the registrant is a wholly-owned indirect subsidiary of Crown Castle International Corp.</w:t>
      </w:r>
    </w:p>
    <w:p>
      <w:pPr>
        <w:spacing w:after="0" w:line="16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registrant is a wholly-owned indirect subsidiary of Crown Castle International Corp. and meets the conditions set forth in General Instruction (H)(1)(a) and</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 of Form 10-Q, and is therefore filing this form with the reduced disclosure format.</w:t>
      </w:r>
    </w:p>
    <w:p>
      <w:pPr>
        <w:sectPr>
          <w:pgSz w:w="11900" w:h="16838" w:orient="portrait"/>
          <w:cols w:equalWidth="0" w:num="1">
            <w:col w:w="11420"/>
          </w:cols>
          <w:pgMar w:left="240" w:top="1186"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 (Unaudited)</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STATEMENT OF CHANGES IN MEMBER'S EQUITY (Unaudited)</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6"/>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of these words, and similar expressions are intended to identify forward-looking statements. Such statements include plans, projections and estimates contained in </w:t>
      </w:r>
      <w:r>
        <w:rPr>
          <w:rFonts w:ascii="Times New Roman" w:cs="Times New Roman" w:eastAsia="Times New Roman" w:hAnsi="Times New Roman"/>
          <w:sz w:val="18"/>
          <w:szCs w:val="18"/>
          <w:i w:val="1"/>
          <w:iCs w:val="1"/>
          <w:color w:val="auto"/>
        </w:rPr>
        <w:t>"Part I—Item 2. Management's Discussion and Analysis of Financial Condition and Results of Operations"</w:t>
      </w:r>
      <w:r>
        <w:rPr>
          <w:rFonts w:ascii="Times New Roman" w:cs="Times New Roman" w:eastAsia="Times New Roman" w:hAnsi="Times New Roman"/>
          <w:sz w:val="18"/>
          <w:szCs w:val="18"/>
          <w:color w:val="auto"/>
        </w:rPr>
        <w:t xml:space="preserve"> ("MD&amp;A") herein. Such forward-looking statements include (1) expectations regarding 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(collectively, the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our Annual Report on Form 10-K for the fiscal year ended December 31, 2016 ("2016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1260" w:type="dxa"/>
            <w:vAlign w:val="bottom"/>
          </w:tcPr>
          <w:p>
            <w:pPr>
              <w:spacing w:after="0"/>
              <w:rPr>
                <w:sz w:val="24"/>
                <w:szCs w:val="24"/>
                <w:color w:val="auto"/>
              </w:rPr>
            </w:pPr>
          </w:p>
        </w:tc>
        <w:tc>
          <w:tcPr>
            <w:tcW w:w="7760" w:type="dxa"/>
            <w:vAlign w:val="bottom"/>
          </w:tcPr>
          <w:p>
            <w:pPr>
              <w:jc w:val="center"/>
              <w:ind w:left="1053"/>
              <w:spacing w:after="0"/>
              <w:rPr>
                <w:sz w:val="20"/>
                <w:szCs w:val="20"/>
                <w:color w:val="auto"/>
              </w:rPr>
            </w:pPr>
            <w:r>
              <w:rPr>
                <w:rFonts w:ascii="Times New Roman" w:cs="Times New Roman" w:eastAsia="Times New Roman" w:hAnsi="Times New Roman"/>
                <w:sz w:val="18"/>
                <w:szCs w:val="18"/>
                <w:b w:val="1"/>
                <w:bCs w:val="1"/>
                <w:color w:val="auto"/>
                <w:w w:val="99"/>
              </w:rPr>
              <w:t>CC HOLDINGS GS V LLC</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760" w:type="dxa"/>
            <w:vAlign w:val="bottom"/>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7760" w:type="dxa"/>
            <w:vAlign w:val="bottom"/>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9"/>
              </w:rPr>
              <w:t>(In thousands of dollars)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12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260" w:type="dxa"/>
            <w:vAlign w:val="bottom"/>
          </w:tcPr>
          <w:p>
            <w:pPr>
              <w:spacing w:after="0"/>
              <w:rPr>
                <w:sz w:val="21"/>
                <w:szCs w:val="21"/>
                <w:color w:val="auto"/>
              </w:rPr>
            </w:pPr>
          </w:p>
        </w:tc>
        <w:tc>
          <w:tcPr>
            <w:tcW w:w="7760" w:type="dxa"/>
            <w:vAlign w:val="bottom"/>
          </w:tcPr>
          <w:p>
            <w:pPr>
              <w:jc w:val="center"/>
              <w:ind w:right="115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22,804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19,550</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24,051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site rental receivables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25,993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20,313</w:t>
            </w:r>
          </w:p>
        </w:tc>
        <w:tc>
          <w:tcPr>
            <w:tcW w:w="0" w:type="dxa"/>
            <w:vAlign w:val="bottom"/>
          </w:tcPr>
          <w:p>
            <w:pPr>
              <w:spacing w:after="0"/>
              <w:rPr>
                <w:sz w:val="1"/>
                <w:szCs w:val="1"/>
                <w:color w:val="auto"/>
              </w:rPr>
            </w:pPr>
          </w:p>
        </w:tc>
      </w:tr>
      <w:tr>
        <w:trPr>
          <w:trHeight w:val="217"/>
        </w:trPr>
        <w:tc>
          <w:tcPr>
            <w:tcW w:w="9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80,381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67,441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346,507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$874,105 and $828,670, respectively</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1,066,196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1,088,883</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1,338,730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1,338,730</w:t>
            </w:r>
          </w:p>
        </w:tc>
        <w:tc>
          <w:tcPr>
            <w:tcW w:w="0" w:type="dxa"/>
            <w:vAlign w:val="bottom"/>
          </w:tcPr>
          <w:p>
            <w:pPr>
              <w:spacing w:after="0"/>
              <w:rPr>
                <w:sz w:val="1"/>
                <w:szCs w:val="1"/>
                <w:color w:val="auto"/>
              </w:rPr>
            </w:pPr>
          </w:p>
        </w:tc>
      </w:tr>
      <w:tr>
        <w:trPr>
          <w:trHeight w:val="237"/>
        </w:trPr>
        <w:tc>
          <w:tcPr>
            <w:tcW w:w="9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980,274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1,038,007</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prepaid rent and other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35,490</w:t>
            </w:r>
          </w:p>
        </w:tc>
        <w:tc>
          <w:tcPr>
            <w:tcW w:w="0" w:type="dxa"/>
            <w:vAlign w:val="bottom"/>
          </w:tcPr>
          <w:p>
            <w:pPr>
              <w:spacing w:after="0"/>
              <w:rPr>
                <w:sz w:val="1"/>
                <w:szCs w:val="1"/>
                <w:color w:val="auto"/>
              </w:rPr>
            </w:pPr>
          </w:p>
        </w:tc>
      </w:tr>
      <w:tr>
        <w:trPr>
          <w:trHeight w:val="284"/>
        </w:trPr>
        <w:tc>
          <w:tcPr>
            <w:tcW w:w="90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3,839,160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3,915,058</w:t>
            </w:r>
          </w:p>
        </w:tc>
        <w:tc>
          <w:tcPr>
            <w:tcW w:w="0" w:type="dxa"/>
            <w:vAlign w:val="bottom"/>
          </w:tcPr>
          <w:p>
            <w:pPr>
              <w:spacing w:after="0"/>
              <w:rPr>
                <w:sz w:val="1"/>
                <w:szCs w:val="1"/>
                <w:color w:val="auto"/>
              </w:rPr>
            </w:pPr>
          </w:p>
        </w:tc>
      </w:tr>
      <w:tr>
        <w:trPr>
          <w:trHeight w:val="217"/>
        </w:trPr>
        <w:tc>
          <w:tcPr>
            <w:tcW w:w="12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7760" w:type="dxa"/>
            <w:vAlign w:val="bottom"/>
          </w:tcPr>
          <w:p>
            <w:pPr>
              <w:jc w:val="center"/>
              <w:ind w:right="1153"/>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Accrued expenses and payables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13,180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13,243</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8,126</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11,930</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33,299</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991,971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991,279</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ground lease payable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102,519</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Above-market leases and other liabilities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49,002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48,716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1,178,469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1,175,813</w:t>
            </w:r>
          </w:p>
        </w:tc>
        <w:tc>
          <w:tcPr>
            <w:tcW w:w="0" w:type="dxa"/>
            <w:vAlign w:val="bottom"/>
          </w:tcPr>
          <w:p>
            <w:pPr>
              <w:spacing w:after="0"/>
              <w:rPr>
                <w:sz w:val="1"/>
                <w:szCs w:val="1"/>
                <w:color w:val="auto"/>
              </w:rPr>
            </w:pPr>
          </w:p>
        </w:tc>
      </w:tr>
      <w:tr>
        <w:trPr>
          <w:trHeight w:val="217"/>
        </w:trPr>
        <w:tc>
          <w:tcPr>
            <w:tcW w:w="9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Member's equity</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2,660,691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earnings (deficit)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9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member's equity</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2,660,691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3,839,160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3,915,058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153,215</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152,184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306,296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306,258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4"/>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56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75,681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73,905</w:t>
            </w:r>
          </w:p>
        </w:tc>
      </w:tr>
      <w:tr>
        <w:trPr>
          <w:trHeight w:val="270"/>
        </w:trPr>
        <w:tc>
          <w:tcPr>
            <w:tcW w:w="5620" w:type="dxa"/>
            <w:vAlign w:val="bottom"/>
            <w:tcBorders>
              <w:bottom w:val="single" w:sz="8" w:color="CCEEFF"/>
            </w:tcBorders>
            <w:gridSpan w:val="3"/>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operations—related parties</w:t>
            </w:r>
            <w:r>
              <w:rPr>
                <w:rFonts w:ascii="Times New Roman" w:cs="Times New Roman" w:eastAsia="Times New Roman" w:hAnsi="Times New Roman"/>
                <w:sz w:val="21"/>
                <w:szCs w:val="21"/>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9,101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18,041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16,669</w:t>
            </w:r>
          </w:p>
        </w:tc>
      </w:tr>
      <w:tr>
        <w:trPr>
          <w:trHeight w:val="250"/>
        </w:trPr>
        <w:tc>
          <w:tcPr>
            <w:tcW w:w="56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(a)</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46,969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93,722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90,574</w:t>
            </w:r>
          </w:p>
        </w:tc>
      </w:tr>
      <w:tr>
        <w:trPr>
          <w:trHeight w:val="237"/>
        </w:trPr>
        <w:tc>
          <w:tcPr>
            <w:tcW w:w="56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22,511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Asset write-down 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2,774</w:t>
            </w:r>
          </w:p>
        </w:tc>
      </w:tr>
      <w:tr>
        <w:trPr>
          <w:trHeight w:val="237"/>
        </w:trPr>
        <w:tc>
          <w:tcPr>
            <w:tcW w:w="56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52,543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105,172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104,474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220,333</w:t>
            </w: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42,020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41,185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84,112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85,925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(26,612)</w:t>
            </w: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65,024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59,302</w:t>
            </w: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59,133</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64,848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59,133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105,172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104,474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1,414</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Increase (decrease) in deferred revenues, deferred ground lease payable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1,989</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Decrease (increase) in other current assets, deferred site rental receivable, long-term prepaid rent,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172,755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155,612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(129,510)</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(143,402)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20,401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20,424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April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2,682,740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2,682,740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(53,831)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31,782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31,782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June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2,660,691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2,660,691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April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42,862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2,370,800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27,792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27,792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June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6,033</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2,333,971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64,848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64,848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June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2,660,691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2,660,691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2,404,348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59,133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59,133</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June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6,033</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2,333,971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2016, and related notes thereto, included in the 2016 Form 10-K filed by the Company with the SEC.</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organized specifically to own, lease and manage sites that are geographically dispersed across the United States ("U.S."). The Company's core business is providing access, including space or capacity, to its sites via long-term contracts in various forms, including licenses, subleases and lease agreements. Management services related to the Company's sites are performed by Crown Castle USA Inc. ("CCUSA"), an affiliate of the Company, under the Management Agreement, as the Company has no employees.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real estate investment trust ("REIT") for U.S. federal income tax purposes. For U.S. federal income tax purposes, the Company's assets and operations are part of the CCIC REIT. See note 5.</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June 30, 2017, and the consolidated results of operations and the consolidated cash flows for the six months ended June 30, 2017 and 2016.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4"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the preparation of the Company's condensed consolidated financial statements are disclosed in the 2016 Form 10-K.</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new accounting pronouncements were adopted during the six months ended June 30, 2017.</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The Company (1) has established and is progressing through the various steps of a cross functional project plan to assess the impact of the standard; (2) expects this guidance to have a material impact on its consolidated balance sheet due to the addition of right-of-use assets and lease liabilities for all leases with a term greater than 12 months; and (3) continues to assess additional impacts to its consolidated financial statements, including the consolidated statement of operations and the consolidated statement of cash flows.</w:t>
      </w:r>
    </w:p>
    <w:p>
      <w:pPr>
        <w:spacing w:after="0" w:line="346"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outstanding balance of the 2012 Secured Notes as of both June 30, 2017 and December 31, 2016 was $1.0 billion, comprised of 3.849% secured notes ("3.849% Secured Notes") due April 2023. The 2012 Secured Notes originally consisted of (1) the previously outstanding $500 million aggregate principal amount of 2.381% secured notes ("2.381% Secured Notes") due December 2017 and (2) $1.0 billion aggregate principal amount of 3.849% Secured Notes due April 2023. In September 2016, CCIC repaid in full the previously outstanding 2.381% Secured Notes.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19,245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25,198</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1,414</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26,612</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sites.</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CCUSA may perform installation services on the Company's towers, for which the Company is not a party to any agreement and for which no operating results are reflected herein.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an affiliate acquiring rights to such land. As of June 30, 2017, there was approximately 29% of the Company's sites where the land under the tower is controlled by an affiliate. Also, the Company receives rent revenue from affiliates for land controlled by the Company that affiliates have towers on.</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2017 and 2016, the Company recorded equity distributions of $143.4 million and $129.5 million, respectively, reflecting distributions to its member and ultimately other subsidiaries of CCIC. Cash on hand above the amount that is required by the Management Agreement has been, and is expected to continue to be, distributed to the Company's parent company. As of June 30, 2017 and 2016, the Company had no material related party assets or liabilities on its condensed consolidated balance sheet.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part of the CCIC REIT.</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and 2016, the Company's effective tax rate differed from the federal statutory rate predominately due to (1) CCIC's dividends paid deduction, and (2) state taxes.</w:t>
      </w:r>
    </w:p>
    <w:p>
      <w:pPr>
        <w:spacing w:after="0" w:line="320"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2016 in the Company's valuation techniques used to measure fair values. The estimated fair values of the Company's financial instruments, along with the carrying amounts of the related assets and liabilities, are as follows:</w:t>
      </w:r>
    </w:p>
    <w:p>
      <w:pPr>
        <w:spacing w:after="0" w:line="35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in Fair</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49"/>
        </w:trPr>
        <w:tc>
          <w:tcPr>
            <w:tcW w:w="53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880" w:type="dxa"/>
            <w:vAlign w:val="bottom"/>
          </w:tcPr>
          <w:p>
            <w:pPr>
              <w:jc w:val="right"/>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8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22,804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22,804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19,550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19,550</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991,971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1,013,300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991,279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1,013,300</w:t>
            </w:r>
          </w:p>
        </w:tc>
      </w:tr>
    </w:tbl>
    <w:p>
      <w:pPr>
        <w:spacing w:after="0" w:line="389"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42"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398"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060"/>
        <w:spacing w:after="0"/>
        <w:tabs>
          <w:tab w:leader="none" w:pos="1058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p>
      <w:pPr>
        <w:spacing w:after="0" w:line="86" w:lineRule="exact"/>
        <w:rPr>
          <w:sz w:val="20"/>
          <w:szCs w:val="20"/>
          <w:color w:val="auto"/>
        </w:rPr>
      </w:pPr>
    </w:p>
    <w:p>
      <w:pPr>
        <w:ind w:left="280"/>
        <w:spacing w:after="0"/>
        <w:tabs>
          <w:tab w:leader="none" w:pos="8580" w:val="left"/>
          <w:tab w:leader="none" w:pos="9380" w:val="left"/>
          <w:tab w:leader="none" w:pos="10080" w:val="left"/>
          <w:tab w:leader="none" w:pos="10840" w:val="left"/>
        </w:tabs>
        <w:rPr>
          <w:sz w:val="20"/>
          <w:szCs w:val="20"/>
          <w:color w:val="auto"/>
        </w:rPr>
      </w:pPr>
      <w:r>
        <w:rPr>
          <w:rFonts w:ascii="Times New Roman" w:cs="Times New Roman" w:eastAsia="Times New Roman" w:hAnsi="Times New Roman"/>
          <w:sz w:val="16"/>
          <w:szCs w:val="16"/>
          <w:color w:val="auto"/>
        </w:rPr>
        <w:t>Interest paid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19,245</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25,198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31"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Subsidiaries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CCL has no independent assets or operations. The 2012 Secured Notes are guaranteed by all subsidiaries of CCL, each of which is a 100% wholly-owned subsidiary of CCL, other than Crown Castle GS III Corp., which is a co-issuer of the 2012 Secured Notes and a 100%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31" w:right="239" w:bottom="1440" w:gutter="0" w:footer="0" w:header="0"/>
        </w:sectPr>
      </w:pPr>
    </w:p>
    <w:bookmarkStart w:id="10" w:name="page11"/>
    <w:bookmarkEnd w:id="10"/>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231F20"/>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("MD&amp;A") included in our 2016 Form 10-K. Capitalized terms used but not defined in this Form 10-Q have the same meaning given to them in our 2016 Form 10-K. Unless this Quarterly Report on Form 10-Q indicates otherwise or the context requires, the terms "we," "our," "our company," "the company," or "us" as used herein refer to CC Holdings GS V LLC and its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Overview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Fundamentals and Results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business fundamentals and results as of and for the six months ended June 30, 2017.</w:t>
      </w:r>
    </w:p>
    <w:p>
      <w:pPr>
        <w:spacing w:after="0" w:line="27" w:lineRule="exact"/>
        <w:rPr>
          <w:sz w:val="20"/>
          <w:szCs w:val="20"/>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wireless network expansion and new entrants caused by increasing demand for data and connectivity</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or (6) the availability of additional spectrum.</w:t>
      </w:r>
    </w:p>
    <w:p>
      <w:pPr>
        <w:spacing w:after="0" w:line="1"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wireless carriers continue to invest in their networks.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structure</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part of the CCIC REIT.</w:t>
      </w: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were organized specifically to own, lease, and manage certain shared wireless infrastructure, such as towers or other structures, and have no employees.</w:t>
      </w: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leases with contractual escalations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terms of five to 15 years with multiple renewal periods at the option of the tenant of five to ten years each.</w:t>
      </w:r>
    </w:p>
    <w:p>
      <w:pPr>
        <w:spacing w:after="0" w:line="9" w:lineRule="exact"/>
        <w:rPr>
          <w:rFonts w:ascii="Times New Roman" w:cs="Times New Roman" w:eastAsia="Times New Roman" w:hAnsi="Times New Roman"/>
          <w:sz w:val="18"/>
          <w:szCs w:val="18"/>
          <w:color w:val="auto"/>
        </w:rPr>
      </w:pPr>
    </w:p>
    <w:p>
      <w:pPr>
        <w:jc w:val="both"/>
        <w:ind w:left="1220" w:right="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remaining term (calculated by weighting the remaining term for each lease by the related site rental revenue) of approximately six years, exclusive of renewals at the tenants' option, currently representing approximately $3.7 billion of expected future cash inflows.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predominately from large wireless carriers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88% of our site rental revenues were derived from Sprint, AT&amp;T, T-Mobile and Verizon Wireless.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interests under our wireless infrastructure are under long-term control</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80% and more than 50% of our sites are under our control for greater than 10 and 20 years, respectively. The aforementioned amounts include sites that reside on land interests that are owned, including fee interests and perpetual easements.</w:t>
      </w:r>
    </w:p>
    <w:p>
      <w:pPr>
        <w:jc w:val="both"/>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fixed tower operating costs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represented approximately 1% of net revenues.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440" w:gutter="0" w:footer="0" w:header="0"/>
        </w:sectPr>
      </w:pPr>
    </w:p>
    <w:bookmarkStart w:id="11" w:name="page12"/>
    <w:bookmarkEnd w:id="11"/>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debt with no short-term maturities</w:t>
      </w:r>
    </w:p>
    <w:p>
      <w:pPr>
        <w:spacing w:after="0" w:line="27" w:lineRule="exact"/>
        <w:rPr>
          <w:rFonts w:ascii="Times New Roman" w:cs="Times New Roman" w:eastAsia="Times New Roman" w:hAnsi="Times New Roman"/>
          <w:sz w:val="18"/>
          <w:szCs w:val="18"/>
          <w:color w:val="auto"/>
        </w:rPr>
      </w:pPr>
    </w:p>
    <w:p>
      <w:pPr>
        <w:ind w:left="1220" w:right="20" w:hanging="402"/>
        <w:spacing w:after="0" w:line="250" w:lineRule="auto"/>
        <w:tabs>
          <w:tab w:leader="none" w:pos="12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consists of $1.0 billion aggregate principal amount of 3.849% secured notes due 2023. See note 3 to our condensed consolidated financial statements.</w:t>
      </w: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$172.8 million. See </w:t>
      </w:r>
      <w:r>
        <w:rPr>
          <w:rFonts w:ascii="Times New Roman" w:cs="Times New Roman" w:eastAsia="Times New Roman" w:hAnsi="Times New Roman"/>
          <w:sz w:val="18"/>
          <w:szCs w:val="18"/>
          <w:i w:val="1"/>
          <w:iCs w:val="1"/>
          <w:color w:val="auto"/>
        </w:rPr>
        <w:t>"Item 2. MD&amp;A—Liquidity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 Highlights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outlook that impact our business fundamentals described above.</w:t>
      </w:r>
    </w:p>
    <w:p>
      <w:pPr>
        <w:spacing w:after="0" w:line="27" w:lineRule="exact"/>
        <w:rPr>
          <w:sz w:val="20"/>
          <w:szCs w:val="20"/>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demand for tenant leasing to continue during 2017.</w:t>
      </w:r>
    </w:p>
    <w:p>
      <w:pPr>
        <w:spacing w:after="0" w:line="9" w:lineRule="exact"/>
        <w:rPr>
          <w:rFonts w:ascii="Times New Roman" w:cs="Times New Roman" w:eastAsia="Times New Roman" w:hAnsi="Times New Roman"/>
          <w:sz w:val="18"/>
          <w:szCs w:val="18"/>
          <w:color w:val="auto"/>
        </w:rPr>
      </w:pPr>
    </w:p>
    <w:p>
      <w:pPr>
        <w:ind w:left="1220" w:hanging="807"/>
        <w:spacing w:after="0" w:line="26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2017, we also expect that the impact from tenant leasing will be offset by non-renewals of tenant leases, primarily from our customers' decommissioning of the Acquired Networks, at least in part.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should be read in conjunction with our condensed consolidated financial statements and our 2016 Form 10-K. The following discussion of our results of operations is based on our condensed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2. MD&amp;A—Accounting and Reporting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herein and note 2 to our 2016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Consolidated Results of Operations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is derived from our historical consolidated statements of operations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1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30, 2016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153,215</w:t>
            </w:r>
          </w:p>
        </w:tc>
        <w:tc>
          <w:tcPr>
            <w:tcW w:w="22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152,184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1"/>
                <w:szCs w:val="21"/>
                <w:color w:val="auto"/>
                <w:vertAlign w:val="superscript"/>
              </w:rPr>
              <w:t>(a)(b)</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46,969</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45,749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Management fee</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11,683</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write-down charges</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1,891</w:t>
            </w:r>
          </w:p>
        </w:tc>
        <w:tc>
          <w:tcPr>
            <w:tcW w:w="134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52,543</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52,116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111,195</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110,999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42,020</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41,185</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31,870</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27,875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31,782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27,792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2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not meaningful</w:t>
            </w: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related parties transactions.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112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20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20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306,296</w:t>
            </w:r>
          </w:p>
        </w:tc>
        <w:tc>
          <w:tcPr>
            <w:tcW w:w="200" w:type="dxa"/>
            <w:vAlign w:val="bottom"/>
          </w:tcPr>
          <w:p>
            <w:pPr>
              <w:spacing w:after="0"/>
              <w:rPr>
                <w:sz w:val="20"/>
                <w:szCs w:val="20"/>
                <w:color w:val="auto"/>
              </w:rPr>
            </w:pPr>
          </w:p>
        </w:tc>
        <w:tc>
          <w:tcPr>
            <w:tcW w:w="6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306,258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20" w:type="dxa"/>
            <w:vAlign w:val="bottom"/>
            <w:gridSpan w:val="2"/>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1"/>
                <w:szCs w:val="21"/>
                <w:color w:val="auto"/>
                <w:vertAlign w:val="superscript"/>
              </w:rPr>
              <w:t>(a)(b)</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93,722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90,574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70"/>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Management fee</w:t>
            </w:r>
            <w:r>
              <w:rPr>
                <w:rFonts w:ascii="Times New Roman" w:cs="Times New Roman" w:eastAsia="Times New Roman" w:hAnsi="Times New Roman"/>
                <w:sz w:val="21"/>
                <w:szCs w:val="21"/>
                <w:color w:val="auto"/>
                <w:vertAlign w:val="superscript"/>
              </w:rPr>
              <w:t>(b)</w:t>
            </w:r>
          </w:p>
        </w:tc>
        <w:tc>
          <w:tcPr>
            <w:tcW w:w="44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23,290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 write-down charges</w:t>
            </w:r>
          </w:p>
        </w:tc>
        <w:tc>
          <w:tcPr>
            <w:tcW w:w="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2,774</w:t>
            </w:r>
          </w:p>
        </w:tc>
        <w:tc>
          <w:tcPr>
            <w:tcW w:w="134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4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105,172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104,474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20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222,184</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220,333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84,112</w:t>
            </w: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85,925</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849</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65,024</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59,302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64,848</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59,133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2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not meaningful</w:t>
            </w: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related parties transactions.</w:t>
      </w:r>
    </w:p>
    <w:p>
      <w:pPr>
        <w:spacing w:after="0" w:line="3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Second Quarter 2017 and 2016</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Site rental revenues for the three months ended June 30, 2017 increased by $1.0 million, or 1%, from the same period in the prior year. This increase in site rental revenues was impacted by the following items, inclusive of straight-line accounting, in no particular order: tenant additions across our entire portfolio, renewals or extensions of tenant leases, escalations and non-renewals of tenant leases. Tenant additions were influenced by our customers' ongoing efforts to improve network quality and capacity. See also </w:t>
      </w:r>
      <w:r>
        <w:rPr>
          <w:rFonts w:ascii="Times New Roman" w:cs="Times New Roman" w:eastAsia="Times New Roman" w:hAnsi="Times New Roman"/>
          <w:sz w:val="18"/>
          <w:szCs w:val="18"/>
          <w:i w:val="1"/>
          <w:iCs w:val="1"/>
          <w:color w:val="auto"/>
        </w:rPr>
        <w:t>"Item 2. MD&amp;A—General Overview"</w:t>
      </w:r>
      <w:r>
        <w:rPr>
          <w:rFonts w:ascii="Times New Roman" w:cs="Times New Roman" w:eastAsia="Times New Roman" w:hAnsi="Times New Roman"/>
          <w:sz w:val="18"/>
          <w:szCs w:val="18"/>
          <w:color w:val="auto"/>
        </w:rPr>
        <w:t xml:space="preserve"> and the 2016 Form 10-K for further discussion regarding our customers' decommissioning of the Acquired Networks.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three months ended June 30, 2017 increased by $0.8 million, or 2%, from the same period in the prior year. The increase in operating income was predominately due to the aforementioned increase in site rental revenues and a decrease in asset write-down charges, partially offset by an increase in cost of operations, the management fee, and depreciation, amortization and accretion from the three months ended June 30, 2016.</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three months ended June 30, 2017 decreased $3.3 million, or 25%, from the same period in the prior year. This decrease was related to the corresponding decrease in our outstanding indebtedness.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June 30, 2017 was $31.8 million, compared to net income of $27.8 million for the three months ended June 30, 2016. The increase was due primarily to the $3.3 million decrease in interest expense and amortization of deferred financing costs.</w:t>
      </w: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First Six Months 2017 and 2016</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Site rental revenues for the six months ended June 30, 2017 remained consistent with the same period in the prior year. Site rental revenues were impacted by the following items, inclusive of straight-line accounting, in no particular order: new tenant additions across our entire portfolio, renewals or extensions of tenant leases, escalations and non-renewal of tenant leases. Tenant additions were influenced by our customers' ongoing efforts to improve network quality and capacity. See also </w:t>
      </w:r>
      <w:r>
        <w:rPr>
          <w:rFonts w:ascii="Times New Roman" w:cs="Times New Roman" w:eastAsia="Times New Roman" w:hAnsi="Times New Roman"/>
          <w:sz w:val="18"/>
          <w:szCs w:val="18"/>
          <w:i w:val="1"/>
          <w:iCs w:val="1"/>
          <w:color w:val="auto"/>
        </w:rPr>
        <w:t>"Item 2. MD&amp;A—General Overview"</w:t>
      </w:r>
      <w:r>
        <w:rPr>
          <w:rFonts w:ascii="Times New Roman" w:cs="Times New Roman" w:eastAsia="Times New Roman" w:hAnsi="Times New Roman"/>
          <w:sz w:val="18"/>
          <w:szCs w:val="18"/>
          <w:color w:val="auto"/>
        </w:rPr>
        <w:t xml:space="preserve"> herein.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six months ended June 30, 2017 decreased by $1.8 million, or 2%, from the same period in the prior year. The decrease in operating income was predominately due to increases in cost of operations, the management fee and depreciation, amortization and accretion, partially offset by a decrease in asset write-down charges.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08" w:right="239" w:bottom="1440" w:gutter="0" w:footer="0" w:header="0"/>
        </w:sectPr>
      </w:pPr>
    </w:p>
    <w:bookmarkStart w:id="13" w:name="page14"/>
    <w:bookmarkEnd w:id="13"/>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six months ended June 30, 2017 decreased $6.7 million, or 25%, from the same period in the prior year. This decrease was related to the corresponding decrease in our outstanding indebtedness.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for the six months ended June 30, 2017 was $64.8 million compared to net income of $59.1 million for the six months ended June 30,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primarily to the previously mentioned $6.7 million decrease in interest expense and amortization of deferred financing costs.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core business generates revenues under long-term leases (See</w:t>
      </w:r>
      <w:r>
        <w:rPr>
          <w:rFonts w:ascii="Times New Roman" w:cs="Times New Roman" w:eastAsia="Times New Roman" w:hAnsi="Times New Roman"/>
          <w:sz w:val="18"/>
          <w:szCs w:val="18"/>
          <w:i w:val="1"/>
          <w:iCs w:val="1"/>
          <w:color w:val="auto"/>
        </w:rPr>
        <w:t xml:space="preserve"> "Item 2. MD&amp;A—General Overview")</w:t>
      </w:r>
      <w:r>
        <w:rPr>
          <w:rFonts w:ascii="Times New Roman" w:cs="Times New Roman" w:eastAsia="Times New Roman" w:hAnsi="Times New Roman"/>
          <w:sz w:val="18"/>
          <w:szCs w:val="18"/>
          <w:color w:val="auto"/>
        </w:rPr>
        <w:t>, predominantly from the largest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 our capital expenditures. We seek to allocate the net cash generated from our business in a manner that we believe drives value for our member and ultimately CCIC.</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a cash management perspective, we currently distribute cash on hand above amounts required pursuant to the Management Agreement to our member and ultimately other subsidiaries of CCIC. If any future event would occur that would leave us with a deficiency in our operating cash flow, while not required, CCIC may contribute cash back to us.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part of the CCIC REIT. We expect to continue to pay minimal cash income taxes as a result of CCIC's REIT status and NOLs.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June 30, 2017:</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50"/>
        </w:trPr>
        <w:tc>
          <w:tcPr>
            <w:tcW w:w="9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4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22,804</w:t>
            </w:r>
          </w:p>
        </w:tc>
      </w:tr>
      <w:tr>
        <w:trPr>
          <w:trHeight w:val="224"/>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991,971</w:t>
            </w:r>
          </w:p>
        </w:tc>
      </w:tr>
      <w:tr>
        <w:trPr>
          <w:trHeight w:val="33"/>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2,660,691</w:t>
            </w:r>
          </w:p>
        </w:tc>
      </w:tr>
      <w:tr>
        <w:trPr>
          <w:trHeight w:val="33"/>
        </w:trPr>
        <w:tc>
          <w:tcPr>
            <w:tcW w:w="9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net cash provided by operating activities should be sufficient to cover our expected capital expenditures.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our condensed consolidated financial statements for additional information regarding our debt.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Summary Cash Flow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920" w:type="dxa"/>
            <w:vAlign w:val="bottom"/>
          </w:tcPr>
          <w:p>
            <w:pPr>
              <w:spacing w:after="0"/>
              <w:rPr>
                <w:sz w:val="17"/>
                <w:szCs w:val="17"/>
                <w:color w:val="auto"/>
              </w:rPr>
            </w:pPr>
          </w:p>
        </w:tc>
      </w:tr>
      <w:tr>
        <w:trPr>
          <w:trHeight w:val="255"/>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7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172,755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155,612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17,143</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7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(13,892)</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for the first six months of 2017 of $17.1 million, or 11%, from the first six months of 2016, was due primarily to a benefit from changes in working capital and growth in cash revenues, including cash escalations that are subject to straight-line accounting.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4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5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spacing w:after="0" w:line="1" w:lineRule="exact"/>
        <w:rPr>
          <w:rFonts w:ascii="Times New Roman" w:cs="Times New Roman" w:eastAsia="Times New Roman" w:hAnsi="Times New Roman"/>
          <w:sz w:val="18"/>
          <w:szCs w:val="18"/>
          <w:color w:val="auto"/>
        </w:rPr>
      </w:pPr>
    </w:p>
    <w:p>
      <w:pPr>
        <w:ind w:left="1140" w:firstLine="2"/>
        <w:spacing w:after="0" w:line="261" w:lineRule="auto"/>
        <w:tabs>
          <w:tab w:leader="none" w:pos="14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1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maintenance on our sites that enable our customers' ongoing quiet enjoyment of the site.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the six months ended June 30, 2017 and 2016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7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7"/>
        </w:trPr>
        <w:tc>
          <w:tcPr>
            <w:tcW w:w="7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Site improvements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22,798</w:t>
            </w:r>
          </w:p>
        </w:tc>
        <w:tc>
          <w:tcPr>
            <w:tcW w:w="5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22,233</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565</w:t>
            </w:r>
          </w:p>
        </w:tc>
      </w:tr>
      <w:tr>
        <w:trPr>
          <w:trHeight w:val="33"/>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Sustaining</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7"/>
        </w:trPr>
        <w:tc>
          <w:tcPr>
            <w:tcW w:w="7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26,079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7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net cash flows used for financing activities in the six months ended June 30, 2017 and 2016 includes the impact from our continued practice of distributing excess cash to our member and ultimately other subsidiaries of CCIC. See note 4 to our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Secured Notes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our 2016 Form 10-K for a discussion of the 2012 Secured Notes, debt restrictions, and disclosures about market risk. There are no financial maintenance covenants in the 2012 Secured Notes. We are currently not restricted in our ability to incur additional indebtedness or distribute cash to affiliates or issue dividends to our parent.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2017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2016 are described in </w:t>
      </w:r>
      <w:r>
        <w:rPr>
          <w:rFonts w:ascii="Times New Roman" w:cs="Times New Roman" w:eastAsia="Times New Roman" w:hAnsi="Times New Roman"/>
          <w:sz w:val="18"/>
          <w:szCs w:val="18"/>
          <w:i w:val="1"/>
          <w:iCs w:val="1"/>
          <w:color w:val="auto"/>
        </w:rPr>
        <w:t>"Item 7. MD&amp;A—Accounting and Reporting Matters"</w:t>
      </w:r>
      <w:r>
        <w:rPr>
          <w:rFonts w:ascii="Times New Roman" w:cs="Times New Roman" w:eastAsia="Times New Roman" w:hAnsi="Times New Roman"/>
          <w:sz w:val="18"/>
          <w:szCs w:val="18"/>
          <w:color w:val="auto"/>
        </w:rPr>
        <w:t xml:space="preserve"> and in note 2 in our 2016 Form 10-K. The critical accounting policies and estimates for the first six months of 2017 have not changed from the critical accounting policies for the year ended December 31, 2016.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24" w:right="239" w:bottom="1440" w:gutter="0" w:footer="0" w:header="0"/>
        </w:sectPr>
      </w:pPr>
    </w:p>
    <w:bookmarkStart w:id="15" w:name="page16"/>
    <w:bookmarkEnd w:id="1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There are no material changes to the risk factors discussed in </w:t>
      </w:r>
      <w:r>
        <w:rPr>
          <w:rFonts w:ascii="Times New Roman" w:cs="Times New Roman" w:eastAsia="Times New Roman" w:hAnsi="Times New Roman"/>
          <w:sz w:val="18"/>
          <w:szCs w:val="18"/>
          <w:i w:val="1"/>
          <w:iCs w:val="1"/>
          <w:color w:val="auto"/>
        </w:rPr>
        <w:t>"Item 1A—Risk Factors"</w:t>
      </w:r>
      <w:r>
        <w:rPr>
          <w:rFonts w:ascii="Times New Roman" w:cs="Times New Roman" w:eastAsia="Times New Roman" w:hAnsi="Times New Roman"/>
          <w:sz w:val="18"/>
          <w:szCs w:val="18"/>
          <w:color w:val="auto"/>
        </w:rPr>
        <w:t xml:space="preserve"> in our 2016 Form 10-K.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71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1">
              <w:r>
                <w:rPr>
                  <w:rFonts w:ascii="Times New Roman" w:cs="Times New Roman" w:eastAsia="Times New Roman" w:hAnsi="Times New Roman"/>
                  <w:sz w:val="18"/>
                  <w:szCs w:val="18"/>
                  <w:color w:val="0000EE"/>
                  <w:w w:val="99"/>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Certification of Chief Financial Officer pursuant to Section 302 of Sarbanes-Oxley Act of 2002</w:t>
              </w:r>
            </w:hyperlink>
          </w:p>
        </w:tc>
        <w:tc>
          <w:tcPr>
            <w:tcW w:w="40" w:type="dxa"/>
            <w:vAlign w:val="bottom"/>
            <w:tcBorders>
              <w:top w:val="single" w:sz="8" w:color="0000EE"/>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Certification of Chief Executive Officer and Chief Financial Officer pursuant to Section 906 of Sarbanes-Oxley Act of 2002</w:t>
              </w:r>
            </w:hyperlink>
          </w:p>
        </w:tc>
      </w:tr>
    </w:tbl>
    <w:p>
      <w:pPr>
        <w:spacing w:after="0" w:line="184" w:lineRule="exact"/>
        <w:rPr>
          <w:sz w:val="20"/>
          <w:szCs w:val="20"/>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17"/>
          <w:szCs w:val="17"/>
          <w:color w:val="auto"/>
        </w:rPr>
        <w:t>XBRL Instance Document</w:t>
      </w:r>
    </w:p>
    <w:p>
      <w:pPr>
        <w:spacing w:after="0" w:line="184" w:lineRule="exact"/>
        <w:rPr>
          <w:rFonts w:ascii="Times New Roman" w:cs="Times New Roman" w:eastAsia="Times New Roman" w:hAnsi="Times New Roman"/>
          <w:sz w:val="18"/>
          <w:szCs w:val="18"/>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17"/>
          <w:szCs w:val="17"/>
          <w:color w:val="auto"/>
        </w:rPr>
        <w:t>XBRL Taxonomy Extension Schema Document</w:t>
      </w:r>
    </w:p>
    <w:p>
      <w:pPr>
        <w:spacing w:after="0" w:line="184" w:lineRule="exact"/>
        <w:rPr>
          <w:rFonts w:ascii="Times New Roman" w:cs="Times New Roman" w:eastAsia="Times New Roman" w:hAnsi="Times New Roman"/>
          <w:sz w:val="18"/>
          <w:szCs w:val="18"/>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17"/>
          <w:szCs w:val="17"/>
          <w:color w:val="auto"/>
        </w:rPr>
        <w:t>XBRL Taxonomy Extension Definition Linkbase Document</w:t>
      </w:r>
    </w:p>
    <w:p>
      <w:pPr>
        <w:spacing w:after="0" w:line="184" w:lineRule="exact"/>
        <w:rPr>
          <w:rFonts w:ascii="Times New Roman" w:cs="Times New Roman" w:eastAsia="Times New Roman" w:hAnsi="Times New Roman"/>
          <w:sz w:val="18"/>
          <w:szCs w:val="18"/>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17"/>
          <w:szCs w:val="17"/>
          <w:color w:val="auto"/>
        </w:rPr>
        <w:t>XBRL Taxonomy Extension Calculation Linkbase Document</w:t>
      </w:r>
    </w:p>
    <w:p>
      <w:pPr>
        <w:spacing w:after="0" w:line="184" w:lineRule="exact"/>
        <w:rPr>
          <w:rFonts w:ascii="Times New Roman" w:cs="Times New Roman" w:eastAsia="Times New Roman" w:hAnsi="Times New Roman"/>
          <w:sz w:val="18"/>
          <w:szCs w:val="18"/>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17"/>
          <w:szCs w:val="17"/>
          <w:color w:val="auto"/>
        </w:rPr>
        <w:t>XBRL Taxonomy Extension Label Linkbase Document</w:t>
      </w:r>
    </w:p>
    <w:p>
      <w:pPr>
        <w:spacing w:after="0" w:line="184" w:lineRule="exact"/>
        <w:rPr>
          <w:rFonts w:ascii="Times New Roman" w:cs="Times New Roman" w:eastAsia="Times New Roman" w:hAnsi="Times New Roman"/>
          <w:sz w:val="18"/>
          <w:szCs w:val="18"/>
          <w:color w:val="auto"/>
        </w:rPr>
      </w:pPr>
    </w:p>
    <w:p>
      <w:pPr>
        <w:ind w:left="500" w:hanging="307"/>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17"/>
          <w:szCs w:val="17"/>
          <w:color w:val="auto"/>
        </w:rPr>
        <w:t>XBRL Taxonomy Extension Presentation Linkbase Document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0"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Senior Vice President</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and Chief Financial Officer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18" w:lineRule="exact"/>
        <w:rPr>
          <w:sz w:val="20"/>
          <w:szCs w:val="20"/>
          <w:color w:val="auto"/>
        </w:rPr>
      </w:pPr>
    </w:p>
    <w:p>
      <w:pPr>
        <w:ind w:left="1240"/>
        <w:spacing w:after="0"/>
        <w:tabs>
          <w:tab w:leader="none" w:pos="5900" w:val="left"/>
          <w:tab w:leader="none" w:pos="750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40"/>
          </w:cols>
          <w:pgMar w:left="240" w:top="57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34290</wp:posOffset>
            </wp:positionV>
            <wp:extent cx="3095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340"/>
          </w:cols>
          <w:pgMar w:left="240" w:top="57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CC Holdings GS V LLC, a Delaware Corporation (“Company”), for the period ending June 30, 2017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7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June 30, 2017 (the last date of the period covered by the Report).</w:t>
      </w:r>
    </w:p>
    <w:p>
      <w:pPr>
        <w:spacing w:after="0" w:line="2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August 7, 2017</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August 7, 2017</w:t>
      </w:r>
    </w:p>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2)"/>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Archives/edgar/data/1574211/000119312513158983/d519395dex31.htm" TargetMode="External"/><Relationship Id="rId12"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2019-12-29T05:35:07Z</dcterms:created>
  <dcterms:modified xsi:type="dcterms:W3CDTF">2019-12-29T05:35:07Z</dcterms:modified>
</cp:coreProperties>
</file>