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491490</wp:posOffset>
            </wp:positionV>
            <wp:extent cx="69608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____________________________________</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ectPr>
          <w:pgSz w:w="11900" w:h="16838" w:orient="portrait"/>
          <w:cols w:equalWidth="0" w:num="1">
            <w:col w:w="11240"/>
          </w:cols>
          <w:pgMar w:left="320" w:top="1160" w:right="339" w:bottom="1440" w:gutter="0" w:footer="0" w:header="0"/>
        </w:sectPr>
      </w:pPr>
    </w:p>
    <w:p>
      <w:pPr>
        <w:spacing w:after="0" w:line="192" w:lineRule="exact"/>
        <w:rPr>
          <w:sz w:val="24"/>
          <w:szCs w:val="24"/>
          <w:color w:val="auto"/>
        </w:rPr>
      </w:pPr>
    </w:p>
    <w:p>
      <w:pPr>
        <w:ind w:left="1100"/>
        <w:spacing w:after="0" w:line="191" w:lineRule="exact"/>
        <w:rPr>
          <w:sz w:val="20"/>
          <w:szCs w:val="20"/>
          <w:color w:val="auto"/>
        </w:rPr>
      </w:pP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110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ind w:left="3260"/>
        <w:spacing w:after="0"/>
        <w:rPr>
          <w:sz w:val="20"/>
          <w:szCs w:val="20"/>
          <w:color w:val="auto"/>
        </w:rPr>
      </w:pPr>
      <w:r>
        <w:rPr>
          <w:rFonts w:ascii="Arial" w:cs="Arial" w:eastAsia="Arial" w:hAnsi="Arial"/>
          <w:sz w:val="11"/>
          <w:szCs w:val="11"/>
          <w:color w:val="auto"/>
        </w:rPr>
        <w:t>___________________________________</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08" w:lineRule="exact"/>
        <w:rPr>
          <w:sz w:val="24"/>
          <w:szCs w:val="24"/>
          <w:color w:val="auto"/>
        </w:rPr>
      </w:pPr>
    </w:p>
    <w:p>
      <w:pPr>
        <w:jc w:val="center"/>
        <w:ind w:right="1420"/>
        <w:spacing w:after="0"/>
        <w:rPr>
          <w:sz w:val="20"/>
          <w:szCs w:val="20"/>
          <w:color w:val="auto"/>
        </w:rPr>
      </w:pPr>
      <w:r>
        <w:rPr>
          <w:rFonts w:ascii="Arial" w:cs="Arial" w:eastAsia="Arial" w:hAnsi="Arial"/>
          <w:sz w:val="14"/>
          <w:szCs w:val="14"/>
          <w:color w:val="auto"/>
        </w:rPr>
        <w:t>For the quarterly period ended June 30, 2021</w:t>
      </w:r>
    </w:p>
    <w:p>
      <w:pPr>
        <w:spacing w:after="0" w:line="42" w:lineRule="exact"/>
        <w:rPr>
          <w:sz w:val="24"/>
          <w:szCs w:val="24"/>
          <w:color w:val="auto"/>
        </w:rPr>
      </w:pPr>
    </w:p>
    <w:p>
      <w:pPr>
        <w:jc w:val="center"/>
        <w:ind w:right="1420"/>
        <w:spacing w:after="0"/>
        <w:rPr>
          <w:sz w:val="20"/>
          <w:szCs w:val="20"/>
          <w:color w:val="auto"/>
        </w:rPr>
      </w:pPr>
      <w:r>
        <w:rPr>
          <w:rFonts w:ascii="Arial" w:cs="Arial" w:eastAsia="Arial" w:hAnsi="Arial"/>
          <w:sz w:val="14"/>
          <w:szCs w:val="14"/>
          <w:color w:val="auto"/>
        </w:rPr>
        <w:t>OR</w:t>
      </w:r>
    </w:p>
    <w:p>
      <w:pPr>
        <w:spacing w:after="0" w:line="1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94" w:lineRule="exact"/>
        <w:rPr>
          <w:sz w:val="24"/>
          <w:szCs w:val="24"/>
          <w:color w:val="auto"/>
        </w:rPr>
      </w:pPr>
    </w:p>
    <w:p>
      <w:pPr>
        <w:ind w:left="2960"/>
        <w:spacing w:after="0"/>
        <w:tabs>
          <w:tab w:leader="none" w:pos="4840" w:val="left"/>
        </w:tabs>
        <w:rPr>
          <w:sz w:val="20"/>
          <w:szCs w:val="20"/>
          <w:color w:val="auto"/>
        </w:rPr>
      </w:pPr>
      <w:r>
        <w:rPr>
          <w:rFonts w:ascii="Arial" w:cs="Arial" w:eastAsia="Arial" w:hAnsi="Arial"/>
          <w:sz w:val="14"/>
          <w:szCs w:val="14"/>
          <w:color w:val="auto"/>
        </w:rPr>
        <w:t>For the transition period</w:t>
      </w:r>
      <w:r>
        <w:rPr>
          <w:sz w:val="20"/>
          <w:szCs w:val="20"/>
          <w:color w:val="auto"/>
        </w:rPr>
        <w:tab/>
      </w:r>
      <w:r>
        <w:rPr>
          <w:rFonts w:ascii="Arial" w:cs="Arial" w:eastAsia="Arial" w:hAnsi="Arial"/>
          <w:sz w:val="14"/>
          <w:szCs w:val="14"/>
          <w:color w:val="auto"/>
        </w:rPr>
        <w:t>to</w:t>
      </w:r>
    </w:p>
    <w:p>
      <w:pPr>
        <w:spacing w:after="0" w:line="109"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Commission File Number 333-187970</w:t>
      </w:r>
    </w:p>
    <w:p>
      <w:pPr>
        <w:spacing w:after="0" w:line="18" w:lineRule="exact"/>
        <w:rPr>
          <w:sz w:val="24"/>
          <w:szCs w:val="24"/>
          <w:color w:val="auto"/>
        </w:rPr>
      </w:pPr>
    </w:p>
    <w:p>
      <w:pPr>
        <w:sectPr>
          <w:pgSz w:w="11900" w:h="16838" w:orient="portrait"/>
          <w:cols w:equalWidth="0" w:num="2">
            <w:col w:w="1300" w:space="120"/>
            <w:col w:w="9820"/>
          </w:cols>
          <w:pgMar w:left="320" w:top="1160" w:right="339" w:bottom="1440" w:gutter="0" w:footer="0" w:header="0"/>
          <w:type w:val="continuous"/>
        </w:sectPr>
      </w:pPr>
    </w:p>
    <w:p>
      <w:pPr>
        <w:ind w:left="4660"/>
        <w:spacing w:after="0"/>
        <w:rPr>
          <w:sz w:val="20"/>
          <w:szCs w:val="20"/>
          <w:color w:val="auto"/>
        </w:rPr>
      </w:pPr>
      <w:r>
        <w:rPr>
          <w:rFonts w:ascii="Arial" w:cs="Arial" w:eastAsia="Arial" w:hAnsi="Arial"/>
          <w:sz w:val="11"/>
          <w:szCs w:val="11"/>
          <w:color w:val="auto"/>
        </w:rPr>
        <w:t>____________________________________</w:t>
      </w:r>
    </w:p>
    <w:p>
      <w:pPr>
        <w:jc w:val="center"/>
        <w:spacing w:after="0" w:line="232" w:lineRule="auto"/>
        <w:rPr>
          <w:sz w:val="20"/>
          <w:szCs w:val="20"/>
          <w:color w:val="auto"/>
        </w:rPr>
      </w:pPr>
      <w:r>
        <w:rPr>
          <w:rFonts w:ascii="Arial" w:cs="Arial" w:eastAsia="Arial" w:hAnsi="Arial"/>
          <w:sz w:val="43"/>
          <w:szCs w:val="43"/>
          <w:b w:val="1"/>
          <w:bCs w:val="1"/>
          <w:color w:val="auto"/>
        </w:rPr>
        <w:t>CC HOLDINGS GS V LLC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65" w:lineRule="exact"/>
        <w:rPr>
          <w:sz w:val="24"/>
          <w:szCs w:val="24"/>
          <w:color w:val="auto"/>
        </w:rPr>
      </w:pPr>
    </w:p>
    <w:tbl>
      <w:tblPr>
        <w:tblLayout w:type="fixed"/>
        <w:tblInd w:w="2420" w:type="dxa"/>
        <w:tblCellMar>
          <w:top w:w="0" w:type="dxa"/>
          <w:left w:w="0" w:type="dxa"/>
          <w:bottom w:w="0" w:type="dxa"/>
          <w:right w:w="0" w:type="dxa"/>
        </w:tblCellMar>
      </w:tblPr>
      <w:tr>
        <w:trPr>
          <w:trHeight w:val="210"/>
        </w:trPr>
        <w:tc>
          <w:tcPr>
            <w:tcW w:w="3400" w:type="dxa"/>
            <w:vAlign w:val="bottom"/>
          </w:tcPr>
          <w:p>
            <w:pPr>
              <w:jc w:val="center"/>
              <w:ind w:right="1571"/>
              <w:spacing w:after="0"/>
              <w:rPr>
                <w:sz w:val="20"/>
                <w:szCs w:val="20"/>
                <w:color w:val="auto"/>
              </w:rPr>
            </w:pPr>
            <w:r>
              <w:rPr>
                <w:rFonts w:ascii="Arial" w:cs="Arial" w:eastAsia="Arial" w:hAnsi="Arial"/>
                <w:sz w:val="16"/>
                <w:szCs w:val="16"/>
                <w:b w:val="1"/>
                <w:bCs w:val="1"/>
                <w:color w:val="auto"/>
                <w:w w:val="91"/>
              </w:rPr>
              <w:t>Delaware</w:t>
            </w:r>
          </w:p>
        </w:tc>
        <w:tc>
          <w:tcPr>
            <w:tcW w:w="2600" w:type="dxa"/>
            <w:vAlign w:val="bottom"/>
          </w:tcPr>
          <w:p>
            <w:pPr>
              <w:jc w:val="center"/>
              <w:ind w:left="1551"/>
              <w:spacing w:after="0"/>
              <w:rPr>
                <w:sz w:val="20"/>
                <w:szCs w:val="20"/>
                <w:color w:val="auto"/>
              </w:rPr>
            </w:pPr>
            <w:r>
              <w:rPr>
                <w:rFonts w:ascii="Arial" w:cs="Arial" w:eastAsia="Arial" w:hAnsi="Arial"/>
                <w:sz w:val="16"/>
                <w:szCs w:val="16"/>
                <w:b w:val="1"/>
                <w:bCs w:val="1"/>
                <w:color w:val="auto"/>
                <w:w w:val="91"/>
              </w:rPr>
              <w:t>20-4300339</w:t>
            </w:r>
          </w:p>
        </w:tc>
      </w:tr>
      <w:tr>
        <w:trPr>
          <w:trHeight w:val="177"/>
        </w:trPr>
        <w:tc>
          <w:tcPr>
            <w:tcW w:w="3400" w:type="dxa"/>
            <w:vAlign w:val="bottom"/>
          </w:tcPr>
          <w:p>
            <w:pPr>
              <w:jc w:val="center"/>
              <w:ind w:right="1571"/>
              <w:spacing w:after="0"/>
              <w:rPr>
                <w:sz w:val="20"/>
                <w:szCs w:val="20"/>
                <w:color w:val="auto"/>
              </w:rPr>
            </w:pPr>
            <w:r>
              <w:rPr>
                <w:rFonts w:ascii="Arial" w:cs="Arial" w:eastAsia="Arial" w:hAnsi="Arial"/>
                <w:sz w:val="13"/>
                <w:szCs w:val="13"/>
                <w:b w:val="1"/>
                <w:bCs w:val="1"/>
                <w:color w:val="auto"/>
                <w:w w:val="88"/>
              </w:rPr>
              <w:t>(State or other jurisdiction</w:t>
            </w:r>
          </w:p>
        </w:tc>
        <w:tc>
          <w:tcPr>
            <w:tcW w:w="2600" w:type="dxa"/>
            <w:vAlign w:val="bottom"/>
          </w:tcPr>
          <w:p>
            <w:pPr>
              <w:jc w:val="center"/>
              <w:ind w:left="1551"/>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3400" w:type="dxa"/>
            <w:vAlign w:val="bottom"/>
          </w:tcPr>
          <w:p>
            <w:pPr>
              <w:jc w:val="center"/>
              <w:ind w:right="1551"/>
              <w:spacing w:after="0"/>
              <w:rPr>
                <w:sz w:val="20"/>
                <w:szCs w:val="20"/>
                <w:color w:val="auto"/>
              </w:rPr>
            </w:pPr>
            <w:r>
              <w:rPr>
                <w:rFonts w:ascii="Arial" w:cs="Arial" w:eastAsia="Arial" w:hAnsi="Arial"/>
                <w:sz w:val="13"/>
                <w:szCs w:val="13"/>
                <w:b w:val="1"/>
                <w:bCs w:val="1"/>
                <w:color w:val="auto"/>
                <w:w w:val="88"/>
              </w:rPr>
              <w:t>of incorporation or organization)</w:t>
            </w:r>
          </w:p>
        </w:tc>
        <w:tc>
          <w:tcPr>
            <w:tcW w:w="2600" w:type="dxa"/>
            <w:vAlign w:val="bottom"/>
          </w:tcPr>
          <w:p>
            <w:pPr>
              <w:jc w:val="center"/>
              <w:ind w:left="1551"/>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2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8020 Katy Freeway, Houston, Texas 77024-1908</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executives office) (Zip Code)</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(713) 570-3000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1220 Augusta Drive, Suite 600, Houston, Texas 77057-2261</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48"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____________________________________</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 None.</w:t>
      </w:r>
    </w:p>
    <w:p>
      <w:pPr>
        <w:spacing w:after="0" w:line="94" w:lineRule="exact"/>
        <w:rPr>
          <w:sz w:val="24"/>
          <w:szCs w:val="24"/>
          <w:color w:val="auto"/>
        </w:rPr>
      </w:pPr>
    </w:p>
    <w:tbl>
      <w:tblPr>
        <w:tblLayout w:type="fixed"/>
        <w:tblInd w:w="30" w:type="dxa"/>
        <w:tblCellMar>
          <w:top w:w="0" w:type="dxa"/>
          <w:left w:w="0" w:type="dxa"/>
          <w:bottom w:w="0" w:type="dxa"/>
          <w:right w:w="0" w:type="dxa"/>
        </w:tblCellMar>
      </w:tblPr>
      <w:tr>
        <w:trPr>
          <w:trHeight w:val="201"/>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0"/>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r>
    </w:tbl>
    <w:p>
      <w:pPr>
        <w:spacing w:after="0" w:line="184" w:lineRule="exact"/>
        <w:rPr>
          <w:sz w:val="24"/>
          <w:szCs w:val="24"/>
          <w:color w:val="auto"/>
        </w:rPr>
      </w:pPr>
    </w:p>
    <w:p>
      <w:pPr>
        <w:jc w:val="both"/>
        <w:ind w:right="20"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4"/>
          <w:szCs w:val="14"/>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77" w:lineRule="exact"/>
        <w:rPr>
          <w:sz w:val="24"/>
          <w:szCs w:val="24"/>
          <w:color w:val="auto"/>
        </w:rPr>
      </w:pPr>
    </w:p>
    <w:p>
      <w:pPr>
        <w:jc w:val="both"/>
        <w:ind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jc w:val="both"/>
        <w:ind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160"/>
              <w:spacing w:after="0"/>
              <w:rPr>
                <w:sz w:val="20"/>
                <w:szCs w:val="20"/>
                <w:color w:val="auto"/>
              </w:rPr>
            </w:pPr>
            <w:r>
              <w:rPr>
                <w:rFonts w:ascii="Arial" w:cs="Arial" w:eastAsia="Arial" w:hAnsi="Arial"/>
                <w:sz w:val="14"/>
                <w:szCs w:val="14"/>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29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160"/>
              <w:spacing w:after="0"/>
              <w:rPr>
                <w:sz w:val="20"/>
                <w:szCs w:val="20"/>
                <w:color w:val="auto"/>
              </w:rPr>
            </w:pPr>
            <w:r>
              <w:rPr>
                <w:rFonts w:ascii="Arial" w:cs="Arial" w:eastAsia="Arial" w:hAnsi="Arial"/>
                <w:sz w:val="14"/>
                <w:szCs w:val="14"/>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560" w:type="dxa"/>
            <w:vAlign w:val="bottom"/>
          </w:tcPr>
          <w:p>
            <w:pPr>
              <w:ind w:left="2160"/>
              <w:spacing w:after="0"/>
              <w:rPr>
                <w:sz w:val="20"/>
                <w:szCs w:val="20"/>
                <w:color w:val="auto"/>
              </w:rPr>
            </w:pPr>
            <w:r>
              <w:rPr>
                <w:rFonts w:ascii="Arial" w:cs="Arial" w:eastAsia="Arial" w:hAnsi="Arial"/>
                <w:sz w:val="14"/>
                <w:szCs w:val="14"/>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ind w:left="380" w:right="860"/>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94" w:lineRule="exact"/>
        <w:rPr>
          <w:sz w:val="24"/>
          <w:szCs w:val="24"/>
          <w:color w:val="auto"/>
        </w:rPr>
      </w:pPr>
    </w:p>
    <w:p>
      <w:pPr>
        <w:ind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4" w:lineRule="exact"/>
        <w:rPr>
          <w:sz w:val="24"/>
          <w:szCs w:val="24"/>
          <w:color w:val="auto"/>
        </w:rPr>
      </w:pPr>
    </w:p>
    <w:p>
      <w:pPr>
        <w:ind w:left="340" w:right="3240"/>
        <w:spacing w:after="0" w:line="26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r>
        <w:rPr>
          <w:rFonts w:ascii="Arial" w:cs="Arial" w:eastAsia="Arial" w:hAnsi="Arial"/>
          <w:sz w:val="13"/>
          <w:szCs w:val="13"/>
          <w:color w:val="auto"/>
        </w:rPr>
        <w:t xml:space="preserve"> As of June 30, 2021, the only member of the registrant is a wholly-owned indirect subsidiary of Crown Castle International Corp.</w:t>
      </w:r>
    </w:p>
    <w:p>
      <w:pPr>
        <w:spacing w:after="0" w:line="88"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The registrant is a wholly-owned indirect subsidiary of Crown Castle International Corp. and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980" w:type="dxa"/>
            <w:vAlign w:val="bottom"/>
            <w:gridSpan w:val="7"/>
          </w:tcPr>
          <w:p>
            <w:pPr>
              <w:spacing w:after="0" w:line="190" w:lineRule="exact"/>
              <w:rPr>
                <w:sz w:val="20"/>
                <w:szCs w:val="20"/>
                <w:color w:val="auto"/>
              </w:rPr>
            </w:pPr>
            <w:r>
              <w:rPr>
                <w:rFonts w:ascii="Arial" w:cs="Arial" w:eastAsia="Arial" w:hAnsi="Arial"/>
                <w:sz w:val="18"/>
                <w:szCs w:val="18"/>
                <w:color w:val="auto"/>
                <w:w w:val="98"/>
              </w:rPr>
              <w:t>PART I—FINANCIAL INFORMATION</w:t>
            </w:r>
          </w:p>
        </w:tc>
        <w:tc>
          <w:tcPr>
            <w:tcW w:w="7080" w:type="dxa"/>
            <w:vAlign w:val="bottom"/>
            <w:gridSpan w:val="10"/>
          </w:tcPr>
          <w:p>
            <w:pPr>
              <w:spacing w:after="0"/>
              <w:rPr>
                <w:sz w:val="16"/>
                <w:szCs w:val="16"/>
                <w:color w:val="auto"/>
              </w:rPr>
            </w:pPr>
          </w:p>
        </w:tc>
        <w:tc>
          <w:tcPr>
            <w:tcW w:w="1100" w:type="dxa"/>
            <w:vAlign w:val="bottom"/>
            <w:gridSpan w:val="3"/>
          </w:tcPr>
          <w:p>
            <w:pPr>
              <w:jc w:val="right"/>
              <w:spacing w:after="0" w:line="190"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48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11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80" w:type="dxa"/>
            <w:vAlign w:val="bottom"/>
            <w:gridSpan w:val="14"/>
          </w:tcPr>
          <w:p>
            <w:pPr>
              <w:spacing w:after="0"/>
              <w:rPr>
                <w:sz w:val="20"/>
                <w:szCs w:val="20"/>
                <w:color w:val="auto"/>
              </w:rPr>
            </w:pPr>
            <w:r>
              <w:rPr>
                <w:rFonts w:ascii="Arial" w:cs="Arial" w:eastAsia="Arial" w:hAnsi="Arial"/>
                <w:sz w:val="18"/>
                <w:szCs w:val="18"/>
                <w:color w:val="auto"/>
              </w:rPr>
              <w:t>CONDENSED CONSOLIDATED BALANCE SHEET (Unaudited)</w:t>
            </w:r>
          </w:p>
        </w:tc>
        <w:tc>
          <w:tcPr>
            <w:tcW w:w="11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20" w:type="dxa"/>
            <w:vAlign w:val="bottom"/>
            <w:gridSpan w:val="9"/>
          </w:tcPr>
          <w:p>
            <w:pPr>
              <w:spacing w:after="0"/>
              <w:rPr>
                <w:sz w:val="20"/>
                <w:szCs w:val="20"/>
                <w:color w:val="auto"/>
              </w:rPr>
            </w:pPr>
            <w:r>
              <w:rPr>
                <w:rFonts w:ascii="Arial" w:cs="Arial" w:eastAsia="Arial" w:hAnsi="Arial"/>
                <w:sz w:val="18"/>
                <w:szCs w:val="18"/>
                <w:color w:val="auto"/>
                <w:w w:val="93"/>
              </w:rPr>
              <w:t>CONDENSED CONSOLIDATED STATEMENT OF OPERATIONS (Unaudited)</w:t>
            </w:r>
          </w:p>
        </w:tc>
        <w:tc>
          <w:tcPr>
            <w:tcW w:w="2560" w:type="dxa"/>
            <w:vAlign w:val="bottom"/>
            <w:gridSpan w:val="5"/>
          </w:tcPr>
          <w:p>
            <w:pPr>
              <w:spacing w:after="0"/>
              <w:rPr>
                <w:sz w:val="18"/>
                <w:szCs w:val="18"/>
                <w:color w:val="auto"/>
              </w:rPr>
            </w:pPr>
          </w:p>
        </w:tc>
        <w:tc>
          <w:tcPr>
            <w:tcW w:w="11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3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60" w:type="dxa"/>
            <w:vAlign w:val="bottom"/>
            <w:gridSpan w:val="10"/>
          </w:tcPr>
          <w:p>
            <w:pPr>
              <w:spacing w:after="0"/>
              <w:rPr>
                <w:sz w:val="20"/>
                <w:szCs w:val="20"/>
                <w:color w:val="auto"/>
              </w:rPr>
            </w:pPr>
            <w:r>
              <w:rPr>
                <w:rFonts w:ascii="Arial" w:cs="Arial" w:eastAsia="Arial" w:hAnsi="Arial"/>
                <w:sz w:val="18"/>
                <w:szCs w:val="18"/>
                <w:color w:val="auto"/>
                <w:w w:val="94"/>
              </w:rPr>
              <w:t>CONDENSED CONSOLIDATED STATEMENT OF CASH FLOWS (Unaudited)</w:t>
            </w:r>
          </w:p>
        </w:tc>
        <w:tc>
          <w:tcPr>
            <w:tcW w:w="2520" w:type="dxa"/>
            <w:vAlign w:val="bottom"/>
            <w:gridSpan w:val="4"/>
          </w:tcPr>
          <w:p>
            <w:pPr>
              <w:spacing w:after="0"/>
              <w:rPr>
                <w:sz w:val="18"/>
                <w:szCs w:val="18"/>
                <w:color w:val="auto"/>
              </w:rPr>
            </w:pPr>
          </w:p>
        </w:tc>
        <w:tc>
          <w:tcPr>
            <w:tcW w:w="11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36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80" w:type="dxa"/>
            <w:vAlign w:val="bottom"/>
            <w:gridSpan w:val="12"/>
          </w:tcPr>
          <w:p>
            <w:pPr>
              <w:spacing w:after="0"/>
              <w:rPr>
                <w:sz w:val="20"/>
                <w:szCs w:val="20"/>
                <w:color w:val="auto"/>
              </w:rPr>
            </w:pPr>
            <w:r>
              <w:rPr>
                <w:rFonts w:ascii="Arial" w:cs="Arial" w:eastAsia="Arial" w:hAnsi="Arial"/>
                <w:sz w:val="18"/>
                <w:szCs w:val="18"/>
                <w:color w:val="auto"/>
                <w:w w:val="95"/>
              </w:rPr>
              <w:t>CONDENSED CONSOLIDATED STATEMENT OF CHANGES IN MEMBER'S EQUITY (Unaudited)</w:t>
            </w:r>
          </w:p>
        </w:tc>
        <w:tc>
          <w:tcPr>
            <w:tcW w:w="900" w:type="dxa"/>
            <w:vAlign w:val="bottom"/>
            <w:gridSpan w:val="2"/>
          </w:tcPr>
          <w:p>
            <w:pPr>
              <w:spacing w:after="0"/>
              <w:rPr>
                <w:sz w:val="18"/>
                <w:szCs w:val="18"/>
                <w:color w:val="auto"/>
              </w:rPr>
            </w:pPr>
          </w:p>
        </w:tc>
        <w:tc>
          <w:tcPr>
            <w:tcW w:w="11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920" w:type="dxa"/>
            <w:vAlign w:val="bottom"/>
            <w:gridSpan w:val="4"/>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20" w:type="dxa"/>
            <w:vAlign w:val="bottom"/>
            <w:gridSpan w:val="11"/>
          </w:tcPr>
          <w:p>
            <w:pPr>
              <w:spacing w:after="0"/>
              <w:rPr>
                <w:sz w:val="20"/>
                <w:szCs w:val="20"/>
                <w:color w:val="auto"/>
              </w:rPr>
            </w:pPr>
            <w:r>
              <w:rPr>
                <w:rFonts w:ascii="Arial" w:cs="Arial" w:eastAsia="Arial" w:hAnsi="Arial"/>
                <w:sz w:val="18"/>
                <w:szCs w:val="18"/>
                <w:color w:val="auto"/>
                <w:w w:val="95"/>
              </w:rPr>
              <w:t>NOTES TO CONDENSED CONSOLIDATED FINANCIAL STATEMENTS (Unaudited)</w:t>
            </w:r>
          </w:p>
        </w:tc>
        <w:tc>
          <w:tcPr>
            <w:tcW w:w="10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1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920" w:type="dxa"/>
            <w:vAlign w:val="bottom"/>
            <w:gridSpan w:val="4"/>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480" w:type="dxa"/>
            <w:vAlign w:val="bottom"/>
            <w:gridSpan w:val="14"/>
          </w:tcPr>
          <w:p>
            <w:pPr>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1100" w:type="dxa"/>
            <w:vAlign w:val="bottom"/>
            <w:gridSpan w:val="3"/>
            <w:vMerge w:val="restart"/>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8"/>
                <w:szCs w:val="18"/>
                <w:color w:val="auto"/>
                <w:w w:val="88"/>
              </w:rPr>
              <w:t>OPERATIONS</w:t>
            </w:r>
          </w:p>
        </w:tc>
        <w:tc>
          <w:tcPr>
            <w:tcW w:w="6660" w:type="dxa"/>
            <w:vAlign w:val="bottom"/>
            <w:tcBorders>
              <w:top w:val="single" w:sz="8" w:color="auto"/>
            </w:tcBorders>
            <w:gridSpan w:val="11"/>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3"/>
              </w:rPr>
              <w:t>CONTROLS AND PROCEDURES</w:t>
            </w:r>
          </w:p>
        </w:tc>
        <w:tc>
          <w:tcPr>
            <w:tcW w:w="5880" w:type="dxa"/>
            <w:vAlign w:val="bottom"/>
            <w:gridSpan w:val="7"/>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15</w:t>
              </w:r>
            </w:hyperlink>
          </w:p>
        </w:tc>
        <w:tc>
          <w:tcPr>
            <w:tcW w:w="0" w:type="dxa"/>
            <w:vAlign w:val="bottom"/>
          </w:tcPr>
          <w:p>
            <w:pPr>
              <w:spacing w:after="0"/>
              <w:rPr>
                <w:sz w:val="1"/>
                <w:szCs w:val="1"/>
                <w:color w:val="auto"/>
              </w:rPr>
            </w:pPr>
          </w:p>
        </w:tc>
      </w:tr>
      <w:tr>
        <w:trPr>
          <w:trHeight w:val="209"/>
        </w:trPr>
        <w:tc>
          <w:tcPr>
            <w:tcW w:w="10060" w:type="dxa"/>
            <w:vAlign w:val="bottom"/>
            <w:gridSpan w:val="17"/>
          </w:tcPr>
          <w:p>
            <w:pPr>
              <w:spacing w:after="0"/>
              <w:rPr>
                <w:sz w:val="20"/>
                <w:szCs w:val="20"/>
                <w:color w:val="auto"/>
              </w:rPr>
            </w:pPr>
            <w:r>
              <w:rPr>
                <w:rFonts w:ascii="Arial" w:cs="Arial" w:eastAsia="Arial" w:hAnsi="Arial"/>
                <w:sz w:val="18"/>
                <w:szCs w:val="18"/>
                <w:color w:val="auto"/>
              </w:rPr>
              <w:t>PART II—OTHER INFORMATION</w:t>
            </w:r>
          </w:p>
        </w:tc>
        <w:tc>
          <w:tcPr>
            <w:tcW w:w="110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4"/>
              </w:rPr>
              <w:t>LEGAL PROCEEDINGS</w:t>
            </w:r>
          </w:p>
        </w:tc>
        <w:tc>
          <w:tcPr>
            <w:tcW w:w="6600" w:type="dxa"/>
            <w:vAlign w:val="bottom"/>
            <w:gridSpan w:val="9"/>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16</w:t>
              </w:r>
            </w:hyperlink>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480" w:type="dxa"/>
            <w:vAlign w:val="bottom"/>
            <w:gridSpan w:val="14"/>
          </w:tcPr>
          <w:p>
            <w:pPr>
              <w:spacing w:after="0"/>
              <w:rPr>
                <w:sz w:val="20"/>
                <w:szCs w:val="20"/>
                <w:color w:val="auto"/>
              </w:rPr>
            </w:pPr>
            <w:r>
              <w:rPr>
                <w:rFonts w:ascii="Arial" w:cs="Arial" w:eastAsia="Arial" w:hAnsi="Arial"/>
                <w:sz w:val="18"/>
                <w:szCs w:val="18"/>
                <w:color w:val="auto"/>
              </w:rPr>
              <w:t>RISK FACTORS</w:t>
            </w:r>
          </w:p>
        </w:tc>
        <w:tc>
          <w:tcPr>
            <w:tcW w:w="110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7"/>
              </w:rPr>
              <w:t>EXHIBITS</w:t>
            </w:r>
          </w:p>
        </w:tc>
        <w:tc>
          <w:tcPr>
            <w:tcW w:w="420" w:type="dxa"/>
            <w:vAlign w:val="bottom"/>
            <w:tcBorders>
              <w:top w:val="single" w:sz="8" w:color="auto"/>
            </w:tcBorders>
            <w:gridSpan w:val="2"/>
          </w:tcPr>
          <w:p>
            <w:pPr>
              <w:spacing w:after="0"/>
              <w:rPr>
                <w:sz w:val="18"/>
                <w:szCs w:val="18"/>
                <w:color w:val="auto"/>
              </w:rPr>
            </w:pPr>
          </w:p>
        </w:tc>
        <w:tc>
          <w:tcPr>
            <w:tcW w:w="7240" w:type="dxa"/>
            <w:vAlign w:val="bottom"/>
            <w:gridSpan w:val="11"/>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16</w:t>
              </w:r>
            </w:hyperlink>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EXHIBIT INDEX</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9"/>
        </w:trPr>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2"/>
              </w:rPr>
              <w:t>SIGNATURES</w:t>
            </w: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17</w:t>
              </w:r>
            </w:hyperlink>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"target," "seek," "focus" and any variations of these words, and similar expressions are intended to identify forward-looking statements. Such statements include plans, projections and estimates contained in </w:t>
      </w:r>
      <w:r>
        <w:rPr>
          <w:rFonts w:ascii="Arial" w:cs="Arial" w:eastAsia="Arial" w:hAnsi="Arial"/>
          <w:sz w:val="16"/>
          <w:szCs w:val="16"/>
          <w:i w:val="1"/>
          <w:iCs w:val="1"/>
          <w:color w:val="auto"/>
        </w:rPr>
        <w:t>"Part I—Item 2. 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Results of Operations" </w:t>
      </w:r>
      <w:r>
        <w:rPr>
          <w:rFonts w:ascii="Arial" w:cs="Arial" w:eastAsia="Arial" w:hAnsi="Arial"/>
          <w:sz w:val="16"/>
          <w:szCs w:val="16"/>
          <w:color w:val="auto"/>
        </w:rPr>
        <w:t>("MD&amp;A") herein. Such forward-looking statements include (1) anticipated growth in the wireless industry and demand for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data, including factors driving such demand, (2) wireless carriers' focus on improving network quality and expanding capacity, (3) demand for our towers, including factors driving such demand, and the potential benefits that may be derived therefrom, (4) availability and adequacy of cash flows and liquidity,</w:t>
      </w:r>
    </w:p>
    <w:p>
      <w:pPr>
        <w:spacing w:after="0" w:line="1" w:lineRule="exact"/>
        <w:rPr>
          <w:sz w:val="20"/>
          <w:szCs w:val="20"/>
          <w:color w:val="auto"/>
        </w:rPr>
      </w:pPr>
    </w:p>
    <w:p>
      <w:pPr>
        <w:ind w:firstLine="8"/>
        <w:spacing w:after="0" w:line="260"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value which may be derived from our allocation of cash generated from our business, (6) debt maturities, (7) income taxes and (8) the potential impact of novel coronavirus (COVID-19) pandemic.</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of the Annual Report on Form 10-K for the fiscal year ended December 31, 2020 ("2020 Form 10-K") and other factors. Should one or more of these risks or uncertainties materialize, or should underlying assumptions prove incorrect, actual results may vary materially from those expected.</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filings with the SEC are available through the SEC website at www.sec.gov or through CCIC's investor relations website at investor.crowncastle.com. CCIC uses its investor relations website to disclose information about CCIC and us that may be deemed to be material. We encourage investors, the media and others interested to visit CCIC's investor relations website from time to time to review up-to-date information or to sign up for e-mail alerts to be notified when new or updated information is posted on the site.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used herein, the term "including," and any variation thereof, means "including without limitation." The use of the word "or" herein is not exclusive. Unless this 2021 Form 10-Q indicates otherwise or the context otherwise requires, the terms "we," "our," or "us" as used in this 2021 Form 10-Q refer to CC Holdings GS V LLC ("CCL") and its consolidated wholly owned subsidiaries (collectively, "Company"). The Company is a wholly owned subsidiary of Global Signal Operating Partnership, L.P. ("GSOP"), which is an indirect subsidiary of CCIC. Capitalized terms used but not defined in this 2021 Form 10-Q have the same meaning given to them in the 2020 Form 10-K.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2020</w:t>
            </w:r>
          </w:p>
        </w:tc>
      </w:tr>
      <w:tr>
        <w:trPr>
          <w:trHeight w:val="215"/>
        </w:trPr>
        <w:tc>
          <w:tcPr>
            <w:tcW w:w="8000" w:type="dxa"/>
            <w:vAlign w:val="bottom"/>
            <w:tcBorders>
              <w:top w:val="single" w:sz="8" w:color="CCEEFF"/>
            </w:tcBorders>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17,439</w:t>
            </w: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Receivables,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4,712</w:t>
            </w: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12,499</w:t>
            </w:r>
          </w:p>
        </w:tc>
      </w:tr>
      <w:tr>
        <w:trPr>
          <w:trHeight w:val="213"/>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Deferred site rental receivables and other current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42,759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38,136</w:t>
            </w:r>
          </w:p>
        </w:tc>
      </w:tr>
      <w:tr>
        <w:trPr>
          <w:trHeight w:val="213"/>
        </w:trPr>
        <w:tc>
          <w:tcPr>
            <w:tcW w:w="80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72,786</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Deferred site rental receivables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344,343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346,019</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$1,236,903 and $1,190,055, respectively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912,964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951,870</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1,172,869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1,166,726</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1,338,730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1,338,730</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508,433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565,274</w:t>
            </w: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w:t>
            </w:r>
          </w:p>
        </w:tc>
      </w:tr>
      <w:tr>
        <w:trPr>
          <w:trHeight w:val="212"/>
        </w:trPr>
        <w:tc>
          <w:tcPr>
            <w:tcW w:w="8000" w:type="dxa"/>
            <w:vAlign w:val="bottom"/>
          </w:tcPr>
          <w:p>
            <w:pPr>
              <w:ind w:left="56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4,371,167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4,443,032</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8000" w:type="dxa"/>
            <w:vAlign w:val="bottom"/>
          </w:tcPr>
          <w:p>
            <w:pPr>
              <w:ind w:left="296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1,814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1,515</w:t>
            </w: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8,126</w:t>
            </w: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Deferred revenues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74,622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71,427</w:t>
            </w: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accrued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6,107</w:t>
            </w: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Current portion of operating lease liabilities—third parties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40,953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40,825</w:t>
            </w: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operating lease liabilities—related parties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24,211</w:t>
            </w:r>
          </w:p>
        </w:tc>
      </w:tr>
      <w:tr>
        <w:trPr>
          <w:trHeight w:val="207"/>
        </w:trPr>
        <w:tc>
          <w:tcPr>
            <w:tcW w:w="8000" w:type="dxa"/>
            <w:vAlign w:val="bottom"/>
          </w:tcPr>
          <w:p>
            <w:pPr>
              <w:ind w:left="56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157,072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152,211</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997,507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996,815</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Operating lease liabilities—third parties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858,344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850,272</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liabilities—related parties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322,817</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162,261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183,966</w:t>
            </w:r>
          </w:p>
        </w:tc>
      </w:tr>
      <w:tr>
        <w:trPr>
          <w:trHeight w:val="213"/>
        </w:trPr>
        <w:tc>
          <w:tcPr>
            <w:tcW w:w="80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2,496,414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2,506,081</w:t>
            </w:r>
          </w:p>
        </w:tc>
      </w:tr>
      <w:tr>
        <w:trPr>
          <w:trHeight w:val="193"/>
        </w:trPr>
        <w:tc>
          <w:tcPr>
            <w:tcW w:w="8000" w:type="dxa"/>
            <w:vAlign w:val="bottom"/>
          </w:tcPr>
          <w:p>
            <w:pPr>
              <w:ind w:left="20"/>
              <w:spacing w:after="0"/>
              <w:rPr>
                <w:sz w:val="20"/>
                <w:szCs w:val="20"/>
                <w:color w:val="auto"/>
              </w:rPr>
            </w:pPr>
            <w:r>
              <w:rPr>
                <w:rFonts w:ascii="Arial" w:cs="Arial" w:eastAsia="Arial" w:hAnsi="Arial"/>
                <w:sz w:val="16"/>
                <w:szCs w:val="16"/>
                <w:color w:val="auto"/>
              </w:rPr>
              <w:t>Commitments and contingencies (note 7)</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Member's equity: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Member's equity</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1,874,753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1,936,951</w:t>
            </w: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earnings (deficit)</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member's equity</w:t>
            </w: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1,874,753</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1,936,951</w:t>
            </w:r>
          </w:p>
        </w:tc>
      </w:tr>
      <w:tr>
        <w:trPr>
          <w:trHeight w:val="237"/>
        </w:trPr>
        <w:tc>
          <w:tcPr>
            <w:tcW w:w="80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4,371,167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4,443,032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19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5400" w:type="dxa"/>
            <w:vAlign w:val="bottom"/>
          </w:tcPr>
          <w:p>
            <w:pPr>
              <w:ind w:left="360"/>
              <w:spacing w:after="0"/>
              <w:rPr>
                <w:sz w:val="20"/>
                <w:szCs w:val="20"/>
                <w:color w:val="auto"/>
              </w:rPr>
            </w:pPr>
            <w:r>
              <w:rPr>
                <w:rFonts w:ascii="Arial" w:cs="Arial" w:eastAsia="Arial" w:hAnsi="Arial"/>
                <w:sz w:val="16"/>
                <w:szCs w:val="16"/>
                <w:color w:val="auto"/>
              </w:rPr>
              <w:t>Revenues from tenant contracts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185,742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171,304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361,848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343,693</w:t>
            </w:r>
          </w:p>
        </w:tc>
      </w:tr>
      <w:tr>
        <w:trPr>
          <w:trHeight w:val="219"/>
        </w:trPr>
        <w:tc>
          <w:tcPr>
            <w:tcW w:w="54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28,821</w:t>
            </w:r>
          </w:p>
        </w:tc>
      </w:tr>
      <w:tr>
        <w:trPr>
          <w:trHeight w:val="207"/>
        </w:trPr>
        <w:tc>
          <w:tcPr>
            <w:tcW w:w="5400" w:type="dxa"/>
            <w:vAlign w:val="bottom"/>
          </w:tcPr>
          <w:p>
            <w:pPr>
              <w:ind w:left="560"/>
              <w:spacing w:after="0"/>
              <w:rPr>
                <w:sz w:val="20"/>
                <w:szCs w:val="20"/>
                <w:color w:val="auto"/>
              </w:rPr>
            </w:pPr>
            <w:r>
              <w:rPr>
                <w:rFonts w:ascii="Arial" w:cs="Arial" w:eastAsia="Arial" w:hAnsi="Arial"/>
                <w:sz w:val="16"/>
                <w:szCs w:val="16"/>
                <w:color w:val="auto"/>
              </w:rPr>
              <w:t>Total site rental revenues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200,392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186,073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391,607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372,514</w:t>
            </w:r>
          </w:p>
        </w:tc>
      </w:tr>
      <w:tr>
        <w:trPr>
          <w:trHeight w:val="219"/>
        </w:trPr>
        <w:tc>
          <w:tcPr>
            <w:tcW w:w="5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(b)</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76,516</w:t>
            </w:r>
          </w:p>
        </w:tc>
      </w:tr>
      <w:tr>
        <w:trPr>
          <w:trHeight w:val="213"/>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Ground rent expenses—related parties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22,789</w:t>
            </w:r>
          </w:p>
        </w:tc>
      </w:tr>
      <w:tr>
        <w:trPr>
          <w:trHeight w:val="213"/>
        </w:trPr>
        <w:tc>
          <w:tcPr>
            <w:tcW w:w="5400" w:type="dxa"/>
            <w:vAlign w:val="bottom"/>
            <w:shd w:val="clear" w:color="auto" w:fill="CCEEFF"/>
          </w:tcPr>
          <w:p>
            <w:pPr>
              <w:ind w:left="360"/>
              <w:spacing w:after="0" w:line="213" w:lineRule="exact"/>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(b)</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99,305</w:t>
            </w:r>
          </w:p>
        </w:tc>
      </w:tr>
      <w:tr>
        <w:trPr>
          <w:trHeight w:val="213"/>
        </w:trPr>
        <w:tc>
          <w:tcPr>
            <w:tcW w:w="5400" w:type="dxa"/>
            <w:vAlign w:val="bottom"/>
          </w:tcPr>
          <w:p>
            <w:pPr>
              <w:ind w:left="360"/>
              <w:spacing w:after="0"/>
              <w:rPr>
                <w:sz w:val="20"/>
                <w:szCs w:val="20"/>
                <w:color w:val="auto"/>
              </w:rPr>
            </w:pPr>
            <w:r>
              <w:rPr>
                <w:rFonts w:ascii="Arial" w:cs="Arial" w:eastAsia="Arial" w:hAnsi="Arial"/>
                <w:sz w:val="16"/>
                <w:szCs w:val="16"/>
                <w:color w:val="auto"/>
              </w:rPr>
              <w:t>Management fee—related party</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26,912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25,512</w:t>
            </w:r>
          </w:p>
        </w:tc>
      </w:tr>
      <w:tr>
        <w:trPr>
          <w:trHeight w:val="219"/>
        </w:trPr>
        <w:tc>
          <w:tcPr>
            <w:tcW w:w="5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 write-down charges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13"/>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105,090</w:t>
            </w:r>
          </w:p>
        </w:tc>
      </w:tr>
      <w:tr>
        <w:trPr>
          <w:trHeight w:val="213"/>
        </w:trPr>
        <w:tc>
          <w:tcPr>
            <w:tcW w:w="5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115,731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230,331</w:t>
            </w:r>
          </w:p>
        </w:tc>
      </w:tr>
      <w:tr>
        <w:trPr>
          <w:trHeight w:val="207"/>
        </w:trPr>
        <w:tc>
          <w:tcPr>
            <w:tcW w:w="54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82,863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70,342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157,419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142,183</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(19,937)</w:t>
            </w:r>
          </w:p>
        </w:tc>
      </w:tr>
      <w:tr>
        <w:trPr>
          <w:trHeight w:val="21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122,332</w:t>
            </w:r>
          </w:p>
        </w:tc>
      </w:tr>
      <w:tr>
        <w:trPr>
          <w:trHeight w:val="21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r>
      <w:tr>
        <w:trPr>
          <w:trHeight w:val="23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72,859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122,120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218" w:lineRule="exact"/>
        <w:rPr>
          <w:sz w:val="20"/>
          <w:szCs w:val="20"/>
          <w:color w:val="auto"/>
        </w:rPr>
      </w:pPr>
    </w:p>
    <w:p>
      <w:pPr>
        <w:ind w:left="340" w:right="840" w:hanging="332"/>
        <w:spacing w:after="0" w:line="250" w:lineRule="auto"/>
        <w:tabs>
          <w:tab w:leader="none" w:pos="337"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tower installation and modification transactions (described in note 4) that result in permanent improvements to the Company's towers. The Company receives no cash from, and is not party to, such transactions.</w:t>
      </w:r>
    </w:p>
    <w:p>
      <w:pPr>
        <w:ind w:left="320" w:hanging="312"/>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 w:name="page5"/>
    <w:bookmarkEnd w:id="4"/>
    <w:p>
      <w:pPr>
        <w:jc w:val="center"/>
        <w:ind w:right="-11"/>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of dollars)</w:t>
      </w:r>
    </w:p>
    <w:p>
      <w:pPr>
        <w:spacing w:after="0" w:line="297" w:lineRule="exact"/>
        <w:rPr>
          <w:sz w:val="20"/>
          <w:szCs w:val="20"/>
          <w:color w:val="auto"/>
        </w:rPr>
      </w:pPr>
    </w:p>
    <w:tbl>
      <w:tblPr>
        <w:tblLayout w:type="fixed"/>
        <w:tblInd w:w="12"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8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11"/>
        </w:trPr>
        <w:tc>
          <w:tcPr>
            <w:tcW w:w="830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b w:val="1"/>
                <w:bCs w:val="1"/>
                <w:color w:val="auto"/>
              </w:rPr>
              <w:t>Cash flows from operating activities:</w:t>
            </w:r>
            <w:r>
              <w:rPr>
                <w:rFonts w:ascii="Arial" w:cs="Arial" w:eastAsia="Arial" w:hAnsi="Arial"/>
                <w:sz w:val="21"/>
                <w:szCs w:val="21"/>
                <w:b w:val="1"/>
                <w:bCs w:val="1"/>
                <w:color w:val="auto"/>
                <w:vertAlign w:val="superscript"/>
              </w:rPr>
              <w:t>(a)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30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137,350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122,120</w:t>
            </w:r>
          </w:p>
        </w:tc>
      </w:tr>
      <w:tr>
        <w:trPr>
          <w:trHeight w:val="219"/>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300" w:type="dxa"/>
            <w:vAlign w:val="bottom"/>
          </w:tcPr>
          <w:p>
            <w:pPr>
              <w:ind w:left="460"/>
              <w:spacing w:after="0"/>
              <w:rPr>
                <w:sz w:val="20"/>
                <w:szCs w:val="20"/>
                <w:color w:val="auto"/>
              </w:rPr>
            </w:pPr>
            <w:r>
              <w:rPr>
                <w:rFonts w:ascii="Arial" w:cs="Arial" w:eastAsia="Arial" w:hAnsi="Arial"/>
                <w:sz w:val="16"/>
                <w:szCs w:val="16"/>
                <w:color w:val="auto"/>
              </w:rPr>
              <w:t>Depreciation, amortization and accretion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105,217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105,090</w:t>
            </w:r>
          </w:p>
        </w:tc>
      </w:tr>
      <w:tr>
        <w:trPr>
          <w:trHeight w:val="219"/>
        </w:trPr>
        <w:tc>
          <w:tcPr>
            <w:tcW w:w="8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r>
      <w:tr>
        <w:trPr>
          <w:trHeight w:val="213"/>
        </w:trPr>
        <w:tc>
          <w:tcPr>
            <w:tcW w:w="8300" w:type="dxa"/>
            <w:vAlign w:val="bottom"/>
          </w:tcPr>
          <w:p>
            <w:pPr>
              <w:ind w:left="460"/>
              <w:spacing w:after="0"/>
              <w:rPr>
                <w:sz w:val="20"/>
                <w:szCs w:val="20"/>
                <w:color w:val="auto"/>
              </w:rPr>
            </w:pPr>
            <w:r>
              <w:rPr>
                <w:rFonts w:ascii="Arial" w:cs="Arial" w:eastAsia="Arial" w:hAnsi="Arial"/>
                <w:sz w:val="16"/>
                <w:szCs w:val="16"/>
                <w:color w:val="auto"/>
              </w:rPr>
              <w:t>Asset write-down charges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219"/>
        </w:trPr>
        <w:tc>
          <w:tcPr>
            <w:tcW w:w="8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300" w:type="dxa"/>
            <w:vAlign w:val="bottom"/>
          </w:tcPr>
          <w:p>
            <w:pPr>
              <w:ind w:left="660"/>
              <w:spacing w:after="0"/>
              <w:rPr>
                <w:sz w:val="20"/>
                <w:szCs w:val="20"/>
                <w:color w:val="auto"/>
              </w:rPr>
            </w:pPr>
            <w:r>
              <w:rPr>
                <w:rFonts w:ascii="Arial" w:cs="Arial" w:eastAsia="Arial" w:hAnsi="Arial"/>
                <w:sz w:val="16"/>
                <w:szCs w:val="16"/>
                <w:color w:val="auto"/>
              </w:rPr>
              <w:t>Increase (decrease) in accounts payable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1,645</w:t>
            </w:r>
          </w:p>
        </w:tc>
      </w:tr>
      <w:tr>
        <w:trPr>
          <w:trHeight w:val="219"/>
        </w:trPr>
        <w:tc>
          <w:tcPr>
            <w:tcW w:w="83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Increase (decrease) in other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13,768</w:t>
            </w:r>
          </w:p>
        </w:tc>
      </w:tr>
      <w:tr>
        <w:trPr>
          <w:trHeight w:val="213"/>
        </w:trPr>
        <w:tc>
          <w:tcPr>
            <w:tcW w:w="8300" w:type="dxa"/>
            <w:vAlign w:val="bottom"/>
          </w:tcPr>
          <w:p>
            <w:pPr>
              <w:ind w:left="660"/>
              <w:spacing w:after="0"/>
              <w:rPr>
                <w:sz w:val="20"/>
                <w:szCs w:val="20"/>
                <w:color w:val="auto"/>
              </w:rPr>
            </w:pPr>
            <w:r>
              <w:rPr>
                <w:rFonts w:ascii="Arial" w:cs="Arial" w:eastAsia="Arial" w:hAnsi="Arial"/>
                <w:sz w:val="16"/>
                <w:szCs w:val="16"/>
                <w:color w:val="auto"/>
              </w:rPr>
              <w:t>Decrease (increase) in receivables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(711)</w:t>
            </w:r>
          </w:p>
        </w:tc>
      </w:tr>
      <w:tr>
        <w:trPr>
          <w:trHeight w:val="219"/>
        </w:trPr>
        <w:tc>
          <w:tcPr>
            <w:tcW w:w="83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Decrease (increase) in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(9,258)</w:t>
            </w:r>
          </w:p>
        </w:tc>
      </w:tr>
      <w:tr>
        <w:trPr>
          <w:trHeight w:val="207"/>
        </w:trPr>
        <w:tc>
          <w:tcPr>
            <w:tcW w:w="830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Net cash provided by (used for) operating activities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214,209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233,770</w:t>
            </w:r>
          </w:p>
        </w:tc>
      </w:tr>
      <w:tr>
        <w:trPr>
          <w:trHeight w:val="19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830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Capital expenditures</w:t>
            </w:r>
            <w:r>
              <w:rPr>
                <w:rFonts w:ascii="Arial" w:cs="Arial" w:eastAsia="Arial" w:hAnsi="Arial"/>
                <w:sz w:val="21"/>
                <w:szCs w:val="21"/>
                <w:color w:val="auto"/>
                <w:vertAlign w:val="superscript"/>
              </w:rPr>
              <w:t>(b)</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(28,593)</w:t>
            </w:r>
          </w:p>
        </w:tc>
      </w:tr>
      <w:tr>
        <w:trPr>
          <w:trHeight w:val="209"/>
        </w:trPr>
        <w:tc>
          <w:tcPr>
            <w:tcW w:w="8300" w:type="dxa"/>
            <w:vAlign w:val="bottom"/>
            <w:shd w:val="clear" w:color="auto" w:fill="CCEEFF"/>
          </w:tcPr>
          <w:p>
            <w:pPr>
              <w:ind w:left="880"/>
              <w:spacing w:after="0"/>
              <w:rPr>
                <w:sz w:val="20"/>
                <w:szCs w:val="20"/>
                <w:color w:val="auto"/>
              </w:rPr>
            </w:pPr>
            <w:r>
              <w:rPr>
                <w:rFonts w:ascii="Arial" w:cs="Arial" w:eastAsia="Arial" w:hAnsi="Arial"/>
                <w:sz w:val="16"/>
                <w:szCs w:val="16"/>
                <w:color w:val="auto"/>
              </w:rPr>
              <w:t>Net cash provided by (used for)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(28,593)</w:t>
            </w:r>
          </w:p>
        </w:tc>
      </w:tr>
      <w:tr>
        <w:trPr>
          <w:trHeight w:val="193"/>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Distributions to member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(199,548)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(196,698)</w:t>
            </w:r>
          </w:p>
        </w:tc>
      </w:tr>
      <w:tr>
        <w:trPr>
          <w:trHeight w:val="207"/>
        </w:trPr>
        <w:tc>
          <w:tcPr>
            <w:tcW w:w="830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Net cash provided by (used for) financing activities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(199,548)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(196,698)</w:t>
            </w:r>
          </w:p>
        </w:tc>
      </w:tr>
      <w:tr>
        <w:trPr>
          <w:trHeight w:val="212"/>
        </w:trPr>
        <w:tc>
          <w:tcPr>
            <w:tcW w:w="8300" w:type="dxa"/>
            <w:vAlign w:val="bottom"/>
            <w:shd w:val="clear" w:color="auto" w:fill="CCEEFF"/>
          </w:tcPr>
          <w:p>
            <w:pPr>
              <w:ind w:left="88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8,479</w:t>
            </w:r>
          </w:p>
        </w:tc>
      </w:tr>
      <w:tr>
        <w:trPr>
          <w:trHeight w:val="21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20,407</w:t>
            </w:r>
          </w:p>
        </w:tc>
      </w:tr>
      <w:tr>
        <w:trPr>
          <w:trHeight w:val="23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91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18" w:lineRule="exact"/>
        <w:rPr>
          <w:sz w:val="20"/>
          <w:szCs w:val="20"/>
          <w:color w:val="auto"/>
        </w:rPr>
      </w:pPr>
    </w:p>
    <w:p>
      <w:pPr>
        <w:ind w:left="332" w:right="100" w:hanging="332"/>
        <w:spacing w:after="0" w:line="247" w:lineRule="auto"/>
        <w:tabs>
          <w:tab w:leader="none" w:pos="329"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tower installation and modification transactions described in note 4. Such transactions, however, are reflected on the cash flow statement for GAAP purposes as if an amount equal to the lease component for such transactions had been received by the Company, and, as such, the amounts have been recorded as deferred revenues.</w:t>
      </w:r>
    </w:p>
    <w:p>
      <w:pPr>
        <w:ind w:left="332" w:hanging="332"/>
        <w:spacing w:after="0" w:line="255" w:lineRule="auto"/>
        <w:tabs>
          <w:tab w:leader="none" w:pos="324"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permanent improvements recorded in connection with the tower installation and modification transactions described in note 4. The Company receives no cash from, and is not party to, such transactions.</w:t>
      </w:r>
    </w:p>
    <w:p>
      <w:pPr>
        <w:spacing w:after="0" w:line="200" w:lineRule="exact"/>
        <w:rPr>
          <w:sz w:val="20"/>
          <w:szCs w:val="20"/>
          <w:color w:val="auto"/>
        </w:rPr>
      </w:pPr>
    </w:p>
    <w:p>
      <w:pPr>
        <w:spacing w:after="0" w:line="3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4"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6"/>
              </w:rPr>
              <w:t>Member's Equity</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106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Earnings (Deficit)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1,885,296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1,885,296</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Distributions to member</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(72,859)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(83,402)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72,859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72,859</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Balance, June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1,874,753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1,874,753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6"/>
              </w:rPr>
              <w:t>Member's Equity</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4"/>
                <w:szCs w:val="24"/>
                <w:color w:val="auto"/>
              </w:rPr>
            </w:pPr>
          </w:p>
        </w:tc>
        <w:tc>
          <w:tcPr>
            <w:tcW w:w="106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Earnings (Deficit)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2,050,115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2,050,115</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Distributions to member</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(27,739)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(60,339)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(88,078)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60,339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60,339</w:t>
            </w:r>
          </w:p>
        </w:tc>
        <w:tc>
          <w:tcPr>
            <w:tcW w:w="0" w:type="dxa"/>
            <w:vAlign w:val="bottom"/>
          </w:tcPr>
          <w:p>
            <w:pPr>
              <w:spacing w:after="0"/>
              <w:rPr>
                <w:sz w:val="1"/>
                <w:szCs w:val="1"/>
                <w:color w:val="auto"/>
              </w:rPr>
            </w:pPr>
          </w:p>
        </w:tc>
      </w:tr>
      <w:tr>
        <w:trPr>
          <w:trHeight w:val="212"/>
        </w:trPr>
        <w:tc>
          <w:tcPr>
            <w:tcW w:w="6940" w:type="dxa"/>
            <w:vAlign w:val="bottom"/>
          </w:tcPr>
          <w:p>
            <w:pPr>
              <w:ind w:left="20"/>
              <w:spacing w:after="0"/>
              <w:rPr>
                <w:sz w:val="20"/>
                <w:szCs w:val="20"/>
                <w:color w:val="auto"/>
              </w:rPr>
            </w:pPr>
            <w:r>
              <w:rPr>
                <w:rFonts w:ascii="Arial" w:cs="Arial" w:eastAsia="Arial" w:hAnsi="Arial"/>
                <w:sz w:val="16"/>
                <w:szCs w:val="16"/>
                <w:color w:val="auto"/>
              </w:rPr>
              <w:t>Balance, June 30,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2,022,376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2,022,376</w:t>
            </w: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6"/>
              </w:rPr>
              <w:t>Member's Equity</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4"/>
                <w:szCs w:val="24"/>
                <w:color w:val="auto"/>
              </w:rPr>
            </w:pPr>
          </w:p>
        </w:tc>
        <w:tc>
          <w:tcPr>
            <w:tcW w:w="106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Earnings (Deficit)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1,936,951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1,936,951</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Distributions to member</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(62,198)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(137,350)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(199,548)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137,350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137,350</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Balance, June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1,874,753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1,874,753</w:t>
            </w: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6"/>
              </w:rPr>
              <w:t>Member's Equity</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4"/>
                <w:szCs w:val="24"/>
                <w:color w:val="auto"/>
              </w:rPr>
            </w:pPr>
          </w:p>
        </w:tc>
        <w:tc>
          <w:tcPr>
            <w:tcW w:w="106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Earnings (Deficit)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2,096,954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2,096,954</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Distributions to member</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(74,578)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(122,120)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(196,698)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122,120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122,120</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Balance, June 30, 2020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2,022,376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2,022,376</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condensed consolidated financial statements reflect the condensed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contained in the following notes to the condensed consolidated financial statements is condensed from that which would appear in the annual consolidated financial statements; accordingly, the condensed consolidated financial statements included herein should be reviewed in conjunction with the consolidated financial statements for the fiscal year ended December 31, 2020, and related notes thereto, included in the 2020 Form 10-K filed by the Company with the SEC.</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organized specifically to own, lease and manage towers and other structures (collectively, "towers"), and to a lesser extent, interests in land under third party and related party towers in various forms ("land interests") (collectively, "sites") that are geographically dispersed throughout the U.S. The Company's core business is providing access, including space or capacity, to its sites via long-term contracts in various forms, including lease, license and sublease agreements (collectively, "tenant contracts"). The Company's customers on its sites are referred to herein as "tenants." Management services related to the Company's sites are performed by Crown Castle USA Inc. ("CCUSA"), an affiliate of the Company, under the Management Agreement, as the Company has no employees.</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Approximately 70% of the Company's sites are leased or subleased or operated and managed for an initial period of 32 years (through May 2037) under master leases or other agreements with T-Mobile (which T-Mobile assumed in connection with its merger with Sprint) ("T-Mobile Sites"). CCIC, through its subsidiaries (including the Company), has the option to purchase in 2037 all (but not less than all) of the T-Mobile Sites from T-Mobile for approximately $2.3 billion. CCIC has no obligation to exercise the purchase option.</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 5.</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are unaudited; however, they include all adjustments (consisting only of normal recurring adjustments) which, in the opinion of management, are necessary to state fairly the condensed consolidated financial position of the Company at June 30, 2021, the condensed consolidated results of operations for the three and six months ended June 30, 2021 and 2020 and the condensed consolidated cash flows for the six months ended June 30, 2021 and 2020. The year-end condensed consolidated balance sheet data was derived from audited financial statements, but does not include all disclosures required by GAAP. The results of operations for the interim periods presented are not necessarily indicative of the results to be expected for the full year.</w:t>
      </w:r>
    </w:p>
    <w:p>
      <w:pPr>
        <w:spacing w:after="0" w:line="13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 Actual results could differ from those estimates.</w:t>
      </w:r>
    </w:p>
    <w:p>
      <w:pPr>
        <w:spacing w:after="0" w:line="126" w:lineRule="exact"/>
        <w:rPr>
          <w:sz w:val="20"/>
          <w:szCs w:val="20"/>
          <w:color w:val="auto"/>
        </w:rPr>
      </w:pPr>
    </w:p>
    <w:p>
      <w:pPr>
        <w:jc w:val="both"/>
        <w:ind w:left="420" w:right="7440" w:hanging="412"/>
        <w:spacing w:after="0" w:line="495" w:lineRule="auto"/>
        <w:tabs>
          <w:tab w:leader="none" w:pos="4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Recently Adopted Accounting Pronouncements</w:t>
      </w:r>
    </w:p>
    <w:p>
      <w:pPr>
        <w:spacing w:after="0" w:line="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No accounting pronouncements adopted during the six months ended June 30, 2021 had a material impact on the Company's condensed consolidated financial statements.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No new accounting pronouncements issued but not yet adopted are expected to have a material impact on the Company's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67"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outstanding balance of the 3.849% Secured Notes due April 2023 as of June 30, 2021 and December 31, 2020 was $997.5 million and $996.8 million,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and Amortization of Deferred Financing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interest expense and amortization of deferred financing costs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187"/>
        </w:trPr>
        <w:tc>
          <w:tcPr>
            <w:tcW w:w="52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on debt obligations</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9,622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9,622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19,245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19,245</w:t>
            </w:r>
          </w:p>
        </w:tc>
      </w:tr>
      <w:tr>
        <w:trPr>
          <w:trHeight w:val="21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r>
      <w:tr>
        <w:trPr>
          <w:trHeight w:val="238"/>
        </w:trPr>
        <w:tc>
          <w:tcPr>
            <w:tcW w:w="5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9,968</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9,968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19,937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19,937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from tenant contracts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w:t>
      </w:r>
    </w:p>
    <w:p>
      <w:pPr>
        <w:spacing w:after="0" w:line="12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Further, in connection with its role as Manager, CCUSA may offer certain installation and modification services to tenants on the Company's towers; however, the Company receives no cash from, and is not party to, such transactions. The Company includes the deferred revenue for a portion of the transaction price for the tower installation and modification services, which represents a lease component under GAAP, within "Deferred revenues," on the Company's condensed consolidated balance sheet and recognizes it as "Amortization of tower installations and modifications" on the Company's condensed consolidated statement of operations over the associated estimated lease term. The portions of the transaction price which do not represent a lease component are not reflected in the Company's operating results.</w:t>
      </w:r>
    </w:p>
    <w:p>
      <w:pPr>
        <w:spacing w:after="0" w:line="13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As part of CCIC's strategy to obtain long-term control of the land under its towers, affiliates of the Company have acquired rights to land under the Company's towers. These affiliates then lease the land to the Company, and the Company pays ground rent expenses to the affiliates. Under such circumstances, the Company's obligation typically continues with the same or similar economic terms as the contract for the land that existed prior to the purchase of such land by the affiliate. As of June 30, 2021, more than 30% of the Company's towers were located on land controlled by an affiliate. Also, the Company receives site rental revenues from affiliates for land owned by the Company on which affiliates have towers.</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six months ended June 30, 2021 and 2020, the Company recorded equity distributions of $199.5 million and $196.7 million, respectively, reflecting distributions to its member. Cash on-hand above the amount that is required by the Management Agreement has been, and is expected to continue to be, distributed to the Company's parent company. As of June 30, 2021 and December 31, 2020, other than the amounts of its ROU assets and operating lease liabilities related to land leased from affiliates of the Company reflected in "Operating lease right-of-use assets," "Current portion of operating lease liabilities</w:t>
      </w:r>
      <w:r>
        <w:rPr>
          <w:rFonts w:ascii="Arial" w:cs="Arial" w:eastAsia="Arial" w:hAnsi="Arial"/>
          <w:sz w:val="14"/>
          <w:szCs w:val="14"/>
          <w:color w:val="auto"/>
        </w:rPr>
        <w:t>—</w:t>
      </w:r>
      <w:r>
        <w:rPr>
          <w:rFonts w:ascii="Arial" w:cs="Arial" w:eastAsia="Arial" w:hAnsi="Arial"/>
          <w:sz w:val="18"/>
          <w:szCs w:val="18"/>
          <w:color w:val="auto"/>
        </w:rPr>
        <w:t>related parties" and "Operating lease liabilities</w:t>
      </w:r>
      <w:r>
        <w:rPr>
          <w:rFonts w:ascii="Arial" w:cs="Arial" w:eastAsia="Arial" w:hAnsi="Arial"/>
          <w:sz w:val="14"/>
          <w:szCs w:val="14"/>
          <w:color w:val="auto"/>
        </w:rPr>
        <w:t>—</w:t>
      </w:r>
      <w:r>
        <w:rPr>
          <w:rFonts w:ascii="Arial" w:cs="Arial" w:eastAsia="Arial" w:hAnsi="Arial"/>
          <w:sz w:val="18"/>
          <w:szCs w:val="18"/>
          <w:color w:val="auto"/>
        </w:rPr>
        <w:t>related parties," the Company had no material related party assets or liabilities on its condensed consolidated balance sheet.</w:t>
      </w:r>
    </w:p>
    <w:p>
      <w:pPr>
        <w:spacing w:after="0" w:line="134"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CCIC operates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are included in the CCIC REIT.</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the six months ended June 30, 2021 and 2020, the Company's effective tax rate differed from the federal statutory rate predominately due to (1) CCIC's REIT status, including the dividends paid deduction, and (2) state taxes.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6.</w:t>
            </w:r>
          </w:p>
        </w:tc>
        <w:tc>
          <w:tcPr>
            <w:tcW w:w="5000" w:type="dxa"/>
            <w:vAlign w:val="bottom"/>
          </w:tcPr>
          <w:p>
            <w:pPr>
              <w:ind w:left="220"/>
              <w:spacing w:after="0"/>
              <w:rPr>
                <w:sz w:val="20"/>
                <w:szCs w:val="20"/>
                <w:color w:val="auto"/>
              </w:rPr>
            </w:pPr>
            <w:r>
              <w:rPr>
                <w:rFonts w:ascii="Arial" w:cs="Arial" w:eastAsia="Arial" w:hAnsi="Arial"/>
                <w:sz w:val="18"/>
                <w:szCs w:val="18"/>
                <w:b w:val="1"/>
                <w:bCs w:val="1"/>
                <w:color w:val="auto"/>
              </w:rPr>
              <w:t>Fair Values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Level in Fair</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4"/>
                <w:szCs w:val="4"/>
                <w:color w:val="auto"/>
              </w:rPr>
            </w:pPr>
          </w:p>
        </w:tc>
        <w:tc>
          <w:tcPr>
            <w:tcW w:w="8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4"/>
                <w:szCs w:val="4"/>
                <w:color w:val="auto"/>
              </w:rPr>
            </w:pPr>
          </w:p>
        </w:tc>
        <w:tc>
          <w:tcPr>
            <w:tcW w:w="90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Hierarchy</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6"/>
                <w:szCs w:val="16"/>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900" w:type="dxa"/>
            <w:vAlign w:val="bottom"/>
          </w:tcPr>
          <w:p>
            <w:pPr>
              <w:jc w:val="right"/>
              <w:ind w:right="32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0" w:type="dxa"/>
            <w:vAlign w:val="bottom"/>
          </w:tcPr>
          <w:p>
            <w:pPr>
              <w:ind w:left="60"/>
              <w:spacing w:after="0"/>
              <w:rPr>
                <w:sz w:val="20"/>
                <w:szCs w:val="20"/>
                <w:color w:val="auto"/>
              </w:rPr>
            </w:pPr>
            <w:r>
              <w:rPr>
                <w:rFonts w:ascii="Arial" w:cs="Arial" w:eastAsia="Arial" w:hAnsi="Arial"/>
                <w:sz w:val="16"/>
                <w:szCs w:val="16"/>
                <w:color w:val="auto"/>
              </w:rPr>
              <w:t>Cash and cash equivalents</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22,499</w:t>
            </w:r>
          </w:p>
        </w:tc>
        <w:tc>
          <w:tcPr>
            <w:tcW w:w="1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22,499</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17,439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17,439</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0" w:type="dxa"/>
            <w:vAlign w:val="bottom"/>
          </w:tcPr>
          <w:p>
            <w:pPr>
              <w:ind w:left="60"/>
              <w:spacing w:after="0"/>
              <w:rPr>
                <w:sz w:val="20"/>
                <w:szCs w:val="20"/>
                <w:color w:val="auto"/>
              </w:rPr>
            </w:pPr>
            <w:r>
              <w:rPr>
                <w:rFonts w:ascii="Arial" w:cs="Arial" w:eastAsia="Arial" w:hAnsi="Arial"/>
                <w:sz w:val="16"/>
                <w:szCs w:val="16"/>
                <w:color w:val="auto"/>
              </w:rPr>
              <w:t>Debt</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997,507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1,057,100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996,815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1,076,000</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fair value of cash and cash equivalents approximates the carrying value.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available. Since December 31, 2020, there have been no changes in the Company's valuation techniques used to measure fair values.</w:t>
      </w:r>
    </w:p>
    <w:p>
      <w:pPr>
        <w:spacing w:after="0" w:line="113"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right="40" w:firstLine="405"/>
        <w:spacing w:after="0" w:line="296" w:lineRule="auto"/>
        <w:rPr>
          <w:sz w:val="20"/>
          <w:szCs w:val="20"/>
          <w:color w:val="auto"/>
        </w:rPr>
      </w:pPr>
      <w:r>
        <w:rPr>
          <w:rFonts w:ascii="Arial" w:cs="Arial" w:eastAsia="Arial" w:hAnsi="Arial"/>
          <w:sz w:val="16"/>
          <w:szCs w:val="16"/>
          <w:color w:val="auto"/>
        </w:rPr>
        <w:t>The Company is involved in various claims, assessments, lawsuits or proceedings arising in the ordinary course of business. While there are uncertainties inherent in the ultimate outcome of such matters, and it is impossible to presently determine the ultimate costs or losses that may be incurred, if any, management believes the adverse resolution of such uncertainties and the incurrence of such costs should not have a material adverse effect on the Company's condensed consolidated financial position or results of operations. In addition, see note 1 for a discussion of CCIC's option to purchase approximately 70% of the Company's towers at the end of their respective lease terms. CCIC has no obligation to exercise such purchase option.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Arial" w:cs="Arial" w:eastAsia="Arial" w:hAnsi="Arial"/>
                <w:sz w:val="18"/>
                <w:szCs w:val="18"/>
                <w:b w:val="1"/>
                <w:bCs w:val="1"/>
                <w:color w:val="auto"/>
              </w:rPr>
              <w:t>8.</w:t>
            </w:r>
          </w:p>
        </w:tc>
        <w:tc>
          <w:tcPr>
            <w:tcW w:w="7920" w:type="dxa"/>
            <w:vAlign w:val="bottom"/>
          </w:tcPr>
          <w:p>
            <w:pPr>
              <w:ind w:left="240"/>
              <w:spacing w:after="0"/>
              <w:rPr>
                <w:sz w:val="20"/>
                <w:szCs w:val="20"/>
                <w:color w:val="auto"/>
              </w:rPr>
            </w:pPr>
            <w:r>
              <w:rPr>
                <w:rFonts w:ascii="Arial" w:cs="Arial" w:eastAsia="Arial" w:hAnsi="Arial"/>
                <w:sz w:val="18"/>
                <w:szCs w:val="18"/>
                <w:b w:val="1"/>
                <w:bCs w:val="1"/>
                <w:color w:val="auto"/>
              </w:rPr>
              <w:t>Supplemental Cash Flow Information</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05"/>
        </w:trPr>
        <w:tc>
          <w:tcPr>
            <w:tcW w:w="1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58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24"/>
                <w:szCs w:val="24"/>
                <w:color w:val="auto"/>
              </w:rPr>
            </w:pPr>
          </w:p>
        </w:tc>
      </w:tr>
      <w:tr>
        <w:trPr>
          <w:trHeight w:val="187"/>
        </w:trPr>
        <w:tc>
          <w:tcPr>
            <w:tcW w:w="180" w:type="dxa"/>
            <w:vAlign w:val="bottom"/>
            <w:tcBorders>
              <w:bottom w:val="single" w:sz="8" w:color="CCEEFF"/>
            </w:tcBorders>
          </w:tcPr>
          <w:p>
            <w:pPr>
              <w:spacing w:after="0"/>
              <w:rPr>
                <w:sz w:val="16"/>
                <w:szCs w:val="16"/>
                <w:color w:val="auto"/>
              </w:rPr>
            </w:pPr>
          </w:p>
        </w:tc>
        <w:tc>
          <w:tcPr>
            <w:tcW w:w="79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r>
      <w:tr>
        <w:trPr>
          <w:trHeight w:val="197"/>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40"/>
              <w:spacing w:after="0" w:line="216" w:lineRule="exact"/>
              <w:rPr>
                <w:sz w:val="20"/>
                <w:szCs w:val="20"/>
                <w:color w:val="auto"/>
              </w:rPr>
            </w:pPr>
            <w:r>
              <w:rPr>
                <w:rFonts w:ascii="Arial" w:cs="Arial" w:eastAsia="Arial" w:hAnsi="Arial"/>
                <w:sz w:val="16"/>
                <w:szCs w:val="16"/>
                <w:color w:val="auto"/>
              </w:rPr>
              <w:t>Cash payments related to operating lease liabilities</w:t>
            </w:r>
            <w:r>
              <w:rPr>
                <w:rFonts w:ascii="Arial" w:cs="Arial" w:eastAsia="Arial" w:hAnsi="Arial"/>
                <w:sz w:val="21"/>
                <w:szCs w:val="21"/>
                <w:color w:val="auto"/>
                <w:vertAlign w:val="superscript"/>
              </w:rPr>
              <w:t>(a)(b)</w:t>
            </w:r>
          </w:p>
        </w:tc>
        <w:tc>
          <w:tcPr>
            <w:tcW w:w="960" w:type="dxa"/>
            <w:vAlign w:val="bottom"/>
          </w:tcPr>
          <w:p>
            <w:pPr>
              <w:jc w:val="right"/>
              <w:ind w:right="785"/>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54,469</w:t>
            </w:r>
          </w:p>
        </w:tc>
        <w:tc>
          <w:tcPr>
            <w:tcW w:w="100" w:type="dxa"/>
            <w:vAlign w:val="bottom"/>
          </w:tcPr>
          <w:p>
            <w:pPr>
              <w:spacing w:after="0"/>
              <w:rPr>
                <w:sz w:val="18"/>
                <w:szCs w:val="18"/>
                <w:color w:val="auto"/>
              </w:rPr>
            </w:pP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560" w:type="dxa"/>
            <w:vAlign w:val="bottom"/>
          </w:tcPr>
          <w:p>
            <w:pPr>
              <w:ind w:left="40"/>
              <w:spacing w:after="0"/>
              <w:rPr>
                <w:sz w:val="20"/>
                <w:szCs w:val="20"/>
                <w:color w:val="auto"/>
              </w:rPr>
            </w:pPr>
            <w:r>
              <w:rPr>
                <w:rFonts w:ascii="Arial" w:cs="Arial" w:eastAsia="Arial" w:hAnsi="Arial"/>
                <w:sz w:val="16"/>
                <w:szCs w:val="16"/>
                <w:color w:val="auto"/>
              </w:rPr>
              <w:t>53,207</w:t>
            </w:r>
          </w:p>
        </w:tc>
      </w:tr>
      <w:tr>
        <w:trPr>
          <w:trHeight w:val="216"/>
        </w:trPr>
        <w:tc>
          <w:tcPr>
            <w:tcW w:w="180" w:type="dxa"/>
            <w:vAlign w:val="bottom"/>
            <w:shd w:val="clear" w:color="auto" w:fill="CCEEFF"/>
          </w:tcPr>
          <w:p>
            <w:pPr>
              <w:spacing w:after="0"/>
              <w:rPr>
                <w:sz w:val="18"/>
                <w:szCs w:val="18"/>
                <w:color w:val="auto"/>
              </w:rPr>
            </w:pPr>
          </w:p>
        </w:tc>
        <w:tc>
          <w:tcPr>
            <w:tcW w:w="7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19,245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19,245</w:t>
            </w:r>
          </w:p>
        </w:tc>
      </w:tr>
      <w:tr>
        <w:trPr>
          <w:trHeight w:val="213"/>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Supplemental disclosure of non-cash operating, investing and financing activities: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180" w:type="dxa"/>
            <w:vAlign w:val="bottom"/>
            <w:shd w:val="clear" w:color="auto" w:fill="CCEEFF"/>
          </w:tcPr>
          <w:p>
            <w:pPr>
              <w:spacing w:after="0"/>
              <w:rPr>
                <w:sz w:val="19"/>
                <w:szCs w:val="19"/>
                <w:color w:val="auto"/>
              </w:rPr>
            </w:pPr>
          </w:p>
        </w:tc>
        <w:tc>
          <w:tcPr>
            <w:tcW w:w="7920" w:type="dxa"/>
            <w:vAlign w:val="bottom"/>
            <w:shd w:val="clear" w:color="auto" w:fill="CCEEFF"/>
          </w:tcPr>
          <w:p>
            <w:pPr>
              <w:ind w:left="40"/>
              <w:spacing w:after="0" w:line="219" w:lineRule="exact"/>
              <w:rPr>
                <w:sz w:val="20"/>
                <w:szCs w:val="20"/>
                <w:color w:val="auto"/>
              </w:rPr>
            </w:pPr>
            <w:r>
              <w:rPr>
                <w:rFonts w:ascii="Arial" w:cs="Arial" w:eastAsia="Arial" w:hAnsi="Arial"/>
                <w:sz w:val="16"/>
                <w:szCs w:val="16"/>
                <w:color w:val="auto"/>
              </w:rPr>
              <w:t>New ROU assets obtained in exchange for operating lease liabilities</w:t>
            </w:r>
            <w:r>
              <w:rPr>
                <w:rFonts w:ascii="Arial" w:cs="Arial" w:eastAsia="Arial" w:hAnsi="Arial"/>
                <w:sz w:val="21"/>
                <w:szCs w:val="21"/>
                <w:color w:val="auto"/>
                <w:vertAlign w:val="superscript"/>
              </w:rPr>
              <w:t>(b)</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11,478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26,765</w:t>
            </w:r>
          </w:p>
        </w:tc>
      </w:tr>
      <w:tr>
        <w:trPr>
          <w:trHeight w:val="210"/>
        </w:trPr>
        <w:tc>
          <w:tcPr>
            <w:tcW w:w="180" w:type="dxa"/>
            <w:vAlign w:val="bottom"/>
          </w:tcPr>
          <w:p>
            <w:pPr>
              <w:spacing w:after="0"/>
              <w:rPr>
                <w:sz w:val="18"/>
                <w:szCs w:val="18"/>
                <w:color w:val="auto"/>
              </w:rPr>
            </w:pPr>
          </w:p>
        </w:tc>
        <w:tc>
          <w:tcPr>
            <w:tcW w:w="7920" w:type="dxa"/>
            <w:vAlign w:val="bottom"/>
          </w:tcPr>
          <w:p>
            <w:pPr>
              <w:ind w:left="40"/>
              <w:spacing w:after="0"/>
              <w:rPr>
                <w:sz w:val="20"/>
                <w:szCs w:val="20"/>
                <w:color w:val="auto"/>
              </w:rPr>
            </w:pPr>
            <w:r>
              <w:rPr>
                <w:rFonts w:ascii="Arial" w:cs="Arial" w:eastAsia="Arial" w:hAnsi="Arial"/>
                <w:sz w:val="16"/>
                <w:szCs w:val="16"/>
                <w:color w:val="auto"/>
              </w:rPr>
              <w:t>Increase (decrease) in accounts payable for purchases of property and equipment</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6"/>
                <w:szCs w:val="16"/>
                <w:color w:val="auto"/>
                <w:w w:val="94"/>
              </w:rPr>
              <w:t>(2,340)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91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2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the Company's contingent payments pursuant to operating leases, which are recorded as expense in the period such contingencies are resolved.</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4.</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tabs>
          <w:tab w:leader="none" w:pos="128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discussion should be read in conjunction with the response to Part I, Item 1 of this Form 10-Q and the consolidated financial statements of the Company including the related notes and MD&amp;A included in the 2020 Form 10-K.</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Throughout this Item 2 and this Form 10-Q, site rental revenues include both revenues from tenant contracts and amortization of tower installations and modifications.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Overview</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own, lease and manage sites that are geographically dispersed throughout the United States. The vast majority of our site rental revenues is of a recurring nature and is subject to long-term contracts with our tenants.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Fundamentals and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and results as of and for the six months ended June 30, 2021:</w:t>
      </w:r>
    </w:p>
    <w:p>
      <w:pPr>
        <w:spacing w:after="0" w:line="23" w:lineRule="exact"/>
        <w:rPr>
          <w:sz w:val="20"/>
          <w:szCs w:val="20"/>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growth resulting from the increasing demand for wireless data</w:t>
      </w:r>
    </w:p>
    <w:p>
      <w:pPr>
        <w:spacing w:after="0" w:line="9" w:lineRule="exact"/>
        <w:rPr>
          <w:rFonts w:ascii="Arial" w:cs="Arial" w:eastAsia="Arial" w:hAnsi="Arial"/>
          <w:sz w:val="18"/>
          <w:szCs w:val="18"/>
          <w:color w:val="auto"/>
        </w:rPr>
      </w:pPr>
    </w:p>
    <w:p>
      <w:pPr>
        <w:ind w:left="1220" w:hanging="402"/>
        <w:spacing w:after="0" w:line="250" w:lineRule="auto"/>
        <w:tabs>
          <w:tab w:leader="none" w:pos="123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expect U.S. wireless carriers will continue their focus on improving network quality and expanding capacity (including through 5G initiatives) by adding additional antennas or other equipment on our sites.</w:t>
      </w:r>
    </w:p>
    <w:p>
      <w:pPr>
        <w:jc w:val="both"/>
        <w:ind w:left="1220" w:hanging="402"/>
        <w:spacing w:after="0" w:line="250" w:lineRule="auto"/>
        <w:tabs>
          <w:tab w:leader="none" w:pos="1216"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expect existing and potential new tenant demand for our towers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(6) the adoption of other bandwidth-intensive applications (such as cloud services and video communications), (7) the availability of additional spectrum and (8) increased government initiatives to support connectivity throughout the U.S.</w:t>
      </w:r>
    </w:p>
    <w:p>
      <w:pPr>
        <w:spacing w:after="0" w:line="2" w:lineRule="exact"/>
        <w:rPr>
          <w:rFonts w:ascii="Arial" w:cs="Arial" w:eastAsia="Arial" w:hAnsi="Arial"/>
          <w:sz w:val="18"/>
          <w:szCs w:val="18"/>
          <w:color w:val="auto"/>
        </w:rPr>
      </w:pPr>
    </w:p>
    <w:p>
      <w:pPr>
        <w:ind w:left="1220" w:hanging="402"/>
        <w:spacing w:after="0"/>
        <w:tabs>
          <w:tab w:leader="none" w:pos="12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Tenant additions on our existing sites are achieved at a low incremental operating cost, delivering high incremental returns.</w:t>
      </w:r>
    </w:p>
    <w:p>
      <w:pPr>
        <w:spacing w:after="0" w:line="9" w:lineRule="exact"/>
        <w:rPr>
          <w:rFonts w:ascii="Arial" w:cs="Arial" w:eastAsia="Arial" w:hAnsi="Arial"/>
          <w:sz w:val="18"/>
          <w:szCs w:val="18"/>
          <w:color w:val="auto"/>
        </w:rPr>
      </w:pPr>
    </w:p>
    <w:p>
      <w:pPr>
        <w:ind w:left="1880" w:hanging="414"/>
        <w:spacing w:after="0" w:line="250" w:lineRule="auto"/>
        <w:tabs>
          <w:tab w:leader="none" w:pos="193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Substantially all of our sites can accommodate additional tenancy, either as currently constructed or with appropriate modifications to the structure (which may include extensions or structural reinforcement).</w:t>
      </w: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For U.S. federal income tax purposes, CCIC operates as a REIT and, as its indirect subsidiary, our assets and operations are included in the</w:t>
      </w:r>
    </w:p>
    <w:p>
      <w:pPr>
        <w:spacing w:after="0" w:line="32"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8"/>
          <w:szCs w:val="18"/>
          <w:color w:val="auto"/>
        </w:rPr>
        <w:t>CCIC REIT.</w:t>
      </w:r>
    </w:p>
    <w:p>
      <w:pPr>
        <w:spacing w:after="0" w:line="9" w:lineRule="exact"/>
        <w:rPr>
          <w:rFonts w:ascii="Arial" w:cs="Arial" w:eastAsia="Arial" w:hAnsi="Arial"/>
          <w:sz w:val="16"/>
          <w:szCs w:val="16"/>
          <w:color w:val="auto"/>
        </w:rPr>
      </w:pPr>
    </w:p>
    <w:p>
      <w:pPr>
        <w:ind w:left="1220" w:hanging="402"/>
        <w:spacing w:after="0" w:line="250" w:lineRule="auto"/>
        <w:tabs>
          <w:tab w:leader="none" w:pos="1216"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sites, such as towers or other structures, and have no employees.</w:t>
      </w:r>
    </w:p>
    <w:p>
      <w:pPr>
        <w:ind w:left="1220" w:hanging="402"/>
        <w:spacing w:after="0" w:line="281" w:lineRule="auto"/>
        <w:tabs>
          <w:tab w:leader="none" w:pos="1230" w:val="left"/>
        </w:tabs>
        <w:numPr>
          <w:ilvl w:val="1"/>
          <w:numId w:val="11"/>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spacing w:after="0" w:line="1" w:lineRule="exact"/>
        <w:rPr>
          <w:rFonts w:ascii="Arial" w:cs="Arial" w:eastAsia="Arial" w:hAnsi="Arial"/>
          <w:sz w:val="16"/>
          <w:szCs w:val="16"/>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Site rental revenues under long-term tenant contracts</w:t>
      </w:r>
    </w:p>
    <w:p>
      <w:pPr>
        <w:spacing w:after="0" w:line="9" w:lineRule="exact"/>
        <w:rPr>
          <w:rFonts w:ascii="Arial" w:cs="Arial" w:eastAsia="Arial" w:hAnsi="Arial"/>
          <w:sz w:val="18"/>
          <w:szCs w:val="18"/>
          <w:color w:val="auto"/>
        </w:rPr>
      </w:pPr>
    </w:p>
    <w:p>
      <w:pPr>
        <w:ind w:left="1220" w:hanging="402"/>
        <w:spacing w:after="0" w:line="250" w:lineRule="auto"/>
        <w:tabs>
          <w:tab w:leader="none" w:pos="123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Initial terms of five to 15 years for site rental revenues derived from tenant contracts, with contractual escalations and multiple renewal periods of five to 10 years each, exercisable at the option of the tenant.</w:t>
      </w:r>
    </w:p>
    <w:p>
      <w:pPr>
        <w:ind w:left="1220" w:right="20" w:hanging="402"/>
        <w:spacing w:after="0" w:line="250" w:lineRule="auto"/>
        <w:tabs>
          <w:tab w:leader="none" w:pos="12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Weighted-average remaining term of approximately six years, exclusive of renewals exercisable at the tenants' option, currently representing approximately $5.1 billion of expected future cash inflows.</w:t>
      </w: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Majority of our revenues from large wireless carriers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Approximately 89% of our site rental revenues were derived from T-Mobile, AT&amp;T and Verizon Wireless.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Majority of land under our towers under long-term control</w:t>
      </w:r>
    </w:p>
    <w:p>
      <w:pPr>
        <w:spacing w:after="0" w:line="9" w:lineRule="exact"/>
        <w:rPr>
          <w:rFonts w:ascii="Arial" w:cs="Arial" w:eastAsia="Arial" w:hAnsi="Arial"/>
          <w:sz w:val="18"/>
          <w:szCs w:val="18"/>
          <w:color w:val="auto"/>
        </w:rPr>
      </w:pPr>
    </w:p>
    <w:p>
      <w:pPr>
        <w:ind w:left="1220" w:hanging="402"/>
        <w:spacing w:after="0" w:line="265" w:lineRule="auto"/>
        <w:tabs>
          <w:tab w:leader="none" w:pos="1216" w:val="left"/>
        </w:tabs>
        <w:numPr>
          <w:ilvl w:val="1"/>
          <w:numId w:val="11"/>
        </w:numPr>
        <w:rPr>
          <w:rFonts w:ascii="Arial" w:cs="Arial" w:eastAsia="Arial" w:hAnsi="Arial"/>
          <w:sz w:val="17"/>
          <w:szCs w:val="17"/>
          <w:color w:val="auto"/>
        </w:rPr>
      </w:pPr>
      <w:r>
        <w:rPr>
          <w:rFonts w:ascii="Arial" w:cs="Arial" w:eastAsia="Arial" w:hAnsi="Arial"/>
          <w:sz w:val="17"/>
          <w:szCs w:val="17"/>
          <w:color w:val="auto"/>
        </w:rPr>
        <w:t>More than 80% and more than 50% of our sites are under our control for greater than 10 and 20 years, respectively. The aforementioned percentages include towers located on land that is owned, including through fee interests and perpetual easements.</w:t>
      </w:r>
    </w:p>
    <w:p>
      <w:pPr>
        <w:jc w:val="both"/>
        <w:ind w:left="1220" w:hanging="402"/>
        <w:spacing w:after="0" w:line="250" w:lineRule="auto"/>
        <w:tabs>
          <w:tab w:leader="none" w:pos="121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Approximately one-fourth of our site rental costs of operations represent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9" w:lineRule="exact"/>
        <w:rPr>
          <w:rFonts w:ascii="Arial" w:cs="Arial" w:eastAsia="Arial" w:hAnsi="Arial"/>
          <w:sz w:val="18"/>
          <w:szCs w:val="18"/>
          <w:color w:val="auto"/>
        </w:rPr>
      </w:pPr>
    </w:p>
    <w:p>
      <w:pPr>
        <w:ind w:left="1220" w:hanging="402"/>
        <w:spacing w:after="0" w:line="260" w:lineRule="auto"/>
        <w:tabs>
          <w:tab w:leader="none" w:pos="123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 w:name="page11"/>
    <w:bookmarkEnd w:id="10"/>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23" w:lineRule="exact"/>
        <w:rPr>
          <w:rFonts w:ascii="Arial" w:cs="Arial" w:eastAsia="Arial" w:hAnsi="Arial"/>
          <w:sz w:val="18"/>
          <w:szCs w:val="18"/>
          <w:color w:val="auto"/>
        </w:rPr>
      </w:pPr>
    </w:p>
    <w:p>
      <w:pPr>
        <w:ind w:left="1220" w:hanging="402"/>
        <w:spacing w:after="0"/>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Sustaining capital expenditures represented less than 1% of total site rental revenues.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9" w:lineRule="exact"/>
        <w:rPr>
          <w:rFonts w:ascii="Arial" w:cs="Arial" w:eastAsia="Arial" w:hAnsi="Arial"/>
          <w:sz w:val="18"/>
          <w:szCs w:val="18"/>
          <w:color w:val="auto"/>
        </w:rPr>
      </w:pPr>
    </w:p>
    <w:p>
      <w:pPr>
        <w:ind w:left="1220" w:hanging="402"/>
        <w:spacing w:after="0" w:line="250" w:lineRule="auto"/>
        <w:tabs>
          <w:tab w:leader="none" w:pos="1216"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debt consists of $1.0 billion aggregate principal amount of 3.849% Secured Notes. See note 3 to our condensed consolidated financial statements.</w:t>
      </w: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$214.2 million. See </w:t>
      </w:r>
      <w:r>
        <w:rPr>
          <w:rFonts w:ascii="Arial" w:cs="Arial" w:eastAsia="Arial" w:hAnsi="Arial"/>
          <w:sz w:val="18"/>
          <w:szCs w:val="18"/>
          <w:i w:val="1"/>
          <w:iCs w:val="1"/>
          <w:color w:val="auto"/>
        </w:rPr>
        <w:t>"Item 2. MD&amp;A—Liquidity and Capital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(COVID-19)</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accordance with the U.S. Department of Homeland Security guidance issued in March 2020 designating telecommunications infrastructure and networks as critical infrastructure, we have continued our operations to ensure viability of communications networks, which are essential to public health and safety. We do not believe that COVID-19 had a material impact on our financial position, results of operations and cash flows during the six months ended June 30, 2021. We currently anticipate that we will be able to maintain sufficient liquidity as we manage through the current environment. See also </w:t>
      </w:r>
      <w:r>
        <w:rPr>
          <w:rFonts w:ascii="Arial" w:cs="Arial" w:eastAsia="Arial" w:hAnsi="Arial"/>
          <w:sz w:val="18"/>
          <w:szCs w:val="18"/>
          <w:i w:val="1"/>
          <w:iCs w:val="1"/>
          <w:color w:val="auto"/>
        </w:rPr>
        <w:t>"Item 2. MD&amp;A—Liquidity and Capital Resources—Liquidity Position."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Guarantor Subsidiaries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Summary financial information of certain of CCL’s wholly owned subsidiaries whose securities are pledged as collateral for our 3.849% Secured Notes is not provided in this Form 10-Q because the assets, liabilities and results of operations of the combined guarantors of the 3.849% Secured Notes and CCL affiliates whose securities are so pledged are not materially different than the corresponding amounts presented in CCL's condensed consolidated financial statements. Below is a description of certain material terms of the guarantees of the 3.849% Secured Notes and the pledge of the equity interests of the Guarantors (as defined below) that secures the 3.849% Secured Notes.</w:t>
      </w:r>
    </w:p>
    <w:p>
      <w:pPr>
        <w:spacing w:after="0" w:line="13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3.849% Secured Notes were co-issued by CCL and its wholly owned finance subsidiary, Crown Castle GS III Corp. ("Co-Issuer" and, together with CCL, "Issuers"), and are guaranteed by all direct and indirect wholly owned subsidiaries of CCL, other than Co-Issuer (collectively, "Guarantors"). Subject to the provisions of the Secured Notes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one of its subsidiaries,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Secured Notes Indenture or (4) upon the discharge of the Secured Notes Indenture in accordance with its terms.</w:t>
      </w:r>
    </w:p>
    <w:p>
      <w:pPr>
        <w:spacing w:after="0" w:line="12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CCL is a holding company with no significant operations or material assets other than the direct and indirect equity interests it holds in the Co-Issuer and the Guarantors. CCL conducts all of its business operations through the Guarantors. As a result, its ability to pay principal and interest on the 3.849% Secured Notes is dependent on the cash flow generated by the Guarantors and their ability to make such cash available to CCL by dividend or otherwise. The Guarantors' earnings will depend on their financial and operating performance, which will be affected by general economic, industry, financial, competitive, operating, legislative, regulatory and other factors beyond CCL's control. Any payments of dividends, distributions, loans or advances to CCL by the Guarantors could also be subject to restrictions on dividends under applicable local law in the jurisdictions in which the Guarantors operate. In the event that CCL does not receive distributions from the Guarantors, or to the extent that the earnings from, or other available assets of, the Guarantors are insufficient, CCL may be unable to make payments on the 3.849% Secured Notes. Furthermore, the Co-Issuer has no material assets and conducts no operations. Therefore, the Co-Issuer has no independent ability to service the interest and principal obligations under the 3.849% Secured Notes.</w:t>
      </w:r>
    </w:p>
    <w:p>
      <w:pPr>
        <w:spacing w:after="0" w:line="11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Pursuant to the Secured Notes Indenture, and the terms of a pledge and security agreement related thereto ("Pledge Agreement" and, together with the Secured Notes Indenture, "Notes Documents"), the 3.849% Secured Notes and the related guarantees are secured by perfected, first priority (subject to certain permitted liens set forth in the Secured Notes Indenture) pledges of the equity interests of each of the Guarantors and proceeds thereof. The 3.849% Secured Notes are not secured by any other assets, including any mortgage liens on properties.</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Pursuant to the terms of the Notes Documents, the trustee under the Secured Notes Indenture may pursue remedies under the Secured Notes Indenture, or pursue foreclosure proceedings on the collateral, following an event of default under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1" w:name="page12"/>
    <w:bookmarkEnd w:id="11"/>
    <w:p>
      <w:pPr>
        <w:jc w:val="both"/>
        <w:spacing w:after="0" w:line="273" w:lineRule="auto"/>
        <w:rPr>
          <w:sz w:val="20"/>
          <w:szCs w:val="20"/>
          <w:color w:val="auto"/>
        </w:rPr>
      </w:pPr>
      <w:r>
        <w:rPr>
          <w:rFonts w:ascii="Arial" w:cs="Arial" w:eastAsia="Arial" w:hAnsi="Arial"/>
          <w:sz w:val="17"/>
          <w:szCs w:val="17"/>
          <w:color w:val="auto"/>
        </w:rPr>
        <w:t>Secured Notes Indenture. However, unless a principal payment event of default or a bankruptcy event of default under the Secured Notes Indenture has occurred and is continuing or any other event has occurred that resulted in the acceleration of the 3.849% Secured Notes, the pledgors of such equity interests will receive any dividends and distributions on such pledged equity interests free and clear of the lien securing the 3.849% Secured Notes. Because the collateral consists of equity interests, its value is subject to fluctuations based on factors that include, among other things, general economic conditions and the ability to realize on the collateral as part of a going concern and in an orderly fashion to available and willing buyers and not under distressed circumstances. There is no trading market for the pledged equity interests.</w:t>
      </w:r>
    </w:p>
    <w:p>
      <w:pPr>
        <w:spacing w:after="0" w:line="12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Under the terms of the Notes Documents, the Issuers and the Guarantors will be entitled to the release of the collateral from the liens securing the 3.849% Secured Notes under one or more circumstances, including (1) to enable the Issuers or any subsidiary to consummate the disposition of such collateral as described under the asset sale covenant of the Secured Notes Indenture; (2) as permitted under the amendment provisions of the Secured Notes Indenture; or (3) as otherwise provided in the Pledge Agreement. Upon the release of any subsidiary from its guarantee, if any, in accordance with the terms of the Secured Notes Indenture, the lien on any collateral held by such Guarantor and the lien on any pledged equity interests issued by such Guarantor will automatically terminate. In addition, upon the occurrence of (i) payment in full of the 3.849% Secured Notes and any other payment obligations under the Notes Documents, together with accrued and unpaid interest, or (ii) a defeasance or discharge of the Secured Notes Indenture as provided in the Secured Notes Indenture, the liens on all collateral created under the Pledge Agreement will terminate.</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foregoing description of the Notes Documents is qualified in its entirety by the terms of the Secured Notes Indenture and the Pledge Agreement, which are incorporated by reference as Exhibit 4.1 and Exhibit 4.2, respectively, to our 2020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discussion of our results of operations should be read in conjunction with our condensed consolidated financial statements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Form 10-K.</w:t>
      </w:r>
    </w:p>
    <w:p>
      <w:pPr>
        <w:spacing w:after="0" w:line="15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The following discussion of our results of operations is based on our condensed consolidated financial statements prepared in accordance with GAAP which requires us to make estimates and judgments that affect the reported amounts (see </w:t>
      </w:r>
      <w:r>
        <w:rPr>
          <w:rFonts w:ascii="Arial" w:cs="Arial" w:eastAsia="Arial" w:hAnsi="Arial"/>
          <w:sz w:val="18"/>
          <w:szCs w:val="18"/>
          <w:i w:val="1"/>
          <w:iCs w:val="1"/>
          <w:color w:val="auto"/>
        </w:rPr>
        <w:t>"Item 2. MD&amp;A—Accounting and Reporting Matters—Critical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and Estimates" </w:t>
      </w:r>
      <w:r>
        <w:rPr>
          <w:rFonts w:ascii="Arial" w:cs="Arial" w:eastAsia="Arial" w:hAnsi="Arial"/>
          <w:sz w:val="18"/>
          <w:szCs w:val="18"/>
          <w:color w:val="auto"/>
        </w:rPr>
        <w:t>herein and note 2 to the 2020 Form 10-K).</w:t>
      </w:r>
    </w:p>
    <w:p>
      <w:pPr>
        <w:sectPr>
          <w:pgSz w:w="11900" w:h="16838" w:orient="portrait"/>
          <w:cols w:equalWidth="0" w:num="1">
            <w:col w:w="11240"/>
          </w:cols>
          <w:pgMar w:left="320" w:top="13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type w:val="continuous"/>
        </w:sectPr>
      </w:pPr>
    </w:p>
    <w:bookmarkStart w:id="12" w:name="page13"/>
    <w:bookmarkEnd w:id="12"/>
    <w:p>
      <w:pPr>
        <w:ind w:left="420"/>
        <w:spacing w:after="0"/>
        <w:rPr>
          <w:sz w:val="20"/>
          <w:szCs w:val="20"/>
          <w:color w:val="auto"/>
        </w:rPr>
      </w:pPr>
      <w:r>
        <w:rPr>
          <w:rFonts w:ascii="Arial" w:cs="Arial" w:eastAsia="Arial" w:hAnsi="Arial"/>
          <w:sz w:val="18"/>
          <w:szCs w:val="18"/>
          <w:color w:val="auto"/>
        </w:rPr>
        <w:t>Highlights of our results of operations for the three and six months ended June 30, 2021 and 2020 are depicted below.</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8"/>
        </w:trPr>
        <w:tc>
          <w:tcPr>
            <w:tcW w:w="63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of dollars)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Percent Change</w:t>
            </w:r>
          </w:p>
        </w:tc>
      </w:tr>
      <w:tr>
        <w:trPr>
          <w:trHeight w:val="197"/>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Site rental revenues: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3"/>
        </w:trPr>
        <w:tc>
          <w:tcPr>
            <w:tcW w:w="6300" w:type="dxa"/>
            <w:vAlign w:val="bottom"/>
          </w:tcPr>
          <w:p>
            <w:pPr>
              <w:ind w:left="200"/>
              <w:spacing w:after="0"/>
              <w:rPr>
                <w:sz w:val="20"/>
                <w:szCs w:val="20"/>
                <w:color w:val="auto"/>
              </w:rPr>
            </w:pPr>
            <w:r>
              <w:rPr>
                <w:rFonts w:ascii="Arial" w:cs="Arial" w:eastAsia="Arial" w:hAnsi="Arial"/>
                <w:sz w:val="16"/>
                <w:szCs w:val="16"/>
                <w:color w:val="auto"/>
              </w:rPr>
              <w:t>Revenues from tenant contracts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185,742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171,304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8 %</w:t>
            </w:r>
          </w:p>
        </w:tc>
      </w:tr>
      <w:tr>
        <w:trPr>
          <w:trHeight w:val="219"/>
        </w:trPr>
        <w:tc>
          <w:tcPr>
            <w:tcW w:w="6300" w:type="dxa"/>
            <w:vAlign w:val="bottom"/>
            <w:shd w:val="clear" w:color="auto" w:fill="CCEEFF"/>
          </w:tcPr>
          <w:p>
            <w:pPr>
              <w:ind w:left="200"/>
              <w:spacing w:after="0" w:line="219" w:lineRule="exact"/>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6300" w:type="dxa"/>
            <w:vAlign w:val="bottom"/>
          </w:tcPr>
          <w:p>
            <w:pPr>
              <w:ind w:left="460"/>
              <w:spacing w:after="0"/>
              <w:rPr>
                <w:sz w:val="20"/>
                <w:szCs w:val="20"/>
                <w:color w:val="auto"/>
              </w:rPr>
            </w:pPr>
            <w:r>
              <w:rPr>
                <w:rFonts w:ascii="Arial" w:cs="Arial" w:eastAsia="Arial" w:hAnsi="Arial"/>
                <w:sz w:val="16"/>
                <w:szCs w:val="16"/>
                <w:color w:val="auto"/>
              </w:rPr>
              <w:t>Total site rental revenues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200,392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186,073</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8 %</w:t>
            </w:r>
          </w:p>
        </w:tc>
      </w:tr>
      <w:tr>
        <w:trPr>
          <w:trHeight w:val="219"/>
        </w:trPr>
        <w:tc>
          <w:tcPr>
            <w:tcW w:w="6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6300" w:type="dxa"/>
            <w:vAlign w:val="bottom"/>
            <w:shd w:val="clear" w:color="auto" w:fill="CCEEFF"/>
          </w:tcPr>
          <w:p>
            <w:pPr>
              <w:spacing w:after="0" w:line="219" w:lineRule="exact"/>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(b)</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38,689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3"/>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Ground rent expenses—related parties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11,508</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4 %</w:t>
            </w:r>
          </w:p>
        </w:tc>
      </w:tr>
      <w:tr>
        <w:trPr>
          <w:trHeight w:val="213"/>
        </w:trPr>
        <w:tc>
          <w:tcPr>
            <w:tcW w:w="6300" w:type="dxa"/>
            <w:vAlign w:val="bottom"/>
            <w:shd w:val="clear" w:color="auto" w:fill="CCEEFF"/>
          </w:tcPr>
          <w:p>
            <w:pPr>
              <w:spacing w:after="0" w:line="213" w:lineRule="exact"/>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(b)</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50,197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Management fee—related party</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12,790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5 %</w:t>
            </w:r>
          </w:p>
        </w:tc>
      </w:tr>
      <w:tr>
        <w:trPr>
          <w:trHeight w:val="219"/>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Asset write-down charges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Depreciation, amortization and accretion</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52,744</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6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115,731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Operating income (loss)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82,863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70,342</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18 %</w:t>
            </w:r>
          </w:p>
        </w:tc>
      </w:tr>
      <w:tr>
        <w:trPr>
          <w:trHeight w:val="219"/>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and amortization of deferred financing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income (expense)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60,445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13"/>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60,339</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508"/>
        </w:trPr>
        <w:tc>
          <w:tcPr>
            <w:tcW w:w="6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6"/>
        </w:trPr>
        <w:tc>
          <w:tcPr>
            <w:tcW w:w="6300" w:type="dxa"/>
            <w:vAlign w:val="bottom"/>
          </w:tcPr>
          <w:p>
            <w:pPr>
              <w:spacing w:after="0"/>
              <w:rPr>
                <w:sz w:val="20"/>
                <w:szCs w:val="20"/>
                <w:color w:val="auto"/>
              </w:rPr>
            </w:pPr>
            <w:r>
              <w:rPr>
                <w:rFonts w:ascii="Arial" w:cs="Arial" w:eastAsia="Arial" w:hAnsi="Arial"/>
                <w:sz w:val="14"/>
                <w:szCs w:val="14"/>
                <w:i w:val="1"/>
                <w:iCs w:val="1"/>
                <w:color w:val="auto"/>
              </w:rPr>
              <w:t>(In thousands of dollars)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Percent Change</w:t>
            </w:r>
          </w:p>
        </w:tc>
      </w:tr>
      <w:tr>
        <w:trPr>
          <w:trHeight w:val="196"/>
        </w:trPr>
        <w:tc>
          <w:tcPr>
            <w:tcW w:w="6300" w:type="dxa"/>
            <w:vAlign w:val="bottom"/>
          </w:tcPr>
          <w:p>
            <w:pPr>
              <w:spacing w:after="0"/>
              <w:rPr>
                <w:sz w:val="20"/>
                <w:szCs w:val="20"/>
                <w:color w:val="auto"/>
              </w:rPr>
            </w:pPr>
            <w:r>
              <w:rPr>
                <w:rFonts w:ascii="Arial" w:cs="Arial" w:eastAsia="Arial" w:hAnsi="Arial"/>
                <w:sz w:val="16"/>
                <w:szCs w:val="16"/>
                <w:color w:val="auto"/>
              </w:rPr>
              <w:t>Site rental revenues: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9"/>
        </w:trPr>
        <w:tc>
          <w:tcPr>
            <w:tcW w:w="6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Revenues from tenant contracts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343,693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16"/>
        </w:trPr>
        <w:tc>
          <w:tcPr>
            <w:tcW w:w="6300" w:type="dxa"/>
            <w:vAlign w:val="bottom"/>
            <w:tcBorders>
              <w:bottom w:val="single" w:sz="8" w:color="CCEEFF"/>
            </w:tcBorders>
          </w:tcPr>
          <w:p>
            <w:pPr>
              <w:ind w:left="200"/>
              <w:spacing w:after="0" w:line="216" w:lineRule="exact"/>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28,821</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3 %</w:t>
            </w:r>
          </w:p>
        </w:tc>
      </w:tr>
      <w:tr>
        <w:trPr>
          <w:trHeight w:val="209"/>
        </w:trPr>
        <w:tc>
          <w:tcPr>
            <w:tcW w:w="6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site rental revenues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372,514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16"/>
        </w:trPr>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line="216" w:lineRule="exact"/>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(b)</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77,677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76,516</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Ground rent expenses—related parties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10"/>
        </w:trPr>
        <w:tc>
          <w:tcPr>
            <w:tcW w:w="6300" w:type="dxa"/>
            <w:vAlign w:val="bottom"/>
          </w:tcPr>
          <w:p>
            <w:pPr>
              <w:spacing w:after="0" w:line="210" w:lineRule="exact"/>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(b)</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101,403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99,305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Management fee—related party</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Asset write-down charges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Depreciation, amortization and accretion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105,090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6"/>
        </w:trPr>
        <w:tc>
          <w:tcPr>
            <w:tcW w:w="63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234,188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230,331</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2 %</w:t>
            </w:r>
          </w:p>
        </w:tc>
      </w:tr>
      <w:tr>
        <w:trPr>
          <w:trHeight w:val="213"/>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142,183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Interest expense and amortization of deferred financing costs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(19,937)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(19,937)</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630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137,549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122,332</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12 %</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137,350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122,120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12 %</w:t>
            </w:r>
          </w:p>
        </w:tc>
      </w:tr>
      <w:tr>
        <w:trPr>
          <w:trHeight w:val="20"/>
        </w:trPr>
        <w:tc>
          <w:tcPr>
            <w:tcW w:w="6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1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204"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Percentage is not meaningful.</w:t>
      </w:r>
    </w:p>
    <w:p>
      <w:pPr>
        <w:spacing w:after="0" w:line="13" w:lineRule="exact"/>
        <w:rPr>
          <w:sz w:val="20"/>
          <w:szCs w:val="20"/>
          <w:color w:val="auto"/>
        </w:rPr>
      </w:pPr>
    </w:p>
    <w:p>
      <w:pPr>
        <w:ind w:left="340" w:hanging="332"/>
        <w:spacing w:after="0" w:line="241" w:lineRule="auto"/>
        <w:tabs>
          <w:tab w:leader="none" w:pos="337"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tower installation and modification transactions described in note 4 to our condensed consolidated financial statements that result in permanent improvements to our towers. We receive no cash from, and are not party to, such transactions.</w:t>
      </w: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3" w:name="page14"/>
    <w:bookmarkEnd w:id="13"/>
    <w:p>
      <w:pPr>
        <w:ind w:left="420"/>
        <w:spacing w:after="0"/>
        <w:rPr>
          <w:sz w:val="20"/>
          <w:szCs w:val="20"/>
          <w:color w:val="auto"/>
        </w:rPr>
      </w:pPr>
      <w:r>
        <w:rPr>
          <w:rFonts w:ascii="Arial" w:cs="Arial" w:eastAsia="Arial" w:hAnsi="Arial"/>
          <w:sz w:val="18"/>
          <w:szCs w:val="18"/>
          <w:i w:val="1"/>
          <w:iCs w:val="1"/>
          <w:color w:val="auto"/>
        </w:rPr>
        <w:t>Second Quarter 2021 and 2020</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Total site rental revenues for the three months ended June 30, 2021 increased by $14.3 million, or 8%, from the same period in the prior year. The increase in total site rental revenues was impacted by the following items, inclusive of straight-line accounting: tenant additions across our entire portfolio, renewals or extensions of tenant contracts and escalations offset by non-renewals of tenant contracts. Tenant additions were influenced by our tenants' ongoing efforts to improve network quality and capacity.</w:t>
      </w:r>
    </w:p>
    <w:p>
      <w:pPr>
        <w:spacing w:after="0" w:line="1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Operating income for the three months ended June 30, 2021 increased by $12.5 million, or 18%, from the same period in the prior year. The increase in operating income was primarily due to the aforementioned increase in total site rental revenues, partially offset by an increase in the cost of operations from the three months ended June 30, 2020.</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for the three months ended June 30, 2021 remained unchanged from the same period in the prior year.</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income for the three months ended June 30, 2021 was $72.9 million, compared to net income of $60.3 million for the three months ended June 30, 2020. The increase was primarily due to the aforementioned increase in total site rental revenues.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First Six Months 2021 and 2020</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Total site rental revenues for the six months ended June 30, 2021 increased by $19.1 million, or 5%, from the same period in the prior year. The increase in site rental revenues was impacted by the following items, inclusive of straight-line accounting: new tenant additions across our entire portfolio, renewals or extensions of tenant leases and escalations offset by non-renewal of tenant contracts. Tenant additions were influenced by our tenants' ongoing efforts to improve network quality and capacity.</w:t>
      </w:r>
    </w:p>
    <w:p>
      <w:pPr>
        <w:spacing w:after="0" w:line="1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Operating income for the six months ended June 30, 2021 increased by $15.2 million, or 11%, from the same period in the prior year. The increase in operating income was predominately due to the aforementioned increase in site rental revenues, partially offset by an increase in the cost of operations from the six months ended June 30, 2020.</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for the six months ended June 30, 2021 remained unchanged from the same period in the prior year.</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income for the six months ended June 30, 2021 was $137.4 million compared to net income of $122.1 million for the six months ended June 30, 2020. The increase was due primarily to the aforementioned increase in site rental revenues.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core business generates revenues under long-term tenant contracts (See</w:t>
      </w:r>
      <w:r>
        <w:rPr>
          <w:rFonts w:ascii="Arial" w:cs="Arial" w:eastAsia="Arial" w:hAnsi="Arial"/>
          <w:sz w:val="17"/>
          <w:szCs w:val="17"/>
          <w:i w:val="1"/>
          <w:iCs w:val="1"/>
          <w:color w:val="auto"/>
        </w:rPr>
        <w:t xml:space="preserve"> "Item 2. MD&amp;A—General Overview"</w:t>
      </w:r>
      <w:r>
        <w:rPr>
          <w:rFonts w:ascii="Arial" w:cs="Arial" w:eastAsia="Arial" w:hAnsi="Arial"/>
          <w:sz w:val="17"/>
          <w:szCs w:val="17"/>
          <w:color w:val="auto"/>
        </w:rPr>
        <w:t>), from the largest U.S.</w:t>
      </w:r>
      <w:r>
        <w:rPr>
          <w:rFonts w:ascii="Arial" w:cs="Arial" w:eastAsia="Arial" w:hAnsi="Arial"/>
          <w:sz w:val="17"/>
          <w:szCs w:val="17"/>
          <w:i w:val="1"/>
          <w:iCs w:val="1"/>
          <w:color w:val="auto"/>
        </w:rPr>
        <w:t xml:space="preserve"> </w:t>
      </w:r>
      <w:r>
        <w:rPr>
          <w:rFonts w:ascii="Arial" w:cs="Arial" w:eastAsia="Arial" w:hAnsi="Arial"/>
          <w:sz w:val="17"/>
          <w:szCs w:val="17"/>
          <w:color w:val="auto"/>
        </w:rPr>
        <w:t>wireless carriers. Historically, our net cash provided by operating activities has exceeded our capital expenditures. For the foreseeable future, we expect to generate net cash provided by operating activities (exclusive of movements in working capital) that exceeds our capital expenditures. We seek to allocate the net cash generated from our business in a manner that we believe drives value for our member.</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From a cash management perspective, we currently distribute cash on hand to our member above amounts required pursuant to the Management Agreement. If any future event would occur that would leave us with a deficiency in our operating cash flow, while not required, CCIC may contribute cash back to us.</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REIT for U.S. federal income tax purposes. For U.S. federal income tax purposes, our assets and operations are included in the CCIC REIT. We expect to continue to pay minimal cash income taxes as a result of CCIC's REIT status and NOLs.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June 30, 2021:</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of dollars)</w:t>
            </w: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June 30, 2021</w:t>
            </w:r>
          </w:p>
        </w:tc>
      </w:tr>
      <w:tr>
        <w:trPr>
          <w:trHeight w:val="215"/>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22,499</w:t>
            </w:r>
          </w:p>
        </w:tc>
      </w:tr>
      <w:tr>
        <w:trPr>
          <w:trHeight w:val="213"/>
        </w:trPr>
        <w:tc>
          <w:tcPr>
            <w:tcW w:w="8920" w:type="dxa"/>
            <w:vAlign w:val="bottom"/>
          </w:tcPr>
          <w:p>
            <w:pPr>
              <w:ind w:left="20"/>
              <w:spacing w:after="0"/>
              <w:rPr>
                <w:sz w:val="20"/>
                <w:szCs w:val="20"/>
                <w:color w:val="auto"/>
              </w:rPr>
            </w:pPr>
            <w:r>
              <w:rPr>
                <w:rFonts w:ascii="Arial" w:cs="Arial" w:eastAsia="Arial" w:hAnsi="Arial"/>
                <w:sz w:val="16"/>
                <w:szCs w:val="16"/>
                <w:color w:val="auto"/>
              </w:rPr>
              <w:t>Debt</w:t>
            </w:r>
          </w:p>
        </w:tc>
        <w:tc>
          <w:tcPr>
            <w:tcW w:w="4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997,507</w:t>
            </w:r>
          </w:p>
        </w:tc>
      </w:tr>
      <w:tr>
        <w:trPr>
          <w:trHeight w:val="219"/>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member's equity</w:t>
            </w: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1,874,753</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4" w:name="page15"/>
    <w:bookmarkEnd w:id="14"/>
    <w:p>
      <w:pPr>
        <w:ind w:left="420"/>
        <w:spacing w:after="0"/>
        <w:rPr>
          <w:sz w:val="20"/>
          <w:szCs w:val="20"/>
          <w:color w:val="auto"/>
        </w:rPr>
      </w:pPr>
      <w:r>
        <w:rPr>
          <w:rFonts w:ascii="Arial" w:cs="Arial" w:eastAsia="Arial" w:hAnsi="Arial"/>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no scheduled contractual debt maturities.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our condensed consolidated financial statements for additional information regarding our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8"/>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of dollars)</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Change</w:t>
            </w:r>
          </w:p>
        </w:tc>
      </w:tr>
      <w:tr>
        <w:trPr>
          <w:trHeight w:val="19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for):</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940" w:type="dxa"/>
            <w:vAlign w:val="bottom"/>
          </w:tcPr>
          <w:p>
            <w:pPr>
              <w:ind w:left="48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214,209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233,770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(19,561)</w:t>
            </w:r>
          </w:p>
        </w:tc>
      </w:tr>
      <w:tr>
        <w:trPr>
          <w:trHeight w:val="219"/>
        </w:trPr>
        <w:tc>
          <w:tcPr>
            <w:tcW w:w="6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18,992</w:t>
            </w:r>
          </w:p>
        </w:tc>
      </w:tr>
      <w:tr>
        <w:trPr>
          <w:trHeight w:val="213"/>
        </w:trPr>
        <w:tc>
          <w:tcPr>
            <w:tcW w:w="69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Financing activities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(199,548)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(196,698)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w:t>
            </w:r>
          </w:p>
        </w:tc>
      </w:tr>
      <w:tr>
        <w:trPr>
          <w:trHeight w:val="23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5,060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decrease in net cash provided by operating activities for the first six months of 2021 of $19.6 million, or 8%, from the first six months of 2020, was primarily due to a net decrease in working capital partially offset by growth in cash revenues, including cash escalations that are subject to straight-line accounting. Changes in working capital contribute to variability in net cash provided by operating activities, largely due to the timing of advanced payments by us and advanced receipts from tenants.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316" w:lineRule="auto"/>
        <w:rPr>
          <w:sz w:val="20"/>
          <w:szCs w:val="20"/>
          <w:color w:val="auto"/>
        </w:rPr>
      </w:pPr>
      <w:r>
        <w:rPr>
          <w:rFonts w:ascii="Arial" w:cs="Arial" w:eastAsia="Arial" w:hAnsi="Arial"/>
          <w:sz w:val="16"/>
          <w:szCs w:val="16"/>
          <w:color w:val="auto"/>
        </w:rPr>
        <w:t>Our capital expenditures are primarily recorded as a result of tower installation and modification services performed by CCUSA that result in permanent improvements to our towers. We receive no cash from, and are not party to, such transactions. Such capital expenditures include the following:</w:t>
      </w:r>
    </w:p>
    <w:p>
      <w:pPr>
        <w:spacing w:after="0" w:line="2" w:lineRule="exact"/>
        <w:rPr>
          <w:sz w:val="20"/>
          <w:szCs w:val="20"/>
          <w:color w:val="auto"/>
        </w:rPr>
      </w:pPr>
    </w:p>
    <w:p>
      <w:pPr>
        <w:jc w:val="both"/>
        <w:ind w:left="1140" w:hanging="241"/>
        <w:spacing w:after="0" w:line="269" w:lineRule="auto"/>
        <w:tabs>
          <w:tab w:leader="none" w:pos="11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Discretionary capital expenditures primarily consist of expansion or development of sites (including capital expenditures related to (1) enhancing sites in order to add new tenants for the first time or support subsequent tenant equipment augmentations, or (2) modifying the structure of a site asset to accommodate additional tenants). Discretionary capital expenditures also include purchases of land interests (which primarily relate to land assets under towers as CCIC seeks to manage its interests in the land beneath its towers), certain technology-related investments necessary to support and scale future tenant demand for our sites, and other capital projects. The expansion or development of existing sites to accommodate new leasing typically varies based on, among other factors: (1) the type of site, (2) the scope, volume and mix of work performed on the site, (3) existing capacity prior to installation or (4) changes in structural engineering regulations and standards. Our decisions regarding discretionary capital expenditures are influenced by (1) sufficient potential to enhance CCIC's long-term stockholder value, (2) CCIC's availability and cost of capital and (3) CCIC's expected returns on alternative uses of cash, such as payments of dividends and investments.</w:t>
      </w:r>
    </w:p>
    <w:p>
      <w:pPr>
        <w:spacing w:after="0" w:line="23" w:lineRule="exact"/>
        <w:rPr>
          <w:rFonts w:ascii="Arial" w:cs="Arial" w:eastAsia="Arial" w:hAnsi="Arial"/>
          <w:sz w:val="17"/>
          <w:szCs w:val="17"/>
          <w:color w:val="auto"/>
        </w:rPr>
      </w:pPr>
    </w:p>
    <w:p>
      <w:pPr>
        <w:ind w:left="1140" w:hanging="241"/>
        <w:spacing w:after="0" w:line="277" w:lineRule="auto"/>
        <w:tabs>
          <w:tab w:leader="none" w:pos="1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Sustaining capital expenditures consist of maintenance capital expenditures on our sites that enable our tenants' ongoing quiet enjoyment of the site.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 expenditures for the six months ended June 30, 2021 and 2020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8"/>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of dollars)</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Change</w:t>
            </w:r>
          </w:p>
        </w:tc>
      </w:tr>
      <w:tr>
        <w:trPr>
          <w:trHeight w:val="211"/>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(18,761)</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Sustaining</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r>
      <w:tr>
        <w:trPr>
          <w:trHeight w:val="234"/>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9,601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28,593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(18,992)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5" w:name="page16"/>
    <w:bookmarkEnd w:id="15"/>
    <w:p>
      <w:pPr>
        <w:jc w:val="both"/>
        <w:ind w:firstLine="405"/>
        <w:spacing w:after="0" w:line="277" w:lineRule="auto"/>
        <w:rPr>
          <w:sz w:val="20"/>
          <w:szCs w:val="20"/>
          <w:color w:val="auto"/>
        </w:rPr>
      </w:pPr>
      <w:r>
        <w:rPr>
          <w:rFonts w:ascii="Arial" w:cs="Arial" w:eastAsia="Arial" w:hAnsi="Arial"/>
          <w:sz w:val="18"/>
          <w:szCs w:val="18"/>
          <w:color w:val="auto"/>
        </w:rPr>
        <w:t>Discretionary capital expenditures were primarily impacted by the timing of tenant activity during the first six months of 2021 compared to the same period in 2020.</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net cash flows used for financing activities during the six months ended June 30, 2021 and 2020 were impacted by our continued practice of distributing excess cash to our member.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Secured Notes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See the 2020 Form 10-K for a discussion of the 2012 Secured Notes, debt restrictions and disclosures about market risk. There are no financial maintenance covenants in the Secured Notes Indenture. We are currently not restricted in our ability to incur additional indebtedness or distribute cash to affiliates or issue dividends to our member.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In many cases, the accounting treatment of a particular transaction is specifically prescribed by GAAP. In other cases, management is required to exercise judgment in the application of accounting principles with respect to particular transactions. The critical accounting policies and estimates for 2021 are not intended to be a comprehensive list of our accounting policies and estimates. Our critical accounting policies and estimates as of December 31, 2020 are described in </w:t>
      </w:r>
      <w:r>
        <w:rPr>
          <w:rFonts w:ascii="Arial" w:cs="Arial" w:eastAsia="Arial" w:hAnsi="Arial"/>
          <w:sz w:val="18"/>
          <w:szCs w:val="18"/>
          <w:i w:val="1"/>
          <w:iCs w:val="1"/>
          <w:color w:val="auto"/>
        </w:rPr>
        <w:t>"Item 7. MD&amp;A—Accounting and Reporting Matters"</w:t>
      </w:r>
      <w:r>
        <w:rPr>
          <w:rFonts w:ascii="Arial" w:cs="Arial" w:eastAsia="Arial" w:hAnsi="Arial"/>
          <w:sz w:val="18"/>
          <w:szCs w:val="18"/>
          <w:color w:val="auto"/>
        </w:rPr>
        <w:t xml:space="preserve"> and in note 2 of our consolidated financial statements in the 2020 Form 10-K.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Company conducted an evaluation, under the supervision and with the participation of the Company's management, including the Company's Chief Executive Officer ("CEO") and Chief Financial Officer ("CFO"), of the effectiveness of the Company's disclosure controls and procedures as of the end of the period covered by this report. Based on their evaluation, the CEO and CFO concluded that as of June 30, 2021, the Company's disclosure controls and procedures were effective in alerting them in a timely manner to material information relating to the Company required to be included in the Company's periodic reports under the Securities Exchange Act of 1934, as amended.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covered by this Form 10-Q that have materially affected, or are reasonably likely to materially affect, the Company's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the disclosure in note 7 to our condensed consolidated financial statements set forth in Part I, Item 1 of this Form 10-Q.</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There are no material changes to the risk factors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the 2020 Form 10-K.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9880" w:type="dxa"/>
            <w:vAlign w:val="bottom"/>
            <w:gridSpan w:val="11"/>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20" w:type="dxa"/>
            <w:vAlign w:val="bottom"/>
            <w:gridSpan w:val="8"/>
          </w:tcPr>
          <w:p>
            <w:pPr>
              <w:ind w:left="2040"/>
              <w:spacing w:after="0"/>
              <w:rPr>
                <w:sz w:val="20"/>
                <w:szCs w:val="20"/>
                <w:color w:val="auto"/>
              </w:rPr>
            </w:pPr>
            <w:r>
              <w:rPr>
                <w:rFonts w:ascii="Arial" w:cs="Arial" w:eastAsia="Arial" w:hAnsi="Arial"/>
                <w:sz w:val="18"/>
                <w:szCs w:val="18"/>
                <w:b w:val="1"/>
                <w:bCs w:val="1"/>
                <w:color w:val="auto"/>
              </w:rPr>
              <w:t>Exhibit Index</w:t>
            </w:r>
          </w:p>
        </w:tc>
      </w:tr>
      <w:tr>
        <w:trPr>
          <w:trHeight w:val="331"/>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56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4820" w:type="dxa"/>
            <w:vAlign w:val="bottom"/>
            <w:gridSpan w:val="6"/>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440" w:type="dxa"/>
            <w:vAlign w:val="bottom"/>
          </w:tcPr>
          <w:p>
            <w:pPr>
              <w:ind w:left="8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320" w:type="dxa"/>
            <w:vAlign w:val="bottom"/>
            <w:gridSpan w:val="10"/>
          </w:tcPr>
          <w:p>
            <w:pPr>
              <w:spacing w:after="0"/>
              <w:rPr>
                <w:rFonts w:ascii="Arial" w:cs="Arial" w:eastAsia="Arial" w:hAnsi="Arial"/>
                <w:sz w:val="18"/>
                <w:szCs w:val="18"/>
                <w:color w:val="0000FF"/>
              </w:rPr>
            </w:pPr>
            <w:hyperlink r:id="rId29">
              <w:r>
                <w:rPr>
                  <w:rFonts w:ascii="Arial" w:cs="Arial" w:eastAsia="Arial" w:hAnsi="Arial"/>
                  <w:sz w:val="18"/>
                  <w:szCs w:val="18"/>
                  <w:color w:val="0000FF"/>
                </w:rPr>
                <w:t>Certificate of Formation, as amended, of CC Holdings GS V LLC</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340" w:type="dxa"/>
            <w:vAlign w:val="bottom"/>
            <w:gridSpan w:val="3"/>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440" w:type="dxa"/>
            <w:vAlign w:val="bottom"/>
          </w:tcPr>
          <w:p>
            <w:pPr>
              <w:ind w:left="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140" w:type="dxa"/>
            <w:vAlign w:val="bottom"/>
            <w:tcBorders>
              <w:bottom w:val="single" w:sz="8" w:color="0000FF"/>
            </w:tcBorders>
            <w:gridSpan w:val="8"/>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Second Amended and Restated Limited Liability Company Agreement of CC Holdings GS V LLC</w:t>
              </w:r>
            </w:hyperlink>
          </w:p>
        </w:tc>
        <w:tc>
          <w:tcPr>
            <w:tcW w:w="2180" w:type="dxa"/>
            <w:vAlign w:val="bottom"/>
            <w:gridSpan w:val="2"/>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440" w:type="dxa"/>
            <w:vAlign w:val="bottom"/>
          </w:tcPr>
          <w:p>
            <w:pPr>
              <w:ind w:left="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0" w:type="dxa"/>
            <w:vAlign w:val="bottom"/>
            <w:tcBorders>
              <w:bottom w:val="single" w:sz="8" w:color="0000FF"/>
            </w:tcBorders>
            <w:gridSpan w:val="2"/>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List of Subsidiaries</w:t>
              </w:r>
            </w:hyperlink>
          </w:p>
        </w:tc>
        <w:tc>
          <w:tcPr>
            <w:tcW w:w="7920" w:type="dxa"/>
            <w:vAlign w:val="bottom"/>
            <w:gridSpan w:val="8"/>
          </w:tcPr>
          <w:p>
            <w:pPr>
              <w:spacing w:after="0"/>
              <w:rPr>
                <w:sz w:val="22"/>
                <w:szCs w:val="22"/>
                <w:color w:val="auto"/>
              </w:rPr>
            </w:pPr>
          </w:p>
        </w:tc>
      </w:tr>
      <w:tr>
        <w:trPr>
          <w:trHeight w:val="263"/>
        </w:trPr>
        <w:tc>
          <w:tcPr>
            <w:tcW w:w="4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ind w:left="80"/>
              <w:spacing w:after="0"/>
              <w:rPr>
                <w:sz w:val="20"/>
                <w:szCs w:val="20"/>
                <w:color w:val="auto"/>
              </w:rPr>
            </w:pPr>
            <w:r>
              <w:rPr>
                <w:rFonts w:ascii="Arial" w:cs="Arial" w:eastAsia="Arial" w:hAnsi="Arial"/>
                <w:sz w:val="18"/>
                <w:szCs w:val="18"/>
                <w:color w:val="auto"/>
                <w:w w:val="96"/>
              </w:rPr>
              <w:t>31.1</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92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19">
              <w:r>
                <w:rPr>
                  <w:rFonts w:ascii="Arial" w:cs="Arial" w:eastAsia="Arial" w:hAnsi="Arial"/>
                  <w:sz w:val="18"/>
                  <w:szCs w:val="18"/>
                  <w:color w:val="0000FF"/>
                  <w:w w:val="92"/>
                </w:rPr>
                <w:t>Certification of Chief Executive Officer pursuant to Section 302 of Sarbanes-Oxley Act of 2002</w:t>
              </w:r>
            </w:hyperlink>
          </w:p>
        </w:tc>
        <w:tc>
          <w:tcPr>
            <w:tcW w:w="2400" w:type="dxa"/>
            <w:vAlign w:val="bottom"/>
            <w:gridSpan w:val="3"/>
          </w:tcPr>
          <w:p>
            <w:pPr>
              <w:spacing w:after="0"/>
              <w:rPr>
                <w:sz w:val="22"/>
                <w:szCs w:val="22"/>
                <w:color w:val="auto"/>
              </w:rPr>
            </w:pPr>
          </w:p>
        </w:tc>
      </w:tr>
      <w:tr>
        <w:trPr>
          <w:trHeight w:val="263"/>
        </w:trPr>
        <w:tc>
          <w:tcPr>
            <w:tcW w:w="4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ind w:left="80"/>
              <w:spacing w:after="0"/>
              <w:rPr>
                <w:sz w:val="20"/>
                <w:szCs w:val="20"/>
                <w:color w:val="auto"/>
              </w:rPr>
            </w:pPr>
            <w:r>
              <w:rPr>
                <w:rFonts w:ascii="Arial" w:cs="Arial" w:eastAsia="Arial" w:hAnsi="Arial"/>
                <w:sz w:val="18"/>
                <w:szCs w:val="18"/>
                <w:color w:val="auto"/>
                <w:w w:val="96"/>
              </w:rPr>
              <w:t>31.2</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320" w:type="dxa"/>
            <w:vAlign w:val="bottom"/>
            <w:gridSpan w:val="10"/>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Certification of Chief Financial Officer pursuant to Section 302 of Sarbanes-Oxley Act of 2002</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60" w:type="dxa"/>
            <w:vAlign w:val="bottom"/>
            <w:gridSpan w:val="6"/>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80"/>
              <w:spacing w:after="0"/>
              <w:rPr>
                <w:sz w:val="20"/>
                <w:szCs w:val="20"/>
                <w:color w:val="auto"/>
              </w:rPr>
            </w:pPr>
            <w:r>
              <w:rPr>
                <w:rFonts w:ascii="Arial" w:cs="Arial" w:eastAsia="Arial" w:hAnsi="Arial"/>
                <w:sz w:val="18"/>
                <w:szCs w:val="18"/>
                <w:color w:val="auto"/>
                <w:w w:val="96"/>
              </w:rPr>
              <w:t>32.1</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320" w:type="dxa"/>
            <w:vAlign w:val="bottom"/>
            <w:gridSpan w:val="10"/>
          </w:tcPr>
          <w:p>
            <w:pPr>
              <w:spacing w:after="0"/>
              <w:rPr>
                <w:rFonts w:ascii="Arial" w:cs="Arial" w:eastAsia="Arial" w:hAnsi="Arial"/>
                <w:sz w:val="18"/>
                <w:szCs w:val="18"/>
                <w:color w:val="0000FF"/>
                <w:w w:val="96"/>
              </w:rPr>
            </w:pPr>
            <w:hyperlink w:anchor="page21">
              <w:r>
                <w:rPr>
                  <w:rFonts w:ascii="Arial" w:cs="Arial" w:eastAsia="Arial" w:hAnsi="Arial"/>
                  <w:sz w:val="18"/>
                  <w:szCs w:val="18"/>
                  <w:color w:val="0000FF"/>
                  <w:w w:val="96"/>
                </w:rPr>
                <w:t>Certification of Chief Executive Officer and Chief Financial Officer pursuant to Section 906 of Sarbanes-Oxley Act of 2002</w:t>
              </w:r>
            </w:hyperlink>
          </w:p>
        </w:tc>
      </w:tr>
      <w:tr>
        <w:trPr>
          <w:trHeight w:val="20"/>
        </w:trPr>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940" w:type="dxa"/>
            <w:vAlign w:val="bottom"/>
            <w:gridSpan w:val="9"/>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46"/>
        </w:trPr>
        <w:tc>
          <w:tcPr>
            <w:tcW w:w="4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320" w:type="dxa"/>
            <w:vAlign w:val="bottom"/>
            <w:gridSpan w:val="10"/>
          </w:tcPr>
          <w:p>
            <w:pPr>
              <w:spacing w:after="0"/>
              <w:rPr>
                <w:sz w:val="20"/>
                <w:szCs w:val="20"/>
                <w:color w:val="auto"/>
              </w:rPr>
            </w:pPr>
            <w:r>
              <w:rPr>
                <w:rFonts w:ascii="Arial" w:cs="Arial" w:eastAsia="Arial" w:hAnsi="Arial"/>
                <w:sz w:val="17"/>
                <w:szCs w:val="17"/>
                <w:color w:val="auto"/>
                <w:w w:val="92"/>
              </w:rPr>
              <w:t>The following financial statements from CC Holdings GS V LLC's Quarterly Report on Form 10-Q for the quarter ended June 30, 2021,</w:t>
            </w: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320" w:type="dxa"/>
            <w:vAlign w:val="bottom"/>
            <w:gridSpan w:val="10"/>
          </w:tcPr>
          <w:p>
            <w:pPr>
              <w:spacing w:after="0" w:line="162" w:lineRule="exact"/>
              <w:rPr>
                <w:sz w:val="20"/>
                <w:szCs w:val="20"/>
                <w:color w:val="auto"/>
              </w:rPr>
            </w:pPr>
            <w:r>
              <w:rPr>
                <w:rFonts w:ascii="Arial" w:cs="Arial" w:eastAsia="Arial" w:hAnsi="Arial"/>
                <w:sz w:val="17"/>
                <w:szCs w:val="17"/>
                <w:color w:val="auto"/>
                <w:w w:val="99"/>
              </w:rPr>
              <w:t>formatted in Inline XBRL: (i) Condensed Consolidated Balance Sheet, (ii) Condensed Consolidated Statement of Operations,</w:t>
            </w:r>
          </w:p>
        </w:tc>
      </w:tr>
    </w:tbl>
    <w:p>
      <w:pPr>
        <w:ind w:left="1660" w:hanging="1"/>
        <w:spacing w:after="0" w:line="223" w:lineRule="auto"/>
        <w:tabs>
          <w:tab w:leader="none" w:pos="1959"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Condensed Consolidated Statement of Cash Flows, (iv) Condensed Consolidated Statement of Changes of Member's Equity, and (v) Notes to Condensed Consolidated Financial Statements, tagged as blocks of text and including detailed tags</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020" w:type="dxa"/>
            <w:vAlign w:val="bottom"/>
          </w:tcPr>
          <w:p>
            <w:pPr>
              <w:jc w:val="right"/>
              <w:ind w:right="350"/>
              <w:spacing w:after="0"/>
              <w:rPr>
                <w:sz w:val="20"/>
                <w:szCs w:val="20"/>
                <w:color w:val="auto"/>
              </w:rPr>
            </w:pPr>
            <w:r>
              <w:rPr>
                <w:rFonts w:ascii="Arial" w:cs="Arial" w:eastAsia="Arial" w:hAnsi="Arial"/>
                <w:sz w:val="18"/>
                <w:szCs w:val="18"/>
                <w:color w:val="auto"/>
              </w:rPr>
              <w:t>*   104</w:t>
            </w:r>
          </w:p>
        </w:tc>
        <w:tc>
          <w:tcPr>
            <w:tcW w:w="9740" w:type="dxa"/>
            <w:vAlign w:val="bottom"/>
          </w:tcPr>
          <w:p>
            <w:pPr>
              <w:ind w:left="420"/>
              <w:spacing w:after="0"/>
              <w:rPr>
                <w:sz w:val="20"/>
                <w:szCs w:val="20"/>
                <w:color w:val="auto"/>
              </w:rPr>
            </w:pPr>
            <w:r>
              <w:rPr>
                <w:rFonts w:ascii="Arial" w:cs="Arial" w:eastAsia="Arial" w:hAnsi="Arial"/>
                <w:sz w:val="17"/>
                <w:szCs w:val="17"/>
                <w:color w:val="auto"/>
                <w:w w:val="91"/>
              </w:rPr>
              <w:t>The cover page from CC Holdings GS V LLC's Quarterly Report on Form 10-Q for the quarter ended June 30, 2021, formatted in Inline</w:t>
            </w:r>
          </w:p>
        </w:tc>
      </w:tr>
      <w:tr>
        <w:trPr>
          <w:trHeight w:val="216"/>
        </w:trPr>
        <w:tc>
          <w:tcPr>
            <w:tcW w:w="1020" w:type="dxa"/>
            <w:vAlign w:val="bottom"/>
          </w:tcPr>
          <w:p>
            <w:pPr>
              <w:spacing w:after="0"/>
              <w:rPr>
                <w:sz w:val="18"/>
                <w:szCs w:val="18"/>
                <w:color w:val="auto"/>
              </w:rPr>
            </w:pPr>
          </w:p>
        </w:tc>
        <w:tc>
          <w:tcPr>
            <w:tcW w:w="9740" w:type="dxa"/>
            <w:vAlign w:val="bottom"/>
          </w:tcPr>
          <w:p>
            <w:pPr>
              <w:ind w:left="420"/>
              <w:spacing w:after="0"/>
              <w:rPr>
                <w:sz w:val="20"/>
                <w:szCs w:val="20"/>
                <w:color w:val="auto"/>
              </w:rPr>
            </w:pPr>
            <w:r>
              <w:rPr>
                <w:rFonts w:ascii="Arial" w:cs="Arial" w:eastAsia="Arial" w:hAnsi="Arial"/>
                <w:sz w:val="17"/>
                <w:szCs w:val="17"/>
                <w:color w:val="auto"/>
              </w:rPr>
              <w:t>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91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94"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Filed herewith.</w:t>
      </w:r>
    </w:p>
    <w:p>
      <w:pPr>
        <w:spacing w:after="0" w:line="13"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Furnished herewith.</w:t>
      </w:r>
    </w:p>
    <w:p>
      <w:pPr>
        <w:spacing w:after="0" w:line="1"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Incorporated by reference to the exhibit previously filed by the Registrant on Form S-4 (Registration No. 333-187970) on April 17, 2013.</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Incorporated by reference to the exhibit previously filed by the Registrant on Annual Report on Form 10-K for the year ended December 31, 2020.</w:t>
      </w:r>
    </w:p>
    <w:p>
      <w:pPr>
        <w:spacing w:after="0" w:line="200" w:lineRule="exact"/>
        <w:rPr>
          <w:sz w:val="20"/>
          <w:szCs w:val="20"/>
          <w:color w:val="auto"/>
        </w:rPr>
      </w:pPr>
    </w:p>
    <w:p>
      <w:pPr>
        <w:spacing w:after="0" w:line="34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53" w:right="579" w:bottom="1440" w:gutter="0" w:footer="0" w:header="0"/>
        </w:sectPr>
      </w:pPr>
    </w:p>
    <w:bookmarkStart w:id="17" w:name="page18"/>
    <w:bookmarkEnd w:id="17"/>
    <w:p>
      <w:pPr>
        <w:ind w:left="456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CC HOLDINGS GS V LLC</w:t>
      </w:r>
    </w:p>
    <w:p>
      <w:pPr>
        <w:spacing w:after="0" w:line="279" w:lineRule="exact"/>
        <w:rPr>
          <w:sz w:val="20"/>
          <w:szCs w:val="20"/>
          <w:color w:val="auto"/>
        </w:rPr>
      </w:pPr>
    </w:p>
    <w:p>
      <w:pPr>
        <w:ind w:left="1140"/>
        <w:spacing w:after="0"/>
        <w:tabs>
          <w:tab w:leader="none" w:pos="1660" w:val="left"/>
          <w:tab w:leader="none" w:pos="5820" w:val="left"/>
          <w:tab w:leader="none" w:pos="7220" w:val="left"/>
        </w:tabs>
        <w:rPr>
          <w:sz w:val="20"/>
          <w:szCs w:val="20"/>
          <w:color w:val="auto"/>
        </w:rPr>
      </w:pPr>
      <w:r>
        <w:rPr>
          <w:rFonts w:ascii="Arial" w:cs="Arial" w:eastAsia="Arial" w:hAnsi="Arial"/>
          <w:sz w:val="18"/>
          <w:szCs w:val="18"/>
          <w:color w:val="auto"/>
        </w:rPr>
        <w:t>Date:</w:t>
        <w:tab/>
        <w:t>August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w:t>
      </w:r>
      <w:r>
        <w:rPr>
          <w:rFonts w:ascii="Arial" w:cs="Arial" w:eastAsia="Arial" w:hAnsi="Arial"/>
          <w:sz w:val="13"/>
          <w:szCs w:val="13"/>
          <w:color w:val="auto"/>
        </w:rPr>
        <w:t>ANIEL</w:t>
      </w:r>
      <w:r>
        <w:rPr>
          <w:rFonts w:ascii="Arial" w:cs="Arial" w:eastAsia="Arial" w:hAnsi="Arial"/>
          <w:sz w:val="17"/>
          <w:szCs w:val="17"/>
          <w:color w:val="auto"/>
        </w:rPr>
        <w:t xml:space="preserve"> K. S</w:t>
      </w:r>
      <w:r>
        <w:rPr>
          <w:rFonts w:ascii="Arial" w:cs="Arial" w:eastAsia="Arial" w:hAnsi="Arial"/>
          <w:sz w:val="13"/>
          <w:szCs w:val="13"/>
          <w:color w:val="auto"/>
        </w:rPr>
        <w:t>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24517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1"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Daniel K. Schlanger</w:t>
      </w:r>
    </w:p>
    <w:p>
      <w:pPr>
        <w:spacing w:after="0" w:line="55"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55"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(Principal Financial Officer)</w:t>
      </w:r>
    </w:p>
    <w:p>
      <w:pPr>
        <w:spacing w:after="0" w:line="293" w:lineRule="exact"/>
        <w:rPr>
          <w:sz w:val="20"/>
          <w:szCs w:val="20"/>
          <w:color w:val="auto"/>
        </w:rPr>
      </w:pPr>
    </w:p>
    <w:p>
      <w:pPr>
        <w:ind w:left="1140"/>
        <w:spacing w:after="0"/>
        <w:tabs>
          <w:tab w:leader="none" w:pos="1660" w:val="left"/>
          <w:tab w:leader="none" w:pos="5820" w:val="left"/>
          <w:tab w:leader="none" w:pos="7320" w:val="left"/>
        </w:tabs>
        <w:rPr>
          <w:sz w:val="20"/>
          <w:szCs w:val="20"/>
          <w:color w:val="auto"/>
        </w:rPr>
      </w:pPr>
      <w:r>
        <w:rPr>
          <w:rFonts w:ascii="Arial" w:cs="Arial" w:eastAsia="Arial" w:hAnsi="Arial"/>
          <w:sz w:val="18"/>
          <w:szCs w:val="18"/>
          <w:color w:val="auto"/>
        </w:rPr>
        <w:t>Date:</w:t>
        <w:tab/>
        <w:t>August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S. C</w:t>
      </w:r>
      <w:r>
        <w:rPr>
          <w:rFonts w:ascii="Arial" w:cs="Arial" w:eastAsia="Arial" w:hAnsi="Arial"/>
          <w:sz w:val="13"/>
          <w:szCs w:val="13"/>
          <w:color w:val="auto"/>
        </w:rPr>
        <w:t>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24517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1"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Robert S. Collins</w:t>
      </w:r>
    </w:p>
    <w:p>
      <w:pPr>
        <w:spacing w:after="0" w:line="55"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Vice President and Controller</w:t>
      </w:r>
    </w:p>
    <w:p>
      <w:pPr>
        <w:spacing w:after="0" w:line="55"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7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291"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2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34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2914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Jay A. Brown</w:t>
      </w:r>
    </w:p>
    <w:p>
      <w:pPr>
        <w:ind w:left="6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291"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3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150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Daniel K. Schlanger</w:t>
      </w: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CC Holdings GS V LLC, a Delaware Corporation (“Company”), for the period ending June 30, 2021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214"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340" w:hanging="644"/>
        <w:spacing w:after="0" w:line="277" w:lineRule="auto"/>
        <w:tabs>
          <w:tab w:leader="none" w:pos="12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June 30, 2021 (the last date of the period covered by the Report).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5915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Jay A. Brown</w:t>
      </w:r>
    </w:p>
    <w:p>
      <w:pPr>
        <w:ind w:left="534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August 6, 2021</w:t>
      </w:r>
    </w:p>
    <w:p>
      <w:pPr>
        <w:spacing w:after="0" w:line="23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5915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Daniel K. Schlanger</w:t>
      </w:r>
    </w:p>
    <w:p>
      <w:pPr>
        <w:ind w:left="534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August 6,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5"/>
    </w:lvl>
  </w:abstractNum>
  <w:abstractNum w:abstractNumId="1">
    <w:nsid w:val="1F16E9E8"/>
    <w:multiLevelType w:val="hybridMultilevel"/>
    <w:lvl w:ilvl="0">
      <w:lvlJc w:val="left"/>
      <w:lvlText w:val="(%1)"/>
      <w:numFmt w:val="lowerLetter"/>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6B68079A"/>
    <w:multiLevelType w:val="hybridMultilevel"/>
    <w:lvl w:ilvl="0">
      <w:lvlJc w:val="left"/>
      <w:lvlText w:val="•"/>
      <w:numFmt w:val="bullet"/>
      <w:start w:val="1"/>
    </w:lvl>
    <w:lvl w:ilvl="1">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lowerRoman"/>
      <w:start w:val="3"/>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29" Type="http://schemas.openxmlformats.org/officeDocument/2006/relationships/hyperlink" Target="http://www.sec.gov/Archives/edgar/data/1574211/000119312513158983/d519395dex31.htm" TargetMode="External"/><Relationship Id="rId30" Type="http://schemas.openxmlformats.org/officeDocument/2006/relationships/hyperlink" Target="http://www.sec.gov/Archives/edgar/data/1574211/000119312513158983/d519395dex32.htm" TargetMode="External"/><Relationship Id="rId31" Type="http://schemas.openxmlformats.org/officeDocument/2006/relationships/hyperlink" Target="https://www.sec.gov/Archives/edgar/data/1574291/000157429120000008/gsvexhibit221231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2021-08-06T16:13:35Z</dcterms:created>
  <dcterms:modified xsi:type="dcterms:W3CDTF">2021-08-06T16:13:35Z</dcterms:modified>
</cp:coreProperties>
</file>